
<file path=[Content_Types].xml><?xml version="1.0" encoding="utf-8"?>
<Types xmlns="http://schemas.openxmlformats.org/package/2006/content-types">
  <Default Extension="emf" ContentType="image/x-em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934E6" w14:textId="77777777">
      <w:pPr>
        <w:pStyle w:val="Cm"/>
      </w:pPr>
      <w:r>
        <w:rPr>
          <w:noProof/>
        </w:rPr>
        <w:drawing>
          <wp:anchor distT="0" distB="0" distL="114300" distR="114300" simplePos="0" relativeHeight="251687936" behindDoc="0" locked="0" layoutInCell="1" allowOverlap="1" wp14:anchorId="129F6567" wp14:editId="0801D326">
            <wp:simplePos x="905774" y="715992"/>
            <wp:positionH relativeFrom="margin">
              <wp:align>center</wp:align>
            </wp:positionH>
            <wp:positionV relativeFrom="margin">
              <wp:posOffset>0</wp:posOffset>
            </wp:positionV>
            <wp:extent cx="5000400" cy="3963600"/>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0400" cy="3963600"/>
                    </a:xfrm>
                    <a:prstGeom prst="rect">
                      <a:avLst/>
                    </a:prstGeom>
                    <a:noFill/>
                    <a:ln>
                      <a:noFill/>
                    </a:ln>
                  </pic:spPr>
                </pic:pic>
              </a:graphicData>
            </a:graphic>
            <wp14:sizeRelH relativeFrom="margin">
              <wp14:pctWidth>0</wp14:pctWidth>
            </wp14:sizeRelH>
            <wp14:sizeRelV relativeFrom="margin">
              <wp14:pctHeight>0</wp14:pctHeight>
            </wp14:sizeRelV>
          </wp:anchor>
        </w:drawing>
      </w:r>
      <w:r>
        <w:t>Encoding Guide</w:t>
      </w:r>
      <w:r>
        <w:br/>
      </w:r>
      <w:r>
        <w:rPr>
          <w:sz w:val="72"/>
          <w:szCs w:val="72"/>
        </w:rPr>
        <w:t>for Documentary Editions</w:t>
      </w:r>
    </w:p>
    <w:p w14:paraId="183F4342" w14:textId="77777777">
      <w:pPr>
        <w:pStyle w:val="Frontmatter"/>
      </w:pPr>
      <w:bookmarkStart w:id="0" w:name="_nlm3dlptfwlj" w:colFirst="0" w:colLast="0"/>
      <w:bookmarkStart w:id="1" w:name="_Hlk19355849"/>
      <w:bookmarkEnd w:id="0"/>
      <w:bookmarkEnd w:id="1"/>
      <w:r>
        <w:t>Dániel Balogh &amp; Arlo Griffiths</w:t>
      </w:r>
    </w:p>
    <w:p w14:paraId="4E03FD70" w14:textId="77777777">
      <w:pPr>
        <w:pStyle w:val="Frontmatter"/>
      </w:pPr>
    </w:p>
    <w:p w14:paraId="0A1E8FF3" w14:textId="77777777">
      <w:pPr>
        <w:pStyle w:val="Frontmatter"/>
      </w:pPr>
      <w:bookmarkStart w:id="2" w:name="_6uvsaj3wvd38" w:colFirst="0" w:colLast="0"/>
      <w:bookmarkStart w:id="3" w:name="_4s3elmevh075" w:colFirst="0" w:colLast="0"/>
      <w:bookmarkEnd w:id="2"/>
      <w:bookmarkEnd w:id="3"/>
      <w:r>
        <w:t xml:space="preserve"> Version 2</w:t>
      </w:r>
    </w:p>
    <w:p w14:paraId="51852415" w14:textId="77777777">
      <w:pPr>
        <w:pStyle w:val="Frontmatter"/>
        <w:spacing w:before="200"/>
      </w:pPr>
      <w:r>
        <w:rPr>
          <w:noProof/>
        </w:rPr>
        <w:drawing>
          <wp:anchor distT="0" distB="0" distL="114300" distR="114300" simplePos="0" relativeHeight="251686912" behindDoc="1" locked="0" layoutInCell="1" allowOverlap="1" wp14:anchorId="490E0B28" wp14:editId="3ACED9C5">
            <wp:simplePos x="0" y="0"/>
            <wp:positionH relativeFrom="margin">
              <wp:posOffset>1856105</wp:posOffset>
            </wp:positionH>
            <wp:positionV relativeFrom="bottomMargin">
              <wp:posOffset>-3090384</wp:posOffset>
            </wp:positionV>
            <wp:extent cx="2407920" cy="2415540"/>
            <wp:effectExtent l="0" t="0" r="0" b="381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7920" cy="2415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C62C6A" w14:textId="77777777">
      <w:pPr>
        <w:pStyle w:val="Frontmatter"/>
      </w:pPr>
    </w:p>
    <w:p w14:paraId="7CA2E932" w14:textId="77777777">
      <w:pPr>
        <w:pStyle w:val="Frontmatter"/>
      </w:pPr>
    </w:p>
    <w:p w14:paraId="10D92BC3" w14:textId="77777777">
      <w:pPr>
        <w:pStyle w:val="Frontmatter"/>
      </w:pPr>
    </w:p>
    <w:p w14:paraId="76709068" w14:textId="77777777">
      <w:pPr>
        <w:pStyle w:val="Frontmatter"/>
      </w:pPr>
    </w:p>
    <w:p w14:paraId="5760EB4D" w14:textId="77777777">
      <w:pPr>
        <w:pStyle w:val="Frontmatter"/>
      </w:pPr>
    </w:p>
    <w:p w14:paraId="3C2FDD30" w14:textId="77777777">
      <w:pPr>
        <w:pStyle w:val="Frontmatter"/>
      </w:pPr>
    </w:p>
    <w:p w14:paraId="134549B7" w14:textId="77777777">
      <w:pPr>
        <w:pStyle w:val="Frontmatter"/>
      </w:pPr>
    </w:p>
    <w:p w14:paraId="6429ABB3" w14:textId="77777777">
      <w:pPr>
        <w:pStyle w:val="Frontmatter"/>
      </w:pPr>
    </w:p>
    <w:p w14:paraId="2DACD10A" w14:textId="77777777">
      <w:pPr>
        <w:pStyle w:val="Frontmatter"/>
      </w:pPr>
    </w:p>
    <w:p w14:paraId="59DC2C65" w14:textId="77777777">
      <w:pPr>
        <w:pStyle w:val="Frontmatter"/>
      </w:pPr>
      <w:bookmarkStart w:id="4" w:name="_Hlk44316166"/>
      <w:r>
        <w:t>This project has received funding from the European Research Council (ERC)</w:t>
      </w:r>
      <w:r>
        <w:br/>
        <w:t>under the European Union’s Horizon 2020 research and innovation programme</w:t>
      </w:r>
      <w:r>
        <w:br/>
        <w:t>(grant agreement No 809994).</w:t>
      </w:r>
    </w:p>
    <w:p w14:paraId="6EA00EA2" w14:textId="77777777">
      <w:pPr>
        <w:pStyle w:val="Cm"/>
      </w:pPr>
      <w:bookmarkStart w:id="5" w:name="_62ze56ka8a10" w:colFirst="0" w:colLast="0"/>
      <w:bookmarkEnd w:id="4"/>
      <w:bookmarkEnd w:id="5"/>
      <w:r>
        <w:lastRenderedPageBreak/>
        <w:t>Contents</w:t>
      </w:r>
    </w:p>
    <w:p w14:paraId="4CD17504" w14:textId="5A926FE4">
      <w:pPr>
        <w:pStyle w:val="TJ1"/>
        <w:rPr>
          <w:rFonts w:asciiTheme="minorHAnsi" w:hAnsiTheme="minorHAnsi" w:cstheme="minorBidi"/>
          <w:b w:val="0"/>
          <w:noProof/>
          <w:sz w:val="24"/>
          <w:szCs w:val="21"/>
          <w:lang w:eastAsia="en-GB" w:bidi="sa-IN"/>
        </w:rPr>
      </w:pPr>
      <w:r>
        <w:rPr>
          <w:b w:val="0"/>
        </w:rPr>
        <w:fldChar w:fldCharType="begin"/>
      </w:r>
      <w:r>
        <w:rPr>
          <w:b w:val="0"/>
        </w:rPr>
        <w:instrText xml:space="preserve"> TOC \o "3-3" \h \z \t "Címsor 1,1,Címsor 2,2" </w:instrText>
      </w:r>
      <w:r>
        <w:rPr>
          <w:b w:val="0"/>
        </w:rPr>
        <w:fldChar w:fldCharType="separate"/>
      </w:r>
      <w:hyperlink w:anchor="_Toc242889427" w:history="1">
        <w:r>
          <w:rPr>
            <w:rStyle w:val="Hiperhivatkozs"/>
            <w:noProof/>
            <w:lang w:bidi="ar-SA"/>
          </w:rPr>
          <w:t>1. Introduction</w:t>
        </w:r>
        <w:r>
          <w:rPr>
            <w:noProof/>
            <w:webHidden/>
          </w:rPr>
          <w:tab/>
        </w:r>
        <w:r>
          <w:rPr>
            <w:noProof/>
            <w:webHidden/>
          </w:rPr>
          <w:fldChar w:fldCharType="begin"/>
        </w:r>
        <w:r>
          <w:rPr>
            <w:noProof/>
            <w:webHidden/>
          </w:rPr>
          <w:instrText xml:space="preserve"> PAGEREF _Toc242889427 \h </w:instrText>
        </w:r>
        <w:r>
          <w:rPr>
            <w:noProof/>
            <w:webHidden/>
          </w:rPr>
        </w:r>
        <w:r>
          <w:rPr>
            <w:noProof/>
            <w:webHidden/>
          </w:rPr>
          <w:fldChar w:fldCharType="separate"/>
        </w:r>
        <w:r>
          <w:rPr>
            <w:noProof/>
            <w:webHidden/>
          </w:rPr>
          <w:t>6</w:t>
        </w:r>
        <w:r>
          <w:rPr>
            <w:noProof/>
            <w:webHidden/>
          </w:rPr>
          <w:fldChar w:fldCharType="end"/>
        </w:r>
      </w:hyperlink>
    </w:p>
    <w:p w14:paraId="1A830647" w14:textId="7F0CD4CF">
      <w:pPr>
        <w:pStyle w:val="TJ2"/>
        <w:rPr>
          <w:rFonts w:asciiTheme="minorHAnsi" w:hAnsiTheme="minorHAnsi" w:cstheme="minorBidi"/>
          <w:noProof/>
          <w:sz w:val="24"/>
          <w:szCs w:val="21"/>
          <w:lang w:eastAsia="en-GB" w:bidi="sa-IN"/>
        </w:rPr>
      </w:pPr>
      <w:hyperlink w:anchor="_Toc242889428" w:history="1">
        <w:r>
          <w:rPr>
            <w:rStyle w:val="Hiperhivatkozs"/>
            <w:noProof/>
            <w:lang w:bidi="ar-SA"/>
          </w:rPr>
          <w:t>1.1. Version history</w:t>
        </w:r>
        <w:r>
          <w:rPr>
            <w:noProof/>
            <w:webHidden/>
          </w:rPr>
          <w:tab/>
        </w:r>
        <w:r>
          <w:rPr>
            <w:noProof/>
            <w:webHidden/>
          </w:rPr>
          <w:fldChar w:fldCharType="begin"/>
        </w:r>
        <w:r>
          <w:rPr>
            <w:noProof/>
            <w:webHidden/>
          </w:rPr>
          <w:instrText xml:space="preserve"> PAGEREF _Toc242889428 \h </w:instrText>
        </w:r>
        <w:r>
          <w:rPr>
            <w:noProof/>
            <w:webHidden/>
          </w:rPr>
        </w:r>
        <w:r>
          <w:rPr>
            <w:noProof/>
            <w:webHidden/>
          </w:rPr>
          <w:fldChar w:fldCharType="separate"/>
        </w:r>
        <w:r>
          <w:rPr>
            <w:noProof/>
            <w:webHidden/>
          </w:rPr>
          <w:t>6</w:t>
        </w:r>
        <w:r>
          <w:rPr>
            <w:noProof/>
            <w:webHidden/>
          </w:rPr>
          <w:fldChar w:fldCharType="end"/>
        </w:r>
      </w:hyperlink>
    </w:p>
    <w:p w14:paraId="2F9493E2" w14:textId="66691D71">
      <w:pPr>
        <w:pStyle w:val="TJ3"/>
        <w:rPr>
          <w:rFonts w:asciiTheme="minorHAnsi" w:hAnsiTheme="minorHAnsi" w:cstheme="minorBidi"/>
          <w:noProof/>
          <w:sz w:val="24"/>
          <w:szCs w:val="21"/>
          <w:lang w:eastAsia="en-GB" w:bidi="sa-IN"/>
        </w:rPr>
      </w:pPr>
      <w:hyperlink w:anchor="_Toc242889429" w:history="1">
        <w:r>
          <w:rPr>
            <w:rStyle w:val="Hiperhivatkozs"/>
            <w:noProof/>
            <w:lang w:bidi="ar-SA"/>
          </w:rPr>
          <w:t>1.1.1. About this version and how it relates to other versions</w:t>
        </w:r>
        <w:r>
          <w:rPr>
            <w:noProof/>
            <w:webHidden/>
          </w:rPr>
          <w:tab/>
        </w:r>
        <w:r>
          <w:rPr>
            <w:noProof/>
            <w:webHidden/>
          </w:rPr>
          <w:fldChar w:fldCharType="begin"/>
        </w:r>
        <w:r>
          <w:rPr>
            <w:noProof/>
            <w:webHidden/>
          </w:rPr>
          <w:instrText xml:space="preserve"> PAGEREF _Toc242889429 \h </w:instrText>
        </w:r>
        <w:r>
          <w:rPr>
            <w:noProof/>
            <w:webHidden/>
          </w:rPr>
        </w:r>
        <w:r>
          <w:rPr>
            <w:noProof/>
            <w:webHidden/>
          </w:rPr>
          <w:fldChar w:fldCharType="separate"/>
        </w:r>
        <w:r>
          <w:rPr>
            <w:noProof/>
            <w:webHidden/>
          </w:rPr>
          <w:t>6</w:t>
        </w:r>
        <w:r>
          <w:rPr>
            <w:noProof/>
            <w:webHidden/>
          </w:rPr>
          <w:fldChar w:fldCharType="end"/>
        </w:r>
      </w:hyperlink>
    </w:p>
    <w:p w14:paraId="71FA0084" w14:textId="0989E802">
      <w:pPr>
        <w:pStyle w:val="TJ2"/>
        <w:rPr>
          <w:rFonts w:asciiTheme="minorHAnsi" w:hAnsiTheme="minorHAnsi" w:cstheme="minorBidi"/>
          <w:noProof/>
          <w:sz w:val="24"/>
          <w:szCs w:val="21"/>
          <w:lang w:eastAsia="en-GB" w:bidi="sa-IN"/>
        </w:rPr>
      </w:pPr>
      <w:hyperlink w:anchor="_Toc242889430" w:history="1">
        <w:r>
          <w:rPr>
            <w:rStyle w:val="Hiperhivatkozs"/>
            <w:noProof/>
            <w:lang w:bidi="ar-SA"/>
          </w:rPr>
          <w:t>1.2. Acknowledgements</w:t>
        </w:r>
        <w:r>
          <w:rPr>
            <w:noProof/>
            <w:webHidden/>
          </w:rPr>
          <w:tab/>
        </w:r>
        <w:r>
          <w:rPr>
            <w:noProof/>
            <w:webHidden/>
          </w:rPr>
          <w:fldChar w:fldCharType="begin"/>
        </w:r>
        <w:r>
          <w:rPr>
            <w:noProof/>
            <w:webHidden/>
          </w:rPr>
          <w:instrText xml:space="preserve"> PAGEREF _Toc242889430 \h </w:instrText>
        </w:r>
        <w:r>
          <w:rPr>
            <w:noProof/>
            <w:webHidden/>
          </w:rPr>
        </w:r>
        <w:r>
          <w:rPr>
            <w:noProof/>
            <w:webHidden/>
          </w:rPr>
          <w:fldChar w:fldCharType="separate"/>
        </w:r>
        <w:r>
          <w:rPr>
            <w:noProof/>
            <w:webHidden/>
          </w:rPr>
          <w:t>6</w:t>
        </w:r>
        <w:r>
          <w:rPr>
            <w:noProof/>
            <w:webHidden/>
          </w:rPr>
          <w:fldChar w:fldCharType="end"/>
        </w:r>
      </w:hyperlink>
    </w:p>
    <w:p w14:paraId="1EF2C9BB" w14:textId="43511992">
      <w:pPr>
        <w:pStyle w:val="TJ2"/>
        <w:rPr>
          <w:rFonts w:asciiTheme="minorHAnsi" w:hAnsiTheme="minorHAnsi" w:cstheme="minorBidi"/>
          <w:noProof/>
          <w:sz w:val="24"/>
          <w:szCs w:val="21"/>
          <w:lang w:eastAsia="en-GB" w:bidi="sa-IN"/>
        </w:rPr>
      </w:pPr>
      <w:hyperlink w:anchor="_Toc242889431" w:history="1">
        <w:r>
          <w:rPr>
            <w:rStyle w:val="Hiperhivatkozs"/>
            <w:noProof/>
            <w:lang w:bidi="ar-SA"/>
          </w:rPr>
          <w:t>1.3. Scope</w:t>
        </w:r>
        <w:r>
          <w:rPr>
            <w:noProof/>
            <w:webHidden/>
          </w:rPr>
          <w:tab/>
        </w:r>
        <w:r>
          <w:rPr>
            <w:noProof/>
            <w:webHidden/>
          </w:rPr>
          <w:fldChar w:fldCharType="begin"/>
        </w:r>
        <w:r>
          <w:rPr>
            <w:noProof/>
            <w:webHidden/>
          </w:rPr>
          <w:instrText xml:space="preserve"> PAGEREF _Toc242889431 \h </w:instrText>
        </w:r>
        <w:r>
          <w:rPr>
            <w:noProof/>
            <w:webHidden/>
          </w:rPr>
        </w:r>
        <w:r>
          <w:rPr>
            <w:noProof/>
            <w:webHidden/>
          </w:rPr>
          <w:fldChar w:fldCharType="separate"/>
        </w:r>
        <w:r>
          <w:rPr>
            <w:noProof/>
            <w:webHidden/>
          </w:rPr>
          <w:t>6</w:t>
        </w:r>
        <w:r>
          <w:rPr>
            <w:noProof/>
            <w:webHidden/>
          </w:rPr>
          <w:fldChar w:fldCharType="end"/>
        </w:r>
      </w:hyperlink>
    </w:p>
    <w:p w14:paraId="6331D57C" w14:textId="7EB7E5D9">
      <w:pPr>
        <w:pStyle w:val="TJ2"/>
        <w:rPr>
          <w:rFonts w:asciiTheme="minorHAnsi" w:hAnsiTheme="minorHAnsi" w:cstheme="minorBidi"/>
          <w:noProof/>
          <w:sz w:val="24"/>
          <w:szCs w:val="21"/>
          <w:lang w:eastAsia="en-GB" w:bidi="sa-IN"/>
        </w:rPr>
      </w:pPr>
      <w:hyperlink w:anchor="_Toc242889432" w:history="1">
        <w:r>
          <w:rPr>
            <w:rStyle w:val="Hiperhivatkozs"/>
            <w:noProof/>
            <w:lang w:bidi="ar-SA"/>
          </w:rPr>
          <w:t>1.4. Further reading</w:t>
        </w:r>
        <w:r>
          <w:rPr>
            <w:noProof/>
            <w:webHidden/>
          </w:rPr>
          <w:tab/>
        </w:r>
        <w:r>
          <w:rPr>
            <w:noProof/>
            <w:webHidden/>
          </w:rPr>
          <w:fldChar w:fldCharType="begin"/>
        </w:r>
        <w:r>
          <w:rPr>
            <w:noProof/>
            <w:webHidden/>
          </w:rPr>
          <w:instrText xml:space="preserve"> PAGEREF _Toc242889432 \h </w:instrText>
        </w:r>
        <w:r>
          <w:rPr>
            <w:noProof/>
            <w:webHidden/>
          </w:rPr>
        </w:r>
        <w:r>
          <w:rPr>
            <w:noProof/>
            <w:webHidden/>
          </w:rPr>
          <w:fldChar w:fldCharType="separate"/>
        </w:r>
        <w:r>
          <w:rPr>
            <w:noProof/>
            <w:webHidden/>
          </w:rPr>
          <w:t>7</w:t>
        </w:r>
        <w:r>
          <w:rPr>
            <w:noProof/>
            <w:webHidden/>
          </w:rPr>
          <w:fldChar w:fldCharType="end"/>
        </w:r>
      </w:hyperlink>
    </w:p>
    <w:p w14:paraId="09D7EBFD" w14:textId="58CF3431">
      <w:pPr>
        <w:pStyle w:val="TJ2"/>
        <w:rPr>
          <w:rFonts w:asciiTheme="minorHAnsi" w:hAnsiTheme="minorHAnsi" w:cstheme="minorBidi"/>
          <w:noProof/>
          <w:sz w:val="24"/>
          <w:szCs w:val="21"/>
          <w:lang w:eastAsia="en-GB" w:bidi="sa-IN"/>
        </w:rPr>
      </w:pPr>
      <w:hyperlink w:anchor="_Toc242889433" w:history="1">
        <w:r>
          <w:rPr>
            <w:rStyle w:val="Hiperhivatkozs"/>
            <w:noProof/>
            <w:lang w:bidi="ar-SA"/>
          </w:rPr>
          <w:t>1.5. Software</w:t>
        </w:r>
        <w:r>
          <w:rPr>
            <w:noProof/>
            <w:webHidden/>
          </w:rPr>
          <w:tab/>
        </w:r>
        <w:r>
          <w:rPr>
            <w:noProof/>
            <w:webHidden/>
          </w:rPr>
          <w:fldChar w:fldCharType="begin"/>
        </w:r>
        <w:r>
          <w:rPr>
            <w:noProof/>
            <w:webHidden/>
          </w:rPr>
          <w:instrText xml:space="preserve"> PAGEREF _Toc242889433 \h </w:instrText>
        </w:r>
        <w:r>
          <w:rPr>
            <w:noProof/>
            <w:webHidden/>
          </w:rPr>
        </w:r>
        <w:r>
          <w:rPr>
            <w:noProof/>
            <w:webHidden/>
          </w:rPr>
          <w:fldChar w:fldCharType="separate"/>
        </w:r>
        <w:r>
          <w:rPr>
            <w:noProof/>
            <w:webHidden/>
          </w:rPr>
          <w:t>7</w:t>
        </w:r>
        <w:r>
          <w:rPr>
            <w:noProof/>
            <w:webHidden/>
          </w:rPr>
          <w:fldChar w:fldCharType="end"/>
        </w:r>
      </w:hyperlink>
    </w:p>
    <w:p w14:paraId="3B84F8A4" w14:textId="72C37001">
      <w:pPr>
        <w:pStyle w:val="TJ2"/>
        <w:rPr>
          <w:rFonts w:asciiTheme="minorHAnsi" w:hAnsiTheme="minorHAnsi" w:cstheme="minorBidi"/>
          <w:noProof/>
          <w:sz w:val="24"/>
          <w:szCs w:val="21"/>
          <w:lang w:eastAsia="en-GB" w:bidi="sa-IN"/>
        </w:rPr>
      </w:pPr>
      <w:hyperlink w:anchor="_Toc242889434" w:history="1">
        <w:r>
          <w:rPr>
            <w:rStyle w:val="Hiperhivatkozs"/>
            <w:noProof/>
            <w:lang w:bidi="ar-SA"/>
          </w:rPr>
          <w:t>1.6. Note on the examples</w:t>
        </w:r>
        <w:r>
          <w:rPr>
            <w:noProof/>
            <w:webHidden/>
          </w:rPr>
          <w:tab/>
        </w:r>
        <w:r>
          <w:rPr>
            <w:noProof/>
            <w:webHidden/>
          </w:rPr>
          <w:fldChar w:fldCharType="begin"/>
        </w:r>
        <w:r>
          <w:rPr>
            <w:noProof/>
            <w:webHidden/>
          </w:rPr>
          <w:instrText xml:space="preserve"> PAGEREF _Toc242889434 \h </w:instrText>
        </w:r>
        <w:r>
          <w:rPr>
            <w:noProof/>
            <w:webHidden/>
          </w:rPr>
        </w:r>
        <w:r>
          <w:rPr>
            <w:noProof/>
            <w:webHidden/>
          </w:rPr>
          <w:fldChar w:fldCharType="separate"/>
        </w:r>
        <w:r>
          <w:rPr>
            <w:noProof/>
            <w:webHidden/>
          </w:rPr>
          <w:t>7</w:t>
        </w:r>
        <w:r>
          <w:rPr>
            <w:noProof/>
            <w:webHidden/>
          </w:rPr>
          <w:fldChar w:fldCharType="end"/>
        </w:r>
      </w:hyperlink>
    </w:p>
    <w:p w14:paraId="77437A1A" w14:textId="54E1AAC1">
      <w:pPr>
        <w:pStyle w:val="TJ2"/>
        <w:rPr>
          <w:rFonts w:asciiTheme="minorHAnsi" w:hAnsiTheme="minorHAnsi" w:cstheme="minorBidi"/>
          <w:noProof/>
          <w:sz w:val="24"/>
          <w:szCs w:val="21"/>
          <w:lang w:eastAsia="en-GB" w:bidi="sa-IN"/>
        </w:rPr>
      </w:pPr>
      <w:hyperlink w:anchor="_Toc242889435" w:history="1">
        <w:r>
          <w:rPr>
            <w:rStyle w:val="Hiperhivatkozs"/>
            <w:noProof/>
            <w:lang w:bidi="ar-SA"/>
          </w:rPr>
          <w:t>1.7. Abbreviations</w:t>
        </w:r>
        <w:r>
          <w:rPr>
            <w:noProof/>
            <w:webHidden/>
          </w:rPr>
          <w:tab/>
        </w:r>
        <w:r>
          <w:rPr>
            <w:noProof/>
            <w:webHidden/>
          </w:rPr>
          <w:fldChar w:fldCharType="begin"/>
        </w:r>
        <w:r>
          <w:rPr>
            <w:noProof/>
            <w:webHidden/>
          </w:rPr>
          <w:instrText xml:space="preserve"> PAGEREF _Toc242889435 \h </w:instrText>
        </w:r>
        <w:r>
          <w:rPr>
            <w:noProof/>
            <w:webHidden/>
          </w:rPr>
        </w:r>
        <w:r>
          <w:rPr>
            <w:noProof/>
            <w:webHidden/>
          </w:rPr>
          <w:fldChar w:fldCharType="separate"/>
        </w:r>
        <w:r>
          <w:rPr>
            <w:noProof/>
            <w:webHidden/>
          </w:rPr>
          <w:t>8</w:t>
        </w:r>
        <w:r>
          <w:rPr>
            <w:noProof/>
            <w:webHidden/>
          </w:rPr>
          <w:fldChar w:fldCharType="end"/>
        </w:r>
      </w:hyperlink>
    </w:p>
    <w:p w14:paraId="72B01F12" w14:textId="4271CBA2">
      <w:pPr>
        <w:pStyle w:val="TJ1"/>
        <w:rPr>
          <w:rFonts w:asciiTheme="minorHAnsi" w:hAnsiTheme="minorHAnsi" w:cstheme="minorBidi"/>
          <w:b w:val="0"/>
          <w:noProof/>
          <w:sz w:val="24"/>
          <w:szCs w:val="21"/>
          <w:lang w:eastAsia="en-GB" w:bidi="sa-IN"/>
        </w:rPr>
      </w:pPr>
      <w:hyperlink w:anchor="_Toc242889436" w:history="1">
        <w:r>
          <w:rPr>
            <w:rStyle w:val="Hiperhivatkozs"/>
            <w:noProof/>
            <w:lang w:bidi="ar-SA"/>
          </w:rPr>
          <w:t>2. Theoretical framework</w:t>
        </w:r>
        <w:r>
          <w:rPr>
            <w:noProof/>
            <w:webHidden/>
          </w:rPr>
          <w:tab/>
        </w:r>
        <w:r>
          <w:rPr>
            <w:noProof/>
            <w:webHidden/>
          </w:rPr>
          <w:fldChar w:fldCharType="begin"/>
        </w:r>
        <w:r>
          <w:rPr>
            <w:noProof/>
            <w:webHidden/>
          </w:rPr>
          <w:instrText xml:space="preserve"> PAGEREF _Toc242889436 \h </w:instrText>
        </w:r>
        <w:r>
          <w:rPr>
            <w:noProof/>
            <w:webHidden/>
          </w:rPr>
        </w:r>
        <w:r>
          <w:rPr>
            <w:noProof/>
            <w:webHidden/>
          </w:rPr>
          <w:fldChar w:fldCharType="separate"/>
        </w:r>
        <w:r>
          <w:rPr>
            <w:noProof/>
            <w:webHidden/>
          </w:rPr>
          <w:t>9</w:t>
        </w:r>
        <w:r>
          <w:rPr>
            <w:noProof/>
            <w:webHidden/>
          </w:rPr>
          <w:fldChar w:fldCharType="end"/>
        </w:r>
      </w:hyperlink>
    </w:p>
    <w:p w14:paraId="69A4D778" w14:textId="1B4575E0">
      <w:pPr>
        <w:pStyle w:val="TJ2"/>
        <w:rPr>
          <w:rFonts w:asciiTheme="minorHAnsi" w:hAnsiTheme="minorHAnsi" w:cstheme="minorBidi"/>
          <w:noProof/>
          <w:sz w:val="24"/>
          <w:szCs w:val="21"/>
          <w:lang w:eastAsia="en-GB" w:bidi="sa-IN"/>
        </w:rPr>
      </w:pPr>
      <w:hyperlink w:anchor="_Toc242889437" w:history="1">
        <w:r>
          <w:rPr>
            <w:rStyle w:val="Hiperhivatkozs"/>
            <w:noProof/>
            <w:lang w:bidi="ar-SA"/>
          </w:rPr>
          <w:t>2.1. Technical concepts and terminology</w:t>
        </w:r>
        <w:r>
          <w:rPr>
            <w:noProof/>
            <w:webHidden/>
          </w:rPr>
          <w:tab/>
        </w:r>
        <w:r>
          <w:rPr>
            <w:noProof/>
            <w:webHidden/>
          </w:rPr>
          <w:fldChar w:fldCharType="begin"/>
        </w:r>
        <w:r>
          <w:rPr>
            <w:noProof/>
            <w:webHidden/>
          </w:rPr>
          <w:instrText xml:space="preserve"> PAGEREF _Toc242889437 \h </w:instrText>
        </w:r>
        <w:r>
          <w:rPr>
            <w:noProof/>
            <w:webHidden/>
          </w:rPr>
        </w:r>
        <w:r>
          <w:rPr>
            <w:noProof/>
            <w:webHidden/>
          </w:rPr>
          <w:fldChar w:fldCharType="separate"/>
        </w:r>
        <w:r>
          <w:rPr>
            <w:noProof/>
            <w:webHidden/>
          </w:rPr>
          <w:t>9</w:t>
        </w:r>
        <w:r>
          <w:rPr>
            <w:noProof/>
            <w:webHidden/>
          </w:rPr>
          <w:fldChar w:fldCharType="end"/>
        </w:r>
      </w:hyperlink>
    </w:p>
    <w:p w14:paraId="73EB0004" w14:textId="56E6B7E1">
      <w:pPr>
        <w:pStyle w:val="TJ3"/>
        <w:rPr>
          <w:rFonts w:asciiTheme="minorHAnsi" w:hAnsiTheme="minorHAnsi" w:cstheme="minorBidi"/>
          <w:noProof/>
          <w:sz w:val="24"/>
          <w:szCs w:val="21"/>
          <w:lang w:eastAsia="en-GB" w:bidi="sa-IN"/>
        </w:rPr>
      </w:pPr>
      <w:hyperlink w:anchor="_Toc242889438" w:history="1">
        <w:r>
          <w:rPr>
            <w:rStyle w:val="Hiperhivatkozs"/>
            <w:noProof/>
            <w:lang w:bidi="ar-SA"/>
          </w:rPr>
          <w:t>2.1.1. Markup</w:t>
        </w:r>
        <w:r>
          <w:rPr>
            <w:noProof/>
            <w:webHidden/>
          </w:rPr>
          <w:tab/>
        </w:r>
        <w:r>
          <w:rPr>
            <w:noProof/>
            <w:webHidden/>
          </w:rPr>
          <w:fldChar w:fldCharType="begin"/>
        </w:r>
        <w:r>
          <w:rPr>
            <w:noProof/>
            <w:webHidden/>
          </w:rPr>
          <w:instrText xml:space="preserve"> PAGEREF _Toc242889438 \h </w:instrText>
        </w:r>
        <w:r>
          <w:rPr>
            <w:noProof/>
            <w:webHidden/>
          </w:rPr>
        </w:r>
        <w:r>
          <w:rPr>
            <w:noProof/>
            <w:webHidden/>
          </w:rPr>
          <w:fldChar w:fldCharType="separate"/>
        </w:r>
        <w:r>
          <w:rPr>
            <w:noProof/>
            <w:webHidden/>
          </w:rPr>
          <w:t>9</w:t>
        </w:r>
        <w:r>
          <w:rPr>
            <w:noProof/>
            <w:webHidden/>
          </w:rPr>
          <w:fldChar w:fldCharType="end"/>
        </w:r>
      </w:hyperlink>
    </w:p>
    <w:p w14:paraId="196C8919" w14:textId="0201AB55">
      <w:pPr>
        <w:pStyle w:val="TJ3"/>
        <w:rPr>
          <w:rFonts w:asciiTheme="minorHAnsi" w:hAnsiTheme="minorHAnsi" w:cstheme="minorBidi"/>
          <w:noProof/>
          <w:sz w:val="24"/>
          <w:szCs w:val="21"/>
          <w:lang w:eastAsia="en-GB" w:bidi="sa-IN"/>
        </w:rPr>
      </w:pPr>
      <w:hyperlink w:anchor="_Toc242889439" w:history="1">
        <w:r>
          <w:rPr>
            <w:rStyle w:val="Hiperhivatkozs"/>
            <w:noProof/>
            <w:lang w:bidi="ar-SA"/>
          </w:rPr>
          <w:t>2.1.2. XML elements</w:t>
        </w:r>
        <w:r>
          <w:rPr>
            <w:noProof/>
            <w:webHidden/>
          </w:rPr>
          <w:tab/>
        </w:r>
        <w:r>
          <w:rPr>
            <w:noProof/>
            <w:webHidden/>
          </w:rPr>
          <w:fldChar w:fldCharType="begin"/>
        </w:r>
        <w:r>
          <w:rPr>
            <w:noProof/>
            <w:webHidden/>
          </w:rPr>
          <w:instrText xml:space="preserve"> PAGEREF _Toc242889439 \h </w:instrText>
        </w:r>
        <w:r>
          <w:rPr>
            <w:noProof/>
            <w:webHidden/>
          </w:rPr>
        </w:r>
        <w:r>
          <w:rPr>
            <w:noProof/>
            <w:webHidden/>
          </w:rPr>
          <w:fldChar w:fldCharType="separate"/>
        </w:r>
        <w:r>
          <w:rPr>
            <w:noProof/>
            <w:webHidden/>
          </w:rPr>
          <w:t>9</w:t>
        </w:r>
        <w:r>
          <w:rPr>
            <w:noProof/>
            <w:webHidden/>
          </w:rPr>
          <w:fldChar w:fldCharType="end"/>
        </w:r>
      </w:hyperlink>
    </w:p>
    <w:p w14:paraId="73D4506E" w14:textId="1DB465AA">
      <w:pPr>
        <w:pStyle w:val="TJ3"/>
        <w:rPr>
          <w:rFonts w:asciiTheme="minorHAnsi" w:hAnsiTheme="minorHAnsi" w:cstheme="minorBidi"/>
          <w:noProof/>
          <w:sz w:val="24"/>
          <w:szCs w:val="21"/>
          <w:lang w:eastAsia="en-GB" w:bidi="sa-IN"/>
        </w:rPr>
      </w:pPr>
      <w:hyperlink w:anchor="_Toc242889440" w:history="1">
        <w:r>
          <w:rPr>
            <w:rStyle w:val="Hiperhivatkozs"/>
            <w:noProof/>
            <w:lang w:bidi="ar-SA"/>
          </w:rPr>
          <w:t>2.1.3. Character entity references</w:t>
        </w:r>
        <w:r>
          <w:rPr>
            <w:noProof/>
            <w:webHidden/>
          </w:rPr>
          <w:tab/>
        </w:r>
        <w:r>
          <w:rPr>
            <w:noProof/>
            <w:webHidden/>
          </w:rPr>
          <w:fldChar w:fldCharType="begin"/>
        </w:r>
        <w:r>
          <w:rPr>
            <w:noProof/>
            <w:webHidden/>
          </w:rPr>
          <w:instrText xml:space="preserve"> PAGEREF _Toc242889440 \h </w:instrText>
        </w:r>
        <w:r>
          <w:rPr>
            <w:noProof/>
            <w:webHidden/>
          </w:rPr>
        </w:r>
        <w:r>
          <w:rPr>
            <w:noProof/>
            <w:webHidden/>
          </w:rPr>
          <w:fldChar w:fldCharType="separate"/>
        </w:r>
        <w:r>
          <w:rPr>
            <w:noProof/>
            <w:webHidden/>
          </w:rPr>
          <w:t>11</w:t>
        </w:r>
        <w:r>
          <w:rPr>
            <w:noProof/>
            <w:webHidden/>
          </w:rPr>
          <w:fldChar w:fldCharType="end"/>
        </w:r>
      </w:hyperlink>
    </w:p>
    <w:p w14:paraId="331E8FB0" w14:textId="03D59BEC">
      <w:pPr>
        <w:pStyle w:val="TJ3"/>
        <w:rPr>
          <w:rFonts w:asciiTheme="minorHAnsi" w:hAnsiTheme="minorHAnsi" w:cstheme="minorBidi"/>
          <w:noProof/>
          <w:sz w:val="24"/>
          <w:szCs w:val="21"/>
          <w:lang w:eastAsia="en-GB" w:bidi="sa-IN"/>
        </w:rPr>
      </w:pPr>
      <w:hyperlink w:anchor="_Toc242889441" w:history="1">
        <w:r>
          <w:rPr>
            <w:rStyle w:val="Hiperhivatkozs"/>
            <w:noProof/>
            <w:lang w:bidi="ar-SA"/>
          </w:rPr>
          <w:t>2.1.4. XML hierarchy</w:t>
        </w:r>
        <w:r>
          <w:rPr>
            <w:noProof/>
            <w:webHidden/>
          </w:rPr>
          <w:tab/>
        </w:r>
        <w:r>
          <w:rPr>
            <w:noProof/>
            <w:webHidden/>
          </w:rPr>
          <w:fldChar w:fldCharType="begin"/>
        </w:r>
        <w:r>
          <w:rPr>
            <w:noProof/>
            <w:webHidden/>
          </w:rPr>
          <w:instrText xml:space="preserve"> PAGEREF _Toc242889441 \h </w:instrText>
        </w:r>
        <w:r>
          <w:rPr>
            <w:noProof/>
            <w:webHidden/>
          </w:rPr>
        </w:r>
        <w:r>
          <w:rPr>
            <w:noProof/>
            <w:webHidden/>
          </w:rPr>
          <w:fldChar w:fldCharType="separate"/>
        </w:r>
        <w:r>
          <w:rPr>
            <w:noProof/>
            <w:webHidden/>
          </w:rPr>
          <w:t>11</w:t>
        </w:r>
        <w:r>
          <w:rPr>
            <w:noProof/>
            <w:webHidden/>
          </w:rPr>
          <w:fldChar w:fldCharType="end"/>
        </w:r>
      </w:hyperlink>
    </w:p>
    <w:p w14:paraId="367B1301" w14:textId="7A47DD00">
      <w:pPr>
        <w:pStyle w:val="TJ3"/>
        <w:rPr>
          <w:rFonts w:asciiTheme="minorHAnsi" w:hAnsiTheme="minorHAnsi" w:cstheme="minorBidi"/>
          <w:noProof/>
          <w:sz w:val="24"/>
          <w:szCs w:val="21"/>
          <w:lang w:eastAsia="en-GB" w:bidi="sa-IN"/>
        </w:rPr>
      </w:pPr>
      <w:hyperlink w:anchor="_Toc242889442" w:history="1">
        <w:r>
          <w:rPr>
            <w:rStyle w:val="Hiperhivatkozs"/>
            <w:noProof/>
            <w:lang w:bidi="ar-SA"/>
          </w:rPr>
          <w:t>2.1.5. Well-formedness and validity</w:t>
        </w:r>
        <w:r>
          <w:rPr>
            <w:noProof/>
            <w:webHidden/>
          </w:rPr>
          <w:tab/>
        </w:r>
        <w:r>
          <w:rPr>
            <w:noProof/>
            <w:webHidden/>
          </w:rPr>
          <w:fldChar w:fldCharType="begin"/>
        </w:r>
        <w:r>
          <w:rPr>
            <w:noProof/>
            <w:webHidden/>
          </w:rPr>
          <w:instrText xml:space="preserve"> PAGEREF _Toc242889442 \h </w:instrText>
        </w:r>
        <w:r>
          <w:rPr>
            <w:noProof/>
            <w:webHidden/>
          </w:rPr>
        </w:r>
        <w:r>
          <w:rPr>
            <w:noProof/>
            <w:webHidden/>
          </w:rPr>
          <w:fldChar w:fldCharType="separate"/>
        </w:r>
        <w:r>
          <w:rPr>
            <w:noProof/>
            <w:webHidden/>
          </w:rPr>
          <w:t>12</w:t>
        </w:r>
        <w:r>
          <w:rPr>
            <w:noProof/>
            <w:webHidden/>
          </w:rPr>
          <w:fldChar w:fldCharType="end"/>
        </w:r>
      </w:hyperlink>
    </w:p>
    <w:p w14:paraId="2A94CC74" w14:textId="4F240FEB">
      <w:pPr>
        <w:pStyle w:val="TJ2"/>
        <w:rPr>
          <w:rFonts w:asciiTheme="minorHAnsi" w:hAnsiTheme="minorHAnsi" w:cstheme="minorBidi"/>
          <w:noProof/>
          <w:sz w:val="24"/>
          <w:szCs w:val="21"/>
          <w:lang w:eastAsia="en-GB" w:bidi="sa-IN"/>
        </w:rPr>
      </w:pPr>
      <w:hyperlink w:anchor="_Toc242889443" w:history="1">
        <w:r>
          <w:rPr>
            <w:rStyle w:val="Hiperhivatkozs"/>
            <w:noProof/>
            <w:lang w:bidi="ar-SA"/>
          </w:rPr>
          <w:t>2.2. The framework of an EpiDoc edition</w:t>
        </w:r>
        <w:r>
          <w:rPr>
            <w:noProof/>
            <w:webHidden/>
          </w:rPr>
          <w:tab/>
        </w:r>
        <w:r>
          <w:rPr>
            <w:noProof/>
            <w:webHidden/>
          </w:rPr>
          <w:fldChar w:fldCharType="begin"/>
        </w:r>
        <w:r>
          <w:rPr>
            <w:noProof/>
            <w:webHidden/>
          </w:rPr>
          <w:instrText xml:space="preserve"> PAGEREF _Toc242889443 \h </w:instrText>
        </w:r>
        <w:r>
          <w:rPr>
            <w:noProof/>
            <w:webHidden/>
          </w:rPr>
        </w:r>
        <w:r>
          <w:rPr>
            <w:noProof/>
            <w:webHidden/>
          </w:rPr>
          <w:fldChar w:fldCharType="separate"/>
        </w:r>
        <w:r>
          <w:rPr>
            <w:noProof/>
            <w:webHidden/>
          </w:rPr>
          <w:t>12</w:t>
        </w:r>
        <w:r>
          <w:rPr>
            <w:noProof/>
            <w:webHidden/>
          </w:rPr>
          <w:fldChar w:fldCharType="end"/>
        </w:r>
      </w:hyperlink>
    </w:p>
    <w:p w14:paraId="297455BC" w14:textId="10F2831D">
      <w:pPr>
        <w:pStyle w:val="TJ3"/>
        <w:rPr>
          <w:rFonts w:asciiTheme="minorHAnsi" w:hAnsiTheme="minorHAnsi" w:cstheme="minorBidi"/>
          <w:noProof/>
          <w:sz w:val="24"/>
          <w:szCs w:val="21"/>
          <w:lang w:eastAsia="en-GB" w:bidi="sa-IN"/>
        </w:rPr>
      </w:pPr>
      <w:hyperlink w:anchor="_Toc242889444" w:history="1">
        <w:r>
          <w:rPr>
            <w:rStyle w:val="Hiperhivatkozs"/>
            <w:noProof/>
            <w:lang w:bidi="ar-SA"/>
          </w:rPr>
          <w:t>2.2.1. Technical specifications</w:t>
        </w:r>
        <w:r>
          <w:rPr>
            <w:noProof/>
            <w:webHidden/>
          </w:rPr>
          <w:tab/>
        </w:r>
        <w:r>
          <w:rPr>
            <w:noProof/>
            <w:webHidden/>
          </w:rPr>
          <w:fldChar w:fldCharType="begin"/>
        </w:r>
        <w:r>
          <w:rPr>
            <w:noProof/>
            <w:webHidden/>
          </w:rPr>
          <w:instrText xml:space="preserve"> PAGEREF _Toc242889444 \h </w:instrText>
        </w:r>
        <w:r>
          <w:rPr>
            <w:noProof/>
            <w:webHidden/>
          </w:rPr>
        </w:r>
        <w:r>
          <w:rPr>
            <w:noProof/>
            <w:webHidden/>
          </w:rPr>
          <w:fldChar w:fldCharType="separate"/>
        </w:r>
        <w:r>
          <w:rPr>
            <w:noProof/>
            <w:webHidden/>
          </w:rPr>
          <w:t>12</w:t>
        </w:r>
        <w:r>
          <w:rPr>
            <w:noProof/>
            <w:webHidden/>
          </w:rPr>
          <w:fldChar w:fldCharType="end"/>
        </w:r>
      </w:hyperlink>
    </w:p>
    <w:p w14:paraId="6F09CDBC" w14:textId="0D20E789">
      <w:pPr>
        <w:pStyle w:val="TJ3"/>
        <w:rPr>
          <w:rFonts w:asciiTheme="minorHAnsi" w:hAnsiTheme="minorHAnsi" w:cstheme="minorBidi"/>
          <w:noProof/>
          <w:sz w:val="24"/>
          <w:szCs w:val="21"/>
          <w:lang w:eastAsia="en-GB" w:bidi="sa-IN"/>
        </w:rPr>
      </w:pPr>
      <w:hyperlink w:anchor="_Toc242889445" w:history="1">
        <w:r>
          <w:rPr>
            <w:rStyle w:val="Hiperhivatkozs"/>
            <w:noProof/>
            <w:lang w:bidi="ar-SA"/>
          </w:rPr>
          <w:t>2.2.2. The TEI header</w:t>
        </w:r>
        <w:r>
          <w:rPr>
            <w:noProof/>
            <w:webHidden/>
          </w:rPr>
          <w:tab/>
        </w:r>
        <w:r>
          <w:rPr>
            <w:noProof/>
            <w:webHidden/>
          </w:rPr>
          <w:fldChar w:fldCharType="begin"/>
        </w:r>
        <w:r>
          <w:rPr>
            <w:noProof/>
            <w:webHidden/>
          </w:rPr>
          <w:instrText xml:space="preserve"> PAGEREF _Toc242889445 \h </w:instrText>
        </w:r>
        <w:r>
          <w:rPr>
            <w:noProof/>
            <w:webHidden/>
          </w:rPr>
        </w:r>
        <w:r>
          <w:rPr>
            <w:noProof/>
            <w:webHidden/>
          </w:rPr>
          <w:fldChar w:fldCharType="separate"/>
        </w:r>
        <w:r>
          <w:rPr>
            <w:noProof/>
            <w:webHidden/>
          </w:rPr>
          <w:t>13</w:t>
        </w:r>
        <w:r>
          <w:rPr>
            <w:noProof/>
            <w:webHidden/>
          </w:rPr>
          <w:fldChar w:fldCharType="end"/>
        </w:r>
      </w:hyperlink>
    </w:p>
    <w:p w14:paraId="6626873A" w14:textId="55EF4035">
      <w:pPr>
        <w:pStyle w:val="TJ3"/>
        <w:rPr>
          <w:rFonts w:asciiTheme="minorHAnsi" w:hAnsiTheme="minorHAnsi" w:cstheme="minorBidi"/>
          <w:noProof/>
          <w:sz w:val="24"/>
          <w:szCs w:val="21"/>
          <w:lang w:eastAsia="en-GB" w:bidi="sa-IN"/>
        </w:rPr>
      </w:pPr>
      <w:hyperlink w:anchor="_Toc242889446" w:history="1">
        <w:r>
          <w:rPr>
            <w:rStyle w:val="Hiperhivatkozs"/>
            <w:noProof/>
            <w:lang w:bidi="ar-SA"/>
          </w:rPr>
          <w:t>2.2.3. The body of the document</w:t>
        </w:r>
        <w:r>
          <w:rPr>
            <w:noProof/>
            <w:webHidden/>
          </w:rPr>
          <w:tab/>
        </w:r>
        <w:r>
          <w:rPr>
            <w:noProof/>
            <w:webHidden/>
          </w:rPr>
          <w:fldChar w:fldCharType="begin"/>
        </w:r>
        <w:r>
          <w:rPr>
            <w:noProof/>
            <w:webHidden/>
          </w:rPr>
          <w:instrText xml:space="preserve"> PAGEREF _Toc242889446 \h </w:instrText>
        </w:r>
        <w:r>
          <w:rPr>
            <w:noProof/>
            <w:webHidden/>
          </w:rPr>
        </w:r>
        <w:r>
          <w:rPr>
            <w:noProof/>
            <w:webHidden/>
          </w:rPr>
          <w:fldChar w:fldCharType="separate"/>
        </w:r>
        <w:r>
          <w:rPr>
            <w:noProof/>
            <w:webHidden/>
          </w:rPr>
          <w:t>13</w:t>
        </w:r>
        <w:r>
          <w:rPr>
            <w:noProof/>
            <w:webHidden/>
          </w:rPr>
          <w:fldChar w:fldCharType="end"/>
        </w:r>
      </w:hyperlink>
    </w:p>
    <w:p w14:paraId="6F1EA57E" w14:textId="62C54A4B">
      <w:pPr>
        <w:pStyle w:val="TJ1"/>
        <w:rPr>
          <w:rFonts w:asciiTheme="minorHAnsi" w:hAnsiTheme="minorHAnsi" w:cstheme="minorBidi"/>
          <w:b w:val="0"/>
          <w:noProof/>
          <w:sz w:val="24"/>
          <w:szCs w:val="21"/>
          <w:lang w:eastAsia="en-GB" w:bidi="sa-IN"/>
        </w:rPr>
      </w:pPr>
      <w:hyperlink w:anchor="_Toc242889447" w:history="1">
        <w:r>
          <w:rPr>
            <w:rStyle w:val="Hiperhivatkozs"/>
            <w:noProof/>
            <w:lang w:bidi="ar-SA"/>
          </w:rPr>
          <w:t>3. Intrinsic structure</w:t>
        </w:r>
        <w:r>
          <w:rPr>
            <w:noProof/>
            <w:webHidden/>
          </w:rPr>
          <w:tab/>
        </w:r>
        <w:r>
          <w:rPr>
            <w:noProof/>
            <w:webHidden/>
          </w:rPr>
          <w:fldChar w:fldCharType="begin"/>
        </w:r>
        <w:r>
          <w:rPr>
            <w:noProof/>
            <w:webHidden/>
          </w:rPr>
          <w:instrText xml:space="preserve"> PAGEREF _Toc242889447 \h </w:instrText>
        </w:r>
        <w:r>
          <w:rPr>
            <w:noProof/>
            <w:webHidden/>
          </w:rPr>
        </w:r>
        <w:r>
          <w:rPr>
            <w:noProof/>
            <w:webHidden/>
          </w:rPr>
          <w:fldChar w:fldCharType="separate"/>
        </w:r>
        <w:r>
          <w:rPr>
            <w:noProof/>
            <w:webHidden/>
          </w:rPr>
          <w:t>15</w:t>
        </w:r>
        <w:r>
          <w:rPr>
            <w:noProof/>
            <w:webHidden/>
          </w:rPr>
          <w:fldChar w:fldCharType="end"/>
        </w:r>
      </w:hyperlink>
    </w:p>
    <w:p w14:paraId="05BFC26C" w14:textId="750501A6">
      <w:pPr>
        <w:pStyle w:val="TJ2"/>
        <w:rPr>
          <w:rFonts w:asciiTheme="minorHAnsi" w:hAnsiTheme="minorHAnsi" w:cstheme="minorBidi"/>
          <w:noProof/>
          <w:sz w:val="24"/>
          <w:szCs w:val="21"/>
          <w:lang w:eastAsia="en-GB" w:bidi="sa-IN"/>
        </w:rPr>
      </w:pPr>
      <w:hyperlink w:anchor="_Toc242889448" w:history="1">
        <w:r>
          <w:rPr>
            <w:rStyle w:val="Hiperhivatkozs"/>
            <w:noProof/>
            <w:lang w:bidi="ar-SA"/>
          </w:rPr>
          <w:t>3.1. Representing intrinsic structure</w:t>
        </w:r>
        <w:r>
          <w:rPr>
            <w:noProof/>
            <w:webHidden/>
          </w:rPr>
          <w:tab/>
        </w:r>
        <w:r>
          <w:rPr>
            <w:noProof/>
            <w:webHidden/>
          </w:rPr>
          <w:fldChar w:fldCharType="begin"/>
        </w:r>
        <w:r>
          <w:rPr>
            <w:noProof/>
            <w:webHidden/>
          </w:rPr>
          <w:instrText xml:space="preserve"> PAGEREF _Toc242889448 \h </w:instrText>
        </w:r>
        <w:r>
          <w:rPr>
            <w:noProof/>
            <w:webHidden/>
          </w:rPr>
        </w:r>
        <w:r>
          <w:rPr>
            <w:noProof/>
            <w:webHidden/>
          </w:rPr>
          <w:fldChar w:fldCharType="separate"/>
        </w:r>
        <w:r>
          <w:rPr>
            <w:noProof/>
            <w:webHidden/>
          </w:rPr>
          <w:t>15</w:t>
        </w:r>
        <w:r>
          <w:rPr>
            <w:noProof/>
            <w:webHidden/>
          </w:rPr>
          <w:fldChar w:fldCharType="end"/>
        </w:r>
      </w:hyperlink>
    </w:p>
    <w:p w14:paraId="28924F3A" w14:textId="64A305E0">
      <w:pPr>
        <w:pStyle w:val="TJ3"/>
        <w:rPr>
          <w:rFonts w:asciiTheme="minorHAnsi" w:hAnsiTheme="minorHAnsi" w:cstheme="minorBidi"/>
          <w:noProof/>
          <w:sz w:val="24"/>
          <w:szCs w:val="21"/>
          <w:lang w:eastAsia="en-GB" w:bidi="sa-IN"/>
        </w:rPr>
      </w:pPr>
      <w:hyperlink w:anchor="_Toc242889449" w:history="1">
        <w:r>
          <w:rPr>
            <w:rStyle w:val="Hiperhivatkozs"/>
            <w:noProof/>
            <w:lang w:bidi="ar-SA"/>
          </w:rPr>
          <w:t>3.1.1. Numeration for reference</w:t>
        </w:r>
        <w:r>
          <w:rPr>
            <w:noProof/>
            <w:webHidden/>
          </w:rPr>
          <w:tab/>
        </w:r>
        <w:r>
          <w:rPr>
            <w:noProof/>
            <w:webHidden/>
          </w:rPr>
          <w:fldChar w:fldCharType="begin"/>
        </w:r>
        <w:r>
          <w:rPr>
            <w:noProof/>
            <w:webHidden/>
          </w:rPr>
          <w:instrText xml:space="preserve"> PAGEREF _Toc242889449 \h </w:instrText>
        </w:r>
        <w:r>
          <w:rPr>
            <w:noProof/>
            <w:webHidden/>
          </w:rPr>
        </w:r>
        <w:r>
          <w:rPr>
            <w:noProof/>
            <w:webHidden/>
          </w:rPr>
          <w:fldChar w:fldCharType="separate"/>
        </w:r>
        <w:r>
          <w:rPr>
            <w:noProof/>
            <w:webHidden/>
          </w:rPr>
          <w:t>16</w:t>
        </w:r>
        <w:r>
          <w:rPr>
            <w:noProof/>
            <w:webHidden/>
          </w:rPr>
          <w:fldChar w:fldCharType="end"/>
        </w:r>
      </w:hyperlink>
    </w:p>
    <w:p w14:paraId="0FF61B12" w14:textId="7D5AC3E9">
      <w:pPr>
        <w:pStyle w:val="TJ2"/>
        <w:rPr>
          <w:rFonts w:asciiTheme="minorHAnsi" w:hAnsiTheme="minorHAnsi" w:cstheme="minorBidi"/>
          <w:noProof/>
          <w:sz w:val="24"/>
          <w:szCs w:val="21"/>
          <w:lang w:eastAsia="en-GB" w:bidi="sa-IN"/>
        </w:rPr>
      </w:pPr>
      <w:hyperlink w:anchor="_Toc242889450" w:history="1">
        <w:r>
          <w:rPr>
            <w:rStyle w:val="Hiperhivatkozs"/>
            <w:noProof/>
            <w:lang w:bidi="ar-SA"/>
          </w:rPr>
          <w:t>3.2. Encoding with block-level containers</w:t>
        </w:r>
        <w:r>
          <w:rPr>
            <w:noProof/>
            <w:webHidden/>
          </w:rPr>
          <w:tab/>
        </w:r>
        <w:r>
          <w:rPr>
            <w:noProof/>
            <w:webHidden/>
          </w:rPr>
          <w:fldChar w:fldCharType="begin"/>
        </w:r>
        <w:r>
          <w:rPr>
            <w:noProof/>
            <w:webHidden/>
          </w:rPr>
          <w:instrText xml:space="preserve"> PAGEREF _Toc242889450 \h </w:instrText>
        </w:r>
        <w:r>
          <w:rPr>
            <w:noProof/>
            <w:webHidden/>
          </w:rPr>
        </w:r>
        <w:r>
          <w:rPr>
            <w:noProof/>
            <w:webHidden/>
          </w:rPr>
          <w:fldChar w:fldCharType="separate"/>
        </w:r>
        <w:r>
          <w:rPr>
            <w:noProof/>
            <w:webHidden/>
          </w:rPr>
          <w:t>16</w:t>
        </w:r>
        <w:r>
          <w:rPr>
            <w:noProof/>
            <w:webHidden/>
          </w:rPr>
          <w:fldChar w:fldCharType="end"/>
        </w:r>
      </w:hyperlink>
    </w:p>
    <w:p w14:paraId="6F794173" w14:textId="01C26812">
      <w:pPr>
        <w:pStyle w:val="TJ3"/>
        <w:rPr>
          <w:rFonts w:asciiTheme="minorHAnsi" w:hAnsiTheme="minorHAnsi" w:cstheme="minorBidi"/>
          <w:noProof/>
          <w:sz w:val="24"/>
          <w:szCs w:val="21"/>
          <w:lang w:eastAsia="en-GB" w:bidi="sa-IN"/>
        </w:rPr>
      </w:pPr>
      <w:hyperlink w:anchor="_Toc242889451" w:history="1">
        <w:r>
          <w:rPr>
            <w:rStyle w:val="Hiperhivatkozs"/>
            <w:noProof/>
            <w:lang w:bidi="ar-SA"/>
          </w:rPr>
          <w:t>3.2.1. Prose containers</w:t>
        </w:r>
        <w:r>
          <w:rPr>
            <w:noProof/>
            <w:webHidden/>
          </w:rPr>
          <w:tab/>
        </w:r>
        <w:r>
          <w:rPr>
            <w:noProof/>
            <w:webHidden/>
          </w:rPr>
          <w:fldChar w:fldCharType="begin"/>
        </w:r>
        <w:r>
          <w:rPr>
            <w:noProof/>
            <w:webHidden/>
          </w:rPr>
          <w:instrText xml:space="preserve"> PAGEREF _Toc242889451 \h </w:instrText>
        </w:r>
        <w:r>
          <w:rPr>
            <w:noProof/>
            <w:webHidden/>
          </w:rPr>
        </w:r>
        <w:r>
          <w:rPr>
            <w:noProof/>
            <w:webHidden/>
          </w:rPr>
          <w:fldChar w:fldCharType="separate"/>
        </w:r>
        <w:r>
          <w:rPr>
            <w:noProof/>
            <w:webHidden/>
          </w:rPr>
          <w:t>16</w:t>
        </w:r>
        <w:r>
          <w:rPr>
            <w:noProof/>
            <w:webHidden/>
          </w:rPr>
          <w:fldChar w:fldCharType="end"/>
        </w:r>
      </w:hyperlink>
    </w:p>
    <w:p w14:paraId="19D0D6A9" w14:textId="3999BC9A">
      <w:pPr>
        <w:pStyle w:val="TJ3"/>
        <w:rPr>
          <w:rFonts w:asciiTheme="minorHAnsi" w:hAnsiTheme="minorHAnsi" w:cstheme="minorBidi"/>
          <w:noProof/>
          <w:sz w:val="24"/>
          <w:szCs w:val="21"/>
          <w:lang w:eastAsia="en-GB" w:bidi="sa-IN"/>
        </w:rPr>
      </w:pPr>
      <w:hyperlink w:anchor="_Toc242889452" w:history="1">
        <w:r>
          <w:rPr>
            <w:rStyle w:val="Hiperhivatkozs"/>
            <w:noProof/>
            <w:lang w:bidi="ar-SA"/>
          </w:rPr>
          <w:t>3.2.2. Verse containers</w:t>
        </w:r>
        <w:r>
          <w:rPr>
            <w:noProof/>
            <w:webHidden/>
          </w:rPr>
          <w:tab/>
        </w:r>
        <w:r>
          <w:rPr>
            <w:noProof/>
            <w:webHidden/>
          </w:rPr>
          <w:fldChar w:fldCharType="begin"/>
        </w:r>
        <w:r>
          <w:rPr>
            <w:noProof/>
            <w:webHidden/>
          </w:rPr>
          <w:instrText xml:space="preserve"> PAGEREF _Toc242889452 \h </w:instrText>
        </w:r>
        <w:r>
          <w:rPr>
            <w:noProof/>
            <w:webHidden/>
          </w:rPr>
        </w:r>
        <w:r>
          <w:rPr>
            <w:noProof/>
            <w:webHidden/>
          </w:rPr>
          <w:fldChar w:fldCharType="separate"/>
        </w:r>
        <w:r>
          <w:rPr>
            <w:noProof/>
            <w:webHidden/>
          </w:rPr>
          <w:t>17</w:t>
        </w:r>
        <w:r>
          <w:rPr>
            <w:noProof/>
            <w:webHidden/>
          </w:rPr>
          <w:fldChar w:fldCharType="end"/>
        </w:r>
      </w:hyperlink>
    </w:p>
    <w:p w14:paraId="7BC7CADC" w14:textId="48E9B112">
      <w:pPr>
        <w:pStyle w:val="TJ3"/>
        <w:rPr>
          <w:rFonts w:asciiTheme="minorHAnsi" w:hAnsiTheme="minorHAnsi" w:cstheme="minorBidi"/>
          <w:noProof/>
          <w:sz w:val="24"/>
          <w:szCs w:val="21"/>
          <w:lang w:eastAsia="en-GB" w:bidi="sa-IN"/>
        </w:rPr>
      </w:pPr>
      <w:hyperlink w:anchor="_Toc242889453" w:history="1">
        <w:r>
          <w:rPr>
            <w:rStyle w:val="Hiperhivatkozs"/>
            <w:noProof/>
            <w:lang w:bidi="ar-SA"/>
          </w:rPr>
          <w:t>3.2.3. Interrupted container boundaries</w:t>
        </w:r>
        <w:r>
          <w:rPr>
            <w:noProof/>
            <w:webHidden/>
          </w:rPr>
          <w:tab/>
        </w:r>
        <w:r>
          <w:rPr>
            <w:noProof/>
            <w:webHidden/>
          </w:rPr>
          <w:fldChar w:fldCharType="begin"/>
        </w:r>
        <w:r>
          <w:rPr>
            <w:noProof/>
            <w:webHidden/>
          </w:rPr>
          <w:instrText xml:space="preserve"> PAGEREF _Toc242889453 \h </w:instrText>
        </w:r>
        <w:r>
          <w:rPr>
            <w:noProof/>
            <w:webHidden/>
          </w:rPr>
        </w:r>
        <w:r>
          <w:rPr>
            <w:noProof/>
            <w:webHidden/>
          </w:rPr>
          <w:fldChar w:fldCharType="separate"/>
        </w:r>
        <w:r>
          <w:rPr>
            <w:noProof/>
            <w:webHidden/>
          </w:rPr>
          <w:t>19</w:t>
        </w:r>
        <w:r>
          <w:rPr>
            <w:noProof/>
            <w:webHidden/>
          </w:rPr>
          <w:fldChar w:fldCharType="end"/>
        </w:r>
      </w:hyperlink>
    </w:p>
    <w:p w14:paraId="3ABE6657" w14:textId="173BD2AF">
      <w:pPr>
        <w:pStyle w:val="TJ3"/>
        <w:rPr>
          <w:rFonts w:asciiTheme="minorHAnsi" w:hAnsiTheme="minorHAnsi" w:cstheme="minorBidi"/>
          <w:noProof/>
          <w:sz w:val="24"/>
          <w:szCs w:val="21"/>
          <w:lang w:eastAsia="en-GB" w:bidi="sa-IN"/>
        </w:rPr>
      </w:pPr>
      <w:hyperlink w:anchor="_Toc242889454" w:history="1">
        <w:r>
          <w:rPr>
            <w:rStyle w:val="Hiperhivatkozs"/>
            <w:noProof/>
            <w:lang w:bidi="ar-SA"/>
          </w:rPr>
          <w:t>3.2.4. Container boundaries interrupting the text</w:t>
        </w:r>
        <w:r>
          <w:rPr>
            <w:noProof/>
            <w:webHidden/>
          </w:rPr>
          <w:tab/>
        </w:r>
        <w:r>
          <w:rPr>
            <w:noProof/>
            <w:webHidden/>
          </w:rPr>
          <w:fldChar w:fldCharType="begin"/>
        </w:r>
        <w:r>
          <w:rPr>
            <w:noProof/>
            <w:webHidden/>
          </w:rPr>
          <w:instrText xml:space="preserve"> PAGEREF _Toc242889454 \h </w:instrText>
        </w:r>
        <w:r>
          <w:rPr>
            <w:noProof/>
            <w:webHidden/>
          </w:rPr>
        </w:r>
        <w:r>
          <w:rPr>
            <w:noProof/>
            <w:webHidden/>
          </w:rPr>
          <w:fldChar w:fldCharType="separate"/>
        </w:r>
        <w:r>
          <w:rPr>
            <w:noProof/>
            <w:webHidden/>
          </w:rPr>
          <w:t>21</w:t>
        </w:r>
        <w:r>
          <w:rPr>
            <w:noProof/>
            <w:webHidden/>
          </w:rPr>
          <w:fldChar w:fldCharType="end"/>
        </w:r>
      </w:hyperlink>
    </w:p>
    <w:p w14:paraId="3568DA5E" w14:textId="59791052">
      <w:pPr>
        <w:pStyle w:val="TJ3"/>
        <w:rPr>
          <w:rFonts w:asciiTheme="minorHAnsi" w:hAnsiTheme="minorHAnsi" w:cstheme="minorBidi"/>
          <w:noProof/>
          <w:sz w:val="24"/>
          <w:szCs w:val="21"/>
          <w:lang w:eastAsia="en-GB" w:bidi="sa-IN"/>
        </w:rPr>
      </w:pPr>
      <w:hyperlink w:anchor="_Toc242889455" w:history="1">
        <w:r>
          <w:rPr>
            <w:rStyle w:val="Hiperhivatkozs"/>
            <w:noProof/>
            <w:lang w:bidi="ar-SA"/>
          </w:rPr>
          <w:t>3.2.5. Good encoding practice for block-level elements</w:t>
        </w:r>
        <w:r>
          <w:rPr>
            <w:noProof/>
            <w:webHidden/>
          </w:rPr>
          <w:tab/>
        </w:r>
        <w:r>
          <w:rPr>
            <w:noProof/>
            <w:webHidden/>
          </w:rPr>
          <w:fldChar w:fldCharType="begin"/>
        </w:r>
        <w:r>
          <w:rPr>
            <w:noProof/>
            <w:webHidden/>
          </w:rPr>
          <w:instrText xml:space="preserve"> PAGEREF _Toc242889455 \h </w:instrText>
        </w:r>
        <w:r>
          <w:rPr>
            <w:noProof/>
            <w:webHidden/>
          </w:rPr>
        </w:r>
        <w:r>
          <w:rPr>
            <w:noProof/>
            <w:webHidden/>
          </w:rPr>
          <w:fldChar w:fldCharType="separate"/>
        </w:r>
        <w:r>
          <w:rPr>
            <w:noProof/>
            <w:webHidden/>
          </w:rPr>
          <w:t>25</w:t>
        </w:r>
        <w:r>
          <w:rPr>
            <w:noProof/>
            <w:webHidden/>
          </w:rPr>
          <w:fldChar w:fldCharType="end"/>
        </w:r>
      </w:hyperlink>
    </w:p>
    <w:p w14:paraId="128E1BEC" w14:textId="3EB54067">
      <w:pPr>
        <w:pStyle w:val="TJ2"/>
        <w:rPr>
          <w:rFonts w:asciiTheme="minorHAnsi" w:hAnsiTheme="minorHAnsi" w:cstheme="minorBidi"/>
          <w:noProof/>
          <w:sz w:val="24"/>
          <w:szCs w:val="21"/>
          <w:lang w:eastAsia="en-GB" w:bidi="sa-IN"/>
        </w:rPr>
      </w:pPr>
      <w:hyperlink w:anchor="_Toc242889456" w:history="1">
        <w:r>
          <w:rPr>
            <w:rStyle w:val="Hiperhivatkozs"/>
            <w:noProof/>
            <w:lang w:bidi="ar-SA"/>
          </w:rPr>
          <w:t>3.3. Encoding metre in verse</w:t>
        </w:r>
        <w:r>
          <w:rPr>
            <w:noProof/>
            <w:webHidden/>
          </w:rPr>
          <w:tab/>
        </w:r>
        <w:r>
          <w:rPr>
            <w:noProof/>
            <w:webHidden/>
          </w:rPr>
          <w:fldChar w:fldCharType="begin"/>
        </w:r>
        <w:r>
          <w:rPr>
            <w:noProof/>
            <w:webHidden/>
          </w:rPr>
          <w:instrText xml:space="preserve"> PAGEREF _Toc242889456 \h </w:instrText>
        </w:r>
        <w:r>
          <w:rPr>
            <w:noProof/>
            <w:webHidden/>
          </w:rPr>
        </w:r>
        <w:r>
          <w:rPr>
            <w:noProof/>
            <w:webHidden/>
          </w:rPr>
          <w:fldChar w:fldCharType="separate"/>
        </w:r>
        <w:r>
          <w:rPr>
            <w:noProof/>
            <w:webHidden/>
          </w:rPr>
          <w:t>26</w:t>
        </w:r>
        <w:r>
          <w:rPr>
            <w:noProof/>
            <w:webHidden/>
          </w:rPr>
          <w:fldChar w:fldCharType="end"/>
        </w:r>
      </w:hyperlink>
    </w:p>
    <w:p w14:paraId="70D1E30E" w14:textId="73C83A63">
      <w:pPr>
        <w:pStyle w:val="TJ3"/>
        <w:rPr>
          <w:rFonts w:asciiTheme="minorHAnsi" w:hAnsiTheme="minorHAnsi" w:cstheme="minorBidi"/>
          <w:noProof/>
          <w:sz w:val="24"/>
          <w:szCs w:val="21"/>
          <w:lang w:eastAsia="en-GB" w:bidi="sa-IN"/>
        </w:rPr>
      </w:pPr>
      <w:hyperlink w:anchor="_Toc242889457" w:history="1">
        <w:r>
          <w:rPr>
            <w:rStyle w:val="Hiperhivatkozs"/>
            <w:noProof/>
            <w:lang w:bidi="ar-SA"/>
          </w:rPr>
          <w:t xml:space="preserve">3.3.1. Encoding an abstract prosodic template with </w:t>
        </w:r>
        <w:r>
          <w:rPr>
            <w:rStyle w:val="Hiperhivatkozs"/>
            <w:rFonts w:ascii="Consolas" w:hAnsi="Consolas" w:cs="Consolas"/>
            <w:noProof/>
            <w:shd w:val="clear" w:color="auto" w:fill="F2F2F2" w:themeFill="background1" w:themeFillShade="F2"/>
            <w:lang w:bidi="ar-SA"/>
          </w:rPr>
          <w:t>@met</w:t>
        </w:r>
        <w:r>
          <w:rPr>
            <w:noProof/>
            <w:webHidden/>
          </w:rPr>
          <w:tab/>
        </w:r>
        <w:r>
          <w:rPr>
            <w:noProof/>
            <w:webHidden/>
          </w:rPr>
          <w:fldChar w:fldCharType="begin"/>
        </w:r>
        <w:r>
          <w:rPr>
            <w:noProof/>
            <w:webHidden/>
          </w:rPr>
          <w:instrText xml:space="preserve"> PAGEREF _Toc242889457 \h </w:instrText>
        </w:r>
        <w:r>
          <w:rPr>
            <w:noProof/>
            <w:webHidden/>
          </w:rPr>
        </w:r>
        <w:r>
          <w:rPr>
            <w:noProof/>
            <w:webHidden/>
          </w:rPr>
          <w:fldChar w:fldCharType="separate"/>
        </w:r>
        <w:r>
          <w:rPr>
            <w:noProof/>
            <w:webHidden/>
          </w:rPr>
          <w:t>26</w:t>
        </w:r>
        <w:r>
          <w:rPr>
            <w:noProof/>
            <w:webHidden/>
          </w:rPr>
          <w:fldChar w:fldCharType="end"/>
        </w:r>
      </w:hyperlink>
    </w:p>
    <w:p w14:paraId="3F008460" w14:textId="15AE1A5F">
      <w:pPr>
        <w:pStyle w:val="TJ3"/>
        <w:rPr>
          <w:rFonts w:asciiTheme="minorHAnsi" w:hAnsiTheme="minorHAnsi" w:cstheme="minorBidi"/>
          <w:noProof/>
          <w:sz w:val="24"/>
          <w:szCs w:val="21"/>
          <w:lang w:eastAsia="en-GB" w:bidi="sa-IN"/>
        </w:rPr>
      </w:pPr>
      <w:hyperlink w:anchor="_Toc242889458" w:history="1">
        <w:r>
          <w:rPr>
            <w:rStyle w:val="Hiperhivatkozs"/>
            <w:noProof/>
            <w:lang w:bidi="ar-SA"/>
          </w:rPr>
          <w:t xml:space="preserve">3.3.2. Encoding an actual prosodic realisation with </w:t>
        </w:r>
        <w:r>
          <w:rPr>
            <w:rStyle w:val="Hiperhivatkozs"/>
            <w:rFonts w:ascii="Consolas" w:hAnsi="Consolas" w:cs="Consolas"/>
            <w:noProof/>
            <w:shd w:val="clear" w:color="auto" w:fill="F2F2F2" w:themeFill="background1" w:themeFillShade="F2"/>
            <w:lang w:bidi="ar-SA"/>
          </w:rPr>
          <w:t>@real</w:t>
        </w:r>
        <w:r>
          <w:rPr>
            <w:noProof/>
            <w:webHidden/>
          </w:rPr>
          <w:tab/>
        </w:r>
        <w:r>
          <w:rPr>
            <w:noProof/>
            <w:webHidden/>
          </w:rPr>
          <w:fldChar w:fldCharType="begin"/>
        </w:r>
        <w:r>
          <w:rPr>
            <w:noProof/>
            <w:webHidden/>
          </w:rPr>
          <w:instrText xml:space="preserve"> PAGEREF _Toc242889458 \h </w:instrText>
        </w:r>
        <w:r>
          <w:rPr>
            <w:noProof/>
            <w:webHidden/>
          </w:rPr>
        </w:r>
        <w:r>
          <w:rPr>
            <w:noProof/>
            <w:webHidden/>
          </w:rPr>
          <w:fldChar w:fldCharType="separate"/>
        </w:r>
        <w:r>
          <w:rPr>
            <w:noProof/>
            <w:webHidden/>
          </w:rPr>
          <w:t>26</w:t>
        </w:r>
        <w:r>
          <w:rPr>
            <w:noProof/>
            <w:webHidden/>
          </w:rPr>
          <w:fldChar w:fldCharType="end"/>
        </w:r>
      </w:hyperlink>
    </w:p>
    <w:p w14:paraId="11E32D1F" w14:textId="6BFA6ECF">
      <w:pPr>
        <w:pStyle w:val="TJ3"/>
        <w:rPr>
          <w:rFonts w:asciiTheme="minorHAnsi" w:hAnsiTheme="minorHAnsi" w:cstheme="minorBidi"/>
          <w:noProof/>
          <w:sz w:val="24"/>
          <w:szCs w:val="21"/>
          <w:lang w:eastAsia="en-GB" w:bidi="sa-IN"/>
        </w:rPr>
      </w:pPr>
      <w:hyperlink w:anchor="_Toc242889459" w:history="1">
        <w:r>
          <w:rPr>
            <w:rStyle w:val="Hiperhivatkozs"/>
            <w:noProof/>
            <w:lang w:bidi="ar-SA"/>
          </w:rPr>
          <w:t>3.3.3. Metres not associated with a clear name</w:t>
        </w:r>
        <w:r>
          <w:rPr>
            <w:noProof/>
            <w:webHidden/>
          </w:rPr>
          <w:tab/>
        </w:r>
        <w:r>
          <w:rPr>
            <w:noProof/>
            <w:webHidden/>
          </w:rPr>
          <w:fldChar w:fldCharType="begin"/>
        </w:r>
        <w:r>
          <w:rPr>
            <w:noProof/>
            <w:webHidden/>
          </w:rPr>
          <w:instrText xml:space="preserve"> PAGEREF _Toc242889459 \h </w:instrText>
        </w:r>
        <w:r>
          <w:rPr>
            <w:noProof/>
            <w:webHidden/>
          </w:rPr>
        </w:r>
        <w:r>
          <w:rPr>
            <w:noProof/>
            <w:webHidden/>
          </w:rPr>
          <w:fldChar w:fldCharType="separate"/>
        </w:r>
        <w:r>
          <w:rPr>
            <w:noProof/>
            <w:webHidden/>
          </w:rPr>
          <w:t>26</w:t>
        </w:r>
        <w:r>
          <w:rPr>
            <w:noProof/>
            <w:webHidden/>
          </w:rPr>
          <w:fldChar w:fldCharType="end"/>
        </w:r>
      </w:hyperlink>
    </w:p>
    <w:p w14:paraId="5346B45C" w14:textId="3B9AFF09">
      <w:pPr>
        <w:pStyle w:val="TJ3"/>
        <w:rPr>
          <w:rFonts w:asciiTheme="minorHAnsi" w:hAnsiTheme="minorHAnsi" w:cstheme="minorBidi"/>
          <w:noProof/>
          <w:sz w:val="24"/>
          <w:szCs w:val="21"/>
          <w:lang w:eastAsia="en-GB" w:bidi="sa-IN"/>
        </w:rPr>
      </w:pPr>
      <w:hyperlink w:anchor="_Toc242889460" w:history="1">
        <w:r>
          <w:rPr>
            <w:rStyle w:val="Hiperhivatkozs"/>
            <w:noProof/>
            <w:lang w:bidi="ar-SA"/>
          </w:rPr>
          <w:t>3.3.4. Metrical complications</w:t>
        </w:r>
        <w:r>
          <w:rPr>
            <w:noProof/>
            <w:webHidden/>
          </w:rPr>
          <w:tab/>
        </w:r>
        <w:r>
          <w:rPr>
            <w:noProof/>
            <w:webHidden/>
          </w:rPr>
          <w:fldChar w:fldCharType="begin"/>
        </w:r>
        <w:r>
          <w:rPr>
            <w:noProof/>
            <w:webHidden/>
          </w:rPr>
          <w:instrText xml:space="preserve"> PAGEREF _Toc242889460 \h </w:instrText>
        </w:r>
        <w:r>
          <w:rPr>
            <w:noProof/>
            <w:webHidden/>
          </w:rPr>
        </w:r>
        <w:r>
          <w:rPr>
            <w:noProof/>
            <w:webHidden/>
          </w:rPr>
          <w:fldChar w:fldCharType="separate"/>
        </w:r>
        <w:r>
          <w:rPr>
            <w:noProof/>
            <w:webHidden/>
          </w:rPr>
          <w:t>28</w:t>
        </w:r>
        <w:r>
          <w:rPr>
            <w:noProof/>
            <w:webHidden/>
          </w:rPr>
          <w:fldChar w:fldCharType="end"/>
        </w:r>
      </w:hyperlink>
    </w:p>
    <w:p w14:paraId="5A820CCE" w14:textId="06A6EE7A">
      <w:pPr>
        <w:pStyle w:val="TJ1"/>
        <w:rPr>
          <w:rFonts w:asciiTheme="minorHAnsi" w:hAnsiTheme="minorHAnsi" w:cstheme="minorBidi"/>
          <w:b w:val="0"/>
          <w:noProof/>
          <w:sz w:val="24"/>
          <w:szCs w:val="21"/>
          <w:lang w:eastAsia="en-GB" w:bidi="sa-IN"/>
        </w:rPr>
      </w:pPr>
      <w:hyperlink w:anchor="_Toc242889461" w:history="1">
        <w:r>
          <w:rPr>
            <w:rStyle w:val="Hiperhivatkozs"/>
            <w:noProof/>
            <w:lang w:bidi="ar-SA"/>
          </w:rPr>
          <w:t>4. Extrinsic structure</w:t>
        </w:r>
        <w:r>
          <w:rPr>
            <w:noProof/>
            <w:webHidden/>
          </w:rPr>
          <w:tab/>
        </w:r>
        <w:r>
          <w:rPr>
            <w:noProof/>
            <w:webHidden/>
          </w:rPr>
          <w:fldChar w:fldCharType="begin"/>
        </w:r>
        <w:r>
          <w:rPr>
            <w:noProof/>
            <w:webHidden/>
          </w:rPr>
          <w:instrText xml:space="preserve"> PAGEREF _Toc242889461 \h </w:instrText>
        </w:r>
        <w:r>
          <w:rPr>
            <w:noProof/>
            <w:webHidden/>
          </w:rPr>
        </w:r>
        <w:r>
          <w:rPr>
            <w:noProof/>
            <w:webHidden/>
          </w:rPr>
          <w:fldChar w:fldCharType="separate"/>
        </w:r>
        <w:r>
          <w:rPr>
            <w:noProof/>
            <w:webHidden/>
          </w:rPr>
          <w:t>31</w:t>
        </w:r>
        <w:r>
          <w:rPr>
            <w:noProof/>
            <w:webHidden/>
          </w:rPr>
          <w:fldChar w:fldCharType="end"/>
        </w:r>
      </w:hyperlink>
    </w:p>
    <w:p w14:paraId="4A321D71" w14:textId="15FFC199">
      <w:pPr>
        <w:pStyle w:val="TJ2"/>
        <w:rPr>
          <w:rFonts w:asciiTheme="minorHAnsi" w:hAnsiTheme="minorHAnsi" w:cstheme="minorBidi"/>
          <w:noProof/>
          <w:sz w:val="24"/>
          <w:szCs w:val="21"/>
          <w:lang w:eastAsia="en-GB" w:bidi="sa-IN"/>
        </w:rPr>
      </w:pPr>
      <w:hyperlink w:anchor="_Toc242889462" w:history="1">
        <w:r>
          <w:rPr>
            <w:rStyle w:val="Hiperhivatkozs"/>
            <w:noProof/>
            <w:lang w:bidi="ar-SA"/>
          </w:rPr>
          <w:t>4.1. Representing extrinsic structure</w:t>
        </w:r>
        <w:r>
          <w:rPr>
            <w:noProof/>
            <w:webHidden/>
          </w:rPr>
          <w:tab/>
        </w:r>
        <w:r>
          <w:rPr>
            <w:noProof/>
            <w:webHidden/>
          </w:rPr>
          <w:fldChar w:fldCharType="begin"/>
        </w:r>
        <w:r>
          <w:rPr>
            <w:noProof/>
            <w:webHidden/>
          </w:rPr>
          <w:instrText xml:space="preserve"> PAGEREF _Toc242889462 \h </w:instrText>
        </w:r>
        <w:r>
          <w:rPr>
            <w:noProof/>
            <w:webHidden/>
          </w:rPr>
        </w:r>
        <w:r>
          <w:rPr>
            <w:noProof/>
            <w:webHidden/>
          </w:rPr>
          <w:fldChar w:fldCharType="separate"/>
        </w:r>
        <w:r>
          <w:rPr>
            <w:noProof/>
            <w:webHidden/>
          </w:rPr>
          <w:t>31</w:t>
        </w:r>
        <w:r>
          <w:rPr>
            <w:noProof/>
            <w:webHidden/>
          </w:rPr>
          <w:fldChar w:fldCharType="end"/>
        </w:r>
      </w:hyperlink>
    </w:p>
    <w:p w14:paraId="7FA05363" w14:textId="56ED1A39">
      <w:pPr>
        <w:pStyle w:val="TJ3"/>
        <w:rPr>
          <w:rFonts w:asciiTheme="minorHAnsi" w:hAnsiTheme="minorHAnsi" w:cstheme="minorBidi"/>
          <w:noProof/>
          <w:sz w:val="24"/>
          <w:szCs w:val="21"/>
          <w:lang w:eastAsia="en-GB" w:bidi="sa-IN"/>
        </w:rPr>
      </w:pPr>
      <w:hyperlink w:anchor="_Toc242889463" w:history="1">
        <w:r>
          <w:rPr>
            <w:rStyle w:val="Hiperhivatkozs"/>
            <w:noProof/>
            <w:lang w:bidi="ar-SA"/>
          </w:rPr>
          <w:t>4.1.1. Numeration for reference</w:t>
        </w:r>
        <w:r>
          <w:rPr>
            <w:noProof/>
            <w:webHidden/>
          </w:rPr>
          <w:tab/>
        </w:r>
        <w:r>
          <w:rPr>
            <w:noProof/>
            <w:webHidden/>
          </w:rPr>
          <w:fldChar w:fldCharType="begin"/>
        </w:r>
        <w:r>
          <w:rPr>
            <w:noProof/>
            <w:webHidden/>
          </w:rPr>
          <w:instrText xml:space="preserve"> PAGEREF _Toc242889463 \h </w:instrText>
        </w:r>
        <w:r>
          <w:rPr>
            <w:noProof/>
            <w:webHidden/>
          </w:rPr>
        </w:r>
        <w:r>
          <w:rPr>
            <w:noProof/>
            <w:webHidden/>
          </w:rPr>
          <w:fldChar w:fldCharType="separate"/>
        </w:r>
        <w:r>
          <w:rPr>
            <w:noProof/>
            <w:webHidden/>
          </w:rPr>
          <w:t>34</w:t>
        </w:r>
        <w:r>
          <w:rPr>
            <w:noProof/>
            <w:webHidden/>
          </w:rPr>
          <w:fldChar w:fldCharType="end"/>
        </w:r>
      </w:hyperlink>
    </w:p>
    <w:p w14:paraId="44ABE6EA" w14:textId="545C2507">
      <w:pPr>
        <w:pStyle w:val="TJ2"/>
        <w:rPr>
          <w:rFonts w:asciiTheme="minorHAnsi" w:hAnsiTheme="minorHAnsi" w:cstheme="minorBidi"/>
          <w:noProof/>
          <w:sz w:val="24"/>
          <w:szCs w:val="21"/>
          <w:lang w:eastAsia="en-GB" w:bidi="sa-IN"/>
        </w:rPr>
      </w:pPr>
      <w:hyperlink w:anchor="_Toc242889464" w:history="1">
        <w:r>
          <w:rPr>
            <w:rStyle w:val="Hiperhivatkozs"/>
            <w:noProof/>
            <w:lang w:bidi="ar-SA"/>
          </w:rPr>
          <w:t>4.2. Boxlike partitions</w:t>
        </w:r>
        <w:r>
          <w:rPr>
            <w:noProof/>
            <w:webHidden/>
          </w:rPr>
          <w:tab/>
        </w:r>
        <w:r>
          <w:rPr>
            <w:noProof/>
            <w:webHidden/>
          </w:rPr>
          <w:fldChar w:fldCharType="begin"/>
        </w:r>
        <w:r>
          <w:rPr>
            <w:noProof/>
            <w:webHidden/>
          </w:rPr>
          <w:instrText xml:space="preserve"> PAGEREF _Toc242889464 \h </w:instrText>
        </w:r>
        <w:r>
          <w:rPr>
            <w:noProof/>
            <w:webHidden/>
          </w:rPr>
        </w:r>
        <w:r>
          <w:rPr>
            <w:noProof/>
            <w:webHidden/>
          </w:rPr>
          <w:fldChar w:fldCharType="separate"/>
        </w:r>
        <w:r>
          <w:rPr>
            <w:noProof/>
            <w:webHidden/>
          </w:rPr>
          <w:t>34</w:t>
        </w:r>
        <w:r>
          <w:rPr>
            <w:noProof/>
            <w:webHidden/>
          </w:rPr>
          <w:fldChar w:fldCharType="end"/>
        </w:r>
      </w:hyperlink>
    </w:p>
    <w:p w14:paraId="11C672DB" w14:textId="5D04A723">
      <w:pPr>
        <w:pStyle w:val="TJ3"/>
        <w:rPr>
          <w:rFonts w:asciiTheme="minorHAnsi" w:hAnsiTheme="minorHAnsi" w:cstheme="minorBidi"/>
          <w:noProof/>
          <w:sz w:val="24"/>
          <w:szCs w:val="21"/>
          <w:lang w:eastAsia="en-GB" w:bidi="sa-IN"/>
        </w:rPr>
      </w:pPr>
      <w:hyperlink w:anchor="_Toc242889465" w:history="1">
        <w:r>
          <w:rPr>
            <w:rStyle w:val="Hiperhivatkozs"/>
            <w:noProof/>
            <w:lang w:bidi="ar-SA"/>
          </w:rPr>
          <w:t>4.2.1. Encoding as textpart divisions</w:t>
        </w:r>
        <w:r>
          <w:rPr>
            <w:noProof/>
            <w:webHidden/>
          </w:rPr>
          <w:tab/>
        </w:r>
        <w:r>
          <w:rPr>
            <w:noProof/>
            <w:webHidden/>
          </w:rPr>
          <w:fldChar w:fldCharType="begin"/>
        </w:r>
        <w:r>
          <w:rPr>
            <w:noProof/>
            <w:webHidden/>
          </w:rPr>
          <w:instrText xml:space="preserve"> PAGEREF _Toc242889465 \h </w:instrText>
        </w:r>
        <w:r>
          <w:rPr>
            <w:noProof/>
            <w:webHidden/>
          </w:rPr>
        </w:r>
        <w:r>
          <w:rPr>
            <w:noProof/>
            <w:webHidden/>
          </w:rPr>
          <w:fldChar w:fldCharType="separate"/>
        </w:r>
        <w:r>
          <w:rPr>
            <w:noProof/>
            <w:webHidden/>
          </w:rPr>
          <w:t>35</w:t>
        </w:r>
        <w:r>
          <w:rPr>
            <w:noProof/>
            <w:webHidden/>
          </w:rPr>
          <w:fldChar w:fldCharType="end"/>
        </w:r>
      </w:hyperlink>
    </w:p>
    <w:p w14:paraId="0530F8DB" w14:textId="314DEF39">
      <w:pPr>
        <w:pStyle w:val="TJ2"/>
        <w:rPr>
          <w:rFonts w:asciiTheme="minorHAnsi" w:hAnsiTheme="minorHAnsi" w:cstheme="minorBidi"/>
          <w:noProof/>
          <w:sz w:val="24"/>
          <w:szCs w:val="21"/>
          <w:lang w:eastAsia="en-GB" w:bidi="sa-IN"/>
        </w:rPr>
      </w:pPr>
      <w:hyperlink w:anchor="_Toc242889466" w:history="1">
        <w:r>
          <w:rPr>
            <w:rStyle w:val="Hiperhivatkozs"/>
            <w:noProof/>
            <w:lang w:bidi="ar-SA"/>
          </w:rPr>
          <w:t>4.3. Encoding with milestones</w:t>
        </w:r>
        <w:r>
          <w:rPr>
            <w:noProof/>
            <w:webHidden/>
          </w:rPr>
          <w:tab/>
        </w:r>
        <w:r>
          <w:rPr>
            <w:noProof/>
            <w:webHidden/>
          </w:rPr>
          <w:fldChar w:fldCharType="begin"/>
        </w:r>
        <w:r>
          <w:rPr>
            <w:noProof/>
            <w:webHidden/>
          </w:rPr>
          <w:instrText xml:space="preserve"> PAGEREF _Toc242889466 \h </w:instrText>
        </w:r>
        <w:r>
          <w:rPr>
            <w:noProof/>
            <w:webHidden/>
          </w:rPr>
        </w:r>
        <w:r>
          <w:rPr>
            <w:noProof/>
            <w:webHidden/>
          </w:rPr>
          <w:fldChar w:fldCharType="separate"/>
        </w:r>
        <w:r>
          <w:rPr>
            <w:noProof/>
            <w:webHidden/>
          </w:rPr>
          <w:t>37</w:t>
        </w:r>
        <w:r>
          <w:rPr>
            <w:noProof/>
            <w:webHidden/>
          </w:rPr>
          <w:fldChar w:fldCharType="end"/>
        </w:r>
      </w:hyperlink>
    </w:p>
    <w:p w14:paraId="42C78D00" w14:textId="30207EFF">
      <w:pPr>
        <w:pStyle w:val="TJ3"/>
        <w:rPr>
          <w:rFonts w:asciiTheme="minorHAnsi" w:hAnsiTheme="minorHAnsi" w:cstheme="minorBidi"/>
          <w:noProof/>
          <w:sz w:val="24"/>
          <w:szCs w:val="21"/>
          <w:lang w:eastAsia="en-GB" w:bidi="sa-IN"/>
        </w:rPr>
      </w:pPr>
      <w:hyperlink w:anchor="_Toc242889467" w:history="1">
        <w:r>
          <w:rPr>
            <w:rStyle w:val="Hiperhivatkozs"/>
            <w:noProof/>
            <w:lang w:bidi="ar-SA"/>
          </w:rPr>
          <w:t>4.3.1. Milestone units</w:t>
        </w:r>
        <w:r>
          <w:rPr>
            <w:noProof/>
            <w:webHidden/>
          </w:rPr>
          <w:tab/>
        </w:r>
        <w:r>
          <w:rPr>
            <w:noProof/>
            <w:webHidden/>
          </w:rPr>
          <w:fldChar w:fldCharType="begin"/>
        </w:r>
        <w:r>
          <w:rPr>
            <w:noProof/>
            <w:webHidden/>
          </w:rPr>
          <w:instrText xml:space="preserve"> PAGEREF _Toc242889467 \h </w:instrText>
        </w:r>
        <w:r>
          <w:rPr>
            <w:noProof/>
            <w:webHidden/>
          </w:rPr>
        </w:r>
        <w:r>
          <w:rPr>
            <w:noProof/>
            <w:webHidden/>
          </w:rPr>
          <w:fldChar w:fldCharType="separate"/>
        </w:r>
        <w:r>
          <w:rPr>
            <w:noProof/>
            <w:webHidden/>
          </w:rPr>
          <w:t>37</w:t>
        </w:r>
        <w:r>
          <w:rPr>
            <w:noProof/>
            <w:webHidden/>
          </w:rPr>
          <w:fldChar w:fldCharType="end"/>
        </w:r>
      </w:hyperlink>
    </w:p>
    <w:p w14:paraId="7C790F9D" w14:textId="58FF5EB7">
      <w:pPr>
        <w:pStyle w:val="TJ3"/>
        <w:rPr>
          <w:rFonts w:asciiTheme="minorHAnsi" w:hAnsiTheme="minorHAnsi" w:cstheme="minorBidi"/>
          <w:noProof/>
          <w:sz w:val="24"/>
          <w:szCs w:val="21"/>
          <w:lang w:eastAsia="en-GB" w:bidi="sa-IN"/>
        </w:rPr>
      </w:pPr>
      <w:hyperlink w:anchor="_Toc242889468" w:history="1">
        <w:r>
          <w:rPr>
            <w:rStyle w:val="Hiperhivatkozs"/>
            <w:noProof/>
            <w:lang w:bidi="ar-SA"/>
          </w:rPr>
          <w:t>4.3.2. Milestones interrupting the text</w:t>
        </w:r>
        <w:r>
          <w:rPr>
            <w:noProof/>
            <w:webHidden/>
          </w:rPr>
          <w:tab/>
        </w:r>
        <w:r>
          <w:rPr>
            <w:noProof/>
            <w:webHidden/>
          </w:rPr>
          <w:fldChar w:fldCharType="begin"/>
        </w:r>
        <w:r>
          <w:rPr>
            <w:noProof/>
            <w:webHidden/>
          </w:rPr>
          <w:instrText xml:space="preserve"> PAGEREF _Toc242889468 \h </w:instrText>
        </w:r>
        <w:r>
          <w:rPr>
            <w:noProof/>
            <w:webHidden/>
          </w:rPr>
        </w:r>
        <w:r>
          <w:rPr>
            <w:noProof/>
            <w:webHidden/>
          </w:rPr>
          <w:fldChar w:fldCharType="separate"/>
        </w:r>
        <w:r>
          <w:rPr>
            <w:noProof/>
            <w:webHidden/>
          </w:rPr>
          <w:t>38</w:t>
        </w:r>
        <w:r>
          <w:rPr>
            <w:noProof/>
            <w:webHidden/>
          </w:rPr>
          <w:fldChar w:fldCharType="end"/>
        </w:r>
      </w:hyperlink>
    </w:p>
    <w:p w14:paraId="4B58F957" w14:textId="01527171">
      <w:pPr>
        <w:pStyle w:val="TJ3"/>
        <w:rPr>
          <w:rFonts w:asciiTheme="minorHAnsi" w:hAnsiTheme="minorHAnsi" w:cstheme="minorBidi"/>
          <w:noProof/>
          <w:sz w:val="24"/>
          <w:szCs w:val="21"/>
          <w:lang w:eastAsia="en-GB" w:bidi="sa-IN"/>
        </w:rPr>
      </w:pPr>
      <w:hyperlink w:anchor="_Toc242889469" w:history="1">
        <w:r>
          <w:rPr>
            <w:rStyle w:val="Hiperhivatkozs"/>
            <w:noProof/>
            <w:lang w:bidi="ar-SA"/>
          </w:rPr>
          <w:t>4.3.3. Good encoding practice for milestone elements</w:t>
        </w:r>
        <w:r>
          <w:rPr>
            <w:noProof/>
            <w:webHidden/>
          </w:rPr>
          <w:tab/>
        </w:r>
        <w:r>
          <w:rPr>
            <w:noProof/>
            <w:webHidden/>
          </w:rPr>
          <w:fldChar w:fldCharType="begin"/>
        </w:r>
        <w:r>
          <w:rPr>
            <w:noProof/>
            <w:webHidden/>
          </w:rPr>
          <w:instrText xml:space="preserve"> PAGEREF _Toc242889469 \h </w:instrText>
        </w:r>
        <w:r>
          <w:rPr>
            <w:noProof/>
            <w:webHidden/>
          </w:rPr>
        </w:r>
        <w:r>
          <w:rPr>
            <w:noProof/>
            <w:webHidden/>
          </w:rPr>
          <w:fldChar w:fldCharType="separate"/>
        </w:r>
        <w:r>
          <w:rPr>
            <w:noProof/>
            <w:webHidden/>
          </w:rPr>
          <w:t>39</w:t>
        </w:r>
        <w:r>
          <w:rPr>
            <w:noProof/>
            <w:webHidden/>
          </w:rPr>
          <w:fldChar w:fldCharType="end"/>
        </w:r>
      </w:hyperlink>
    </w:p>
    <w:p w14:paraId="2F624976" w14:textId="136E84D2">
      <w:pPr>
        <w:pStyle w:val="TJ2"/>
        <w:rPr>
          <w:rFonts w:asciiTheme="minorHAnsi" w:hAnsiTheme="minorHAnsi" w:cstheme="minorBidi"/>
          <w:noProof/>
          <w:sz w:val="24"/>
          <w:szCs w:val="21"/>
          <w:lang w:eastAsia="en-GB" w:bidi="sa-IN"/>
        </w:rPr>
      </w:pPr>
      <w:hyperlink w:anchor="_Toc242889470" w:history="1">
        <w:r>
          <w:rPr>
            <w:rStyle w:val="Hiperhivatkozs"/>
            <w:noProof/>
            <w:lang w:bidi="ar-SA"/>
          </w:rPr>
          <w:t>4.4. Pagelike partitions</w:t>
        </w:r>
        <w:r>
          <w:rPr>
            <w:noProof/>
            <w:webHidden/>
          </w:rPr>
          <w:tab/>
        </w:r>
        <w:r>
          <w:rPr>
            <w:noProof/>
            <w:webHidden/>
          </w:rPr>
          <w:fldChar w:fldCharType="begin"/>
        </w:r>
        <w:r>
          <w:rPr>
            <w:noProof/>
            <w:webHidden/>
          </w:rPr>
          <w:instrText xml:space="preserve"> PAGEREF _Toc242889470 \h </w:instrText>
        </w:r>
        <w:r>
          <w:rPr>
            <w:noProof/>
            <w:webHidden/>
          </w:rPr>
        </w:r>
        <w:r>
          <w:rPr>
            <w:noProof/>
            <w:webHidden/>
          </w:rPr>
          <w:fldChar w:fldCharType="separate"/>
        </w:r>
        <w:r>
          <w:rPr>
            <w:noProof/>
            <w:webHidden/>
          </w:rPr>
          <w:t>41</w:t>
        </w:r>
        <w:r>
          <w:rPr>
            <w:noProof/>
            <w:webHidden/>
          </w:rPr>
          <w:fldChar w:fldCharType="end"/>
        </w:r>
      </w:hyperlink>
    </w:p>
    <w:p w14:paraId="68A8F8F3" w14:textId="5D7E17A0">
      <w:pPr>
        <w:pStyle w:val="TJ3"/>
        <w:rPr>
          <w:rFonts w:asciiTheme="minorHAnsi" w:hAnsiTheme="minorHAnsi" w:cstheme="minorBidi"/>
          <w:noProof/>
          <w:sz w:val="24"/>
          <w:szCs w:val="21"/>
          <w:lang w:eastAsia="en-GB" w:bidi="sa-IN"/>
        </w:rPr>
      </w:pPr>
      <w:hyperlink w:anchor="_Toc242889471" w:history="1">
        <w:r>
          <w:rPr>
            <w:rStyle w:val="Hiperhivatkozs"/>
            <w:noProof/>
            <w:lang w:bidi="ar-SA"/>
          </w:rPr>
          <w:t>4.4.2. Marking up genuine pages</w:t>
        </w:r>
        <w:r>
          <w:rPr>
            <w:noProof/>
            <w:webHidden/>
          </w:rPr>
          <w:tab/>
        </w:r>
        <w:r>
          <w:rPr>
            <w:noProof/>
            <w:webHidden/>
          </w:rPr>
          <w:fldChar w:fldCharType="begin"/>
        </w:r>
        <w:r>
          <w:rPr>
            <w:noProof/>
            <w:webHidden/>
          </w:rPr>
          <w:instrText xml:space="preserve"> PAGEREF _Toc242889471 \h </w:instrText>
        </w:r>
        <w:r>
          <w:rPr>
            <w:noProof/>
            <w:webHidden/>
          </w:rPr>
        </w:r>
        <w:r>
          <w:rPr>
            <w:noProof/>
            <w:webHidden/>
          </w:rPr>
          <w:fldChar w:fldCharType="separate"/>
        </w:r>
        <w:r>
          <w:rPr>
            <w:noProof/>
            <w:webHidden/>
          </w:rPr>
          <w:t>41</w:t>
        </w:r>
        <w:r>
          <w:rPr>
            <w:noProof/>
            <w:webHidden/>
          </w:rPr>
          <w:fldChar w:fldCharType="end"/>
        </w:r>
      </w:hyperlink>
    </w:p>
    <w:p w14:paraId="35636E40" w14:textId="1777E48D">
      <w:pPr>
        <w:pStyle w:val="TJ3"/>
        <w:rPr>
          <w:rFonts w:asciiTheme="minorHAnsi" w:hAnsiTheme="minorHAnsi" w:cstheme="minorBidi"/>
          <w:noProof/>
          <w:sz w:val="24"/>
          <w:szCs w:val="21"/>
          <w:lang w:eastAsia="en-GB" w:bidi="sa-IN"/>
        </w:rPr>
      </w:pPr>
      <w:hyperlink w:anchor="_Toc242889472" w:history="1">
        <w:r>
          <w:rPr>
            <w:rStyle w:val="Hiperhivatkozs"/>
            <w:noProof/>
            <w:lang w:bidi="ar-SA"/>
          </w:rPr>
          <w:t>4.4.3. Marking up other pagelike zones</w:t>
        </w:r>
        <w:r>
          <w:rPr>
            <w:noProof/>
            <w:webHidden/>
          </w:rPr>
          <w:tab/>
        </w:r>
        <w:r>
          <w:rPr>
            <w:noProof/>
            <w:webHidden/>
          </w:rPr>
          <w:fldChar w:fldCharType="begin"/>
        </w:r>
        <w:r>
          <w:rPr>
            <w:noProof/>
            <w:webHidden/>
          </w:rPr>
          <w:instrText xml:space="preserve"> PAGEREF _Toc242889472 \h </w:instrText>
        </w:r>
        <w:r>
          <w:rPr>
            <w:noProof/>
            <w:webHidden/>
          </w:rPr>
        </w:r>
        <w:r>
          <w:rPr>
            <w:noProof/>
            <w:webHidden/>
          </w:rPr>
          <w:fldChar w:fldCharType="separate"/>
        </w:r>
        <w:r>
          <w:rPr>
            <w:noProof/>
            <w:webHidden/>
          </w:rPr>
          <w:t>43</w:t>
        </w:r>
        <w:r>
          <w:rPr>
            <w:noProof/>
            <w:webHidden/>
          </w:rPr>
          <w:fldChar w:fldCharType="end"/>
        </w:r>
      </w:hyperlink>
    </w:p>
    <w:p w14:paraId="42895D46" w14:textId="0A11B92D">
      <w:pPr>
        <w:pStyle w:val="TJ3"/>
        <w:rPr>
          <w:rFonts w:asciiTheme="minorHAnsi" w:hAnsiTheme="minorHAnsi" w:cstheme="minorBidi"/>
          <w:noProof/>
          <w:sz w:val="24"/>
          <w:szCs w:val="21"/>
          <w:lang w:eastAsia="en-GB" w:bidi="sa-IN"/>
        </w:rPr>
      </w:pPr>
      <w:hyperlink w:anchor="_Toc242889473" w:history="1">
        <w:r>
          <w:rPr>
            <w:rStyle w:val="Hiperhivatkozs"/>
            <w:noProof/>
            <w:lang w:bidi="ar-SA"/>
          </w:rPr>
          <w:t>4.4.4. Numbered elements in pagelike partitions</w:t>
        </w:r>
        <w:r>
          <w:rPr>
            <w:noProof/>
            <w:webHidden/>
          </w:rPr>
          <w:tab/>
        </w:r>
        <w:r>
          <w:rPr>
            <w:noProof/>
            <w:webHidden/>
          </w:rPr>
          <w:fldChar w:fldCharType="begin"/>
        </w:r>
        <w:r>
          <w:rPr>
            <w:noProof/>
            <w:webHidden/>
          </w:rPr>
          <w:instrText xml:space="preserve"> PAGEREF _Toc242889473 \h </w:instrText>
        </w:r>
        <w:r>
          <w:rPr>
            <w:noProof/>
            <w:webHidden/>
          </w:rPr>
        </w:r>
        <w:r>
          <w:rPr>
            <w:noProof/>
            <w:webHidden/>
          </w:rPr>
          <w:fldChar w:fldCharType="separate"/>
        </w:r>
        <w:r>
          <w:rPr>
            <w:noProof/>
            <w:webHidden/>
          </w:rPr>
          <w:t>44</w:t>
        </w:r>
        <w:r>
          <w:rPr>
            <w:noProof/>
            <w:webHidden/>
          </w:rPr>
          <w:fldChar w:fldCharType="end"/>
        </w:r>
      </w:hyperlink>
    </w:p>
    <w:p w14:paraId="2ACC1FF8" w14:textId="572E8D95">
      <w:pPr>
        <w:pStyle w:val="TJ2"/>
        <w:rPr>
          <w:rFonts w:asciiTheme="minorHAnsi" w:hAnsiTheme="minorHAnsi" w:cstheme="minorBidi"/>
          <w:noProof/>
          <w:sz w:val="24"/>
          <w:szCs w:val="21"/>
          <w:lang w:eastAsia="en-GB" w:bidi="sa-IN"/>
        </w:rPr>
      </w:pPr>
      <w:hyperlink w:anchor="_Toc242889474" w:history="1">
        <w:r>
          <w:rPr>
            <w:rStyle w:val="Hiperhivatkozs"/>
            <w:noProof/>
            <w:lang w:bidi="ar-SA"/>
          </w:rPr>
          <w:t>4.5. Physical lines</w:t>
        </w:r>
        <w:r>
          <w:rPr>
            <w:noProof/>
            <w:webHidden/>
          </w:rPr>
          <w:tab/>
        </w:r>
        <w:r>
          <w:rPr>
            <w:noProof/>
            <w:webHidden/>
          </w:rPr>
          <w:fldChar w:fldCharType="begin"/>
        </w:r>
        <w:r>
          <w:rPr>
            <w:noProof/>
            <w:webHidden/>
          </w:rPr>
          <w:instrText xml:space="preserve"> PAGEREF _Toc242889474 \h </w:instrText>
        </w:r>
        <w:r>
          <w:rPr>
            <w:noProof/>
            <w:webHidden/>
          </w:rPr>
        </w:r>
        <w:r>
          <w:rPr>
            <w:noProof/>
            <w:webHidden/>
          </w:rPr>
          <w:fldChar w:fldCharType="separate"/>
        </w:r>
        <w:r>
          <w:rPr>
            <w:noProof/>
            <w:webHidden/>
          </w:rPr>
          <w:t>44</w:t>
        </w:r>
        <w:r>
          <w:rPr>
            <w:noProof/>
            <w:webHidden/>
          </w:rPr>
          <w:fldChar w:fldCharType="end"/>
        </w:r>
      </w:hyperlink>
    </w:p>
    <w:p w14:paraId="73F34941" w14:textId="381E5DCC">
      <w:pPr>
        <w:pStyle w:val="TJ3"/>
        <w:rPr>
          <w:rFonts w:asciiTheme="minorHAnsi" w:hAnsiTheme="minorHAnsi" w:cstheme="minorBidi"/>
          <w:noProof/>
          <w:sz w:val="24"/>
          <w:szCs w:val="21"/>
          <w:lang w:eastAsia="en-GB" w:bidi="sa-IN"/>
        </w:rPr>
      </w:pPr>
      <w:hyperlink w:anchor="_Toc242889475" w:history="1">
        <w:r>
          <w:rPr>
            <w:rStyle w:val="Hiperhivatkozs"/>
            <w:noProof/>
            <w:lang w:bidi="ar-SA"/>
          </w:rPr>
          <w:t>4.5.1. Marking up line beginnings</w:t>
        </w:r>
        <w:r>
          <w:rPr>
            <w:noProof/>
            <w:webHidden/>
          </w:rPr>
          <w:tab/>
        </w:r>
        <w:r>
          <w:rPr>
            <w:noProof/>
            <w:webHidden/>
          </w:rPr>
          <w:fldChar w:fldCharType="begin"/>
        </w:r>
        <w:r>
          <w:rPr>
            <w:noProof/>
            <w:webHidden/>
          </w:rPr>
          <w:instrText xml:space="preserve"> PAGEREF _Toc242889475 \h </w:instrText>
        </w:r>
        <w:r>
          <w:rPr>
            <w:noProof/>
            <w:webHidden/>
          </w:rPr>
        </w:r>
        <w:r>
          <w:rPr>
            <w:noProof/>
            <w:webHidden/>
          </w:rPr>
          <w:fldChar w:fldCharType="separate"/>
        </w:r>
        <w:r>
          <w:rPr>
            <w:noProof/>
            <w:webHidden/>
          </w:rPr>
          <w:t>45</w:t>
        </w:r>
        <w:r>
          <w:rPr>
            <w:noProof/>
            <w:webHidden/>
          </w:rPr>
          <w:fldChar w:fldCharType="end"/>
        </w:r>
      </w:hyperlink>
    </w:p>
    <w:p w14:paraId="574E2C7C" w14:textId="46458362">
      <w:pPr>
        <w:pStyle w:val="TJ3"/>
        <w:rPr>
          <w:rFonts w:asciiTheme="minorHAnsi" w:hAnsiTheme="minorHAnsi" w:cstheme="minorBidi"/>
          <w:noProof/>
          <w:sz w:val="24"/>
          <w:szCs w:val="21"/>
          <w:lang w:eastAsia="en-GB" w:bidi="sa-IN"/>
        </w:rPr>
      </w:pPr>
      <w:hyperlink w:anchor="_Toc242889476" w:history="1">
        <w:r>
          <w:rPr>
            <w:rStyle w:val="Hiperhivatkozs"/>
            <w:noProof/>
            <w:lang w:bidi="ar-SA"/>
          </w:rPr>
          <w:t>4.5.2. Numbering lines</w:t>
        </w:r>
        <w:r>
          <w:rPr>
            <w:noProof/>
            <w:webHidden/>
          </w:rPr>
          <w:tab/>
        </w:r>
        <w:r>
          <w:rPr>
            <w:noProof/>
            <w:webHidden/>
          </w:rPr>
          <w:fldChar w:fldCharType="begin"/>
        </w:r>
        <w:r>
          <w:rPr>
            <w:noProof/>
            <w:webHidden/>
          </w:rPr>
          <w:instrText xml:space="preserve"> PAGEREF _Toc242889476 \h </w:instrText>
        </w:r>
        <w:r>
          <w:rPr>
            <w:noProof/>
            <w:webHidden/>
          </w:rPr>
        </w:r>
        <w:r>
          <w:rPr>
            <w:noProof/>
            <w:webHidden/>
          </w:rPr>
          <w:fldChar w:fldCharType="separate"/>
        </w:r>
        <w:r>
          <w:rPr>
            <w:noProof/>
            <w:webHidden/>
          </w:rPr>
          <w:t>46</w:t>
        </w:r>
        <w:r>
          <w:rPr>
            <w:noProof/>
            <w:webHidden/>
          </w:rPr>
          <w:fldChar w:fldCharType="end"/>
        </w:r>
      </w:hyperlink>
    </w:p>
    <w:p w14:paraId="6D0D8436" w14:textId="482C52A6">
      <w:pPr>
        <w:pStyle w:val="TJ2"/>
        <w:rPr>
          <w:rFonts w:asciiTheme="minorHAnsi" w:hAnsiTheme="minorHAnsi" w:cstheme="minorBidi"/>
          <w:noProof/>
          <w:sz w:val="24"/>
          <w:szCs w:val="21"/>
          <w:lang w:eastAsia="en-GB" w:bidi="sa-IN"/>
        </w:rPr>
      </w:pPr>
      <w:hyperlink w:anchor="_Toc242889477" w:history="1">
        <w:r>
          <w:rPr>
            <w:rStyle w:val="Hiperhivatkozs"/>
            <w:noProof/>
            <w:lang w:bidi="ar-SA"/>
          </w:rPr>
          <w:t>4.6. Gridlike partitions</w:t>
        </w:r>
        <w:r>
          <w:rPr>
            <w:noProof/>
            <w:webHidden/>
          </w:rPr>
          <w:tab/>
        </w:r>
        <w:r>
          <w:rPr>
            <w:noProof/>
            <w:webHidden/>
          </w:rPr>
          <w:fldChar w:fldCharType="begin"/>
        </w:r>
        <w:r>
          <w:rPr>
            <w:noProof/>
            <w:webHidden/>
          </w:rPr>
          <w:instrText xml:space="preserve"> PAGEREF _Toc242889477 \h </w:instrText>
        </w:r>
        <w:r>
          <w:rPr>
            <w:noProof/>
            <w:webHidden/>
          </w:rPr>
        </w:r>
        <w:r>
          <w:rPr>
            <w:noProof/>
            <w:webHidden/>
          </w:rPr>
          <w:fldChar w:fldCharType="separate"/>
        </w:r>
        <w:r>
          <w:rPr>
            <w:noProof/>
            <w:webHidden/>
          </w:rPr>
          <w:t>47</w:t>
        </w:r>
        <w:r>
          <w:rPr>
            <w:noProof/>
            <w:webHidden/>
          </w:rPr>
          <w:fldChar w:fldCharType="end"/>
        </w:r>
      </w:hyperlink>
    </w:p>
    <w:p w14:paraId="3A95EC6D" w14:textId="24F83740">
      <w:pPr>
        <w:pStyle w:val="TJ3"/>
        <w:rPr>
          <w:rFonts w:asciiTheme="minorHAnsi" w:hAnsiTheme="minorHAnsi" w:cstheme="minorBidi"/>
          <w:noProof/>
          <w:sz w:val="24"/>
          <w:szCs w:val="21"/>
          <w:lang w:eastAsia="en-GB" w:bidi="sa-IN"/>
        </w:rPr>
      </w:pPr>
      <w:hyperlink w:anchor="_Toc242889478" w:history="1">
        <w:r>
          <w:rPr>
            <w:rStyle w:val="Hiperhivatkozs"/>
            <w:noProof/>
            <w:lang w:bidi="ar-SA"/>
          </w:rPr>
          <w:t>4.6.1. Marking up gridlike partitions</w:t>
        </w:r>
        <w:r>
          <w:rPr>
            <w:noProof/>
            <w:webHidden/>
          </w:rPr>
          <w:tab/>
        </w:r>
        <w:r>
          <w:rPr>
            <w:noProof/>
            <w:webHidden/>
          </w:rPr>
          <w:fldChar w:fldCharType="begin"/>
        </w:r>
        <w:r>
          <w:rPr>
            <w:noProof/>
            <w:webHidden/>
          </w:rPr>
          <w:instrText xml:space="preserve"> PAGEREF _Toc242889478 \h </w:instrText>
        </w:r>
        <w:r>
          <w:rPr>
            <w:noProof/>
            <w:webHidden/>
          </w:rPr>
        </w:r>
        <w:r>
          <w:rPr>
            <w:noProof/>
            <w:webHidden/>
          </w:rPr>
          <w:fldChar w:fldCharType="separate"/>
        </w:r>
        <w:r>
          <w:rPr>
            <w:noProof/>
            <w:webHidden/>
          </w:rPr>
          <w:t>47</w:t>
        </w:r>
        <w:r>
          <w:rPr>
            <w:noProof/>
            <w:webHidden/>
          </w:rPr>
          <w:fldChar w:fldCharType="end"/>
        </w:r>
      </w:hyperlink>
    </w:p>
    <w:p w14:paraId="249BDF27" w14:textId="14A160E1">
      <w:pPr>
        <w:pStyle w:val="TJ2"/>
        <w:rPr>
          <w:rFonts w:asciiTheme="minorHAnsi" w:hAnsiTheme="minorHAnsi" w:cstheme="minorBidi"/>
          <w:noProof/>
          <w:sz w:val="24"/>
          <w:szCs w:val="21"/>
          <w:lang w:eastAsia="en-GB" w:bidi="sa-IN"/>
        </w:rPr>
      </w:pPr>
      <w:hyperlink w:anchor="_Toc242889479" w:history="1">
        <w:r>
          <w:rPr>
            <w:rStyle w:val="Hiperhivatkozs"/>
            <w:noProof/>
            <w:lang w:bidi="ar-SA"/>
          </w:rPr>
          <w:t>4.7. Dealing with the realities of extrinsic structure</w:t>
        </w:r>
        <w:r>
          <w:rPr>
            <w:noProof/>
            <w:webHidden/>
          </w:rPr>
          <w:tab/>
        </w:r>
        <w:r>
          <w:rPr>
            <w:noProof/>
            <w:webHidden/>
          </w:rPr>
          <w:fldChar w:fldCharType="begin"/>
        </w:r>
        <w:r>
          <w:rPr>
            <w:noProof/>
            <w:webHidden/>
          </w:rPr>
          <w:instrText xml:space="preserve"> PAGEREF _Toc242889479 \h </w:instrText>
        </w:r>
        <w:r>
          <w:rPr>
            <w:noProof/>
            <w:webHidden/>
          </w:rPr>
        </w:r>
        <w:r>
          <w:rPr>
            <w:noProof/>
            <w:webHidden/>
          </w:rPr>
          <w:fldChar w:fldCharType="separate"/>
        </w:r>
        <w:r>
          <w:rPr>
            <w:noProof/>
            <w:webHidden/>
          </w:rPr>
          <w:t>48</w:t>
        </w:r>
        <w:r>
          <w:rPr>
            <w:noProof/>
            <w:webHidden/>
          </w:rPr>
          <w:fldChar w:fldCharType="end"/>
        </w:r>
      </w:hyperlink>
    </w:p>
    <w:p w14:paraId="0ACC8E93" w14:textId="56FABC8C">
      <w:pPr>
        <w:pStyle w:val="TJ3"/>
        <w:rPr>
          <w:rFonts w:asciiTheme="minorHAnsi" w:hAnsiTheme="minorHAnsi" w:cstheme="minorBidi"/>
          <w:noProof/>
          <w:sz w:val="24"/>
          <w:szCs w:val="21"/>
          <w:lang w:eastAsia="en-GB" w:bidi="sa-IN"/>
        </w:rPr>
      </w:pPr>
      <w:hyperlink w:anchor="_Toc242889480" w:history="1">
        <w:r>
          <w:rPr>
            <w:rStyle w:val="Hiperhivatkozs"/>
            <w:noProof/>
            <w:lang w:bidi="ar-SA"/>
          </w:rPr>
          <w:t>4.7.1. Peripheral inscribed zones</w:t>
        </w:r>
        <w:r>
          <w:rPr>
            <w:noProof/>
            <w:webHidden/>
          </w:rPr>
          <w:tab/>
        </w:r>
        <w:r>
          <w:rPr>
            <w:noProof/>
            <w:webHidden/>
          </w:rPr>
          <w:fldChar w:fldCharType="begin"/>
        </w:r>
        <w:r>
          <w:rPr>
            <w:noProof/>
            <w:webHidden/>
          </w:rPr>
          <w:instrText xml:space="preserve"> PAGEREF _Toc242889480 \h </w:instrText>
        </w:r>
        <w:r>
          <w:rPr>
            <w:noProof/>
            <w:webHidden/>
          </w:rPr>
        </w:r>
        <w:r>
          <w:rPr>
            <w:noProof/>
            <w:webHidden/>
          </w:rPr>
          <w:fldChar w:fldCharType="separate"/>
        </w:r>
        <w:r>
          <w:rPr>
            <w:noProof/>
            <w:webHidden/>
          </w:rPr>
          <w:t>48</w:t>
        </w:r>
        <w:r>
          <w:rPr>
            <w:noProof/>
            <w:webHidden/>
          </w:rPr>
          <w:fldChar w:fldCharType="end"/>
        </w:r>
      </w:hyperlink>
    </w:p>
    <w:p w14:paraId="648641BE" w14:textId="27488810">
      <w:pPr>
        <w:pStyle w:val="TJ3"/>
        <w:rPr>
          <w:rFonts w:asciiTheme="minorHAnsi" w:hAnsiTheme="minorHAnsi" w:cstheme="minorBidi"/>
          <w:noProof/>
          <w:sz w:val="24"/>
          <w:szCs w:val="21"/>
          <w:lang w:eastAsia="en-GB" w:bidi="sa-IN"/>
        </w:rPr>
      </w:pPr>
      <w:hyperlink w:anchor="_Toc242889481" w:history="1">
        <w:r>
          <w:rPr>
            <w:rStyle w:val="Hiperhivatkozs"/>
            <w:noProof/>
            <w:lang w:bidi="ar-SA"/>
          </w:rPr>
          <w:t>4.7.2. Pagination or foliation: “forme work”</w:t>
        </w:r>
        <w:r>
          <w:rPr>
            <w:noProof/>
            <w:webHidden/>
          </w:rPr>
          <w:tab/>
        </w:r>
        <w:r>
          <w:rPr>
            <w:noProof/>
            <w:webHidden/>
          </w:rPr>
          <w:fldChar w:fldCharType="begin"/>
        </w:r>
        <w:r>
          <w:rPr>
            <w:noProof/>
            <w:webHidden/>
          </w:rPr>
          <w:instrText xml:space="preserve"> PAGEREF _Toc242889481 \h </w:instrText>
        </w:r>
        <w:r>
          <w:rPr>
            <w:noProof/>
            <w:webHidden/>
          </w:rPr>
        </w:r>
        <w:r>
          <w:rPr>
            <w:noProof/>
            <w:webHidden/>
          </w:rPr>
          <w:fldChar w:fldCharType="separate"/>
        </w:r>
        <w:r>
          <w:rPr>
            <w:noProof/>
            <w:webHidden/>
          </w:rPr>
          <w:t>51</w:t>
        </w:r>
        <w:r>
          <w:rPr>
            <w:noProof/>
            <w:webHidden/>
          </w:rPr>
          <w:fldChar w:fldCharType="end"/>
        </w:r>
      </w:hyperlink>
    </w:p>
    <w:p w14:paraId="0D94F38A" w14:textId="0E2291D4">
      <w:pPr>
        <w:pStyle w:val="TJ3"/>
        <w:rPr>
          <w:rFonts w:asciiTheme="minorHAnsi" w:hAnsiTheme="minorHAnsi" w:cstheme="minorBidi"/>
          <w:noProof/>
          <w:sz w:val="24"/>
          <w:szCs w:val="21"/>
          <w:lang w:eastAsia="en-GB" w:bidi="sa-IN"/>
        </w:rPr>
      </w:pPr>
      <w:hyperlink w:anchor="_Toc242889482" w:history="1">
        <w:r>
          <w:rPr>
            <w:rStyle w:val="Hiperhivatkozs"/>
            <w:noProof/>
            <w:lang w:bidi="ar-SA"/>
          </w:rPr>
          <w:t>4.7.3. When to use textpart divisions</w:t>
        </w:r>
        <w:r>
          <w:rPr>
            <w:noProof/>
            <w:webHidden/>
          </w:rPr>
          <w:tab/>
        </w:r>
        <w:r>
          <w:rPr>
            <w:noProof/>
            <w:webHidden/>
          </w:rPr>
          <w:fldChar w:fldCharType="begin"/>
        </w:r>
        <w:r>
          <w:rPr>
            <w:noProof/>
            <w:webHidden/>
          </w:rPr>
          <w:instrText xml:space="preserve"> PAGEREF _Toc242889482 \h </w:instrText>
        </w:r>
        <w:r>
          <w:rPr>
            <w:noProof/>
            <w:webHidden/>
          </w:rPr>
        </w:r>
        <w:r>
          <w:rPr>
            <w:noProof/>
            <w:webHidden/>
          </w:rPr>
          <w:fldChar w:fldCharType="separate"/>
        </w:r>
        <w:r>
          <w:rPr>
            <w:noProof/>
            <w:webHidden/>
          </w:rPr>
          <w:t>53</w:t>
        </w:r>
        <w:r>
          <w:rPr>
            <w:noProof/>
            <w:webHidden/>
          </w:rPr>
          <w:fldChar w:fldCharType="end"/>
        </w:r>
      </w:hyperlink>
    </w:p>
    <w:p w14:paraId="264F9C9F" w14:textId="6164E326">
      <w:pPr>
        <w:pStyle w:val="TJ3"/>
        <w:rPr>
          <w:rFonts w:asciiTheme="minorHAnsi" w:hAnsiTheme="minorHAnsi" w:cstheme="minorBidi"/>
          <w:noProof/>
          <w:sz w:val="24"/>
          <w:szCs w:val="21"/>
          <w:lang w:eastAsia="en-GB" w:bidi="sa-IN"/>
        </w:rPr>
      </w:pPr>
      <w:hyperlink w:anchor="_Toc242889483" w:history="1">
        <w:r>
          <w:rPr>
            <w:rStyle w:val="Hiperhivatkozs"/>
            <w:noProof/>
            <w:lang w:bidi="ar-SA"/>
          </w:rPr>
          <w:t>4.7.4. When to use pagelike partitions</w:t>
        </w:r>
        <w:r>
          <w:rPr>
            <w:noProof/>
            <w:webHidden/>
          </w:rPr>
          <w:tab/>
        </w:r>
        <w:r>
          <w:rPr>
            <w:noProof/>
            <w:webHidden/>
          </w:rPr>
          <w:fldChar w:fldCharType="begin"/>
        </w:r>
        <w:r>
          <w:rPr>
            <w:noProof/>
            <w:webHidden/>
          </w:rPr>
          <w:instrText xml:space="preserve"> PAGEREF _Toc242889483 \h </w:instrText>
        </w:r>
        <w:r>
          <w:rPr>
            <w:noProof/>
            <w:webHidden/>
          </w:rPr>
        </w:r>
        <w:r>
          <w:rPr>
            <w:noProof/>
            <w:webHidden/>
          </w:rPr>
          <w:fldChar w:fldCharType="separate"/>
        </w:r>
        <w:r>
          <w:rPr>
            <w:noProof/>
            <w:webHidden/>
          </w:rPr>
          <w:t>55</w:t>
        </w:r>
        <w:r>
          <w:rPr>
            <w:noProof/>
            <w:webHidden/>
          </w:rPr>
          <w:fldChar w:fldCharType="end"/>
        </w:r>
      </w:hyperlink>
    </w:p>
    <w:p w14:paraId="57384F09" w14:textId="07928918">
      <w:pPr>
        <w:pStyle w:val="TJ3"/>
        <w:rPr>
          <w:rFonts w:asciiTheme="minorHAnsi" w:hAnsiTheme="minorHAnsi" w:cstheme="minorBidi"/>
          <w:noProof/>
          <w:sz w:val="24"/>
          <w:szCs w:val="21"/>
          <w:lang w:eastAsia="en-GB" w:bidi="sa-IN"/>
        </w:rPr>
      </w:pPr>
      <w:hyperlink w:anchor="_Toc242889484" w:history="1">
        <w:r>
          <w:rPr>
            <w:rStyle w:val="Hiperhivatkozs"/>
            <w:noProof/>
            <w:lang w:bidi="ar-SA"/>
          </w:rPr>
          <w:t>4.7.5. When to use gridlike partitions</w:t>
        </w:r>
        <w:r>
          <w:rPr>
            <w:noProof/>
            <w:webHidden/>
          </w:rPr>
          <w:tab/>
        </w:r>
        <w:r>
          <w:rPr>
            <w:noProof/>
            <w:webHidden/>
          </w:rPr>
          <w:fldChar w:fldCharType="begin"/>
        </w:r>
        <w:r>
          <w:rPr>
            <w:noProof/>
            <w:webHidden/>
          </w:rPr>
          <w:instrText xml:space="preserve"> PAGEREF _Toc242889484 \h </w:instrText>
        </w:r>
        <w:r>
          <w:rPr>
            <w:noProof/>
            <w:webHidden/>
          </w:rPr>
        </w:r>
        <w:r>
          <w:rPr>
            <w:noProof/>
            <w:webHidden/>
          </w:rPr>
          <w:fldChar w:fldCharType="separate"/>
        </w:r>
        <w:r>
          <w:rPr>
            <w:noProof/>
            <w:webHidden/>
          </w:rPr>
          <w:t>59</w:t>
        </w:r>
        <w:r>
          <w:rPr>
            <w:noProof/>
            <w:webHidden/>
          </w:rPr>
          <w:fldChar w:fldCharType="end"/>
        </w:r>
      </w:hyperlink>
    </w:p>
    <w:p w14:paraId="263CECDB" w14:textId="31DC8F76">
      <w:pPr>
        <w:pStyle w:val="TJ3"/>
        <w:rPr>
          <w:rFonts w:asciiTheme="minorHAnsi" w:hAnsiTheme="minorHAnsi" w:cstheme="minorBidi"/>
          <w:noProof/>
          <w:sz w:val="24"/>
          <w:szCs w:val="21"/>
          <w:lang w:eastAsia="en-GB" w:bidi="sa-IN"/>
        </w:rPr>
      </w:pPr>
      <w:hyperlink w:anchor="_Toc242889485" w:history="1">
        <w:r>
          <w:rPr>
            <w:rStyle w:val="Hiperhivatkozs"/>
            <w:noProof/>
            <w:lang w:bidi="ar-SA"/>
          </w:rPr>
          <w:t>4.7.6. Untidy extrinsic structure</w:t>
        </w:r>
        <w:r>
          <w:rPr>
            <w:noProof/>
            <w:webHidden/>
          </w:rPr>
          <w:tab/>
        </w:r>
        <w:r>
          <w:rPr>
            <w:noProof/>
            <w:webHidden/>
          </w:rPr>
          <w:fldChar w:fldCharType="begin"/>
        </w:r>
        <w:r>
          <w:rPr>
            <w:noProof/>
            <w:webHidden/>
          </w:rPr>
          <w:instrText xml:space="preserve"> PAGEREF _Toc242889485 \h </w:instrText>
        </w:r>
        <w:r>
          <w:rPr>
            <w:noProof/>
            <w:webHidden/>
          </w:rPr>
        </w:r>
        <w:r>
          <w:rPr>
            <w:noProof/>
            <w:webHidden/>
          </w:rPr>
          <w:fldChar w:fldCharType="separate"/>
        </w:r>
        <w:r>
          <w:rPr>
            <w:noProof/>
            <w:webHidden/>
          </w:rPr>
          <w:t>63</w:t>
        </w:r>
        <w:r>
          <w:rPr>
            <w:noProof/>
            <w:webHidden/>
          </w:rPr>
          <w:fldChar w:fldCharType="end"/>
        </w:r>
      </w:hyperlink>
    </w:p>
    <w:p w14:paraId="0A574635" w14:textId="270F8461">
      <w:pPr>
        <w:pStyle w:val="TJ1"/>
        <w:rPr>
          <w:rFonts w:asciiTheme="minorHAnsi" w:hAnsiTheme="minorHAnsi" w:cstheme="minorBidi"/>
          <w:b w:val="0"/>
          <w:noProof/>
          <w:sz w:val="24"/>
          <w:szCs w:val="21"/>
          <w:lang w:eastAsia="en-GB" w:bidi="sa-IN"/>
        </w:rPr>
      </w:pPr>
      <w:hyperlink w:anchor="_Toc242889486" w:history="1">
        <w:r>
          <w:rPr>
            <w:rStyle w:val="Hiperhivatkozs"/>
            <w:noProof/>
            <w:lang w:bidi="ar-SA"/>
          </w:rPr>
          <w:t>5. The received text</w:t>
        </w:r>
        <w:r>
          <w:rPr>
            <w:noProof/>
            <w:webHidden/>
          </w:rPr>
          <w:tab/>
        </w:r>
        <w:r>
          <w:rPr>
            <w:noProof/>
            <w:webHidden/>
          </w:rPr>
          <w:fldChar w:fldCharType="begin"/>
        </w:r>
        <w:r>
          <w:rPr>
            <w:noProof/>
            <w:webHidden/>
          </w:rPr>
          <w:instrText xml:space="preserve"> PAGEREF _Toc242889486 \h </w:instrText>
        </w:r>
        <w:r>
          <w:rPr>
            <w:noProof/>
            <w:webHidden/>
          </w:rPr>
        </w:r>
        <w:r>
          <w:rPr>
            <w:noProof/>
            <w:webHidden/>
          </w:rPr>
          <w:fldChar w:fldCharType="separate"/>
        </w:r>
        <w:r>
          <w:rPr>
            <w:noProof/>
            <w:webHidden/>
          </w:rPr>
          <w:t>69</w:t>
        </w:r>
        <w:r>
          <w:rPr>
            <w:noProof/>
            <w:webHidden/>
          </w:rPr>
          <w:fldChar w:fldCharType="end"/>
        </w:r>
      </w:hyperlink>
    </w:p>
    <w:p w14:paraId="512D1F04" w14:textId="1F7CF5C5">
      <w:pPr>
        <w:pStyle w:val="TJ2"/>
        <w:rPr>
          <w:rFonts w:asciiTheme="minorHAnsi" w:hAnsiTheme="minorHAnsi" w:cstheme="minorBidi"/>
          <w:noProof/>
          <w:sz w:val="24"/>
          <w:szCs w:val="21"/>
          <w:lang w:eastAsia="en-GB" w:bidi="sa-IN"/>
        </w:rPr>
      </w:pPr>
      <w:hyperlink w:anchor="_Toc242889487" w:history="1">
        <w:r>
          <w:rPr>
            <w:rStyle w:val="Hiperhivatkozs"/>
            <w:noProof/>
            <w:lang w:bidi="ar-SA"/>
          </w:rPr>
          <w:t>5.1. Terminology for the analysis of writing</w:t>
        </w:r>
        <w:r>
          <w:rPr>
            <w:noProof/>
            <w:webHidden/>
          </w:rPr>
          <w:tab/>
        </w:r>
        <w:r>
          <w:rPr>
            <w:noProof/>
            <w:webHidden/>
          </w:rPr>
          <w:fldChar w:fldCharType="begin"/>
        </w:r>
        <w:r>
          <w:rPr>
            <w:noProof/>
            <w:webHidden/>
          </w:rPr>
          <w:instrText xml:space="preserve"> PAGEREF _Toc242889487 \h </w:instrText>
        </w:r>
        <w:r>
          <w:rPr>
            <w:noProof/>
            <w:webHidden/>
          </w:rPr>
        </w:r>
        <w:r>
          <w:rPr>
            <w:noProof/>
            <w:webHidden/>
          </w:rPr>
          <w:fldChar w:fldCharType="separate"/>
        </w:r>
        <w:r>
          <w:rPr>
            <w:noProof/>
            <w:webHidden/>
          </w:rPr>
          <w:t>69</w:t>
        </w:r>
        <w:r>
          <w:rPr>
            <w:noProof/>
            <w:webHidden/>
          </w:rPr>
          <w:fldChar w:fldCharType="end"/>
        </w:r>
      </w:hyperlink>
    </w:p>
    <w:p w14:paraId="4B0BCC65" w14:textId="03B8BF96">
      <w:pPr>
        <w:pStyle w:val="TJ2"/>
        <w:rPr>
          <w:rFonts w:asciiTheme="minorHAnsi" w:hAnsiTheme="minorHAnsi" w:cstheme="minorBidi"/>
          <w:noProof/>
          <w:sz w:val="24"/>
          <w:szCs w:val="21"/>
          <w:lang w:eastAsia="en-GB" w:bidi="sa-IN"/>
        </w:rPr>
      </w:pPr>
      <w:hyperlink w:anchor="_Toc242889488" w:history="1">
        <w:r>
          <w:rPr>
            <w:rStyle w:val="Hiperhivatkozs"/>
            <w:noProof/>
            <w:lang w:bidi="ar-SA"/>
          </w:rPr>
          <w:t>5.2. Phonographic graphemes</w:t>
        </w:r>
        <w:r>
          <w:rPr>
            <w:noProof/>
            <w:webHidden/>
          </w:rPr>
          <w:tab/>
        </w:r>
        <w:r>
          <w:rPr>
            <w:noProof/>
            <w:webHidden/>
          </w:rPr>
          <w:fldChar w:fldCharType="begin"/>
        </w:r>
        <w:r>
          <w:rPr>
            <w:noProof/>
            <w:webHidden/>
          </w:rPr>
          <w:instrText xml:space="preserve"> PAGEREF _Toc242889488 \h </w:instrText>
        </w:r>
        <w:r>
          <w:rPr>
            <w:noProof/>
            <w:webHidden/>
          </w:rPr>
        </w:r>
        <w:r>
          <w:rPr>
            <w:noProof/>
            <w:webHidden/>
          </w:rPr>
          <w:fldChar w:fldCharType="separate"/>
        </w:r>
        <w:r>
          <w:rPr>
            <w:noProof/>
            <w:webHidden/>
          </w:rPr>
          <w:t>69</w:t>
        </w:r>
        <w:r>
          <w:rPr>
            <w:noProof/>
            <w:webHidden/>
          </w:rPr>
          <w:fldChar w:fldCharType="end"/>
        </w:r>
      </w:hyperlink>
    </w:p>
    <w:p w14:paraId="1EAD26C5" w14:textId="7F7965A1">
      <w:pPr>
        <w:pStyle w:val="TJ3"/>
        <w:rPr>
          <w:rFonts w:asciiTheme="minorHAnsi" w:hAnsiTheme="minorHAnsi" w:cstheme="minorBidi"/>
          <w:noProof/>
          <w:sz w:val="24"/>
          <w:szCs w:val="21"/>
          <w:lang w:eastAsia="en-GB" w:bidi="sa-IN"/>
        </w:rPr>
      </w:pPr>
      <w:hyperlink w:anchor="_Toc242889489" w:history="1">
        <w:r>
          <w:rPr>
            <w:rStyle w:val="Hiperhivatkozs"/>
            <w:noProof/>
            <w:lang w:bidi="ar-SA"/>
          </w:rPr>
          <w:t xml:space="preserve">5.2.1. Tagging target graphemes as one </w:t>
        </w:r>
        <w:r>
          <w:rPr>
            <w:rStyle w:val="Hiperhivatkozs"/>
            <w:i/>
            <w:iCs/>
            <w:noProof/>
            <w:lang w:bidi="ar-SA"/>
          </w:rPr>
          <w:t>akṣara</w:t>
        </w:r>
        <w:r>
          <w:rPr>
            <w:noProof/>
            <w:webHidden/>
          </w:rPr>
          <w:tab/>
        </w:r>
        <w:r>
          <w:rPr>
            <w:noProof/>
            <w:webHidden/>
          </w:rPr>
          <w:fldChar w:fldCharType="begin"/>
        </w:r>
        <w:r>
          <w:rPr>
            <w:noProof/>
            <w:webHidden/>
          </w:rPr>
          <w:instrText xml:space="preserve"> PAGEREF _Toc242889489 \h </w:instrText>
        </w:r>
        <w:r>
          <w:rPr>
            <w:noProof/>
            <w:webHidden/>
          </w:rPr>
        </w:r>
        <w:r>
          <w:rPr>
            <w:noProof/>
            <w:webHidden/>
          </w:rPr>
          <w:fldChar w:fldCharType="separate"/>
        </w:r>
        <w:r>
          <w:rPr>
            <w:noProof/>
            <w:webHidden/>
          </w:rPr>
          <w:t>70</w:t>
        </w:r>
        <w:r>
          <w:rPr>
            <w:noProof/>
            <w:webHidden/>
          </w:rPr>
          <w:fldChar w:fldCharType="end"/>
        </w:r>
      </w:hyperlink>
    </w:p>
    <w:p w14:paraId="73B51281" w14:textId="083D27F8">
      <w:pPr>
        <w:pStyle w:val="TJ3"/>
        <w:rPr>
          <w:rFonts w:asciiTheme="minorHAnsi" w:hAnsiTheme="minorHAnsi" w:cstheme="minorBidi"/>
          <w:noProof/>
          <w:sz w:val="24"/>
          <w:szCs w:val="21"/>
          <w:lang w:eastAsia="en-GB" w:bidi="sa-IN"/>
        </w:rPr>
      </w:pPr>
      <w:hyperlink w:anchor="_Toc242889490" w:history="1">
        <w:r>
          <w:rPr>
            <w:rStyle w:val="Hiperhivatkozs"/>
            <w:noProof/>
            <w:lang w:bidi="ar-SA"/>
          </w:rPr>
          <w:t>5.2.2. Tagging parts of phonographic glyphs</w:t>
        </w:r>
        <w:r>
          <w:rPr>
            <w:noProof/>
            <w:webHidden/>
          </w:rPr>
          <w:tab/>
        </w:r>
        <w:r>
          <w:rPr>
            <w:noProof/>
            <w:webHidden/>
          </w:rPr>
          <w:fldChar w:fldCharType="begin"/>
        </w:r>
        <w:r>
          <w:rPr>
            <w:noProof/>
            <w:webHidden/>
          </w:rPr>
          <w:instrText xml:space="preserve"> PAGEREF _Toc242889490 \h </w:instrText>
        </w:r>
        <w:r>
          <w:rPr>
            <w:noProof/>
            <w:webHidden/>
          </w:rPr>
        </w:r>
        <w:r>
          <w:rPr>
            <w:noProof/>
            <w:webHidden/>
          </w:rPr>
          <w:fldChar w:fldCharType="separate"/>
        </w:r>
        <w:r>
          <w:rPr>
            <w:noProof/>
            <w:webHidden/>
          </w:rPr>
          <w:t>70</w:t>
        </w:r>
        <w:r>
          <w:rPr>
            <w:noProof/>
            <w:webHidden/>
          </w:rPr>
          <w:fldChar w:fldCharType="end"/>
        </w:r>
      </w:hyperlink>
    </w:p>
    <w:p w14:paraId="0493CEE3" w14:textId="1ADF4F13">
      <w:pPr>
        <w:pStyle w:val="TJ3"/>
        <w:rPr>
          <w:rFonts w:asciiTheme="minorHAnsi" w:hAnsiTheme="minorHAnsi" w:cstheme="minorBidi"/>
          <w:noProof/>
          <w:sz w:val="24"/>
          <w:szCs w:val="21"/>
          <w:lang w:eastAsia="en-GB" w:bidi="sa-IN"/>
        </w:rPr>
      </w:pPr>
      <w:hyperlink w:anchor="_Toc242889491" w:history="1">
        <w:r>
          <w:rPr>
            <w:rStyle w:val="Hiperhivatkozs"/>
            <w:noProof/>
            <w:lang w:bidi="ar-SA"/>
          </w:rPr>
          <w:t>5.2.3. Unusual spatial arrangement in conjuncts</w:t>
        </w:r>
        <w:r>
          <w:rPr>
            <w:noProof/>
            <w:webHidden/>
          </w:rPr>
          <w:tab/>
        </w:r>
        <w:r>
          <w:rPr>
            <w:noProof/>
            <w:webHidden/>
          </w:rPr>
          <w:fldChar w:fldCharType="begin"/>
        </w:r>
        <w:r>
          <w:rPr>
            <w:noProof/>
            <w:webHidden/>
          </w:rPr>
          <w:instrText xml:space="preserve"> PAGEREF _Toc242889491 \h </w:instrText>
        </w:r>
        <w:r>
          <w:rPr>
            <w:noProof/>
            <w:webHidden/>
          </w:rPr>
        </w:r>
        <w:r>
          <w:rPr>
            <w:noProof/>
            <w:webHidden/>
          </w:rPr>
          <w:fldChar w:fldCharType="separate"/>
        </w:r>
        <w:r>
          <w:rPr>
            <w:noProof/>
            <w:webHidden/>
          </w:rPr>
          <w:t>71</w:t>
        </w:r>
        <w:r>
          <w:rPr>
            <w:noProof/>
            <w:webHidden/>
          </w:rPr>
          <w:fldChar w:fldCharType="end"/>
        </w:r>
      </w:hyperlink>
    </w:p>
    <w:p w14:paraId="35747CDC" w14:textId="2808A8B4">
      <w:pPr>
        <w:pStyle w:val="TJ3"/>
        <w:rPr>
          <w:rFonts w:asciiTheme="minorHAnsi" w:hAnsiTheme="minorHAnsi" w:cstheme="minorBidi"/>
          <w:noProof/>
          <w:sz w:val="24"/>
          <w:szCs w:val="21"/>
          <w:lang w:eastAsia="en-GB" w:bidi="sa-IN"/>
        </w:rPr>
      </w:pPr>
      <w:hyperlink w:anchor="_Toc242889492" w:history="1">
        <w:r>
          <w:rPr>
            <w:rStyle w:val="Hiperhivatkozs"/>
            <w:noProof/>
            <w:lang w:bidi="ar-SA"/>
          </w:rPr>
          <w:t>5.2.4. Complex glyphs deliberately split over an intervening feature</w:t>
        </w:r>
        <w:r>
          <w:rPr>
            <w:noProof/>
            <w:webHidden/>
          </w:rPr>
          <w:tab/>
        </w:r>
        <w:r>
          <w:rPr>
            <w:noProof/>
            <w:webHidden/>
          </w:rPr>
          <w:fldChar w:fldCharType="begin"/>
        </w:r>
        <w:r>
          <w:rPr>
            <w:noProof/>
            <w:webHidden/>
          </w:rPr>
          <w:instrText xml:space="preserve"> PAGEREF _Toc242889492 \h </w:instrText>
        </w:r>
        <w:r>
          <w:rPr>
            <w:noProof/>
            <w:webHidden/>
          </w:rPr>
        </w:r>
        <w:r>
          <w:rPr>
            <w:noProof/>
            <w:webHidden/>
          </w:rPr>
          <w:fldChar w:fldCharType="separate"/>
        </w:r>
        <w:r>
          <w:rPr>
            <w:noProof/>
            <w:webHidden/>
          </w:rPr>
          <w:t>72</w:t>
        </w:r>
        <w:r>
          <w:rPr>
            <w:noProof/>
            <w:webHidden/>
          </w:rPr>
          <w:fldChar w:fldCharType="end"/>
        </w:r>
      </w:hyperlink>
    </w:p>
    <w:p w14:paraId="50E6C5B5" w14:textId="0915A1C1">
      <w:pPr>
        <w:pStyle w:val="TJ3"/>
        <w:rPr>
          <w:rFonts w:asciiTheme="minorHAnsi" w:hAnsiTheme="minorHAnsi" w:cstheme="minorBidi"/>
          <w:noProof/>
          <w:sz w:val="24"/>
          <w:szCs w:val="21"/>
          <w:lang w:eastAsia="en-GB" w:bidi="sa-IN"/>
        </w:rPr>
      </w:pPr>
      <w:hyperlink w:anchor="_Toc242889493" w:history="1">
        <w:r>
          <w:rPr>
            <w:rStyle w:val="Hiperhivatkozs"/>
            <w:noProof/>
            <w:lang w:bidi="ar-SA"/>
          </w:rPr>
          <w:t>5.2.5. Phonographic glyphs in a different function</w:t>
        </w:r>
        <w:r>
          <w:rPr>
            <w:noProof/>
            <w:webHidden/>
          </w:rPr>
          <w:tab/>
        </w:r>
        <w:r>
          <w:rPr>
            <w:noProof/>
            <w:webHidden/>
          </w:rPr>
          <w:fldChar w:fldCharType="begin"/>
        </w:r>
        <w:r>
          <w:rPr>
            <w:noProof/>
            <w:webHidden/>
          </w:rPr>
          <w:instrText xml:space="preserve"> PAGEREF _Toc242889493 \h </w:instrText>
        </w:r>
        <w:r>
          <w:rPr>
            <w:noProof/>
            <w:webHidden/>
          </w:rPr>
        </w:r>
        <w:r>
          <w:rPr>
            <w:noProof/>
            <w:webHidden/>
          </w:rPr>
          <w:fldChar w:fldCharType="separate"/>
        </w:r>
        <w:r>
          <w:rPr>
            <w:noProof/>
            <w:webHidden/>
          </w:rPr>
          <w:t>73</w:t>
        </w:r>
        <w:r>
          <w:rPr>
            <w:noProof/>
            <w:webHidden/>
          </w:rPr>
          <w:fldChar w:fldCharType="end"/>
        </w:r>
      </w:hyperlink>
    </w:p>
    <w:p w14:paraId="403B9D07" w14:textId="5D47BA76">
      <w:pPr>
        <w:pStyle w:val="TJ2"/>
        <w:rPr>
          <w:rFonts w:asciiTheme="minorHAnsi" w:hAnsiTheme="minorHAnsi" w:cstheme="minorBidi"/>
          <w:noProof/>
          <w:sz w:val="24"/>
          <w:szCs w:val="21"/>
          <w:lang w:eastAsia="en-GB" w:bidi="sa-IN"/>
        </w:rPr>
      </w:pPr>
      <w:hyperlink w:anchor="_Toc242889494" w:history="1">
        <w:r>
          <w:rPr>
            <w:rStyle w:val="Hiperhivatkozs"/>
            <w:noProof/>
            <w:lang w:bidi="ar-SA"/>
          </w:rPr>
          <w:t>5.3. Numeral signs</w:t>
        </w:r>
        <w:r>
          <w:rPr>
            <w:noProof/>
            <w:webHidden/>
          </w:rPr>
          <w:tab/>
        </w:r>
        <w:r>
          <w:rPr>
            <w:noProof/>
            <w:webHidden/>
          </w:rPr>
          <w:fldChar w:fldCharType="begin"/>
        </w:r>
        <w:r>
          <w:rPr>
            <w:noProof/>
            <w:webHidden/>
          </w:rPr>
          <w:instrText xml:space="preserve"> PAGEREF _Toc242889494 \h </w:instrText>
        </w:r>
        <w:r>
          <w:rPr>
            <w:noProof/>
            <w:webHidden/>
          </w:rPr>
        </w:r>
        <w:r>
          <w:rPr>
            <w:noProof/>
            <w:webHidden/>
          </w:rPr>
          <w:fldChar w:fldCharType="separate"/>
        </w:r>
        <w:r>
          <w:rPr>
            <w:noProof/>
            <w:webHidden/>
          </w:rPr>
          <w:t>74</w:t>
        </w:r>
        <w:r>
          <w:rPr>
            <w:noProof/>
            <w:webHidden/>
          </w:rPr>
          <w:fldChar w:fldCharType="end"/>
        </w:r>
      </w:hyperlink>
    </w:p>
    <w:p w14:paraId="4A03DB13" w14:textId="762C16C0">
      <w:pPr>
        <w:pStyle w:val="TJ3"/>
        <w:rPr>
          <w:rFonts w:asciiTheme="minorHAnsi" w:hAnsiTheme="minorHAnsi" w:cstheme="minorBidi"/>
          <w:noProof/>
          <w:sz w:val="24"/>
          <w:szCs w:val="21"/>
          <w:lang w:eastAsia="en-GB" w:bidi="sa-IN"/>
        </w:rPr>
      </w:pPr>
      <w:hyperlink w:anchor="_Toc242889495" w:history="1">
        <w:r>
          <w:rPr>
            <w:rStyle w:val="Hiperhivatkozs"/>
            <w:noProof/>
            <w:lang w:bidi="ar-SA"/>
          </w:rPr>
          <w:t>5.3.1. Glyph encoding for numerals</w:t>
        </w:r>
        <w:r>
          <w:rPr>
            <w:noProof/>
            <w:webHidden/>
          </w:rPr>
          <w:tab/>
        </w:r>
        <w:r>
          <w:rPr>
            <w:noProof/>
            <w:webHidden/>
          </w:rPr>
          <w:fldChar w:fldCharType="begin"/>
        </w:r>
        <w:r>
          <w:rPr>
            <w:noProof/>
            <w:webHidden/>
          </w:rPr>
          <w:instrText xml:space="preserve"> PAGEREF _Toc242889495 \h </w:instrText>
        </w:r>
        <w:r>
          <w:rPr>
            <w:noProof/>
            <w:webHidden/>
          </w:rPr>
        </w:r>
        <w:r>
          <w:rPr>
            <w:noProof/>
            <w:webHidden/>
          </w:rPr>
          <w:fldChar w:fldCharType="separate"/>
        </w:r>
        <w:r>
          <w:rPr>
            <w:noProof/>
            <w:webHidden/>
          </w:rPr>
          <w:t>74</w:t>
        </w:r>
        <w:r>
          <w:rPr>
            <w:noProof/>
            <w:webHidden/>
          </w:rPr>
          <w:fldChar w:fldCharType="end"/>
        </w:r>
      </w:hyperlink>
    </w:p>
    <w:p w14:paraId="10F85753" w14:textId="685DDD14">
      <w:pPr>
        <w:pStyle w:val="TJ3"/>
        <w:rPr>
          <w:rFonts w:asciiTheme="minorHAnsi" w:hAnsiTheme="minorHAnsi" w:cstheme="minorBidi"/>
          <w:noProof/>
          <w:sz w:val="24"/>
          <w:szCs w:val="21"/>
          <w:lang w:eastAsia="en-GB" w:bidi="sa-IN"/>
        </w:rPr>
      </w:pPr>
      <w:hyperlink w:anchor="_Toc242889496" w:history="1">
        <w:r>
          <w:rPr>
            <w:rStyle w:val="Hiperhivatkozs"/>
            <w:noProof/>
            <w:lang w:bidi="ar-SA"/>
          </w:rPr>
          <w:t>5.3.2. Numeral signs and their context</w:t>
        </w:r>
        <w:r>
          <w:rPr>
            <w:noProof/>
            <w:webHidden/>
          </w:rPr>
          <w:tab/>
        </w:r>
        <w:r>
          <w:rPr>
            <w:noProof/>
            <w:webHidden/>
          </w:rPr>
          <w:fldChar w:fldCharType="begin"/>
        </w:r>
        <w:r>
          <w:rPr>
            <w:noProof/>
            <w:webHidden/>
          </w:rPr>
          <w:instrText xml:space="preserve"> PAGEREF _Toc242889496 \h </w:instrText>
        </w:r>
        <w:r>
          <w:rPr>
            <w:noProof/>
            <w:webHidden/>
          </w:rPr>
        </w:r>
        <w:r>
          <w:rPr>
            <w:noProof/>
            <w:webHidden/>
          </w:rPr>
          <w:fldChar w:fldCharType="separate"/>
        </w:r>
        <w:r>
          <w:rPr>
            <w:noProof/>
            <w:webHidden/>
          </w:rPr>
          <w:t>75</w:t>
        </w:r>
        <w:r>
          <w:rPr>
            <w:noProof/>
            <w:webHidden/>
          </w:rPr>
          <w:fldChar w:fldCharType="end"/>
        </w:r>
      </w:hyperlink>
    </w:p>
    <w:p w14:paraId="223AC274" w14:textId="6F98A14A">
      <w:pPr>
        <w:pStyle w:val="TJ3"/>
        <w:rPr>
          <w:rFonts w:asciiTheme="minorHAnsi" w:hAnsiTheme="minorHAnsi" w:cstheme="minorBidi"/>
          <w:noProof/>
          <w:sz w:val="24"/>
          <w:szCs w:val="21"/>
          <w:lang w:eastAsia="en-GB" w:bidi="sa-IN"/>
        </w:rPr>
      </w:pPr>
      <w:hyperlink w:anchor="_Toc242889497" w:history="1">
        <w:r>
          <w:rPr>
            <w:rStyle w:val="Hiperhivatkozs"/>
            <w:noProof/>
            <w:lang w:bidi="ar-SA"/>
          </w:rPr>
          <w:t>5.3.3. Numeral glyphs in a non-numeral function</w:t>
        </w:r>
        <w:r>
          <w:rPr>
            <w:noProof/>
            <w:webHidden/>
          </w:rPr>
          <w:tab/>
        </w:r>
        <w:r>
          <w:rPr>
            <w:noProof/>
            <w:webHidden/>
          </w:rPr>
          <w:fldChar w:fldCharType="begin"/>
        </w:r>
        <w:r>
          <w:rPr>
            <w:noProof/>
            <w:webHidden/>
          </w:rPr>
          <w:instrText xml:space="preserve"> PAGEREF _Toc242889497 \h </w:instrText>
        </w:r>
        <w:r>
          <w:rPr>
            <w:noProof/>
            <w:webHidden/>
          </w:rPr>
        </w:r>
        <w:r>
          <w:rPr>
            <w:noProof/>
            <w:webHidden/>
          </w:rPr>
          <w:fldChar w:fldCharType="separate"/>
        </w:r>
        <w:r>
          <w:rPr>
            <w:noProof/>
            <w:webHidden/>
          </w:rPr>
          <w:t>75</w:t>
        </w:r>
        <w:r>
          <w:rPr>
            <w:noProof/>
            <w:webHidden/>
          </w:rPr>
          <w:fldChar w:fldCharType="end"/>
        </w:r>
      </w:hyperlink>
    </w:p>
    <w:p w14:paraId="43429191" w14:textId="72D12308">
      <w:pPr>
        <w:pStyle w:val="TJ2"/>
        <w:rPr>
          <w:rFonts w:asciiTheme="minorHAnsi" w:hAnsiTheme="minorHAnsi" w:cstheme="minorBidi"/>
          <w:noProof/>
          <w:sz w:val="24"/>
          <w:szCs w:val="21"/>
          <w:lang w:eastAsia="en-GB" w:bidi="sa-IN"/>
        </w:rPr>
      </w:pPr>
      <w:hyperlink w:anchor="_Toc242889498" w:history="1">
        <w:r>
          <w:rPr>
            <w:rStyle w:val="Hiperhivatkozs"/>
            <w:noProof/>
            <w:lang w:bidi="ar-SA"/>
          </w:rPr>
          <w:t>5.4. Peripheral graphemes</w:t>
        </w:r>
        <w:r>
          <w:rPr>
            <w:noProof/>
            <w:webHidden/>
          </w:rPr>
          <w:tab/>
        </w:r>
        <w:r>
          <w:rPr>
            <w:noProof/>
            <w:webHidden/>
          </w:rPr>
          <w:fldChar w:fldCharType="begin"/>
        </w:r>
        <w:r>
          <w:rPr>
            <w:noProof/>
            <w:webHidden/>
          </w:rPr>
          <w:instrText xml:space="preserve"> PAGEREF _Toc242889498 \h </w:instrText>
        </w:r>
        <w:r>
          <w:rPr>
            <w:noProof/>
            <w:webHidden/>
          </w:rPr>
        </w:r>
        <w:r>
          <w:rPr>
            <w:noProof/>
            <w:webHidden/>
          </w:rPr>
          <w:fldChar w:fldCharType="separate"/>
        </w:r>
        <w:r>
          <w:rPr>
            <w:noProof/>
            <w:webHidden/>
          </w:rPr>
          <w:t>76</w:t>
        </w:r>
        <w:r>
          <w:rPr>
            <w:noProof/>
            <w:webHidden/>
          </w:rPr>
          <w:fldChar w:fldCharType="end"/>
        </w:r>
      </w:hyperlink>
    </w:p>
    <w:p w14:paraId="6BD72EB5" w14:textId="307E97E5">
      <w:pPr>
        <w:pStyle w:val="TJ3"/>
        <w:rPr>
          <w:rFonts w:asciiTheme="minorHAnsi" w:hAnsiTheme="minorHAnsi" w:cstheme="minorBidi"/>
          <w:noProof/>
          <w:sz w:val="24"/>
          <w:szCs w:val="21"/>
          <w:lang w:eastAsia="en-GB" w:bidi="sa-IN"/>
        </w:rPr>
      </w:pPr>
      <w:hyperlink w:anchor="_Toc242889499" w:history="1">
        <w:r>
          <w:rPr>
            <w:rStyle w:val="Hiperhivatkozs"/>
            <w:noProof/>
            <w:lang w:bidi="ar-SA"/>
          </w:rPr>
          <w:t>5.4.1. Representing peripheral graphemes in a digital edition</w:t>
        </w:r>
        <w:r>
          <w:rPr>
            <w:noProof/>
            <w:webHidden/>
          </w:rPr>
          <w:tab/>
        </w:r>
        <w:r>
          <w:rPr>
            <w:noProof/>
            <w:webHidden/>
          </w:rPr>
          <w:fldChar w:fldCharType="begin"/>
        </w:r>
        <w:r>
          <w:rPr>
            <w:noProof/>
            <w:webHidden/>
          </w:rPr>
          <w:instrText xml:space="preserve"> PAGEREF _Toc242889499 \h </w:instrText>
        </w:r>
        <w:r>
          <w:rPr>
            <w:noProof/>
            <w:webHidden/>
          </w:rPr>
        </w:r>
        <w:r>
          <w:rPr>
            <w:noProof/>
            <w:webHidden/>
          </w:rPr>
          <w:fldChar w:fldCharType="separate"/>
        </w:r>
        <w:r>
          <w:rPr>
            <w:noProof/>
            <w:webHidden/>
          </w:rPr>
          <w:t>76</w:t>
        </w:r>
        <w:r>
          <w:rPr>
            <w:noProof/>
            <w:webHidden/>
          </w:rPr>
          <w:fldChar w:fldCharType="end"/>
        </w:r>
      </w:hyperlink>
    </w:p>
    <w:p w14:paraId="3927B716" w14:textId="2AEB6FAE">
      <w:pPr>
        <w:pStyle w:val="TJ3"/>
        <w:rPr>
          <w:rFonts w:asciiTheme="minorHAnsi" w:hAnsiTheme="minorHAnsi" w:cstheme="minorBidi"/>
          <w:noProof/>
          <w:sz w:val="24"/>
          <w:szCs w:val="21"/>
          <w:lang w:eastAsia="en-GB" w:bidi="sa-IN"/>
        </w:rPr>
      </w:pPr>
      <w:hyperlink w:anchor="_Toc242889500" w:history="1">
        <w:r>
          <w:rPr>
            <w:rStyle w:val="Hiperhivatkozs"/>
            <w:noProof/>
            <w:lang w:bidi="ar-SA"/>
          </w:rPr>
          <w:t>5.4.2. Classifying symbols by function</w:t>
        </w:r>
        <w:r>
          <w:rPr>
            <w:noProof/>
            <w:webHidden/>
          </w:rPr>
          <w:tab/>
        </w:r>
        <w:r>
          <w:rPr>
            <w:noProof/>
            <w:webHidden/>
          </w:rPr>
          <w:fldChar w:fldCharType="begin"/>
        </w:r>
        <w:r>
          <w:rPr>
            <w:noProof/>
            <w:webHidden/>
          </w:rPr>
          <w:instrText xml:space="preserve"> PAGEREF _Toc242889500 \h </w:instrText>
        </w:r>
        <w:r>
          <w:rPr>
            <w:noProof/>
            <w:webHidden/>
          </w:rPr>
        </w:r>
        <w:r>
          <w:rPr>
            <w:noProof/>
            <w:webHidden/>
          </w:rPr>
          <w:fldChar w:fldCharType="separate"/>
        </w:r>
        <w:r>
          <w:rPr>
            <w:noProof/>
            <w:webHidden/>
          </w:rPr>
          <w:t>77</w:t>
        </w:r>
        <w:r>
          <w:rPr>
            <w:noProof/>
            <w:webHidden/>
          </w:rPr>
          <w:fldChar w:fldCharType="end"/>
        </w:r>
      </w:hyperlink>
    </w:p>
    <w:p w14:paraId="43A79F08" w14:textId="0F571C23">
      <w:pPr>
        <w:pStyle w:val="TJ3"/>
        <w:rPr>
          <w:rFonts w:asciiTheme="minorHAnsi" w:hAnsiTheme="minorHAnsi" w:cstheme="minorBidi"/>
          <w:noProof/>
          <w:sz w:val="24"/>
          <w:szCs w:val="21"/>
          <w:lang w:eastAsia="en-GB" w:bidi="sa-IN"/>
        </w:rPr>
      </w:pPr>
      <w:hyperlink w:anchor="_Toc242889501" w:history="1">
        <w:r>
          <w:rPr>
            <w:rStyle w:val="Hiperhivatkozs"/>
            <w:noProof/>
            <w:lang w:bidi="ar-SA"/>
          </w:rPr>
          <w:t>5.4.3. Transliterating peripheral graphemes</w:t>
        </w:r>
        <w:r>
          <w:rPr>
            <w:noProof/>
            <w:webHidden/>
          </w:rPr>
          <w:tab/>
        </w:r>
        <w:r>
          <w:rPr>
            <w:noProof/>
            <w:webHidden/>
          </w:rPr>
          <w:fldChar w:fldCharType="begin"/>
        </w:r>
        <w:r>
          <w:rPr>
            <w:noProof/>
            <w:webHidden/>
          </w:rPr>
          <w:instrText xml:space="preserve"> PAGEREF _Toc242889501 \h </w:instrText>
        </w:r>
        <w:r>
          <w:rPr>
            <w:noProof/>
            <w:webHidden/>
          </w:rPr>
        </w:r>
        <w:r>
          <w:rPr>
            <w:noProof/>
            <w:webHidden/>
          </w:rPr>
          <w:fldChar w:fldCharType="separate"/>
        </w:r>
        <w:r>
          <w:rPr>
            <w:noProof/>
            <w:webHidden/>
          </w:rPr>
          <w:t>78</w:t>
        </w:r>
        <w:r>
          <w:rPr>
            <w:noProof/>
            <w:webHidden/>
          </w:rPr>
          <w:fldChar w:fldCharType="end"/>
        </w:r>
      </w:hyperlink>
    </w:p>
    <w:p w14:paraId="108CE028" w14:textId="5B3C9C76">
      <w:pPr>
        <w:pStyle w:val="TJ3"/>
        <w:rPr>
          <w:rFonts w:asciiTheme="minorHAnsi" w:hAnsiTheme="minorHAnsi" w:cstheme="minorBidi"/>
          <w:noProof/>
          <w:sz w:val="24"/>
          <w:szCs w:val="21"/>
          <w:lang w:eastAsia="en-GB" w:bidi="sa-IN"/>
        </w:rPr>
      </w:pPr>
      <w:hyperlink w:anchor="_Toc242889502" w:history="1">
        <w:r>
          <w:rPr>
            <w:rStyle w:val="Hiperhivatkozs"/>
            <w:noProof/>
            <w:lang w:bidi="ar-SA"/>
          </w:rPr>
          <w:t>5.4.4. Glyph encoding for peripheral graphemes</w:t>
        </w:r>
        <w:r>
          <w:rPr>
            <w:noProof/>
            <w:webHidden/>
          </w:rPr>
          <w:tab/>
        </w:r>
        <w:r>
          <w:rPr>
            <w:noProof/>
            <w:webHidden/>
          </w:rPr>
          <w:fldChar w:fldCharType="begin"/>
        </w:r>
        <w:r>
          <w:rPr>
            <w:noProof/>
            <w:webHidden/>
          </w:rPr>
          <w:instrText xml:space="preserve"> PAGEREF _Toc242889502 \h </w:instrText>
        </w:r>
        <w:r>
          <w:rPr>
            <w:noProof/>
            <w:webHidden/>
          </w:rPr>
        </w:r>
        <w:r>
          <w:rPr>
            <w:noProof/>
            <w:webHidden/>
          </w:rPr>
          <w:fldChar w:fldCharType="separate"/>
        </w:r>
        <w:r>
          <w:rPr>
            <w:noProof/>
            <w:webHidden/>
          </w:rPr>
          <w:t>78</w:t>
        </w:r>
        <w:r>
          <w:rPr>
            <w:noProof/>
            <w:webHidden/>
          </w:rPr>
          <w:fldChar w:fldCharType="end"/>
        </w:r>
      </w:hyperlink>
    </w:p>
    <w:p w14:paraId="078027BD" w14:textId="4454285D">
      <w:pPr>
        <w:pStyle w:val="TJ3"/>
        <w:rPr>
          <w:rFonts w:asciiTheme="minorHAnsi" w:hAnsiTheme="minorHAnsi" w:cstheme="minorBidi"/>
          <w:noProof/>
          <w:sz w:val="24"/>
          <w:szCs w:val="21"/>
          <w:lang w:eastAsia="en-GB" w:bidi="sa-IN"/>
        </w:rPr>
      </w:pPr>
      <w:hyperlink w:anchor="_Toc242889503" w:history="1">
        <w:r>
          <w:rPr>
            <w:rStyle w:val="Hiperhivatkozs"/>
            <w:noProof/>
            <w:lang w:bidi="ar-SA"/>
          </w:rPr>
          <w:t>5.4.5. Multiple peripheral graphemes</w:t>
        </w:r>
        <w:r>
          <w:rPr>
            <w:noProof/>
            <w:webHidden/>
          </w:rPr>
          <w:tab/>
        </w:r>
        <w:r>
          <w:rPr>
            <w:noProof/>
            <w:webHidden/>
          </w:rPr>
          <w:fldChar w:fldCharType="begin"/>
        </w:r>
        <w:r>
          <w:rPr>
            <w:noProof/>
            <w:webHidden/>
          </w:rPr>
          <w:instrText xml:space="preserve"> PAGEREF _Toc242889503 \h </w:instrText>
        </w:r>
        <w:r>
          <w:rPr>
            <w:noProof/>
            <w:webHidden/>
          </w:rPr>
        </w:r>
        <w:r>
          <w:rPr>
            <w:noProof/>
            <w:webHidden/>
          </w:rPr>
          <w:fldChar w:fldCharType="separate"/>
        </w:r>
        <w:r>
          <w:rPr>
            <w:noProof/>
            <w:webHidden/>
          </w:rPr>
          <w:t>82</w:t>
        </w:r>
        <w:r>
          <w:rPr>
            <w:noProof/>
            <w:webHidden/>
          </w:rPr>
          <w:fldChar w:fldCharType="end"/>
        </w:r>
      </w:hyperlink>
    </w:p>
    <w:p w14:paraId="5A8142E5" w14:textId="0E1D4F9E">
      <w:pPr>
        <w:pStyle w:val="TJ3"/>
        <w:rPr>
          <w:rFonts w:asciiTheme="minorHAnsi" w:hAnsiTheme="minorHAnsi" w:cstheme="minorBidi"/>
          <w:noProof/>
          <w:sz w:val="24"/>
          <w:szCs w:val="21"/>
          <w:lang w:eastAsia="en-GB" w:bidi="sa-IN"/>
        </w:rPr>
      </w:pPr>
      <w:hyperlink w:anchor="_Toc242889504" w:history="1">
        <w:r>
          <w:rPr>
            <w:rStyle w:val="Hiperhivatkozs"/>
            <w:noProof/>
            <w:lang w:bidi="ar-SA"/>
          </w:rPr>
          <w:t>5.4.6. Peripheral graphemes and their context</w:t>
        </w:r>
        <w:r>
          <w:rPr>
            <w:noProof/>
            <w:webHidden/>
          </w:rPr>
          <w:tab/>
        </w:r>
        <w:r>
          <w:rPr>
            <w:noProof/>
            <w:webHidden/>
          </w:rPr>
          <w:fldChar w:fldCharType="begin"/>
        </w:r>
        <w:r>
          <w:rPr>
            <w:noProof/>
            <w:webHidden/>
          </w:rPr>
          <w:instrText xml:space="preserve"> PAGEREF _Toc242889504 \h </w:instrText>
        </w:r>
        <w:r>
          <w:rPr>
            <w:noProof/>
            <w:webHidden/>
          </w:rPr>
        </w:r>
        <w:r>
          <w:rPr>
            <w:noProof/>
            <w:webHidden/>
          </w:rPr>
          <w:fldChar w:fldCharType="separate"/>
        </w:r>
        <w:r>
          <w:rPr>
            <w:noProof/>
            <w:webHidden/>
          </w:rPr>
          <w:t>82</w:t>
        </w:r>
        <w:r>
          <w:rPr>
            <w:noProof/>
            <w:webHidden/>
          </w:rPr>
          <w:fldChar w:fldCharType="end"/>
        </w:r>
      </w:hyperlink>
    </w:p>
    <w:p w14:paraId="2BF01EBD" w14:textId="0911F1FF">
      <w:pPr>
        <w:pStyle w:val="TJ2"/>
        <w:rPr>
          <w:rFonts w:asciiTheme="minorHAnsi" w:hAnsiTheme="minorHAnsi" w:cstheme="minorBidi"/>
          <w:noProof/>
          <w:sz w:val="24"/>
          <w:szCs w:val="21"/>
          <w:lang w:eastAsia="en-GB" w:bidi="sa-IN"/>
        </w:rPr>
      </w:pPr>
      <w:hyperlink w:anchor="_Toc242889505" w:history="1">
        <w:r>
          <w:rPr>
            <w:rStyle w:val="Hiperhivatkozs"/>
            <w:noProof/>
            <w:lang w:bidi="ar-SA"/>
          </w:rPr>
          <w:t>5.5. Space left blank in the original</w:t>
        </w:r>
        <w:r>
          <w:rPr>
            <w:noProof/>
            <w:webHidden/>
          </w:rPr>
          <w:tab/>
        </w:r>
        <w:r>
          <w:rPr>
            <w:noProof/>
            <w:webHidden/>
          </w:rPr>
          <w:fldChar w:fldCharType="begin"/>
        </w:r>
        <w:r>
          <w:rPr>
            <w:noProof/>
            <w:webHidden/>
          </w:rPr>
          <w:instrText xml:space="preserve"> PAGEREF _Toc242889505 \h </w:instrText>
        </w:r>
        <w:r>
          <w:rPr>
            <w:noProof/>
            <w:webHidden/>
          </w:rPr>
        </w:r>
        <w:r>
          <w:rPr>
            <w:noProof/>
            <w:webHidden/>
          </w:rPr>
          <w:fldChar w:fldCharType="separate"/>
        </w:r>
        <w:r>
          <w:rPr>
            <w:noProof/>
            <w:webHidden/>
          </w:rPr>
          <w:t>83</w:t>
        </w:r>
        <w:r>
          <w:rPr>
            <w:noProof/>
            <w:webHidden/>
          </w:rPr>
          <w:fldChar w:fldCharType="end"/>
        </w:r>
      </w:hyperlink>
    </w:p>
    <w:p w14:paraId="35D80071" w14:textId="385AE4B1">
      <w:pPr>
        <w:pStyle w:val="TJ3"/>
        <w:rPr>
          <w:rFonts w:asciiTheme="minorHAnsi" w:hAnsiTheme="minorHAnsi" w:cstheme="minorBidi"/>
          <w:noProof/>
          <w:sz w:val="24"/>
          <w:szCs w:val="21"/>
          <w:lang w:eastAsia="en-GB" w:bidi="sa-IN"/>
        </w:rPr>
      </w:pPr>
      <w:hyperlink w:anchor="_Toc242889506" w:history="1">
        <w:r>
          <w:rPr>
            <w:rStyle w:val="Hiperhivatkozs"/>
            <w:noProof/>
            <w:lang w:bidi="ar-SA"/>
          </w:rPr>
          <w:t>5.5.1. Space for semantic segmentation</w:t>
        </w:r>
        <w:r>
          <w:rPr>
            <w:noProof/>
            <w:webHidden/>
          </w:rPr>
          <w:tab/>
        </w:r>
        <w:r>
          <w:rPr>
            <w:noProof/>
            <w:webHidden/>
          </w:rPr>
          <w:fldChar w:fldCharType="begin"/>
        </w:r>
        <w:r>
          <w:rPr>
            <w:noProof/>
            <w:webHidden/>
          </w:rPr>
          <w:instrText xml:space="preserve"> PAGEREF _Toc242889506 \h </w:instrText>
        </w:r>
        <w:r>
          <w:rPr>
            <w:noProof/>
            <w:webHidden/>
          </w:rPr>
        </w:r>
        <w:r>
          <w:rPr>
            <w:noProof/>
            <w:webHidden/>
          </w:rPr>
          <w:fldChar w:fldCharType="separate"/>
        </w:r>
        <w:r>
          <w:rPr>
            <w:noProof/>
            <w:webHidden/>
          </w:rPr>
          <w:t>83</w:t>
        </w:r>
        <w:r>
          <w:rPr>
            <w:noProof/>
            <w:webHidden/>
          </w:rPr>
          <w:fldChar w:fldCharType="end"/>
        </w:r>
      </w:hyperlink>
    </w:p>
    <w:p w14:paraId="3A95C957" w14:textId="43C777FA">
      <w:pPr>
        <w:pStyle w:val="TJ3"/>
        <w:rPr>
          <w:rFonts w:asciiTheme="minorHAnsi" w:hAnsiTheme="minorHAnsi" w:cstheme="minorBidi"/>
          <w:noProof/>
          <w:sz w:val="24"/>
          <w:szCs w:val="21"/>
          <w:lang w:eastAsia="en-GB" w:bidi="sa-IN"/>
        </w:rPr>
      </w:pPr>
      <w:hyperlink w:anchor="_Toc242889507" w:history="1">
        <w:r>
          <w:rPr>
            <w:rStyle w:val="Hiperhivatkozs"/>
            <w:noProof/>
            <w:lang w:bidi="ar-SA"/>
          </w:rPr>
          <w:t>5.5.2. Other kinds of space</w:t>
        </w:r>
        <w:r>
          <w:rPr>
            <w:noProof/>
            <w:webHidden/>
          </w:rPr>
          <w:tab/>
        </w:r>
        <w:r>
          <w:rPr>
            <w:noProof/>
            <w:webHidden/>
          </w:rPr>
          <w:fldChar w:fldCharType="begin"/>
        </w:r>
        <w:r>
          <w:rPr>
            <w:noProof/>
            <w:webHidden/>
          </w:rPr>
          <w:instrText xml:space="preserve"> PAGEREF _Toc242889507 \h </w:instrText>
        </w:r>
        <w:r>
          <w:rPr>
            <w:noProof/>
            <w:webHidden/>
          </w:rPr>
        </w:r>
        <w:r>
          <w:rPr>
            <w:noProof/>
            <w:webHidden/>
          </w:rPr>
          <w:fldChar w:fldCharType="separate"/>
        </w:r>
        <w:r>
          <w:rPr>
            <w:noProof/>
            <w:webHidden/>
          </w:rPr>
          <w:t>85</w:t>
        </w:r>
        <w:r>
          <w:rPr>
            <w:noProof/>
            <w:webHidden/>
          </w:rPr>
          <w:fldChar w:fldCharType="end"/>
        </w:r>
      </w:hyperlink>
    </w:p>
    <w:p w14:paraId="1F59E3BA" w14:textId="394B927B">
      <w:pPr>
        <w:pStyle w:val="TJ3"/>
        <w:rPr>
          <w:rFonts w:asciiTheme="minorHAnsi" w:hAnsiTheme="minorHAnsi" w:cstheme="minorBidi"/>
          <w:noProof/>
          <w:sz w:val="24"/>
          <w:szCs w:val="21"/>
          <w:lang w:eastAsia="en-GB" w:bidi="sa-IN"/>
        </w:rPr>
      </w:pPr>
      <w:hyperlink w:anchor="_Toc242889508" w:history="1">
        <w:r>
          <w:rPr>
            <w:rStyle w:val="Hiperhivatkozs"/>
            <w:noProof/>
            <w:lang w:bidi="ar-SA"/>
          </w:rPr>
          <w:t>5.5.3. The size of spaces</w:t>
        </w:r>
        <w:r>
          <w:rPr>
            <w:noProof/>
            <w:webHidden/>
          </w:rPr>
          <w:tab/>
        </w:r>
        <w:r>
          <w:rPr>
            <w:noProof/>
            <w:webHidden/>
          </w:rPr>
          <w:fldChar w:fldCharType="begin"/>
        </w:r>
        <w:r>
          <w:rPr>
            <w:noProof/>
            <w:webHidden/>
          </w:rPr>
          <w:instrText xml:space="preserve"> PAGEREF _Toc242889508 \h </w:instrText>
        </w:r>
        <w:r>
          <w:rPr>
            <w:noProof/>
            <w:webHidden/>
          </w:rPr>
        </w:r>
        <w:r>
          <w:rPr>
            <w:noProof/>
            <w:webHidden/>
          </w:rPr>
          <w:fldChar w:fldCharType="separate"/>
        </w:r>
        <w:r>
          <w:rPr>
            <w:noProof/>
            <w:webHidden/>
          </w:rPr>
          <w:t>88</w:t>
        </w:r>
        <w:r>
          <w:rPr>
            <w:noProof/>
            <w:webHidden/>
          </w:rPr>
          <w:fldChar w:fldCharType="end"/>
        </w:r>
      </w:hyperlink>
    </w:p>
    <w:p w14:paraId="5682173B" w14:textId="4BBB997A">
      <w:pPr>
        <w:pStyle w:val="TJ3"/>
        <w:rPr>
          <w:rFonts w:asciiTheme="minorHAnsi" w:hAnsiTheme="minorHAnsi" w:cstheme="minorBidi"/>
          <w:noProof/>
          <w:sz w:val="24"/>
          <w:szCs w:val="21"/>
          <w:lang w:eastAsia="en-GB" w:bidi="sa-IN"/>
        </w:rPr>
      </w:pPr>
      <w:hyperlink w:anchor="_Toc242889509" w:history="1">
        <w:r>
          <w:rPr>
            <w:rStyle w:val="Hiperhivatkozs"/>
            <w:noProof/>
            <w:lang w:bidi="ar-SA"/>
          </w:rPr>
          <w:t>5.5.4. Spaces and their context</w:t>
        </w:r>
        <w:r>
          <w:rPr>
            <w:noProof/>
            <w:webHidden/>
          </w:rPr>
          <w:tab/>
        </w:r>
        <w:r>
          <w:rPr>
            <w:noProof/>
            <w:webHidden/>
          </w:rPr>
          <w:fldChar w:fldCharType="begin"/>
        </w:r>
        <w:r>
          <w:rPr>
            <w:noProof/>
            <w:webHidden/>
          </w:rPr>
          <w:instrText xml:space="preserve"> PAGEREF _Toc242889509 \h </w:instrText>
        </w:r>
        <w:r>
          <w:rPr>
            <w:noProof/>
            <w:webHidden/>
          </w:rPr>
        </w:r>
        <w:r>
          <w:rPr>
            <w:noProof/>
            <w:webHidden/>
          </w:rPr>
          <w:fldChar w:fldCharType="separate"/>
        </w:r>
        <w:r>
          <w:rPr>
            <w:noProof/>
            <w:webHidden/>
          </w:rPr>
          <w:t>88</w:t>
        </w:r>
        <w:r>
          <w:rPr>
            <w:noProof/>
            <w:webHidden/>
          </w:rPr>
          <w:fldChar w:fldCharType="end"/>
        </w:r>
      </w:hyperlink>
    </w:p>
    <w:p w14:paraId="57C22945" w14:textId="3288E7BD">
      <w:pPr>
        <w:pStyle w:val="TJ2"/>
        <w:rPr>
          <w:rFonts w:asciiTheme="minorHAnsi" w:hAnsiTheme="minorHAnsi" w:cstheme="minorBidi"/>
          <w:noProof/>
          <w:sz w:val="24"/>
          <w:szCs w:val="21"/>
          <w:lang w:eastAsia="en-GB" w:bidi="sa-IN"/>
        </w:rPr>
      </w:pPr>
      <w:hyperlink w:anchor="_Toc242889510" w:history="1">
        <w:r>
          <w:rPr>
            <w:rStyle w:val="Hiperhivatkozs"/>
            <w:noProof/>
            <w:lang w:bidi="ar-SA"/>
          </w:rPr>
          <w:t>5.6. Premodern scribal intervention</w:t>
        </w:r>
        <w:r>
          <w:rPr>
            <w:noProof/>
            <w:webHidden/>
          </w:rPr>
          <w:tab/>
        </w:r>
        <w:r>
          <w:rPr>
            <w:noProof/>
            <w:webHidden/>
          </w:rPr>
          <w:fldChar w:fldCharType="begin"/>
        </w:r>
        <w:r>
          <w:rPr>
            <w:noProof/>
            <w:webHidden/>
          </w:rPr>
          <w:instrText xml:space="preserve"> PAGEREF _Toc242889510 \h </w:instrText>
        </w:r>
        <w:r>
          <w:rPr>
            <w:noProof/>
            <w:webHidden/>
          </w:rPr>
        </w:r>
        <w:r>
          <w:rPr>
            <w:noProof/>
            <w:webHidden/>
          </w:rPr>
          <w:fldChar w:fldCharType="separate"/>
        </w:r>
        <w:r>
          <w:rPr>
            <w:noProof/>
            <w:webHidden/>
          </w:rPr>
          <w:t>88</w:t>
        </w:r>
        <w:r>
          <w:rPr>
            <w:noProof/>
            <w:webHidden/>
          </w:rPr>
          <w:fldChar w:fldCharType="end"/>
        </w:r>
      </w:hyperlink>
    </w:p>
    <w:p w14:paraId="4EB6190D" w14:textId="2DA8668E">
      <w:pPr>
        <w:pStyle w:val="TJ3"/>
        <w:rPr>
          <w:rFonts w:asciiTheme="minorHAnsi" w:hAnsiTheme="minorHAnsi" w:cstheme="minorBidi"/>
          <w:noProof/>
          <w:sz w:val="24"/>
          <w:szCs w:val="21"/>
          <w:lang w:eastAsia="en-GB" w:bidi="sa-IN"/>
        </w:rPr>
      </w:pPr>
      <w:hyperlink w:anchor="_Toc242889511" w:history="1">
        <w:r>
          <w:rPr>
            <w:rStyle w:val="Hiperhivatkozs"/>
            <w:noProof/>
            <w:lang w:bidi="ar-SA"/>
          </w:rPr>
          <w:t>5.6.1. Scribal deletion</w:t>
        </w:r>
        <w:r>
          <w:rPr>
            <w:noProof/>
            <w:webHidden/>
          </w:rPr>
          <w:tab/>
        </w:r>
        <w:r>
          <w:rPr>
            <w:noProof/>
            <w:webHidden/>
          </w:rPr>
          <w:fldChar w:fldCharType="begin"/>
        </w:r>
        <w:r>
          <w:rPr>
            <w:noProof/>
            <w:webHidden/>
          </w:rPr>
          <w:instrText xml:space="preserve"> PAGEREF _Toc242889511 \h </w:instrText>
        </w:r>
        <w:r>
          <w:rPr>
            <w:noProof/>
            <w:webHidden/>
          </w:rPr>
        </w:r>
        <w:r>
          <w:rPr>
            <w:noProof/>
            <w:webHidden/>
          </w:rPr>
          <w:fldChar w:fldCharType="separate"/>
        </w:r>
        <w:r>
          <w:rPr>
            <w:noProof/>
            <w:webHidden/>
          </w:rPr>
          <w:t>89</w:t>
        </w:r>
        <w:r>
          <w:rPr>
            <w:noProof/>
            <w:webHidden/>
          </w:rPr>
          <w:fldChar w:fldCharType="end"/>
        </w:r>
      </w:hyperlink>
    </w:p>
    <w:p w14:paraId="3AEBF186" w14:textId="4AB91F42">
      <w:pPr>
        <w:pStyle w:val="TJ3"/>
        <w:rPr>
          <w:rFonts w:asciiTheme="minorHAnsi" w:hAnsiTheme="minorHAnsi" w:cstheme="minorBidi"/>
          <w:noProof/>
          <w:sz w:val="24"/>
          <w:szCs w:val="21"/>
          <w:lang w:eastAsia="en-GB" w:bidi="sa-IN"/>
        </w:rPr>
      </w:pPr>
      <w:hyperlink w:anchor="_Toc242889512" w:history="1">
        <w:r>
          <w:rPr>
            <w:rStyle w:val="Hiperhivatkozs"/>
            <w:noProof/>
            <w:lang w:bidi="ar-SA"/>
          </w:rPr>
          <w:t>5.6.2. Scribal addition</w:t>
        </w:r>
        <w:r>
          <w:rPr>
            <w:noProof/>
            <w:webHidden/>
          </w:rPr>
          <w:tab/>
        </w:r>
        <w:r>
          <w:rPr>
            <w:noProof/>
            <w:webHidden/>
          </w:rPr>
          <w:fldChar w:fldCharType="begin"/>
        </w:r>
        <w:r>
          <w:rPr>
            <w:noProof/>
            <w:webHidden/>
          </w:rPr>
          <w:instrText xml:space="preserve"> PAGEREF _Toc242889512 \h </w:instrText>
        </w:r>
        <w:r>
          <w:rPr>
            <w:noProof/>
            <w:webHidden/>
          </w:rPr>
        </w:r>
        <w:r>
          <w:rPr>
            <w:noProof/>
            <w:webHidden/>
          </w:rPr>
          <w:fldChar w:fldCharType="separate"/>
        </w:r>
        <w:r>
          <w:rPr>
            <w:noProof/>
            <w:webHidden/>
          </w:rPr>
          <w:t>89</w:t>
        </w:r>
        <w:r>
          <w:rPr>
            <w:noProof/>
            <w:webHidden/>
          </w:rPr>
          <w:fldChar w:fldCharType="end"/>
        </w:r>
      </w:hyperlink>
    </w:p>
    <w:p w14:paraId="089D6771" w14:textId="490FB6BD">
      <w:pPr>
        <w:pStyle w:val="TJ3"/>
        <w:rPr>
          <w:rFonts w:asciiTheme="minorHAnsi" w:hAnsiTheme="minorHAnsi" w:cstheme="minorBidi"/>
          <w:noProof/>
          <w:sz w:val="24"/>
          <w:szCs w:val="21"/>
          <w:lang w:eastAsia="en-GB" w:bidi="sa-IN"/>
        </w:rPr>
      </w:pPr>
      <w:hyperlink w:anchor="_Toc242889513" w:history="1">
        <w:r>
          <w:rPr>
            <w:rStyle w:val="Hiperhivatkozs"/>
            <w:noProof/>
            <w:lang w:bidi="ar-SA"/>
          </w:rPr>
          <w:t>5.6.3. Scribal correction</w:t>
        </w:r>
        <w:r>
          <w:rPr>
            <w:noProof/>
            <w:webHidden/>
          </w:rPr>
          <w:tab/>
        </w:r>
        <w:r>
          <w:rPr>
            <w:noProof/>
            <w:webHidden/>
          </w:rPr>
          <w:fldChar w:fldCharType="begin"/>
        </w:r>
        <w:r>
          <w:rPr>
            <w:noProof/>
            <w:webHidden/>
          </w:rPr>
          <w:instrText xml:space="preserve"> PAGEREF _Toc242889513 \h </w:instrText>
        </w:r>
        <w:r>
          <w:rPr>
            <w:noProof/>
            <w:webHidden/>
          </w:rPr>
        </w:r>
        <w:r>
          <w:rPr>
            <w:noProof/>
            <w:webHidden/>
          </w:rPr>
          <w:fldChar w:fldCharType="separate"/>
        </w:r>
        <w:r>
          <w:rPr>
            <w:noProof/>
            <w:webHidden/>
          </w:rPr>
          <w:t>91</w:t>
        </w:r>
        <w:r>
          <w:rPr>
            <w:noProof/>
            <w:webHidden/>
          </w:rPr>
          <w:fldChar w:fldCharType="end"/>
        </w:r>
      </w:hyperlink>
    </w:p>
    <w:p w14:paraId="199611A6" w14:textId="55AA29AC">
      <w:pPr>
        <w:pStyle w:val="TJ3"/>
        <w:rPr>
          <w:rFonts w:asciiTheme="minorHAnsi" w:hAnsiTheme="minorHAnsi" w:cstheme="minorBidi"/>
          <w:noProof/>
          <w:sz w:val="24"/>
          <w:szCs w:val="21"/>
          <w:lang w:eastAsia="en-GB" w:bidi="sa-IN"/>
        </w:rPr>
      </w:pPr>
      <w:hyperlink w:anchor="_Toc242889514" w:history="1">
        <w:r>
          <w:rPr>
            <w:rStyle w:val="Hiperhivatkozs"/>
            <w:noProof/>
            <w:lang w:bidi="ar-SA"/>
          </w:rPr>
          <w:t>5.6.4. Good practice in encoding scribal intervention</w:t>
        </w:r>
        <w:r>
          <w:rPr>
            <w:noProof/>
            <w:webHidden/>
          </w:rPr>
          <w:tab/>
        </w:r>
        <w:r>
          <w:rPr>
            <w:noProof/>
            <w:webHidden/>
          </w:rPr>
          <w:fldChar w:fldCharType="begin"/>
        </w:r>
        <w:r>
          <w:rPr>
            <w:noProof/>
            <w:webHidden/>
          </w:rPr>
          <w:instrText xml:space="preserve"> PAGEREF _Toc242889514 \h </w:instrText>
        </w:r>
        <w:r>
          <w:rPr>
            <w:noProof/>
            <w:webHidden/>
          </w:rPr>
        </w:r>
        <w:r>
          <w:rPr>
            <w:noProof/>
            <w:webHidden/>
          </w:rPr>
          <w:fldChar w:fldCharType="separate"/>
        </w:r>
        <w:r>
          <w:rPr>
            <w:noProof/>
            <w:webHidden/>
          </w:rPr>
          <w:t>93</w:t>
        </w:r>
        <w:r>
          <w:rPr>
            <w:noProof/>
            <w:webHidden/>
          </w:rPr>
          <w:fldChar w:fldCharType="end"/>
        </w:r>
      </w:hyperlink>
    </w:p>
    <w:p w14:paraId="2D2FDE9A" w14:textId="2F028457">
      <w:pPr>
        <w:pStyle w:val="TJ1"/>
        <w:rPr>
          <w:rFonts w:asciiTheme="minorHAnsi" w:hAnsiTheme="minorHAnsi" w:cstheme="minorBidi"/>
          <w:b w:val="0"/>
          <w:noProof/>
          <w:sz w:val="24"/>
          <w:szCs w:val="21"/>
          <w:lang w:eastAsia="en-GB" w:bidi="sa-IN"/>
        </w:rPr>
      </w:pPr>
      <w:hyperlink w:anchor="_Toc242889515" w:history="1">
        <w:r>
          <w:rPr>
            <w:rStyle w:val="Hiperhivatkozs"/>
            <w:noProof/>
            <w:lang w:bidi="ar-SA"/>
          </w:rPr>
          <w:t>6. Legibility issues</w:t>
        </w:r>
        <w:r>
          <w:rPr>
            <w:noProof/>
            <w:webHidden/>
          </w:rPr>
          <w:tab/>
        </w:r>
        <w:r>
          <w:rPr>
            <w:noProof/>
            <w:webHidden/>
          </w:rPr>
          <w:fldChar w:fldCharType="begin"/>
        </w:r>
        <w:r>
          <w:rPr>
            <w:noProof/>
            <w:webHidden/>
          </w:rPr>
          <w:instrText xml:space="preserve"> PAGEREF _Toc242889515 \h </w:instrText>
        </w:r>
        <w:r>
          <w:rPr>
            <w:noProof/>
            <w:webHidden/>
          </w:rPr>
        </w:r>
        <w:r>
          <w:rPr>
            <w:noProof/>
            <w:webHidden/>
          </w:rPr>
          <w:fldChar w:fldCharType="separate"/>
        </w:r>
        <w:r>
          <w:rPr>
            <w:noProof/>
            <w:webHidden/>
          </w:rPr>
          <w:t>94</w:t>
        </w:r>
        <w:r>
          <w:rPr>
            <w:noProof/>
            <w:webHidden/>
          </w:rPr>
          <w:fldChar w:fldCharType="end"/>
        </w:r>
      </w:hyperlink>
    </w:p>
    <w:p w14:paraId="207B96DC" w14:textId="0B6B84AD">
      <w:pPr>
        <w:pStyle w:val="TJ2"/>
        <w:rPr>
          <w:rFonts w:asciiTheme="minorHAnsi" w:hAnsiTheme="minorHAnsi" w:cstheme="minorBidi"/>
          <w:noProof/>
          <w:sz w:val="24"/>
          <w:szCs w:val="21"/>
          <w:lang w:eastAsia="en-GB" w:bidi="sa-IN"/>
        </w:rPr>
      </w:pPr>
      <w:hyperlink w:anchor="_Toc242889516" w:history="1">
        <w:r>
          <w:rPr>
            <w:rStyle w:val="Hiperhivatkozs"/>
            <w:noProof/>
            <w:lang w:bidi="ar-SA"/>
          </w:rPr>
          <w:t>6.1. Representing legibility issues in TEI/EpiDoc</w:t>
        </w:r>
        <w:r>
          <w:rPr>
            <w:noProof/>
            <w:webHidden/>
          </w:rPr>
          <w:tab/>
        </w:r>
        <w:r>
          <w:rPr>
            <w:noProof/>
            <w:webHidden/>
          </w:rPr>
          <w:fldChar w:fldCharType="begin"/>
        </w:r>
        <w:r>
          <w:rPr>
            <w:noProof/>
            <w:webHidden/>
          </w:rPr>
          <w:instrText xml:space="preserve"> PAGEREF _Toc242889516 \h </w:instrText>
        </w:r>
        <w:r>
          <w:rPr>
            <w:noProof/>
            <w:webHidden/>
          </w:rPr>
        </w:r>
        <w:r>
          <w:rPr>
            <w:noProof/>
            <w:webHidden/>
          </w:rPr>
          <w:fldChar w:fldCharType="separate"/>
        </w:r>
        <w:r>
          <w:rPr>
            <w:noProof/>
            <w:webHidden/>
          </w:rPr>
          <w:t>94</w:t>
        </w:r>
        <w:r>
          <w:rPr>
            <w:noProof/>
            <w:webHidden/>
          </w:rPr>
          <w:fldChar w:fldCharType="end"/>
        </w:r>
      </w:hyperlink>
    </w:p>
    <w:p w14:paraId="40573264" w14:textId="08893CC6">
      <w:pPr>
        <w:pStyle w:val="TJ2"/>
        <w:rPr>
          <w:rFonts w:asciiTheme="minorHAnsi" w:hAnsiTheme="minorHAnsi" w:cstheme="minorBidi"/>
          <w:noProof/>
          <w:sz w:val="24"/>
          <w:szCs w:val="21"/>
          <w:lang w:eastAsia="en-GB" w:bidi="sa-IN"/>
        </w:rPr>
      </w:pPr>
      <w:hyperlink w:anchor="_Toc242889517" w:history="1">
        <w:r>
          <w:rPr>
            <w:rStyle w:val="Hiperhivatkozs"/>
            <w:noProof/>
            <w:lang w:bidi="ar-SA"/>
          </w:rPr>
          <w:t>6.2. Damage not impeding legibility</w:t>
        </w:r>
        <w:r>
          <w:rPr>
            <w:noProof/>
            <w:webHidden/>
          </w:rPr>
          <w:tab/>
        </w:r>
        <w:r>
          <w:rPr>
            <w:noProof/>
            <w:webHidden/>
          </w:rPr>
          <w:fldChar w:fldCharType="begin"/>
        </w:r>
        <w:r>
          <w:rPr>
            <w:noProof/>
            <w:webHidden/>
          </w:rPr>
          <w:instrText xml:space="preserve"> PAGEREF _Toc242889517 \h </w:instrText>
        </w:r>
        <w:r>
          <w:rPr>
            <w:noProof/>
            <w:webHidden/>
          </w:rPr>
        </w:r>
        <w:r>
          <w:rPr>
            <w:noProof/>
            <w:webHidden/>
          </w:rPr>
          <w:fldChar w:fldCharType="separate"/>
        </w:r>
        <w:r>
          <w:rPr>
            <w:noProof/>
            <w:webHidden/>
          </w:rPr>
          <w:t>95</w:t>
        </w:r>
        <w:r>
          <w:rPr>
            <w:noProof/>
            <w:webHidden/>
          </w:rPr>
          <w:fldChar w:fldCharType="end"/>
        </w:r>
      </w:hyperlink>
    </w:p>
    <w:p w14:paraId="6C34F034" w14:textId="0F58E76B">
      <w:pPr>
        <w:pStyle w:val="TJ2"/>
        <w:rPr>
          <w:rFonts w:asciiTheme="minorHAnsi" w:hAnsiTheme="minorHAnsi" w:cstheme="minorBidi"/>
          <w:noProof/>
          <w:sz w:val="24"/>
          <w:szCs w:val="21"/>
          <w:lang w:eastAsia="en-GB" w:bidi="sa-IN"/>
        </w:rPr>
      </w:pPr>
      <w:hyperlink w:anchor="_Toc242889518" w:history="1">
        <w:r>
          <w:rPr>
            <w:rStyle w:val="Hiperhivatkozs"/>
            <w:noProof/>
            <w:lang w:bidi="ar-SA"/>
          </w:rPr>
          <w:t>6.3. Unclear readings</w:t>
        </w:r>
        <w:r>
          <w:rPr>
            <w:noProof/>
            <w:webHidden/>
          </w:rPr>
          <w:tab/>
        </w:r>
        <w:r>
          <w:rPr>
            <w:noProof/>
            <w:webHidden/>
          </w:rPr>
          <w:fldChar w:fldCharType="begin"/>
        </w:r>
        <w:r>
          <w:rPr>
            <w:noProof/>
            <w:webHidden/>
          </w:rPr>
          <w:instrText xml:space="preserve"> PAGEREF _Toc242889518 \h </w:instrText>
        </w:r>
        <w:r>
          <w:rPr>
            <w:noProof/>
            <w:webHidden/>
          </w:rPr>
        </w:r>
        <w:r>
          <w:rPr>
            <w:noProof/>
            <w:webHidden/>
          </w:rPr>
          <w:fldChar w:fldCharType="separate"/>
        </w:r>
        <w:r>
          <w:rPr>
            <w:noProof/>
            <w:webHidden/>
          </w:rPr>
          <w:t>95</w:t>
        </w:r>
        <w:r>
          <w:rPr>
            <w:noProof/>
            <w:webHidden/>
          </w:rPr>
          <w:fldChar w:fldCharType="end"/>
        </w:r>
      </w:hyperlink>
    </w:p>
    <w:p w14:paraId="45EFFED7" w14:textId="41FB854C">
      <w:pPr>
        <w:pStyle w:val="TJ3"/>
        <w:rPr>
          <w:rFonts w:asciiTheme="minorHAnsi" w:hAnsiTheme="minorHAnsi" w:cstheme="minorBidi"/>
          <w:noProof/>
          <w:sz w:val="24"/>
          <w:szCs w:val="21"/>
          <w:lang w:eastAsia="en-GB" w:bidi="sa-IN"/>
        </w:rPr>
      </w:pPr>
      <w:hyperlink w:anchor="_Toc242889519" w:history="1">
        <w:r>
          <w:rPr>
            <w:rStyle w:val="Hiperhivatkozs"/>
            <w:noProof/>
            <w:lang w:bidi="ar-SA"/>
          </w:rPr>
          <w:t>6.3.1. Encoding unclear text</w:t>
        </w:r>
        <w:r>
          <w:rPr>
            <w:noProof/>
            <w:webHidden/>
          </w:rPr>
          <w:tab/>
        </w:r>
        <w:r>
          <w:rPr>
            <w:noProof/>
            <w:webHidden/>
          </w:rPr>
          <w:fldChar w:fldCharType="begin"/>
        </w:r>
        <w:r>
          <w:rPr>
            <w:noProof/>
            <w:webHidden/>
          </w:rPr>
          <w:instrText xml:space="preserve"> PAGEREF _Toc242889519 \h </w:instrText>
        </w:r>
        <w:r>
          <w:rPr>
            <w:noProof/>
            <w:webHidden/>
          </w:rPr>
        </w:r>
        <w:r>
          <w:rPr>
            <w:noProof/>
            <w:webHidden/>
          </w:rPr>
          <w:fldChar w:fldCharType="separate"/>
        </w:r>
        <w:r>
          <w:rPr>
            <w:noProof/>
            <w:webHidden/>
          </w:rPr>
          <w:t>95</w:t>
        </w:r>
        <w:r>
          <w:rPr>
            <w:noProof/>
            <w:webHidden/>
          </w:rPr>
          <w:fldChar w:fldCharType="end"/>
        </w:r>
      </w:hyperlink>
    </w:p>
    <w:p w14:paraId="23105300" w14:textId="445C3DD5">
      <w:pPr>
        <w:pStyle w:val="TJ3"/>
        <w:rPr>
          <w:rFonts w:asciiTheme="minorHAnsi" w:hAnsiTheme="minorHAnsi" w:cstheme="minorBidi"/>
          <w:noProof/>
          <w:sz w:val="24"/>
          <w:szCs w:val="21"/>
          <w:lang w:eastAsia="en-GB" w:bidi="sa-IN"/>
        </w:rPr>
      </w:pPr>
      <w:hyperlink w:anchor="_Toc242889520" w:history="1">
        <w:r>
          <w:rPr>
            <w:rStyle w:val="Hiperhivatkozs"/>
            <w:noProof/>
            <w:lang w:bidi="ar-SA"/>
          </w:rPr>
          <w:t>6.3.2. Encoding ambivalent text</w:t>
        </w:r>
        <w:r>
          <w:rPr>
            <w:noProof/>
            <w:webHidden/>
          </w:rPr>
          <w:tab/>
        </w:r>
        <w:r>
          <w:rPr>
            <w:noProof/>
            <w:webHidden/>
          </w:rPr>
          <w:fldChar w:fldCharType="begin"/>
        </w:r>
        <w:r>
          <w:rPr>
            <w:noProof/>
            <w:webHidden/>
          </w:rPr>
          <w:instrText xml:space="preserve"> PAGEREF _Toc242889520 \h </w:instrText>
        </w:r>
        <w:r>
          <w:rPr>
            <w:noProof/>
            <w:webHidden/>
          </w:rPr>
        </w:r>
        <w:r>
          <w:rPr>
            <w:noProof/>
            <w:webHidden/>
          </w:rPr>
          <w:fldChar w:fldCharType="separate"/>
        </w:r>
        <w:r>
          <w:rPr>
            <w:noProof/>
            <w:webHidden/>
          </w:rPr>
          <w:t>97</w:t>
        </w:r>
        <w:r>
          <w:rPr>
            <w:noProof/>
            <w:webHidden/>
          </w:rPr>
          <w:fldChar w:fldCharType="end"/>
        </w:r>
      </w:hyperlink>
    </w:p>
    <w:p w14:paraId="444CF91F" w14:textId="677BF27B">
      <w:pPr>
        <w:pStyle w:val="TJ3"/>
        <w:rPr>
          <w:rFonts w:asciiTheme="minorHAnsi" w:hAnsiTheme="minorHAnsi" w:cstheme="minorBidi"/>
          <w:noProof/>
          <w:sz w:val="24"/>
          <w:szCs w:val="21"/>
          <w:lang w:eastAsia="en-GB" w:bidi="sa-IN"/>
        </w:rPr>
      </w:pPr>
      <w:hyperlink w:anchor="_Toc242889521" w:history="1">
        <w:r>
          <w:rPr>
            <w:rStyle w:val="Hiperhivatkozs"/>
            <w:noProof/>
            <w:lang w:bidi="ar-SA"/>
          </w:rPr>
          <w:t>6.3.3. Good practice in encoding unclear readings</w:t>
        </w:r>
        <w:r>
          <w:rPr>
            <w:noProof/>
            <w:webHidden/>
          </w:rPr>
          <w:tab/>
        </w:r>
        <w:r>
          <w:rPr>
            <w:noProof/>
            <w:webHidden/>
          </w:rPr>
          <w:fldChar w:fldCharType="begin"/>
        </w:r>
        <w:r>
          <w:rPr>
            <w:noProof/>
            <w:webHidden/>
          </w:rPr>
          <w:instrText xml:space="preserve"> PAGEREF _Toc242889521 \h </w:instrText>
        </w:r>
        <w:r>
          <w:rPr>
            <w:noProof/>
            <w:webHidden/>
          </w:rPr>
        </w:r>
        <w:r>
          <w:rPr>
            <w:noProof/>
            <w:webHidden/>
          </w:rPr>
          <w:fldChar w:fldCharType="separate"/>
        </w:r>
        <w:r>
          <w:rPr>
            <w:noProof/>
            <w:webHidden/>
          </w:rPr>
          <w:t>98</w:t>
        </w:r>
        <w:r>
          <w:rPr>
            <w:noProof/>
            <w:webHidden/>
          </w:rPr>
          <w:fldChar w:fldCharType="end"/>
        </w:r>
      </w:hyperlink>
    </w:p>
    <w:p w14:paraId="57FDF719" w14:textId="6C39F88E">
      <w:pPr>
        <w:pStyle w:val="TJ2"/>
        <w:rPr>
          <w:rFonts w:asciiTheme="minorHAnsi" w:hAnsiTheme="minorHAnsi" w:cstheme="minorBidi"/>
          <w:noProof/>
          <w:sz w:val="24"/>
          <w:szCs w:val="21"/>
          <w:lang w:eastAsia="en-GB" w:bidi="sa-IN"/>
        </w:rPr>
      </w:pPr>
      <w:hyperlink w:anchor="_Toc242889522" w:history="1">
        <w:r>
          <w:rPr>
            <w:rStyle w:val="Hiperhivatkozs"/>
            <w:noProof/>
            <w:lang w:bidi="ar-SA"/>
          </w:rPr>
          <w:t>6.4. Editorial restoration</w:t>
        </w:r>
        <w:r>
          <w:rPr>
            <w:noProof/>
            <w:webHidden/>
          </w:rPr>
          <w:tab/>
        </w:r>
        <w:r>
          <w:rPr>
            <w:noProof/>
            <w:webHidden/>
          </w:rPr>
          <w:fldChar w:fldCharType="begin"/>
        </w:r>
        <w:r>
          <w:rPr>
            <w:noProof/>
            <w:webHidden/>
          </w:rPr>
          <w:instrText xml:space="preserve"> PAGEREF _Toc242889522 \h </w:instrText>
        </w:r>
        <w:r>
          <w:rPr>
            <w:noProof/>
            <w:webHidden/>
          </w:rPr>
        </w:r>
        <w:r>
          <w:rPr>
            <w:noProof/>
            <w:webHidden/>
          </w:rPr>
          <w:fldChar w:fldCharType="separate"/>
        </w:r>
        <w:r>
          <w:rPr>
            <w:noProof/>
            <w:webHidden/>
          </w:rPr>
          <w:t>99</w:t>
        </w:r>
        <w:r>
          <w:rPr>
            <w:noProof/>
            <w:webHidden/>
          </w:rPr>
          <w:fldChar w:fldCharType="end"/>
        </w:r>
      </w:hyperlink>
    </w:p>
    <w:p w14:paraId="44FD55F2" w14:textId="564C8D9A">
      <w:pPr>
        <w:pStyle w:val="TJ3"/>
        <w:rPr>
          <w:rFonts w:asciiTheme="minorHAnsi" w:hAnsiTheme="minorHAnsi" w:cstheme="minorBidi"/>
          <w:noProof/>
          <w:sz w:val="24"/>
          <w:szCs w:val="21"/>
          <w:lang w:eastAsia="en-GB" w:bidi="sa-IN"/>
        </w:rPr>
      </w:pPr>
      <w:hyperlink w:anchor="_Toc242889523" w:history="1">
        <w:r>
          <w:rPr>
            <w:rStyle w:val="Hiperhivatkozs"/>
            <w:noProof/>
            <w:lang w:bidi="ar-SA"/>
          </w:rPr>
          <w:t>6.4.1. The reason for a restoration</w:t>
        </w:r>
        <w:r>
          <w:rPr>
            <w:noProof/>
            <w:webHidden/>
          </w:rPr>
          <w:tab/>
        </w:r>
        <w:r>
          <w:rPr>
            <w:noProof/>
            <w:webHidden/>
          </w:rPr>
          <w:fldChar w:fldCharType="begin"/>
        </w:r>
        <w:r>
          <w:rPr>
            <w:noProof/>
            <w:webHidden/>
          </w:rPr>
          <w:instrText xml:space="preserve"> PAGEREF _Toc242889523 \h </w:instrText>
        </w:r>
        <w:r>
          <w:rPr>
            <w:noProof/>
            <w:webHidden/>
          </w:rPr>
        </w:r>
        <w:r>
          <w:rPr>
            <w:noProof/>
            <w:webHidden/>
          </w:rPr>
          <w:fldChar w:fldCharType="separate"/>
        </w:r>
        <w:r>
          <w:rPr>
            <w:noProof/>
            <w:webHidden/>
          </w:rPr>
          <w:t>99</w:t>
        </w:r>
        <w:r>
          <w:rPr>
            <w:noProof/>
            <w:webHidden/>
          </w:rPr>
          <w:fldChar w:fldCharType="end"/>
        </w:r>
      </w:hyperlink>
    </w:p>
    <w:p w14:paraId="45D6F2EA" w14:textId="4529A3BC">
      <w:pPr>
        <w:pStyle w:val="TJ3"/>
        <w:rPr>
          <w:rFonts w:asciiTheme="minorHAnsi" w:hAnsiTheme="minorHAnsi" w:cstheme="minorBidi"/>
          <w:noProof/>
          <w:sz w:val="24"/>
          <w:szCs w:val="21"/>
          <w:lang w:eastAsia="en-GB" w:bidi="sa-IN"/>
        </w:rPr>
      </w:pPr>
      <w:hyperlink w:anchor="_Toc242889524" w:history="1">
        <w:r>
          <w:rPr>
            <w:rStyle w:val="Hiperhivatkozs"/>
            <w:noProof/>
            <w:lang w:bidi="ar-SA"/>
          </w:rPr>
          <w:t>6.4.2. Tentative restoration</w:t>
        </w:r>
        <w:r>
          <w:rPr>
            <w:noProof/>
            <w:webHidden/>
          </w:rPr>
          <w:tab/>
        </w:r>
        <w:r>
          <w:rPr>
            <w:noProof/>
            <w:webHidden/>
          </w:rPr>
          <w:fldChar w:fldCharType="begin"/>
        </w:r>
        <w:r>
          <w:rPr>
            <w:noProof/>
            <w:webHidden/>
          </w:rPr>
          <w:instrText xml:space="preserve"> PAGEREF _Toc242889524 \h </w:instrText>
        </w:r>
        <w:r>
          <w:rPr>
            <w:noProof/>
            <w:webHidden/>
          </w:rPr>
        </w:r>
        <w:r>
          <w:rPr>
            <w:noProof/>
            <w:webHidden/>
          </w:rPr>
          <w:fldChar w:fldCharType="separate"/>
        </w:r>
        <w:r>
          <w:rPr>
            <w:noProof/>
            <w:webHidden/>
          </w:rPr>
          <w:t>100</w:t>
        </w:r>
        <w:r>
          <w:rPr>
            <w:noProof/>
            <w:webHidden/>
          </w:rPr>
          <w:fldChar w:fldCharType="end"/>
        </w:r>
      </w:hyperlink>
    </w:p>
    <w:p w14:paraId="6231D838" w14:textId="38EACD9E">
      <w:pPr>
        <w:pStyle w:val="TJ3"/>
        <w:rPr>
          <w:rFonts w:asciiTheme="minorHAnsi" w:hAnsiTheme="minorHAnsi" w:cstheme="minorBidi"/>
          <w:noProof/>
          <w:sz w:val="24"/>
          <w:szCs w:val="21"/>
          <w:lang w:eastAsia="en-GB" w:bidi="sa-IN"/>
        </w:rPr>
      </w:pPr>
      <w:hyperlink w:anchor="_Toc242889525" w:history="1">
        <w:r>
          <w:rPr>
            <w:rStyle w:val="Hiperhivatkozs"/>
            <w:noProof/>
            <w:lang w:bidi="ar-SA"/>
          </w:rPr>
          <w:t>6.4.3. The basis of restoration</w:t>
        </w:r>
        <w:r>
          <w:rPr>
            <w:noProof/>
            <w:webHidden/>
          </w:rPr>
          <w:tab/>
        </w:r>
        <w:r>
          <w:rPr>
            <w:noProof/>
            <w:webHidden/>
          </w:rPr>
          <w:fldChar w:fldCharType="begin"/>
        </w:r>
        <w:r>
          <w:rPr>
            <w:noProof/>
            <w:webHidden/>
          </w:rPr>
          <w:instrText xml:space="preserve"> PAGEREF _Toc242889525 \h </w:instrText>
        </w:r>
        <w:r>
          <w:rPr>
            <w:noProof/>
            <w:webHidden/>
          </w:rPr>
        </w:r>
        <w:r>
          <w:rPr>
            <w:noProof/>
            <w:webHidden/>
          </w:rPr>
          <w:fldChar w:fldCharType="separate"/>
        </w:r>
        <w:r>
          <w:rPr>
            <w:noProof/>
            <w:webHidden/>
          </w:rPr>
          <w:t>100</w:t>
        </w:r>
        <w:r>
          <w:rPr>
            <w:noProof/>
            <w:webHidden/>
          </w:rPr>
          <w:fldChar w:fldCharType="end"/>
        </w:r>
      </w:hyperlink>
    </w:p>
    <w:p w14:paraId="2D40B4B0" w14:textId="615247BC">
      <w:pPr>
        <w:pStyle w:val="TJ2"/>
        <w:rPr>
          <w:rFonts w:asciiTheme="minorHAnsi" w:hAnsiTheme="minorHAnsi" w:cstheme="minorBidi"/>
          <w:noProof/>
          <w:sz w:val="24"/>
          <w:szCs w:val="21"/>
          <w:lang w:eastAsia="en-GB" w:bidi="sa-IN"/>
        </w:rPr>
      </w:pPr>
      <w:hyperlink w:anchor="_Toc242889526" w:history="1">
        <w:r>
          <w:rPr>
            <w:rStyle w:val="Hiperhivatkozs"/>
            <w:noProof/>
            <w:lang w:bidi="ar-SA"/>
          </w:rPr>
          <w:t>6.5. Lacunae</w:t>
        </w:r>
        <w:r>
          <w:rPr>
            <w:noProof/>
            <w:webHidden/>
          </w:rPr>
          <w:tab/>
        </w:r>
        <w:r>
          <w:rPr>
            <w:noProof/>
            <w:webHidden/>
          </w:rPr>
          <w:fldChar w:fldCharType="begin"/>
        </w:r>
        <w:r>
          <w:rPr>
            <w:noProof/>
            <w:webHidden/>
          </w:rPr>
          <w:instrText xml:space="preserve"> PAGEREF _Toc242889526 \h </w:instrText>
        </w:r>
        <w:r>
          <w:rPr>
            <w:noProof/>
            <w:webHidden/>
          </w:rPr>
        </w:r>
        <w:r>
          <w:rPr>
            <w:noProof/>
            <w:webHidden/>
          </w:rPr>
          <w:fldChar w:fldCharType="separate"/>
        </w:r>
        <w:r>
          <w:rPr>
            <w:noProof/>
            <w:webHidden/>
          </w:rPr>
          <w:t>100</w:t>
        </w:r>
        <w:r>
          <w:rPr>
            <w:noProof/>
            <w:webHidden/>
          </w:rPr>
          <w:fldChar w:fldCharType="end"/>
        </w:r>
      </w:hyperlink>
    </w:p>
    <w:p w14:paraId="26607D56" w14:textId="327D0AE5">
      <w:pPr>
        <w:pStyle w:val="TJ3"/>
        <w:rPr>
          <w:rFonts w:asciiTheme="minorHAnsi" w:hAnsiTheme="minorHAnsi" w:cstheme="minorBidi"/>
          <w:noProof/>
          <w:sz w:val="24"/>
          <w:szCs w:val="21"/>
          <w:lang w:eastAsia="en-GB" w:bidi="sa-IN"/>
        </w:rPr>
      </w:pPr>
      <w:hyperlink w:anchor="_Toc242889527" w:history="1">
        <w:r>
          <w:rPr>
            <w:rStyle w:val="Hiperhivatkozs"/>
            <w:noProof/>
            <w:lang w:bidi="ar-SA"/>
          </w:rPr>
          <w:t>6.5.1. Encoding lacunae</w:t>
        </w:r>
        <w:r>
          <w:rPr>
            <w:noProof/>
            <w:webHidden/>
          </w:rPr>
          <w:tab/>
        </w:r>
        <w:r>
          <w:rPr>
            <w:noProof/>
            <w:webHidden/>
          </w:rPr>
          <w:fldChar w:fldCharType="begin"/>
        </w:r>
        <w:r>
          <w:rPr>
            <w:noProof/>
            <w:webHidden/>
          </w:rPr>
          <w:instrText xml:space="preserve"> PAGEREF _Toc242889527 \h </w:instrText>
        </w:r>
        <w:r>
          <w:rPr>
            <w:noProof/>
            <w:webHidden/>
          </w:rPr>
        </w:r>
        <w:r>
          <w:rPr>
            <w:noProof/>
            <w:webHidden/>
          </w:rPr>
          <w:fldChar w:fldCharType="separate"/>
        </w:r>
        <w:r>
          <w:rPr>
            <w:noProof/>
            <w:webHidden/>
          </w:rPr>
          <w:t>100</w:t>
        </w:r>
        <w:r>
          <w:rPr>
            <w:noProof/>
            <w:webHidden/>
          </w:rPr>
          <w:fldChar w:fldCharType="end"/>
        </w:r>
      </w:hyperlink>
    </w:p>
    <w:p w14:paraId="5EB504F6" w14:textId="63FC7647">
      <w:pPr>
        <w:pStyle w:val="TJ3"/>
        <w:rPr>
          <w:rFonts w:asciiTheme="minorHAnsi" w:hAnsiTheme="minorHAnsi" w:cstheme="minorBidi"/>
          <w:noProof/>
          <w:sz w:val="24"/>
          <w:szCs w:val="21"/>
          <w:lang w:eastAsia="en-GB" w:bidi="sa-IN"/>
        </w:rPr>
      </w:pPr>
      <w:hyperlink w:anchor="_Toc242889528" w:history="1">
        <w:r>
          <w:rPr>
            <w:rStyle w:val="Hiperhivatkozs"/>
            <w:noProof/>
            <w:lang w:bidi="ar-SA"/>
          </w:rPr>
          <w:t>6.5.2. Managing inline lacunae</w:t>
        </w:r>
        <w:r>
          <w:rPr>
            <w:noProof/>
            <w:webHidden/>
          </w:rPr>
          <w:tab/>
        </w:r>
        <w:r>
          <w:rPr>
            <w:noProof/>
            <w:webHidden/>
          </w:rPr>
          <w:fldChar w:fldCharType="begin"/>
        </w:r>
        <w:r>
          <w:rPr>
            <w:noProof/>
            <w:webHidden/>
          </w:rPr>
          <w:instrText xml:space="preserve"> PAGEREF _Toc242889528 \h </w:instrText>
        </w:r>
        <w:r>
          <w:rPr>
            <w:noProof/>
            <w:webHidden/>
          </w:rPr>
        </w:r>
        <w:r>
          <w:rPr>
            <w:noProof/>
            <w:webHidden/>
          </w:rPr>
          <w:fldChar w:fldCharType="separate"/>
        </w:r>
        <w:r>
          <w:rPr>
            <w:noProof/>
            <w:webHidden/>
          </w:rPr>
          <w:t>102</w:t>
        </w:r>
        <w:r>
          <w:rPr>
            <w:noProof/>
            <w:webHidden/>
          </w:rPr>
          <w:fldChar w:fldCharType="end"/>
        </w:r>
      </w:hyperlink>
    </w:p>
    <w:p w14:paraId="618C3E76" w14:textId="607ABD08">
      <w:pPr>
        <w:pStyle w:val="TJ3"/>
        <w:rPr>
          <w:rFonts w:asciiTheme="minorHAnsi" w:hAnsiTheme="minorHAnsi" w:cstheme="minorBidi"/>
          <w:noProof/>
          <w:sz w:val="24"/>
          <w:szCs w:val="21"/>
          <w:lang w:eastAsia="en-GB" w:bidi="sa-IN"/>
        </w:rPr>
      </w:pPr>
      <w:hyperlink w:anchor="_Toc242889529" w:history="1">
        <w:r>
          <w:rPr>
            <w:rStyle w:val="Hiperhivatkozs"/>
            <w:noProof/>
            <w:lang w:bidi="ar-SA"/>
          </w:rPr>
          <w:t>6.5.3. Managing line-level lacunae</w:t>
        </w:r>
        <w:r>
          <w:rPr>
            <w:noProof/>
            <w:webHidden/>
          </w:rPr>
          <w:tab/>
        </w:r>
        <w:r>
          <w:rPr>
            <w:noProof/>
            <w:webHidden/>
          </w:rPr>
          <w:fldChar w:fldCharType="begin"/>
        </w:r>
        <w:r>
          <w:rPr>
            <w:noProof/>
            <w:webHidden/>
          </w:rPr>
          <w:instrText xml:space="preserve"> PAGEREF _Toc242889529 \h </w:instrText>
        </w:r>
        <w:r>
          <w:rPr>
            <w:noProof/>
            <w:webHidden/>
          </w:rPr>
        </w:r>
        <w:r>
          <w:rPr>
            <w:noProof/>
            <w:webHidden/>
          </w:rPr>
          <w:fldChar w:fldCharType="separate"/>
        </w:r>
        <w:r>
          <w:rPr>
            <w:noProof/>
            <w:webHidden/>
          </w:rPr>
          <w:t>106</w:t>
        </w:r>
        <w:r>
          <w:rPr>
            <w:noProof/>
            <w:webHidden/>
          </w:rPr>
          <w:fldChar w:fldCharType="end"/>
        </w:r>
      </w:hyperlink>
    </w:p>
    <w:p w14:paraId="5C4520B0" w14:textId="658BB6B6">
      <w:pPr>
        <w:pStyle w:val="TJ3"/>
        <w:rPr>
          <w:rFonts w:asciiTheme="minorHAnsi" w:hAnsiTheme="minorHAnsi" w:cstheme="minorBidi"/>
          <w:noProof/>
          <w:sz w:val="24"/>
          <w:szCs w:val="21"/>
          <w:lang w:eastAsia="en-GB" w:bidi="sa-IN"/>
        </w:rPr>
      </w:pPr>
      <w:hyperlink w:anchor="_Toc242889530" w:history="1">
        <w:r>
          <w:rPr>
            <w:rStyle w:val="Hiperhivatkozs"/>
            <w:noProof/>
            <w:lang w:bidi="ar-SA"/>
          </w:rPr>
          <w:t>6.5.4. Managing massive lacunae</w:t>
        </w:r>
        <w:r>
          <w:rPr>
            <w:noProof/>
            <w:webHidden/>
          </w:rPr>
          <w:tab/>
        </w:r>
        <w:r>
          <w:rPr>
            <w:noProof/>
            <w:webHidden/>
          </w:rPr>
          <w:fldChar w:fldCharType="begin"/>
        </w:r>
        <w:r>
          <w:rPr>
            <w:noProof/>
            <w:webHidden/>
          </w:rPr>
          <w:instrText xml:space="preserve"> PAGEREF _Toc242889530 \h </w:instrText>
        </w:r>
        <w:r>
          <w:rPr>
            <w:noProof/>
            <w:webHidden/>
          </w:rPr>
        </w:r>
        <w:r>
          <w:rPr>
            <w:noProof/>
            <w:webHidden/>
          </w:rPr>
          <w:fldChar w:fldCharType="separate"/>
        </w:r>
        <w:r>
          <w:rPr>
            <w:noProof/>
            <w:webHidden/>
          </w:rPr>
          <w:t>108</w:t>
        </w:r>
        <w:r>
          <w:rPr>
            <w:noProof/>
            <w:webHidden/>
          </w:rPr>
          <w:fldChar w:fldCharType="end"/>
        </w:r>
      </w:hyperlink>
    </w:p>
    <w:p w14:paraId="6303E863" w14:textId="1C59B909">
      <w:pPr>
        <w:pStyle w:val="TJ3"/>
        <w:rPr>
          <w:rFonts w:asciiTheme="minorHAnsi" w:hAnsiTheme="minorHAnsi" w:cstheme="minorBidi"/>
          <w:noProof/>
          <w:sz w:val="24"/>
          <w:szCs w:val="21"/>
          <w:lang w:eastAsia="en-GB" w:bidi="sa-IN"/>
        </w:rPr>
      </w:pPr>
      <w:hyperlink w:anchor="_Toc242889531" w:history="1">
        <w:r>
          <w:rPr>
            <w:rStyle w:val="Hiperhivatkozs"/>
            <w:noProof/>
            <w:lang w:bidi="ar-SA"/>
          </w:rPr>
          <w:t>6.5.5. Managing incomplete copperplate sets</w:t>
        </w:r>
        <w:r>
          <w:rPr>
            <w:noProof/>
            <w:webHidden/>
          </w:rPr>
          <w:tab/>
        </w:r>
        <w:r>
          <w:rPr>
            <w:noProof/>
            <w:webHidden/>
          </w:rPr>
          <w:fldChar w:fldCharType="begin"/>
        </w:r>
        <w:r>
          <w:rPr>
            <w:noProof/>
            <w:webHidden/>
          </w:rPr>
          <w:instrText xml:space="preserve"> PAGEREF _Toc242889531 \h </w:instrText>
        </w:r>
        <w:r>
          <w:rPr>
            <w:noProof/>
            <w:webHidden/>
          </w:rPr>
        </w:r>
        <w:r>
          <w:rPr>
            <w:noProof/>
            <w:webHidden/>
          </w:rPr>
          <w:fldChar w:fldCharType="separate"/>
        </w:r>
        <w:r>
          <w:rPr>
            <w:noProof/>
            <w:webHidden/>
          </w:rPr>
          <w:t>112</w:t>
        </w:r>
        <w:r>
          <w:rPr>
            <w:noProof/>
            <w:webHidden/>
          </w:rPr>
          <w:fldChar w:fldCharType="end"/>
        </w:r>
      </w:hyperlink>
    </w:p>
    <w:p w14:paraId="27F6FFC0" w14:textId="0BB71233">
      <w:pPr>
        <w:pStyle w:val="TJ1"/>
        <w:rPr>
          <w:rFonts w:asciiTheme="minorHAnsi" w:hAnsiTheme="minorHAnsi" w:cstheme="minorBidi"/>
          <w:b w:val="0"/>
          <w:noProof/>
          <w:sz w:val="24"/>
          <w:szCs w:val="21"/>
          <w:lang w:eastAsia="en-GB" w:bidi="sa-IN"/>
        </w:rPr>
      </w:pPr>
      <w:hyperlink w:anchor="_Toc242889532" w:history="1">
        <w:r>
          <w:rPr>
            <w:rStyle w:val="Hiperhivatkozs"/>
            <w:noProof/>
            <w:lang w:bidi="ar-SA"/>
          </w:rPr>
          <w:t>7. Editorial intervention</w:t>
        </w:r>
        <w:r>
          <w:rPr>
            <w:noProof/>
            <w:webHidden/>
          </w:rPr>
          <w:tab/>
        </w:r>
        <w:r>
          <w:rPr>
            <w:noProof/>
            <w:webHidden/>
          </w:rPr>
          <w:fldChar w:fldCharType="begin"/>
        </w:r>
        <w:r>
          <w:rPr>
            <w:noProof/>
            <w:webHidden/>
          </w:rPr>
          <w:instrText xml:space="preserve"> PAGEREF _Toc242889532 \h </w:instrText>
        </w:r>
        <w:r>
          <w:rPr>
            <w:noProof/>
            <w:webHidden/>
          </w:rPr>
        </w:r>
        <w:r>
          <w:rPr>
            <w:noProof/>
            <w:webHidden/>
          </w:rPr>
          <w:fldChar w:fldCharType="separate"/>
        </w:r>
        <w:r>
          <w:rPr>
            <w:noProof/>
            <w:webHidden/>
          </w:rPr>
          <w:t>115</w:t>
        </w:r>
        <w:r>
          <w:rPr>
            <w:noProof/>
            <w:webHidden/>
          </w:rPr>
          <w:fldChar w:fldCharType="end"/>
        </w:r>
      </w:hyperlink>
    </w:p>
    <w:p w14:paraId="49BE1DCD" w14:textId="41FAB5D8">
      <w:pPr>
        <w:pStyle w:val="TJ2"/>
        <w:rPr>
          <w:rFonts w:asciiTheme="minorHAnsi" w:hAnsiTheme="minorHAnsi" w:cstheme="minorBidi"/>
          <w:noProof/>
          <w:sz w:val="24"/>
          <w:szCs w:val="21"/>
          <w:lang w:eastAsia="en-GB" w:bidi="sa-IN"/>
        </w:rPr>
      </w:pPr>
      <w:hyperlink w:anchor="_Toc242889533" w:history="1">
        <w:r>
          <w:rPr>
            <w:rStyle w:val="Hiperhivatkozs"/>
            <w:noProof/>
            <w:lang w:bidi="ar-SA"/>
          </w:rPr>
          <w:t>7.1. Distinguishing correction from normalisation</w:t>
        </w:r>
        <w:r>
          <w:rPr>
            <w:noProof/>
            <w:webHidden/>
          </w:rPr>
          <w:tab/>
        </w:r>
        <w:r>
          <w:rPr>
            <w:noProof/>
            <w:webHidden/>
          </w:rPr>
          <w:fldChar w:fldCharType="begin"/>
        </w:r>
        <w:r>
          <w:rPr>
            <w:noProof/>
            <w:webHidden/>
          </w:rPr>
          <w:instrText xml:space="preserve"> PAGEREF _Toc242889533 \h </w:instrText>
        </w:r>
        <w:r>
          <w:rPr>
            <w:noProof/>
            <w:webHidden/>
          </w:rPr>
        </w:r>
        <w:r>
          <w:rPr>
            <w:noProof/>
            <w:webHidden/>
          </w:rPr>
          <w:fldChar w:fldCharType="separate"/>
        </w:r>
        <w:r>
          <w:rPr>
            <w:noProof/>
            <w:webHidden/>
          </w:rPr>
          <w:t>115</w:t>
        </w:r>
        <w:r>
          <w:rPr>
            <w:noProof/>
            <w:webHidden/>
          </w:rPr>
          <w:fldChar w:fldCharType="end"/>
        </w:r>
      </w:hyperlink>
    </w:p>
    <w:p w14:paraId="1D8A0C07" w14:textId="1ED6B9D3">
      <w:pPr>
        <w:pStyle w:val="TJ3"/>
        <w:rPr>
          <w:rFonts w:asciiTheme="minorHAnsi" w:hAnsiTheme="minorHAnsi" w:cstheme="minorBidi"/>
          <w:noProof/>
          <w:sz w:val="24"/>
          <w:szCs w:val="21"/>
          <w:lang w:eastAsia="en-GB" w:bidi="sa-IN"/>
        </w:rPr>
      </w:pPr>
      <w:hyperlink w:anchor="_Toc242889534" w:history="1">
        <w:r>
          <w:rPr>
            <w:rStyle w:val="Hiperhivatkozs"/>
            <w:noProof/>
            <w:lang w:bidi="ar-SA"/>
          </w:rPr>
          <w:t>7.1.1. Erroneous readings</w:t>
        </w:r>
        <w:r>
          <w:rPr>
            <w:noProof/>
            <w:webHidden/>
          </w:rPr>
          <w:tab/>
        </w:r>
        <w:r>
          <w:rPr>
            <w:noProof/>
            <w:webHidden/>
          </w:rPr>
          <w:fldChar w:fldCharType="begin"/>
        </w:r>
        <w:r>
          <w:rPr>
            <w:noProof/>
            <w:webHidden/>
          </w:rPr>
          <w:instrText xml:space="preserve"> PAGEREF _Toc242889534 \h </w:instrText>
        </w:r>
        <w:r>
          <w:rPr>
            <w:noProof/>
            <w:webHidden/>
          </w:rPr>
        </w:r>
        <w:r>
          <w:rPr>
            <w:noProof/>
            <w:webHidden/>
          </w:rPr>
          <w:fldChar w:fldCharType="separate"/>
        </w:r>
        <w:r>
          <w:rPr>
            <w:noProof/>
            <w:webHidden/>
          </w:rPr>
          <w:t>115</w:t>
        </w:r>
        <w:r>
          <w:rPr>
            <w:noProof/>
            <w:webHidden/>
          </w:rPr>
          <w:fldChar w:fldCharType="end"/>
        </w:r>
      </w:hyperlink>
    </w:p>
    <w:p w14:paraId="53FC381E" w14:textId="5615E589">
      <w:pPr>
        <w:pStyle w:val="TJ3"/>
        <w:rPr>
          <w:rFonts w:asciiTheme="minorHAnsi" w:hAnsiTheme="minorHAnsi" w:cstheme="minorBidi"/>
          <w:noProof/>
          <w:sz w:val="24"/>
          <w:szCs w:val="21"/>
          <w:lang w:eastAsia="en-GB" w:bidi="sa-IN"/>
        </w:rPr>
      </w:pPr>
      <w:hyperlink w:anchor="_Toc242889535" w:history="1">
        <w:r>
          <w:rPr>
            <w:rStyle w:val="Hiperhivatkozs"/>
            <w:noProof/>
            <w:lang w:bidi="ar-SA"/>
          </w:rPr>
          <w:t>7.1.2. Non-standard readings</w:t>
        </w:r>
        <w:r>
          <w:rPr>
            <w:noProof/>
            <w:webHidden/>
          </w:rPr>
          <w:tab/>
        </w:r>
        <w:r>
          <w:rPr>
            <w:noProof/>
            <w:webHidden/>
          </w:rPr>
          <w:fldChar w:fldCharType="begin"/>
        </w:r>
        <w:r>
          <w:rPr>
            <w:noProof/>
            <w:webHidden/>
          </w:rPr>
          <w:instrText xml:space="preserve"> PAGEREF _Toc242889535 \h </w:instrText>
        </w:r>
        <w:r>
          <w:rPr>
            <w:noProof/>
            <w:webHidden/>
          </w:rPr>
        </w:r>
        <w:r>
          <w:rPr>
            <w:noProof/>
            <w:webHidden/>
          </w:rPr>
          <w:fldChar w:fldCharType="separate"/>
        </w:r>
        <w:r>
          <w:rPr>
            <w:noProof/>
            <w:webHidden/>
          </w:rPr>
          <w:t>115</w:t>
        </w:r>
        <w:r>
          <w:rPr>
            <w:noProof/>
            <w:webHidden/>
          </w:rPr>
          <w:fldChar w:fldCharType="end"/>
        </w:r>
      </w:hyperlink>
    </w:p>
    <w:p w14:paraId="0E01ACFF" w14:textId="05EF47BA">
      <w:pPr>
        <w:pStyle w:val="TJ2"/>
        <w:rPr>
          <w:rFonts w:asciiTheme="minorHAnsi" w:hAnsiTheme="minorHAnsi" w:cstheme="minorBidi"/>
          <w:noProof/>
          <w:sz w:val="24"/>
          <w:szCs w:val="21"/>
          <w:lang w:eastAsia="en-GB" w:bidi="sa-IN"/>
        </w:rPr>
      </w:pPr>
      <w:hyperlink w:anchor="_Toc242889536" w:history="1">
        <w:r>
          <w:rPr>
            <w:rStyle w:val="Hiperhivatkozs"/>
            <w:noProof/>
            <w:lang w:bidi="ar-SA"/>
          </w:rPr>
          <w:t>7.2. Encoding editorial intervention</w:t>
        </w:r>
        <w:r>
          <w:rPr>
            <w:noProof/>
            <w:webHidden/>
          </w:rPr>
          <w:tab/>
        </w:r>
        <w:r>
          <w:rPr>
            <w:noProof/>
            <w:webHidden/>
          </w:rPr>
          <w:fldChar w:fldCharType="begin"/>
        </w:r>
        <w:r>
          <w:rPr>
            <w:noProof/>
            <w:webHidden/>
          </w:rPr>
          <w:instrText xml:space="preserve"> PAGEREF _Toc242889536 \h </w:instrText>
        </w:r>
        <w:r>
          <w:rPr>
            <w:noProof/>
            <w:webHidden/>
          </w:rPr>
        </w:r>
        <w:r>
          <w:rPr>
            <w:noProof/>
            <w:webHidden/>
          </w:rPr>
          <w:fldChar w:fldCharType="separate"/>
        </w:r>
        <w:r>
          <w:rPr>
            <w:noProof/>
            <w:webHidden/>
          </w:rPr>
          <w:t>116</w:t>
        </w:r>
        <w:r>
          <w:rPr>
            <w:noProof/>
            <w:webHidden/>
          </w:rPr>
          <w:fldChar w:fldCharType="end"/>
        </w:r>
      </w:hyperlink>
    </w:p>
    <w:p w14:paraId="71565ACC" w14:textId="4A7166CE">
      <w:pPr>
        <w:pStyle w:val="TJ3"/>
        <w:rPr>
          <w:rFonts w:asciiTheme="minorHAnsi" w:hAnsiTheme="minorHAnsi" w:cstheme="minorBidi"/>
          <w:noProof/>
          <w:sz w:val="24"/>
          <w:szCs w:val="21"/>
          <w:lang w:eastAsia="en-GB" w:bidi="sa-IN"/>
        </w:rPr>
      </w:pPr>
      <w:hyperlink w:anchor="_Toc242889537" w:history="1">
        <w:r>
          <w:rPr>
            <w:rStyle w:val="Hiperhivatkozs"/>
            <w:noProof/>
            <w:lang w:bidi="ar-SA"/>
          </w:rPr>
          <w:t>7.2.1. Encoding tools for anomalous readings</w:t>
        </w:r>
        <w:r>
          <w:rPr>
            <w:noProof/>
            <w:webHidden/>
          </w:rPr>
          <w:tab/>
        </w:r>
        <w:r>
          <w:rPr>
            <w:noProof/>
            <w:webHidden/>
          </w:rPr>
          <w:fldChar w:fldCharType="begin"/>
        </w:r>
        <w:r>
          <w:rPr>
            <w:noProof/>
            <w:webHidden/>
          </w:rPr>
          <w:instrText xml:space="preserve"> PAGEREF _Toc242889537 \h </w:instrText>
        </w:r>
        <w:r>
          <w:rPr>
            <w:noProof/>
            <w:webHidden/>
          </w:rPr>
        </w:r>
        <w:r>
          <w:rPr>
            <w:noProof/>
            <w:webHidden/>
          </w:rPr>
          <w:fldChar w:fldCharType="separate"/>
        </w:r>
        <w:r>
          <w:rPr>
            <w:noProof/>
            <w:webHidden/>
          </w:rPr>
          <w:t>116</w:t>
        </w:r>
        <w:r>
          <w:rPr>
            <w:noProof/>
            <w:webHidden/>
          </w:rPr>
          <w:fldChar w:fldCharType="end"/>
        </w:r>
      </w:hyperlink>
    </w:p>
    <w:p w14:paraId="18E62BBD" w14:textId="3B063FA9">
      <w:pPr>
        <w:pStyle w:val="TJ2"/>
        <w:rPr>
          <w:rFonts w:asciiTheme="minorHAnsi" w:hAnsiTheme="minorHAnsi" w:cstheme="minorBidi"/>
          <w:noProof/>
          <w:sz w:val="24"/>
          <w:szCs w:val="21"/>
          <w:lang w:eastAsia="en-GB" w:bidi="sa-IN"/>
        </w:rPr>
      </w:pPr>
      <w:hyperlink w:anchor="_Toc242889538" w:history="1">
        <w:r>
          <w:rPr>
            <w:rStyle w:val="Hiperhivatkozs"/>
            <w:noProof/>
            <w:lang w:bidi="ar-SA"/>
          </w:rPr>
          <w:t>7.3. Ignoring anomalous readings</w:t>
        </w:r>
        <w:r>
          <w:rPr>
            <w:noProof/>
            <w:webHidden/>
          </w:rPr>
          <w:tab/>
        </w:r>
        <w:r>
          <w:rPr>
            <w:noProof/>
            <w:webHidden/>
          </w:rPr>
          <w:fldChar w:fldCharType="begin"/>
        </w:r>
        <w:r>
          <w:rPr>
            <w:noProof/>
            <w:webHidden/>
          </w:rPr>
          <w:instrText xml:space="preserve"> PAGEREF _Toc242889538 \h </w:instrText>
        </w:r>
        <w:r>
          <w:rPr>
            <w:noProof/>
            <w:webHidden/>
          </w:rPr>
        </w:r>
        <w:r>
          <w:rPr>
            <w:noProof/>
            <w:webHidden/>
          </w:rPr>
          <w:fldChar w:fldCharType="separate"/>
        </w:r>
        <w:r>
          <w:rPr>
            <w:noProof/>
            <w:webHidden/>
          </w:rPr>
          <w:t>117</w:t>
        </w:r>
        <w:r>
          <w:rPr>
            <w:noProof/>
            <w:webHidden/>
          </w:rPr>
          <w:fldChar w:fldCharType="end"/>
        </w:r>
      </w:hyperlink>
    </w:p>
    <w:p w14:paraId="5128AD3A" w14:textId="176BA6B7">
      <w:pPr>
        <w:pStyle w:val="TJ2"/>
        <w:rPr>
          <w:rFonts w:asciiTheme="minorHAnsi" w:hAnsiTheme="minorHAnsi" w:cstheme="minorBidi"/>
          <w:noProof/>
          <w:sz w:val="24"/>
          <w:szCs w:val="21"/>
          <w:lang w:eastAsia="en-GB" w:bidi="sa-IN"/>
        </w:rPr>
      </w:pPr>
      <w:hyperlink w:anchor="_Toc242889539" w:history="1">
        <w:r>
          <w:rPr>
            <w:rStyle w:val="Hiperhivatkozs"/>
            <w:noProof/>
            <w:lang w:bidi="ar-SA"/>
          </w:rPr>
          <w:t>7.4. Flagging anomalous readings</w:t>
        </w:r>
        <w:r>
          <w:rPr>
            <w:noProof/>
            <w:webHidden/>
          </w:rPr>
          <w:tab/>
        </w:r>
        <w:r>
          <w:rPr>
            <w:noProof/>
            <w:webHidden/>
          </w:rPr>
          <w:fldChar w:fldCharType="begin"/>
        </w:r>
        <w:r>
          <w:rPr>
            <w:noProof/>
            <w:webHidden/>
          </w:rPr>
          <w:instrText xml:space="preserve"> PAGEREF _Toc242889539 \h </w:instrText>
        </w:r>
        <w:r>
          <w:rPr>
            <w:noProof/>
            <w:webHidden/>
          </w:rPr>
        </w:r>
        <w:r>
          <w:rPr>
            <w:noProof/>
            <w:webHidden/>
          </w:rPr>
          <w:fldChar w:fldCharType="separate"/>
        </w:r>
        <w:r>
          <w:rPr>
            <w:noProof/>
            <w:webHidden/>
          </w:rPr>
          <w:t>118</w:t>
        </w:r>
        <w:r>
          <w:rPr>
            <w:noProof/>
            <w:webHidden/>
          </w:rPr>
          <w:fldChar w:fldCharType="end"/>
        </w:r>
      </w:hyperlink>
    </w:p>
    <w:p w14:paraId="208A736C" w14:textId="247DA129">
      <w:pPr>
        <w:pStyle w:val="TJ3"/>
        <w:rPr>
          <w:rFonts w:asciiTheme="minorHAnsi" w:hAnsiTheme="minorHAnsi" w:cstheme="minorBidi"/>
          <w:noProof/>
          <w:sz w:val="24"/>
          <w:szCs w:val="21"/>
          <w:lang w:eastAsia="en-GB" w:bidi="sa-IN"/>
        </w:rPr>
      </w:pPr>
      <w:hyperlink w:anchor="_Toc242889540" w:history="1">
        <w:r>
          <w:rPr>
            <w:rStyle w:val="Hiperhivatkozs"/>
            <w:noProof/>
            <w:lang w:bidi="ar-SA"/>
          </w:rPr>
          <w:t>7.4.1. Flagging erroneous and uninterpretable readings</w:t>
        </w:r>
        <w:r>
          <w:rPr>
            <w:noProof/>
            <w:webHidden/>
          </w:rPr>
          <w:tab/>
        </w:r>
        <w:r>
          <w:rPr>
            <w:noProof/>
            <w:webHidden/>
          </w:rPr>
          <w:fldChar w:fldCharType="begin"/>
        </w:r>
        <w:r>
          <w:rPr>
            <w:noProof/>
            <w:webHidden/>
          </w:rPr>
          <w:instrText xml:space="preserve"> PAGEREF _Toc242889540 \h </w:instrText>
        </w:r>
        <w:r>
          <w:rPr>
            <w:noProof/>
            <w:webHidden/>
          </w:rPr>
        </w:r>
        <w:r>
          <w:rPr>
            <w:noProof/>
            <w:webHidden/>
          </w:rPr>
          <w:fldChar w:fldCharType="separate"/>
        </w:r>
        <w:r>
          <w:rPr>
            <w:noProof/>
            <w:webHidden/>
          </w:rPr>
          <w:t>118</w:t>
        </w:r>
        <w:r>
          <w:rPr>
            <w:noProof/>
            <w:webHidden/>
          </w:rPr>
          <w:fldChar w:fldCharType="end"/>
        </w:r>
      </w:hyperlink>
    </w:p>
    <w:p w14:paraId="7A7AB88B" w14:textId="45BA0A32">
      <w:pPr>
        <w:pStyle w:val="TJ3"/>
        <w:rPr>
          <w:rFonts w:asciiTheme="minorHAnsi" w:hAnsiTheme="minorHAnsi" w:cstheme="minorBidi"/>
          <w:noProof/>
          <w:sz w:val="24"/>
          <w:szCs w:val="21"/>
          <w:lang w:eastAsia="en-GB" w:bidi="sa-IN"/>
        </w:rPr>
      </w:pPr>
      <w:hyperlink w:anchor="_Toc242889541" w:history="1">
        <w:r>
          <w:rPr>
            <w:rStyle w:val="Hiperhivatkozs"/>
            <w:noProof/>
            <w:lang w:bidi="ar-SA"/>
          </w:rPr>
          <w:t>7.4.2. Flagging non-standard readings</w:t>
        </w:r>
        <w:r>
          <w:rPr>
            <w:noProof/>
            <w:webHidden/>
          </w:rPr>
          <w:tab/>
        </w:r>
        <w:r>
          <w:rPr>
            <w:noProof/>
            <w:webHidden/>
          </w:rPr>
          <w:fldChar w:fldCharType="begin"/>
        </w:r>
        <w:r>
          <w:rPr>
            <w:noProof/>
            <w:webHidden/>
          </w:rPr>
          <w:instrText xml:space="preserve"> PAGEREF _Toc242889541 \h </w:instrText>
        </w:r>
        <w:r>
          <w:rPr>
            <w:noProof/>
            <w:webHidden/>
          </w:rPr>
        </w:r>
        <w:r>
          <w:rPr>
            <w:noProof/>
            <w:webHidden/>
          </w:rPr>
          <w:fldChar w:fldCharType="separate"/>
        </w:r>
        <w:r>
          <w:rPr>
            <w:noProof/>
            <w:webHidden/>
          </w:rPr>
          <w:t>118</w:t>
        </w:r>
        <w:r>
          <w:rPr>
            <w:noProof/>
            <w:webHidden/>
          </w:rPr>
          <w:fldChar w:fldCharType="end"/>
        </w:r>
      </w:hyperlink>
    </w:p>
    <w:p w14:paraId="5106A32F" w14:textId="067BCF74">
      <w:pPr>
        <w:pStyle w:val="TJ2"/>
        <w:rPr>
          <w:rFonts w:asciiTheme="minorHAnsi" w:hAnsiTheme="minorHAnsi" w:cstheme="minorBidi"/>
          <w:noProof/>
          <w:sz w:val="24"/>
          <w:szCs w:val="21"/>
          <w:lang w:eastAsia="en-GB" w:bidi="sa-IN"/>
        </w:rPr>
      </w:pPr>
      <w:hyperlink w:anchor="_Toc242889542" w:history="1">
        <w:r>
          <w:rPr>
            <w:rStyle w:val="Hiperhivatkozs"/>
            <w:noProof/>
            <w:lang w:bidi="ar-SA"/>
          </w:rPr>
          <w:t>7.5. Rectifying anomalous readings</w:t>
        </w:r>
        <w:r>
          <w:rPr>
            <w:noProof/>
            <w:webHidden/>
          </w:rPr>
          <w:tab/>
        </w:r>
        <w:r>
          <w:rPr>
            <w:noProof/>
            <w:webHidden/>
          </w:rPr>
          <w:fldChar w:fldCharType="begin"/>
        </w:r>
        <w:r>
          <w:rPr>
            <w:noProof/>
            <w:webHidden/>
          </w:rPr>
          <w:instrText xml:space="preserve"> PAGEREF _Toc242889542 \h </w:instrText>
        </w:r>
        <w:r>
          <w:rPr>
            <w:noProof/>
            <w:webHidden/>
          </w:rPr>
        </w:r>
        <w:r>
          <w:rPr>
            <w:noProof/>
            <w:webHidden/>
          </w:rPr>
          <w:fldChar w:fldCharType="separate"/>
        </w:r>
        <w:r>
          <w:rPr>
            <w:noProof/>
            <w:webHidden/>
          </w:rPr>
          <w:t>119</w:t>
        </w:r>
        <w:r>
          <w:rPr>
            <w:noProof/>
            <w:webHidden/>
          </w:rPr>
          <w:fldChar w:fldCharType="end"/>
        </w:r>
      </w:hyperlink>
    </w:p>
    <w:p w14:paraId="06AF1121" w14:textId="5D0A7DA1">
      <w:pPr>
        <w:pStyle w:val="TJ3"/>
        <w:rPr>
          <w:rFonts w:asciiTheme="minorHAnsi" w:hAnsiTheme="minorHAnsi" w:cstheme="minorBidi"/>
          <w:noProof/>
          <w:sz w:val="24"/>
          <w:szCs w:val="21"/>
          <w:lang w:eastAsia="en-GB" w:bidi="sa-IN"/>
        </w:rPr>
      </w:pPr>
      <w:hyperlink w:anchor="_Toc242889543" w:history="1">
        <w:r>
          <w:rPr>
            <w:rStyle w:val="Hiperhivatkozs"/>
            <w:noProof/>
            <w:lang w:bidi="ar-SA"/>
          </w:rPr>
          <w:t>7.5.1. Substitution</w:t>
        </w:r>
        <w:r>
          <w:rPr>
            <w:noProof/>
            <w:webHidden/>
          </w:rPr>
          <w:tab/>
        </w:r>
        <w:r>
          <w:rPr>
            <w:noProof/>
            <w:webHidden/>
          </w:rPr>
          <w:fldChar w:fldCharType="begin"/>
        </w:r>
        <w:r>
          <w:rPr>
            <w:noProof/>
            <w:webHidden/>
          </w:rPr>
          <w:instrText xml:space="preserve"> PAGEREF _Toc242889543 \h </w:instrText>
        </w:r>
        <w:r>
          <w:rPr>
            <w:noProof/>
            <w:webHidden/>
          </w:rPr>
        </w:r>
        <w:r>
          <w:rPr>
            <w:noProof/>
            <w:webHidden/>
          </w:rPr>
          <w:fldChar w:fldCharType="separate"/>
        </w:r>
        <w:r>
          <w:rPr>
            <w:noProof/>
            <w:webHidden/>
          </w:rPr>
          <w:t>120</w:t>
        </w:r>
        <w:r>
          <w:rPr>
            <w:noProof/>
            <w:webHidden/>
          </w:rPr>
          <w:fldChar w:fldCharType="end"/>
        </w:r>
      </w:hyperlink>
    </w:p>
    <w:p w14:paraId="0530C44E" w14:textId="0400F57E">
      <w:pPr>
        <w:pStyle w:val="TJ3"/>
        <w:rPr>
          <w:rFonts w:asciiTheme="minorHAnsi" w:hAnsiTheme="minorHAnsi" w:cstheme="minorBidi"/>
          <w:noProof/>
          <w:sz w:val="24"/>
          <w:szCs w:val="21"/>
          <w:lang w:eastAsia="en-GB" w:bidi="sa-IN"/>
        </w:rPr>
      </w:pPr>
      <w:hyperlink w:anchor="_Toc242889544" w:history="1">
        <w:r>
          <w:rPr>
            <w:rStyle w:val="Hiperhivatkozs"/>
            <w:noProof/>
            <w:lang w:bidi="ar-SA"/>
          </w:rPr>
          <w:t>7.5.2. Suppression: editorial deletion of superfluous text</w:t>
        </w:r>
        <w:r>
          <w:rPr>
            <w:noProof/>
            <w:webHidden/>
          </w:rPr>
          <w:tab/>
        </w:r>
        <w:r>
          <w:rPr>
            <w:noProof/>
            <w:webHidden/>
          </w:rPr>
          <w:fldChar w:fldCharType="begin"/>
        </w:r>
        <w:r>
          <w:rPr>
            <w:noProof/>
            <w:webHidden/>
          </w:rPr>
          <w:instrText xml:space="preserve"> PAGEREF _Toc242889544 \h </w:instrText>
        </w:r>
        <w:r>
          <w:rPr>
            <w:noProof/>
            <w:webHidden/>
          </w:rPr>
        </w:r>
        <w:r>
          <w:rPr>
            <w:noProof/>
            <w:webHidden/>
          </w:rPr>
          <w:fldChar w:fldCharType="separate"/>
        </w:r>
        <w:r>
          <w:rPr>
            <w:noProof/>
            <w:webHidden/>
          </w:rPr>
          <w:t>121</w:t>
        </w:r>
        <w:r>
          <w:rPr>
            <w:noProof/>
            <w:webHidden/>
          </w:rPr>
          <w:fldChar w:fldCharType="end"/>
        </w:r>
      </w:hyperlink>
    </w:p>
    <w:p w14:paraId="3AE7A958" w14:textId="49ED2B52">
      <w:pPr>
        <w:pStyle w:val="TJ3"/>
        <w:rPr>
          <w:rFonts w:asciiTheme="minorHAnsi" w:hAnsiTheme="minorHAnsi" w:cstheme="minorBidi"/>
          <w:noProof/>
          <w:sz w:val="24"/>
          <w:szCs w:val="21"/>
          <w:lang w:eastAsia="en-GB" w:bidi="sa-IN"/>
        </w:rPr>
      </w:pPr>
      <w:hyperlink w:anchor="_Toc242889545" w:history="1">
        <w:r>
          <w:rPr>
            <w:rStyle w:val="Hiperhivatkozs"/>
            <w:noProof/>
            <w:lang w:bidi="ar-SA"/>
          </w:rPr>
          <w:t>7.5.3. Restitution: editorial addition of omitted text</w:t>
        </w:r>
        <w:r>
          <w:rPr>
            <w:noProof/>
            <w:webHidden/>
          </w:rPr>
          <w:tab/>
        </w:r>
        <w:r>
          <w:rPr>
            <w:noProof/>
            <w:webHidden/>
          </w:rPr>
          <w:fldChar w:fldCharType="begin"/>
        </w:r>
        <w:r>
          <w:rPr>
            <w:noProof/>
            <w:webHidden/>
          </w:rPr>
          <w:instrText xml:space="preserve"> PAGEREF _Toc242889545 \h </w:instrText>
        </w:r>
        <w:r>
          <w:rPr>
            <w:noProof/>
            <w:webHidden/>
          </w:rPr>
        </w:r>
        <w:r>
          <w:rPr>
            <w:noProof/>
            <w:webHidden/>
          </w:rPr>
          <w:fldChar w:fldCharType="separate"/>
        </w:r>
        <w:r>
          <w:rPr>
            <w:noProof/>
            <w:webHidden/>
          </w:rPr>
          <w:t>121</w:t>
        </w:r>
        <w:r>
          <w:rPr>
            <w:noProof/>
            <w:webHidden/>
          </w:rPr>
          <w:fldChar w:fldCharType="end"/>
        </w:r>
      </w:hyperlink>
    </w:p>
    <w:p w14:paraId="645879F8" w14:textId="655D83F4">
      <w:pPr>
        <w:pStyle w:val="TJ2"/>
        <w:rPr>
          <w:rFonts w:asciiTheme="minorHAnsi" w:hAnsiTheme="minorHAnsi" w:cstheme="minorBidi"/>
          <w:noProof/>
          <w:sz w:val="24"/>
          <w:szCs w:val="21"/>
          <w:lang w:eastAsia="en-GB" w:bidi="sa-IN"/>
        </w:rPr>
      </w:pPr>
      <w:hyperlink w:anchor="_Toc242889546" w:history="1">
        <w:r>
          <w:rPr>
            <w:rStyle w:val="Hiperhivatkozs"/>
            <w:noProof/>
            <w:lang w:bidi="ar-SA"/>
          </w:rPr>
          <w:t>7.6. Encoding scribal omission without editorial restoration</w:t>
        </w:r>
        <w:r>
          <w:rPr>
            <w:noProof/>
            <w:webHidden/>
          </w:rPr>
          <w:tab/>
        </w:r>
        <w:r>
          <w:rPr>
            <w:noProof/>
            <w:webHidden/>
          </w:rPr>
          <w:fldChar w:fldCharType="begin"/>
        </w:r>
        <w:r>
          <w:rPr>
            <w:noProof/>
            <w:webHidden/>
          </w:rPr>
          <w:instrText xml:space="preserve"> PAGEREF _Toc242889546 \h </w:instrText>
        </w:r>
        <w:r>
          <w:rPr>
            <w:noProof/>
            <w:webHidden/>
          </w:rPr>
        </w:r>
        <w:r>
          <w:rPr>
            <w:noProof/>
            <w:webHidden/>
          </w:rPr>
          <w:fldChar w:fldCharType="separate"/>
        </w:r>
        <w:r>
          <w:rPr>
            <w:noProof/>
            <w:webHidden/>
          </w:rPr>
          <w:t>122</w:t>
        </w:r>
        <w:r>
          <w:rPr>
            <w:noProof/>
            <w:webHidden/>
          </w:rPr>
          <w:fldChar w:fldCharType="end"/>
        </w:r>
      </w:hyperlink>
    </w:p>
    <w:p w14:paraId="314C199A" w14:textId="33472B70">
      <w:pPr>
        <w:pStyle w:val="TJ2"/>
        <w:rPr>
          <w:rFonts w:asciiTheme="minorHAnsi" w:hAnsiTheme="minorHAnsi" w:cstheme="minorBidi"/>
          <w:noProof/>
          <w:sz w:val="24"/>
          <w:szCs w:val="21"/>
          <w:lang w:eastAsia="en-GB" w:bidi="sa-IN"/>
        </w:rPr>
      </w:pPr>
      <w:hyperlink w:anchor="_Toc242889547" w:history="1">
        <w:r>
          <w:rPr>
            <w:rStyle w:val="Hiperhivatkozs"/>
            <w:noProof/>
            <w:lang w:bidi="ar-SA"/>
          </w:rPr>
          <w:t>7.7. Good practice in editorial intervention</w:t>
        </w:r>
        <w:r>
          <w:rPr>
            <w:noProof/>
            <w:webHidden/>
          </w:rPr>
          <w:tab/>
        </w:r>
        <w:r>
          <w:rPr>
            <w:noProof/>
            <w:webHidden/>
          </w:rPr>
          <w:fldChar w:fldCharType="begin"/>
        </w:r>
        <w:r>
          <w:rPr>
            <w:noProof/>
            <w:webHidden/>
          </w:rPr>
          <w:instrText xml:space="preserve"> PAGEREF _Toc242889547 \h </w:instrText>
        </w:r>
        <w:r>
          <w:rPr>
            <w:noProof/>
            <w:webHidden/>
          </w:rPr>
        </w:r>
        <w:r>
          <w:rPr>
            <w:noProof/>
            <w:webHidden/>
          </w:rPr>
          <w:fldChar w:fldCharType="separate"/>
        </w:r>
        <w:r>
          <w:rPr>
            <w:noProof/>
            <w:webHidden/>
          </w:rPr>
          <w:t>122</w:t>
        </w:r>
        <w:r>
          <w:rPr>
            <w:noProof/>
            <w:webHidden/>
          </w:rPr>
          <w:fldChar w:fldCharType="end"/>
        </w:r>
      </w:hyperlink>
    </w:p>
    <w:p w14:paraId="4F7F021C" w14:textId="3AD34945">
      <w:pPr>
        <w:pStyle w:val="TJ3"/>
        <w:rPr>
          <w:rFonts w:asciiTheme="minorHAnsi" w:hAnsiTheme="minorHAnsi" w:cstheme="minorBidi"/>
          <w:noProof/>
          <w:sz w:val="24"/>
          <w:szCs w:val="21"/>
          <w:lang w:eastAsia="en-GB" w:bidi="sa-IN"/>
        </w:rPr>
      </w:pPr>
      <w:hyperlink w:anchor="_Toc242889548" w:history="1">
        <w:r>
          <w:rPr>
            <w:rStyle w:val="Hiperhivatkozs"/>
            <w:noProof/>
            <w:lang w:bidi="ar-SA"/>
          </w:rPr>
          <w:t>7.7.1. Manipulating graphemes</w:t>
        </w:r>
        <w:r>
          <w:rPr>
            <w:noProof/>
            <w:webHidden/>
          </w:rPr>
          <w:tab/>
        </w:r>
        <w:r>
          <w:rPr>
            <w:noProof/>
            <w:webHidden/>
          </w:rPr>
          <w:fldChar w:fldCharType="begin"/>
        </w:r>
        <w:r>
          <w:rPr>
            <w:noProof/>
            <w:webHidden/>
          </w:rPr>
          <w:instrText xml:space="preserve"> PAGEREF _Toc242889548 \h </w:instrText>
        </w:r>
        <w:r>
          <w:rPr>
            <w:noProof/>
            <w:webHidden/>
          </w:rPr>
        </w:r>
        <w:r>
          <w:rPr>
            <w:noProof/>
            <w:webHidden/>
          </w:rPr>
          <w:fldChar w:fldCharType="separate"/>
        </w:r>
        <w:r>
          <w:rPr>
            <w:noProof/>
            <w:webHidden/>
          </w:rPr>
          <w:t>122</w:t>
        </w:r>
        <w:r>
          <w:rPr>
            <w:noProof/>
            <w:webHidden/>
          </w:rPr>
          <w:fldChar w:fldCharType="end"/>
        </w:r>
      </w:hyperlink>
    </w:p>
    <w:p w14:paraId="5680CBDB" w14:textId="08AA89C4">
      <w:pPr>
        <w:pStyle w:val="TJ3"/>
        <w:rPr>
          <w:rFonts w:asciiTheme="minorHAnsi" w:hAnsiTheme="minorHAnsi" w:cstheme="minorBidi"/>
          <w:noProof/>
          <w:sz w:val="24"/>
          <w:szCs w:val="21"/>
          <w:lang w:eastAsia="en-GB" w:bidi="sa-IN"/>
        </w:rPr>
      </w:pPr>
      <w:hyperlink w:anchor="_Toc242889549" w:history="1">
        <w:r>
          <w:rPr>
            <w:rStyle w:val="Hiperhivatkozs"/>
            <w:noProof/>
            <w:lang w:bidi="ar-SA"/>
          </w:rPr>
          <w:t>7.7.2. The scope of editorial intervention</w:t>
        </w:r>
        <w:r>
          <w:rPr>
            <w:noProof/>
            <w:webHidden/>
          </w:rPr>
          <w:tab/>
        </w:r>
        <w:r>
          <w:rPr>
            <w:noProof/>
            <w:webHidden/>
          </w:rPr>
          <w:fldChar w:fldCharType="begin"/>
        </w:r>
        <w:r>
          <w:rPr>
            <w:noProof/>
            <w:webHidden/>
          </w:rPr>
          <w:instrText xml:space="preserve"> PAGEREF _Toc242889549 \h </w:instrText>
        </w:r>
        <w:r>
          <w:rPr>
            <w:noProof/>
            <w:webHidden/>
          </w:rPr>
        </w:r>
        <w:r>
          <w:rPr>
            <w:noProof/>
            <w:webHidden/>
          </w:rPr>
          <w:fldChar w:fldCharType="separate"/>
        </w:r>
        <w:r>
          <w:rPr>
            <w:noProof/>
            <w:webHidden/>
          </w:rPr>
          <w:t>124</w:t>
        </w:r>
        <w:r>
          <w:rPr>
            <w:noProof/>
            <w:webHidden/>
          </w:rPr>
          <w:fldChar w:fldCharType="end"/>
        </w:r>
      </w:hyperlink>
    </w:p>
    <w:p w14:paraId="261968AD" w14:textId="2453FDD1">
      <w:pPr>
        <w:pStyle w:val="TJ3"/>
        <w:rPr>
          <w:rFonts w:asciiTheme="minorHAnsi" w:hAnsiTheme="minorHAnsi" w:cstheme="minorBidi"/>
          <w:noProof/>
          <w:sz w:val="24"/>
          <w:szCs w:val="21"/>
          <w:lang w:eastAsia="en-GB" w:bidi="sa-IN"/>
        </w:rPr>
      </w:pPr>
      <w:hyperlink w:anchor="_Toc242889550" w:history="1">
        <w:r>
          <w:rPr>
            <w:rStyle w:val="Hiperhivatkozs"/>
            <w:noProof/>
            <w:lang w:bidi="ar-SA"/>
          </w:rPr>
          <w:t>7.7.3. The precision of editorial intervention</w:t>
        </w:r>
        <w:r>
          <w:rPr>
            <w:noProof/>
            <w:webHidden/>
          </w:rPr>
          <w:tab/>
        </w:r>
        <w:r>
          <w:rPr>
            <w:noProof/>
            <w:webHidden/>
          </w:rPr>
          <w:fldChar w:fldCharType="begin"/>
        </w:r>
        <w:r>
          <w:rPr>
            <w:noProof/>
            <w:webHidden/>
          </w:rPr>
          <w:instrText xml:space="preserve"> PAGEREF _Toc242889550 \h </w:instrText>
        </w:r>
        <w:r>
          <w:rPr>
            <w:noProof/>
            <w:webHidden/>
          </w:rPr>
        </w:r>
        <w:r>
          <w:rPr>
            <w:noProof/>
            <w:webHidden/>
          </w:rPr>
          <w:fldChar w:fldCharType="separate"/>
        </w:r>
        <w:r>
          <w:rPr>
            <w:noProof/>
            <w:webHidden/>
          </w:rPr>
          <w:t>125</w:t>
        </w:r>
        <w:r>
          <w:rPr>
            <w:noProof/>
            <w:webHidden/>
          </w:rPr>
          <w:fldChar w:fldCharType="end"/>
        </w:r>
      </w:hyperlink>
    </w:p>
    <w:p w14:paraId="37D17FB4" w14:textId="4F1F653E">
      <w:pPr>
        <w:pStyle w:val="TJ3"/>
        <w:rPr>
          <w:rFonts w:asciiTheme="minorHAnsi" w:hAnsiTheme="minorHAnsi" w:cstheme="minorBidi"/>
          <w:noProof/>
          <w:sz w:val="24"/>
          <w:szCs w:val="21"/>
          <w:lang w:eastAsia="en-GB" w:bidi="sa-IN"/>
        </w:rPr>
      </w:pPr>
      <w:hyperlink w:anchor="_Toc242889551" w:history="1">
        <w:r>
          <w:rPr>
            <w:rStyle w:val="Hiperhivatkozs"/>
            <w:noProof/>
            <w:lang w:bidi="ar-SA"/>
          </w:rPr>
          <w:t>7.7.4. Editorial intervention in metrical verse</w:t>
        </w:r>
        <w:r>
          <w:rPr>
            <w:noProof/>
            <w:webHidden/>
          </w:rPr>
          <w:tab/>
        </w:r>
        <w:r>
          <w:rPr>
            <w:noProof/>
            <w:webHidden/>
          </w:rPr>
          <w:fldChar w:fldCharType="begin"/>
        </w:r>
        <w:r>
          <w:rPr>
            <w:noProof/>
            <w:webHidden/>
          </w:rPr>
          <w:instrText xml:space="preserve"> PAGEREF _Toc242889551 \h </w:instrText>
        </w:r>
        <w:r>
          <w:rPr>
            <w:noProof/>
            <w:webHidden/>
          </w:rPr>
        </w:r>
        <w:r>
          <w:rPr>
            <w:noProof/>
            <w:webHidden/>
          </w:rPr>
          <w:fldChar w:fldCharType="separate"/>
        </w:r>
        <w:r>
          <w:rPr>
            <w:noProof/>
            <w:webHidden/>
          </w:rPr>
          <w:t>126</w:t>
        </w:r>
        <w:r>
          <w:rPr>
            <w:noProof/>
            <w:webHidden/>
          </w:rPr>
          <w:fldChar w:fldCharType="end"/>
        </w:r>
      </w:hyperlink>
    </w:p>
    <w:p w14:paraId="7B1CE179" w14:textId="64A69797">
      <w:pPr>
        <w:pStyle w:val="TJ3"/>
        <w:rPr>
          <w:rFonts w:asciiTheme="minorHAnsi" w:hAnsiTheme="minorHAnsi" w:cstheme="minorBidi"/>
          <w:noProof/>
          <w:sz w:val="24"/>
          <w:szCs w:val="21"/>
          <w:lang w:eastAsia="en-GB" w:bidi="sa-IN"/>
        </w:rPr>
      </w:pPr>
      <w:hyperlink w:anchor="_Toc242889552" w:history="1">
        <w:r>
          <w:rPr>
            <w:rStyle w:val="Hiperhivatkozs"/>
            <w:noProof/>
            <w:lang w:bidi="ar-SA"/>
          </w:rPr>
          <w:t>7.7.5. Nesting correction and normalisation</w:t>
        </w:r>
        <w:r>
          <w:rPr>
            <w:noProof/>
            <w:webHidden/>
          </w:rPr>
          <w:tab/>
        </w:r>
        <w:r>
          <w:rPr>
            <w:noProof/>
            <w:webHidden/>
          </w:rPr>
          <w:fldChar w:fldCharType="begin"/>
        </w:r>
        <w:r>
          <w:rPr>
            <w:noProof/>
            <w:webHidden/>
          </w:rPr>
          <w:instrText xml:space="preserve"> PAGEREF _Toc242889552 \h </w:instrText>
        </w:r>
        <w:r>
          <w:rPr>
            <w:noProof/>
            <w:webHidden/>
          </w:rPr>
        </w:r>
        <w:r>
          <w:rPr>
            <w:noProof/>
            <w:webHidden/>
          </w:rPr>
          <w:fldChar w:fldCharType="separate"/>
        </w:r>
        <w:r>
          <w:rPr>
            <w:noProof/>
            <w:webHidden/>
          </w:rPr>
          <w:t>128</w:t>
        </w:r>
        <w:r>
          <w:rPr>
            <w:noProof/>
            <w:webHidden/>
          </w:rPr>
          <w:fldChar w:fldCharType="end"/>
        </w:r>
      </w:hyperlink>
    </w:p>
    <w:p w14:paraId="1E02CAEE" w14:textId="6DFA7673">
      <w:pPr>
        <w:pStyle w:val="TJ2"/>
        <w:rPr>
          <w:rFonts w:asciiTheme="minorHAnsi" w:hAnsiTheme="minorHAnsi" w:cstheme="minorBidi"/>
          <w:noProof/>
          <w:sz w:val="24"/>
          <w:szCs w:val="21"/>
          <w:lang w:eastAsia="en-GB" w:bidi="sa-IN"/>
        </w:rPr>
      </w:pPr>
      <w:hyperlink w:anchor="_Toc242889553" w:history="1">
        <w:r>
          <w:rPr>
            <w:rStyle w:val="Hiperhivatkozs"/>
            <w:noProof/>
            <w:lang w:bidi="ar-SA"/>
          </w:rPr>
          <w:t>7.8. Editorial curation</w:t>
        </w:r>
        <w:r>
          <w:rPr>
            <w:noProof/>
            <w:webHidden/>
          </w:rPr>
          <w:tab/>
        </w:r>
        <w:r>
          <w:rPr>
            <w:noProof/>
            <w:webHidden/>
          </w:rPr>
          <w:fldChar w:fldCharType="begin"/>
        </w:r>
        <w:r>
          <w:rPr>
            <w:noProof/>
            <w:webHidden/>
          </w:rPr>
          <w:instrText xml:space="preserve"> PAGEREF _Toc242889553 \h </w:instrText>
        </w:r>
        <w:r>
          <w:rPr>
            <w:noProof/>
            <w:webHidden/>
          </w:rPr>
        </w:r>
        <w:r>
          <w:rPr>
            <w:noProof/>
            <w:webHidden/>
          </w:rPr>
          <w:fldChar w:fldCharType="separate"/>
        </w:r>
        <w:r>
          <w:rPr>
            <w:noProof/>
            <w:webHidden/>
          </w:rPr>
          <w:t>129</w:t>
        </w:r>
        <w:r>
          <w:rPr>
            <w:noProof/>
            <w:webHidden/>
          </w:rPr>
          <w:fldChar w:fldCharType="end"/>
        </w:r>
      </w:hyperlink>
    </w:p>
    <w:p w14:paraId="6C2FDC8F" w14:textId="3CE5B8D4">
      <w:pPr>
        <w:pStyle w:val="TJ3"/>
        <w:rPr>
          <w:rFonts w:asciiTheme="minorHAnsi" w:hAnsiTheme="minorHAnsi" w:cstheme="minorBidi"/>
          <w:noProof/>
          <w:sz w:val="24"/>
          <w:szCs w:val="21"/>
          <w:lang w:eastAsia="en-GB" w:bidi="sa-IN"/>
        </w:rPr>
      </w:pPr>
      <w:hyperlink w:anchor="_Toc242889554" w:history="1">
        <w:r>
          <w:rPr>
            <w:rStyle w:val="Hiperhivatkozs"/>
            <w:noProof/>
            <w:lang w:bidi="ar-SA"/>
          </w:rPr>
          <w:t>7.8.1. Editorial spacing</w:t>
        </w:r>
        <w:r>
          <w:rPr>
            <w:noProof/>
            <w:webHidden/>
          </w:rPr>
          <w:tab/>
        </w:r>
        <w:r>
          <w:rPr>
            <w:noProof/>
            <w:webHidden/>
          </w:rPr>
          <w:fldChar w:fldCharType="begin"/>
        </w:r>
        <w:r>
          <w:rPr>
            <w:noProof/>
            <w:webHidden/>
          </w:rPr>
          <w:instrText xml:space="preserve"> PAGEREF _Toc242889554 \h </w:instrText>
        </w:r>
        <w:r>
          <w:rPr>
            <w:noProof/>
            <w:webHidden/>
          </w:rPr>
        </w:r>
        <w:r>
          <w:rPr>
            <w:noProof/>
            <w:webHidden/>
          </w:rPr>
          <w:fldChar w:fldCharType="separate"/>
        </w:r>
        <w:r>
          <w:rPr>
            <w:noProof/>
            <w:webHidden/>
          </w:rPr>
          <w:t>129</w:t>
        </w:r>
        <w:r>
          <w:rPr>
            <w:noProof/>
            <w:webHidden/>
          </w:rPr>
          <w:fldChar w:fldCharType="end"/>
        </w:r>
      </w:hyperlink>
    </w:p>
    <w:p w14:paraId="032D3A76" w14:textId="490438A3">
      <w:pPr>
        <w:pStyle w:val="TJ3"/>
        <w:rPr>
          <w:rFonts w:asciiTheme="minorHAnsi" w:hAnsiTheme="minorHAnsi" w:cstheme="minorBidi"/>
          <w:noProof/>
          <w:sz w:val="24"/>
          <w:szCs w:val="21"/>
          <w:lang w:eastAsia="en-GB" w:bidi="sa-IN"/>
        </w:rPr>
      </w:pPr>
      <w:hyperlink w:anchor="_Toc242889555" w:history="1">
        <w:r>
          <w:rPr>
            <w:rStyle w:val="Hiperhivatkozs"/>
            <w:noProof/>
            <w:lang w:bidi="ar-SA"/>
          </w:rPr>
          <w:t>7.8.2. Editorial hyphenation</w:t>
        </w:r>
        <w:r>
          <w:rPr>
            <w:noProof/>
            <w:webHidden/>
          </w:rPr>
          <w:tab/>
        </w:r>
        <w:r>
          <w:rPr>
            <w:noProof/>
            <w:webHidden/>
          </w:rPr>
          <w:fldChar w:fldCharType="begin"/>
        </w:r>
        <w:r>
          <w:rPr>
            <w:noProof/>
            <w:webHidden/>
          </w:rPr>
          <w:instrText xml:space="preserve"> PAGEREF _Toc242889555 \h </w:instrText>
        </w:r>
        <w:r>
          <w:rPr>
            <w:noProof/>
            <w:webHidden/>
          </w:rPr>
        </w:r>
        <w:r>
          <w:rPr>
            <w:noProof/>
            <w:webHidden/>
          </w:rPr>
          <w:fldChar w:fldCharType="separate"/>
        </w:r>
        <w:r>
          <w:rPr>
            <w:noProof/>
            <w:webHidden/>
          </w:rPr>
          <w:t>130</w:t>
        </w:r>
        <w:r>
          <w:rPr>
            <w:noProof/>
            <w:webHidden/>
          </w:rPr>
          <w:fldChar w:fldCharType="end"/>
        </w:r>
      </w:hyperlink>
    </w:p>
    <w:p w14:paraId="7928728B" w14:textId="3C46F12D">
      <w:pPr>
        <w:pStyle w:val="TJ3"/>
        <w:rPr>
          <w:rFonts w:asciiTheme="minorHAnsi" w:hAnsiTheme="minorHAnsi" w:cstheme="minorBidi"/>
          <w:noProof/>
          <w:sz w:val="24"/>
          <w:szCs w:val="21"/>
          <w:lang w:eastAsia="en-GB" w:bidi="sa-IN"/>
        </w:rPr>
      </w:pPr>
      <w:hyperlink w:anchor="_Toc242889556" w:history="1">
        <w:r>
          <w:rPr>
            <w:rStyle w:val="Hiperhivatkozs"/>
            <w:noProof/>
            <w:lang w:bidi="ar-SA"/>
          </w:rPr>
          <w:t>7.8.3. Supplied punctuation</w:t>
        </w:r>
        <w:r>
          <w:rPr>
            <w:noProof/>
            <w:webHidden/>
          </w:rPr>
          <w:tab/>
        </w:r>
        <w:r>
          <w:rPr>
            <w:noProof/>
            <w:webHidden/>
          </w:rPr>
          <w:fldChar w:fldCharType="begin"/>
        </w:r>
        <w:r>
          <w:rPr>
            <w:noProof/>
            <w:webHidden/>
          </w:rPr>
          <w:instrText xml:space="preserve"> PAGEREF _Toc242889556 \h </w:instrText>
        </w:r>
        <w:r>
          <w:rPr>
            <w:noProof/>
            <w:webHidden/>
          </w:rPr>
        </w:r>
        <w:r>
          <w:rPr>
            <w:noProof/>
            <w:webHidden/>
          </w:rPr>
          <w:fldChar w:fldCharType="separate"/>
        </w:r>
        <w:r>
          <w:rPr>
            <w:noProof/>
            <w:webHidden/>
          </w:rPr>
          <w:t>130</w:t>
        </w:r>
        <w:r>
          <w:rPr>
            <w:noProof/>
            <w:webHidden/>
          </w:rPr>
          <w:fldChar w:fldCharType="end"/>
        </w:r>
      </w:hyperlink>
    </w:p>
    <w:p w14:paraId="1FBF28C0" w14:textId="5DCF83AF">
      <w:pPr>
        <w:pStyle w:val="TJ3"/>
        <w:rPr>
          <w:rFonts w:asciiTheme="minorHAnsi" w:hAnsiTheme="minorHAnsi" w:cstheme="minorBidi"/>
          <w:noProof/>
          <w:sz w:val="24"/>
          <w:szCs w:val="21"/>
          <w:lang w:eastAsia="en-GB" w:bidi="sa-IN"/>
        </w:rPr>
      </w:pPr>
      <w:hyperlink w:anchor="_Toc242889557" w:history="1">
        <w:r>
          <w:rPr>
            <w:rStyle w:val="Hiperhivatkozs"/>
            <w:noProof/>
            <w:lang w:bidi="ar-SA"/>
          </w:rPr>
          <w:t xml:space="preserve">7.8.4. Supplied </w:t>
        </w:r>
        <w:r>
          <w:rPr>
            <w:rStyle w:val="Hiperhivatkozs"/>
            <w:i/>
            <w:iCs/>
            <w:noProof/>
            <w:lang w:bidi="ar-SA"/>
          </w:rPr>
          <w:t>avagraha</w:t>
        </w:r>
        <w:r>
          <w:rPr>
            <w:noProof/>
            <w:webHidden/>
          </w:rPr>
          <w:tab/>
        </w:r>
        <w:r>
          <w:rPr>
            <w:noProof/>
            <w:webHidden/>
          </w:rPr>
          <w:fldChar w:fldCharType="begin"/>
        </w:r>
        <w:r>
          <w:rPr>
            <w:noProof/>
            <w:webHidden/>
          </w:rPr>
          <w:instrText xml:space="preserve"> PAGEREF _Toc242889557 \h </w:instrText>
        </w:r>
        <w:r>
          <w:rPr>
            <w:noProof/>
            <w:webHidden/>
          </w:rPr>
        </w:r>
        <w:r>
          <w:rPr>
            <w:noProof/>
            <w:webHidden/>
          </w:rPr>
          <w:fldChar w:fldCharType="separate"/>
        </w:r>
        <w:r>
          <w:rPr>
            <w:noProof/>
            <w:webHidden/>
          </w:rPr>
          <w:t>132</w:t>
        </w:r>
        <w:r>
          <w:rPr>
            <w:noProof/>
            <w:webHidden/>
          </w:rPr>
          <w:fldChar w:fldCharType="end"/>
        </w:r>
      </w:hyperlink>
    </w:p>
    <w:p w14:paraId="038B07AC" w14:textId="5FC23F4A">
      <w:pPr>
        <w:pStyle w:val="TJ3"/>
        <w:rPr>
          <w:rFonts w:asciiTheme="minorHAnsi" w:hAnsiTheme="minorHAnsi" w:cstheme="minorBidi"/>
          <w:noProof/>
          <w:sz w:val="24"/>
          <w:szCs w:val="21"/>
          <w:lang w:eastAsia="en-GB" w:bidi="sa-IN"/>
        </w:rPr>
      </w:pPr>
      <w:hyperlink w:anchor="_Toc242889558" w:history="1">
        <w:r>
          <w:rPr>
            <w:rStyle w:val="Hiperhivatkozs"/>
            <w:noProof/>
            <w:lang w:bidi="ar-SA"/>
          </w:rPr>
          <w:t>7.8.5. Distinction of short and long e/o in Dravidian languages</w:t>
        </w:r>
        <w:r>
          <w:rPr>
            <w:noProof/>
            <w:webHidden/>
          </w:rPr>
          <w:tab/>
        </w:r>
        <w:r>
          <w:rPr>
            <w:noProof/>
            <w:webHidden/>
          </w:rPr>
          <w:fldChar w:fldCharType="begin"/>
        </w:r>
        <w:r>
          <w:rPr>
            <w:noProof/>
            <w:webHidden/>
          </w:rPr>
          <w:instrText xml:space="preserve"> PAGEREF _Toc242889558 \h </w:instrText>
        </w:r>
        <w:r>
          <w:rPr>
            <w:noProof/>
            <w:webHidden/>
          </w:rPr>
        </w:r>
        <w:r>
          <w:rPr>
            <w:noProof/>
            <w:webHidden/>
          </w:rPr>
          <w:fldChar w:fldCharType="separate"/>
        </w:r>
        <w:r>
          <w:rPr>
            <w:noProof/>
            <w:webHidden/>
          </w:rPr>
          <w:t>132</w:t>
        </w:r>
        <w:r>
          <w:rPr>
            <w:noProof/>
            <w:webHidden/>
          </w:rPr>
          <w:fldChar w:fldCharType="end"/>
        </w:r>
      </w:hyperlink>
    </w:p>
    <w:p w14:paraId="07B214A0" w14:textId="195EB36F">
      <w:pPr>
        <w:pStyle w:val="TJ3"/>
        <w:rPr>
          <w:rFonts w:asciiTheme="minorHAnsi" w:hAnsiTheme="minorHAnsi" w:cstheme="minorBidi"/>
          <w:noProof/>
          <w:sz w:val="24"/>
          <w:szCs w:val="21"/>
          <w:lang w:eastAsia="en-GB" w:bidi="sa-IN"/>
        </w:rPr>
      </w:pPr>
      <w:hyperlink w:anchor="_Toc242889559" w:history="1">
        <w:r>
          <w:rPr>
            <w:rStyle w:val="Hiperhivatkozs"/>
            <w:noProof/>
            <w:lang w:bidi="ar-SA"/>
          </w:rPr>
          <w:t>7.8.6. Shortened vowels in Sanskrit loanwords</w:t>
        </w:r>
        <w:r>
          <w:rPr>
            <w:noProof/>
            <w:webHidden/>
          </w:rPr>
          <w:tab/>
        </w:r>
        <w:r>
          <w:rPr>
            <w:noProof/>
            <w:webHidden/>
          </w:rPr>
          <w:fldChar w:fldCharType="begin"/>
        </w:r>
        <w:r>
          <w:rPr>
            <w:noProof/>
            <w:webHidden/>
          </w:rPr>
          <w:instrText xml:space="preserve"> PAGEREF _Toc242889559 \h </w:instrText>
        </w:r>
        <w:r>
          <w:rPr>
            <w:noProof/>
            <w:webHidden/>
          </w:rPr>
        </w:r>
        <w:r>
          <w:rPr>
            <w:noProof/>
            <w:webHidden/>
          </w:rPr>
          <w:fldChar w:fldCharType="separate"/>
        </w:r>
        <w:r>
          <w:rPr>
            <w:noProof/>
            <w:webHidden/>
          </w:rPr>
          <w:t>133</w:t>
        </w:r>
        <w:r>
          <w:rPr>
            <w:noProof/>
            <w:webHidden/>
          </w:rPr>
          <w:fldChar w:fldCharType="end"/>
        </w:r>
      </w:hyperlink>
    </w:p>
    <w:p w14:paraId="55CDE802" w14:textId="338B23C8">
      <w:pPr>
        <w:pStyle w:val="TJ2"/>
        <w:rPr>
          <w:rFonts w:asciiTheme="minorHAnsi" w:hAnsiTheme="minorHAnsi" w:cstheme="minorBidi"/>
          <w:noProof/>
          <w:sz w:val="24"/>
          <w:szCs w:val="21"/>
          <w:lang w:eastAsia="en-GB" w:bidi="sa-IN"/>
        </w:rPr>
      </w:pPr>
      <w:hyperlink w:anchor="_Toc242889560" w:history="1">
        <w:r>
          <w:rPr>
            <w:rStyle w:val="Hiperhivatkozs"/>
            <w:noProof/>
            <w:lang w:bidi="ar-SA"/>
          </w:rPr>
          <w:t>7.9. Highlighting for review</w:t>
        </w:r>
        <w:r>
          <w:rPr>
            <w:noProof/>
            <w:webHidden/>
          </w:rPr>
          <w:tab/>
        </w:r>
        <w:r>
          <w:rPr>
            <w:noProof/>
            <w:webHidden/>
          </w:rPr>
          <w:fldChar w:fldCharType="begin"/>
        </w:r>
        <w:r>
          <w:rPr>
            <w:noProof/>
            <w:webHidden/>
          </w:rPr>
          <w:instrText xml:space="preserve"> PAGEREF _Toc242889560 \h </w:instrText>
        </w:r>
        <w:r>
          <w:rPr>
            <w:noProof/>
            <w:webHidden/>
          </w:rPr>
        </w:r>
        <w:r>
          <w:rPr>
            <w:noProof/>
            <w:webHidden/>
          </w:rPr>
          <w:fldChar w:fldCharType="separate"/>
        </w:r>
        <w:r>
          <w:rPr>
            <w:noProof/>
            <w:webHidden/>
          </w:rPr>
          <w:t>133</w:t>
        </w:r>
        <w:r>
          <w:rPr>
            <w:noProof/>
            <w:webHidden/>
          </w:rPr>
          <w:fldChar w:fldCharType="end"/>
        </w:r>
      </w:hyperlink>
    </w:p>
    <w:p w14:paraId="574A832B" w14:textId="2168B066">
      <w:pPr>
        <w:pStyle w:val="TJ1"/>
        <w:rPr>
          <w:rFonts w:asciiTheme="minorHAnsi" w:hAnsiTheme="minorHAnsi" w:cstheme="minorBidi"/>
          <w:b w:val="0"/>
          <w:noProof/>
          <w:sz w:val="24"/>
          <w:szCs w:val="21"/>
          <w:lang w:eastAsia="en-GB" w:bidi="sa-IN"/>
        </w:rPr>
      </w:pPr>
      <w:hyperlink w:anchor="_Toc242889561" w:history="1">
        <w:r>
          <w:rPr>
            <w:rStyle w:val="Hiperhivatkozs"/>
            <w:noProof/>
            <w:lang w:bidi="ar-SA"/>
          </w:rPr>
          <w:t>8. Language, script and visual characteristics</w:t>
        </w:r>
        <w:r>
          <w:rPr>
            <w:noProof/>
            <w:webHidden/>
          </w:rPr>
          <w:tab/>
        </w:r>
        <w:r>
          <w:rPr>
            <w:noProof/>
            <w:webHidden/>
          </w:rPr>
          <w:fldChar w:fldCharType="begin"/>
        </w:r>
        <w:r>
          <w:rPr>
            <w:noProof/>
            <w:webHidden/>
          </w:rPr>
          <w:instrText xml:space="preserve"> PAGEREF _Toc242889561 \h </w:instrText>
        </w:r>
        <w:r>
          <w:rPr>
            <w:noProof/>
            <w:webHidden/>
          </w:rPr>
        </w:r>
        <w:r>
          <w:rPr>
            <w:noProof/>
            <w:webHidden/>
          </w:rPr>
          <w:fldChar w:fldCharType="separate"/>
        </w:r>
        <w:r>
          <w:rPr>
            <w:noProof/>
            <w:webHidden/>
          </w:rPr>
          <w:t>134</w:t>
        </w:r>
        <w:r>
          <w:rPr>
            <w:noProof/>
            <w:webHidden/>
          </w:rPr>
          <w:fldChar w:fldCharType="end"/>
        </w:r>
      </w:hyperlink>
    </w:p>
    <w:p w14:paraId="6096FEC8" w14:textId="744B473E">
      <w:pPr>
        <w:pStyle w:val="TJ2"/>
        <w:rPr>
          <w:rFonts w:asciiTheme="minorHAnsi" w:hAnsiTheme="minorHAnsi" w:cstheme="minorBidi"/>
          <w:noProof/>
          <w:sz w:val="24"/>
          <w:szCs w:val="21"/>
          <w:lang w:eastAsia="en-GB" w:bidi="sa-IN"/>
        </w:rPr>
      </w:pPr>
      <w:hyperlink w:anchor="_Toc242889562" w:history="1">
        <w:r>
          <w:rPr>
            <w:rStyle w:val="Hiperhivatkozs"/>
            <w:noProof/>
            <w:lang w:bidi="ar-SA"/>
          </w:rPr>
          <w:t>8.1. Source language</w:t>
        </w:r>
        <w:r>
          <w:rPr>
            <w:noProof/>
            <w:webHidden/>
          </w:rPr>
          <w:tab/>
        </w:r>
        <w:r>
          <w:rPr>
            <w:noProof/>
            <w:webHidden/>
          </w:rPr>
          <w:fldChar w:fldCharType="begin"/>
        </w:r>
        <w:r>
          <w:rPr>
            <w:noProof/>
            <w:webHidden/>
          </w:rPr>
          <w:instrText xml:space="preserve"> PAGEREF _Toc242889562 \h </w:instrText>
        </w:r>
        <w:r>
          <w:rPr>
            <w:noProof/>
            <w:webHidden/>
          </w:rPr>
        </w:r>
        <w:r>
          <w:rPr>
            <w:noProof/>
            <w:webHidden/>
          </w:rPr>
          <w:fldChar w:fldCharType="separate"/>
        </w:r>
        <w:r>
          <w:rPr>
            <w:noProof/>
            <w:webHidden/>
          </w:rPr>
          <w:t>134</w:t>
        </w:r>
        <w:r>
          <w:rPr>
            <w:noProof/>
            <w:webHidden/>
          </w:rPr>
          <w:fldChar w:fldCharType="end"/>
        </w:r>
      </w:hyperlink>
    </w:p>
    <w:p w14:paraId="1BB929A8" w14:textId="1C3398C9">
      <w:pPr>
        <w:pStyle w:val="TJ3"/>
        <w:rPr>
          <w:rFonts w:asciiTheme="minorHAnsi" w:hAnsiTheme="minorHAnsi" w:cstheme="minorBidi"/>
          <w:noProof/>
          <w:sz w:val="24"/>
          <w:szCs w:val="21"/>
          <w:lang w:eastAsia="en-GB" w:bidi="sa-IN"/>
        </w:rPr>
      </w:pPr>
      <w:hyperlink w:anchor="_Toc242889563" w:history="1">
        <w:r>
          <w:rPr>
            <w:rStyle w:val="Hiperhivatkozs"/>
            <w:noProof/>
            <w:lang w:bidi="ar-SA"/>
          </w:rPr>
          <w:t>8.1.1. The language of the edition</w:t>
        </w:r>
        <w:r>
          <w:rPr>
            <w:noProof/>
            <w:webHidden/>
          </w:rPr>
          <w:tab/>
        </w:r>
        <w:r>
          <w:rPr>
            <w:noProof/>
            <w:webHidden/>
          </w:rPr>
          <w:fldChar w:fldCharType="begin"/>
        </w:r>
        <w:r>
          <w:rPr>
            <w:noProof/>
            <w:webHidden/>
          </w:rPr>
          <w:instrText xml:space="preserve"> PAGEREF _Toc242889563 \h </w:instrText>
        </w:r>
        <w:r>
          <w:rPr>
            <w:noProof/>
            <w:webHidden/>
          </w:rPr>
        </w:r>
        <w:r>
          <w:rPr>
            <w:noProof/>
            <w:webHidden/>
          </w:rPr>
          <w:fldChar w:fldCharType="separate"/>
        </w:r>
        <w:r>
          <w:rPr>
            <w:noProof/>
            <w:webHidden/>
          </w:rPr>
          <w:t>134</w:t>
        </w:r>
        <w:r>
          <w:rPr>
            <w:noProof/>
            <w:webHidden/>
          </w:rPr>
          <w:fldChar w:fldCharType="end"/>
        </w:r>
      </w:hyperlink>
    </w:p>
    <w:p w14:paraId="297FD432" w14:textId="7BB0B7FB">
      <w:pPr>
        <w:pStyle w:val="TJ3"/>
        <w:rPr>
          <w:rFonts w:asciiTheme="minorHAnsi" w:hAnsiTheme="minorHAnsi" w:cstheme="minorBidi"/>
          <w:noProof/>
          <w:sz w:val="24"/>
          <w:szCs w:val="21"/>
          <w:lang w:eastAsia="en-GB" w:bidi="sa-IN"/>
        </w:rPr>
      </w:pPr>
      <w:hyperlink w:anchor="_Toc242889564" w:history="1">
        <w:r>
          <w:rPr>
            <w:rStyle w:val="Hiperhivatkozs"/>
            <w:noProof/>
            <w:lang w:bidi="ar-SA"/>
          </w:rPr>
          <w:t>8.1.2. Multilingual inscriptions</w:t>
        </w:r>
        <w:r>
          <w:rPr>
            <w:noProof/>
            <w:webHidden/>
          </w:rPr>
          <w:tab/>
        </w:r>
        <w:r>
          <w:rPr>
            <w:noProof/>
            <w:webHidden/>
          </w:rPr>
          <w:fldChar w:fldCharType="begin"/>
        </w:r>
        <w:r>
          <w:rPr>
            <w:noProof/>
            <w:webHidden/>
          </w:rPr>
          <w:instrText xml:space="preserve"> PAGEREF _Toc242889564 \h </w:instrText>
        </w:r>
        <w:r>
          <w:rPr>
            <w:noProof/>
            <w:webHidden/>
          </w:rPr>
        </w:r>
        <w:r>
          <w:rPr>
            <w:noProof/>
            <w:webHidden/>
          </w:rPr>
          <w:fldChar w:fldCharType="separate"/>
        </w:r>
        <w:r>
          <w:rPr>
            <w:noProof/>
            <w:webHidden/>
          </w:rPr>
          <w:t>134</w:t>
        </w:r>
        <w:r>
          <w:rPr>
            <w:noProof/>
            <w:webHidden/>
          </w:rPr>
          <w:fldChar w:fldCharType="end"/>
        </w:r>
      </w:hyperlink>
    </w:p>
    <w:p w14:paraId="27FC448D" w14:textId="1EFD8754">
      <w:pPr>
        <w:pStyle w:val="TJ2"/>
        <w:rPr>
          <w:rFonts w:asciiTheme="minorHAnsi" w:hAnsiTheme="minorHAnsi" w:cstheme="minorBidi"/>
          <w:noProof/>
          <w:sz w:val="24"/>
          <w:szCs w:val="21"/>
          <w:lang w:eastAsia="en-GB" w:bidi="sa-IN"/>
        </w:rPr>
      </w:pPr>
      <w:hyperlink w:anchor="_Toc242889565" w:history="1">
        <w:r>
          <w:rPr>
            <w:rStyle w:val="Hiperhivatkozs"/>
            <w:noProof/>
            <w:lang w:bidi="ar-SA"/>
          </w:rPr>
          <w:t>8.2. Script</w:t>
        </w:r>
        <w:r>
          <w:rPr>
            <w:noProof/>
            <w:webHidden/>
          </w:rPr>
          <w:tab/>
        </w:r>
        <w:r>
          <w:rPr>
            <w:noProof/>
            <w:webHidden/>
          </w:rPr>
          <w:fldChar w:fldCharType="begin"/>
        </w:r>
        <w:r>
          <w:rPr>
            <w:noProof/>
            <w:webHidden/>
          </w:rPr>
          <w:instrText xml:space="preserve"> PAGEREF _Toc242889565 \h </w:instrText>
        </w:r>
        <w:r>
          <w:rPr>
            <w:noProof/>
            <w:webHidden/>
          </w:rPr>
        </w:r>
        <w:r>
          <w:rPr>
            <w:noProof/>
            <w:webHidden/>
          </w:rPr>
          <w:fldChar w:fldCharType="separate"/>
        </w:r>
        <w:r>
          <w:rPr>
            <w:noProof/>
            <w:webHidden/>
          </w:rPr>
          <w:t>135</w:t>
        </w:r>
        <w:r>
          <w:rPr>
            <w:noProof/>
            <w:webHidden/>
          </w:rPr>
          <w:fldChar w:fldCharType="end"/>
        </w:r>
      </w:hyperlink>
    </w:p>
    <w:p w14:paraId="13DEAC84" w14:textId="6FCFBBFC">
      <w:pPr>
        <w:pStyle w:val="TJ3"/>
        <w:rPr>
          <w:rFonts w:asciiTheme="minorHAnsi" w:hAnsiTheme="minorHAnsi" w:cstheme="minorBidi"/>
          <w:noProof/>
          <w:sz w:val="24"/>
          <w:szCs w:val="21"/>
          <w:lang w:eastAsia="en-GB" w:bidi="sa-IN"/>
        </w:rPr>
      </w:pPr>
      <w:hyperlink w:anchor="_Toc242889566" w:history="1">
        <w:r>
          <w:rPr>
            <w:rStyle w:val="Hiperhivatkozs"/>
            <w:noProof/>
            <w:lang w:bidi="ar-SA"/>
          </w:rPr>
          <w:t xml:space="preserve">8.2.1. Encoding source script with </w:t>
        </w:r>
        <w:r>
          <w:rPr>
            <w:rStyle w:val="Hiperhivatkozs"/>
            <w:rFonts w:ascii="Consolas" w:hAnsi="Consolas" w:cs="Consolas"/>
            <w:noProof/>
            <w:shd w:val="clear" w:color="auto" w:fill="F2F2F2" w:themeFill="background1" w:themeFillShade="F2"/>
            <w:lang w:bidi="ar-SA"/>
          </w:rPr>
          <w:t>@rendition</w:t>
        </w:r>
        <w:r>
          <w:rPr>
            <w:noProof/>
            <w:webHidden/>
          </w:rPr>
          <w:tab/>
        </w:r>
        <w:r>
          <w:rPr>
            <w:noProof/>
            <w:webHidden/>
          </w:rPr>
          <w:fldChar w:fldCharType="begin"/>
        </w:r>
        <w:r>
          <w:rPr>
            <w:noProof/>
            <w:webHidden/>
          </w:rPr>
          <w:instrText xml:space="preserve"> PAGEREF _Toc242889566 \h </w:instrText>
        </w:r>
        <w:r>
          <w:rPr>
            <w:noProof/>
            <w:webHidden/>
          </w:rPr>
        </w:r>
        <w:r>
          <w:rPr>
            <w:noProof/>
            <w:webHidden/>
          </w:rPr>
          <w:fldChar w:fldCharType="separate"/>
        </w:r>
        <w:r>
          <w:rPr>
            <w:noProof/>
            <w:webHidden/>
          </w:rPr>
          <w:t>135</w:t>
        </w:r>
        <w:r>
          <w:rPr>
            <w:noProof/>
            <w:webHidden/>
          </w:rPr>
          <w:fldChar w:fldCharType="end"/>
        </w:r>
      </w:hyperlink>
    </w:p>
    <w:p w14:paraId="608D0EE1" w14:textId="3017541F">
      <w:pPr>
        <w:pStyle w:val="TJ3"/>
        <w:rPr>
          <w:rFonts w:asciiTheme="minorHAnsi" w:hAnsiTheme="minorHAnsi" w:cstheme="minorBidi"/>
          <w:noProof/>
          <w:sz w:val="24"/>
          <w:szCs w:val="21"/>
          <w:lang w:eastAsia="en-GB" w:bidi="sa-IN"/>
        </w:rPr>
      </w:pPr>
      <w:hyperlink w:anchor="_Toc242889567" w:history="1">
        <w:r>
          <w:rPr>
            <w:rStyle w:val="Hiperhivatkozs"/>
            <w:noProof/>
            <w:lang w:bidi="ar-SA"/>
          </w:rPr>
          <w:t>8.2.2. The script of the edition</w:t>
        </w:r>
        <w:r>
          <w:rPr>
            <w:noProof/>
            <w:webHidden/>
          </w:rPr>
          <w:tab/>
        </w:r>
        <w:r>
          <w:rPr>
            <w:noProof/>
            <w:webHidden/>
          </w:rPr>
          <w:fldChar w:fldCharType="begin"/>
        </w:r>
        <w:r>
          <w:rPr>
            <w:noProof/>
            <w:webHidden/>
          </w:rPr>
          <w:instrText xml:space="preserve"> PAGEREF _Toc242889567 \h </w:instrText>
        </w:r>
        <w:r>
          <w:rPr>
            <w:noProof/>
            <w:webHidden/>
          </w:rPr>
        </w:r>
        <w:r>
          <w:rPr>
            <w:noProof/>
            <w:webHidden/>
          </w:rPr>
          <w:fldChar w:fldCharType="separate"/>
        </w:r>
        <w:r>
          <w:rPr>
            <w:noProof/>
            <w:webHidden/>
          </w:rPr>
          <w:t>136</w:t>
        </w:r>
        <w:r>
          <w:rPr>
            <w:noProof/>
            <w:webHidden/>
          </w:rPr>
          <w:fldChar w:fldCharType="end"/>
        </w:r>
      </w:hyperlink>
    </w:p>
    <w:p w14:paraId="1E80C028" w14:textId="2E87060B">
      <w:pPr>
        <w:pStyle w:val="TJ3"/>
        <w:rPr>
          <w:rFonts w:asciiTheme="minorHAnsi" w:hAnsiTheme="minorHAnsi" w:cstheme="minorBidi"/>
          <w:noProof/>
          <w:sz w:val="24"/>
          <w:szCs w:val="21"/>
          <w:lang w:eastAsia="en-GB" w:bidi="sa-IN"/>
        </w:rPr>
      </w:pPr>
      <w:hyperlink w:anchor="_Toc242889568" w:history="1">
        <w:r>
          <w:rPr>
            <w:rStyle w:val="Hiperhivatkozs"/>
            <w:noProof/>
            <w:lang w:bidi="ar-SA"/>
          </w:rPr>
          <w:t>8.2.3. Multiscript inscriptions</w:t>
        </w:r>
        <w:r>
          <w:rPr>
            <w:noProof/>
            <w:webHidden/>
          </w:rPr>
          <w:tab/>
        </w:r>
        <w:r>
          <w:rPr>
            <w:noProof/>
            <w:webHidden/>
          </w:rPr>
          <w:fldChar w:fldCharType="begin"/>
        </w:r>
        <w:r>
          <w:rPr>
            <w:noProof/>
            <w:webHidden/>
          </w:rPr>
          <w:instrText xml:space="preserve"> PAGEREF _Toc242889568 \h </w:instrText>
        </w:r>
        <w:r>
          <w:rPr>
            <w:noProof/>
            <w:webHidden/>
          </w:rPr>
        </w:r>
        <w:r>
          <w:rPr>
            <w:noProof/>
            <w:webHidden/>
          </w:rPr>
          <w:fldChar w:fldCharType="separate"/>
        </w:r>
        <w:r>
          <w:rPr>
            <w:noProof/>
            <w:webHidden/>
          </w:rPr>
          <w:t>136</w:t>
        </w:r>
        <w:r>
          <w:rPr>
            <w:noProof/>
            <w:webHidden/>
          </w:rPr>
          <w:fldChar w:fldCharType="end"/>
        </w:r>
      </w:hyperlink>
    </w:p>
    <w:p w14:paraId="4C588005" w14:textId="46F0A599">
      <w:pPr>
        <w:pStyle w:val="TJ2"/>
        <w:rPr>
          <w:rFonts w:asciiTheme="minorHAnsi" w:hAnsiTheme="minorHAnsi" w:cstheme="minorBidi"/>
          <w:noProof/>
          <w:sz w:val="24"/>
          <w:szCs w:val="21"/>
          <w:lang w:eastAsia="en-GB" w:bidi="sa-IN"/>
        </w:rPr>
      </w:pPr>
      <w:hyperlink w:anchor="_Toc242889569" w:history="1">
        <w:r>
          <w:rPr>
            <w:rStyle w:val="Hiperhivatkozs"/>
            <w:noProof/>
            <w:lang w:bidi="ar-SA"/>
          </w:rPr>
          <w:t>8.3. Scribal hands</w:t>
        </w:r>
        <w:r>
          <w:rPr>
            <w:noProof/>
            <w:webHidden/>
          </w:rPr>
          <w:tab/>
        </w:r>
        <w:r>
          <w:rPr>
            <w:noProof/>
            <w:webHidden/>
          </w:rPr>
          <w:fldChar w:fldCharType="begin"/>
        </w:r>
        <w:r>
          <w:rPr>
            <w:noProof/>
            <w:webHidden/>
          </w:rPr>
          <w:instrText xml:space="preserve"> PAGEREF _Toc242889569 \h </w:instrText>
        </w:r>
        <w:r>
          <w:rPr>
            <w:noProof/>
            <w:webHidden/>
          </w:rPr>
        </w:r>
        <w:r>
          <w:rPr>
            <w:noProof/>
            <w:webHidden/>
          </w:rPr>
          <w:fldChar w:fldCharType="separate"/>
        </w:r>
        <w:r>
          <w:rPr>
            <w:noProof/>
            <w:webHidden/>
          </w:rPr>
          <w:t>137</w:t>
        </w:r>
        <w:r>
          <w:rPr>
            <w:noProof/>
            <w:webHidden/>
          </w:rPr>
          <w:fldChar w:fldCharType="end"/>
        </w:r>
      </w:hyperlink>
    </w:p>
    <w:p w14:paraId="7A341036" w14:textId="3C329262">
      <w:pPr>
        <w:pStyle w:val="TJ2"/>
        <w:rPr>
          <w:rFonts w:asciiTheme="minorHAnsi" w:hAnsiTheme="minorHAnsi" w:cstheme="minorBidi"/>
          <w:noProof/>
          <w:sz w:val="24"/>
          <w:szCs w:val="21"/>
          <w:lang w:eastAsia="en-GB" w:bidi="sa-IN"/>
        </w:rPr>
      </w:pPr>
      <w:hyperlink w:anchor="_Toc242889570" w:history="1">
        <w:r>
          <w:rPr>
            <w:rStyle w:val="Hiperhivatkozs"/>
            <w:noProof/>
            <w:lang w:bidi="ar-SA"/>
          </w:rPr>
          <w:t>8.4. Lettering</w:t>
        </w:r>
        <w:r>
          <w:rPr>
            <w:noProof/>
            <w:webHidden/>
          </w:rPr>
          <w:tab/>
        </w:r>
        <w:r>
          <w:rPr>
            <w:noProof/>
            <w:webHidden/>
          </w:rPr>
          <w:fldChar w:fldCharType="begin"/>
        </w:r>
        <w:r>
          <w:rPr>
            <w:noProof/>
            <w:webHidden/>
          </w:rPr>
          <w:instrText xml:space="preserve"> PAGEREF _Toc242889570 \h </w:instrText>
        </w:r>
        <w:r>
          <w:rPr>
            <w:noProof/>
            <w:webHidden/>
          </w:rPr>
        </w:r>
        <w:r>
          <w:rPr>
            <w:noProof/>
            <w:webHidden/>
          </w:rPr>
          <w:fldChar w:fldCharType="separate"/>
        </w:r>
        <w:r>
          <w:rPr>
            <w:noProof/>
            <w:webHidden/>
          </w:rPr>
          <w:t>138</w:t>
        </w:r>
        <w:r>
          <w:rPr>
            <w:noProof/>
            <w:webHidden/>
          </w:rPr>
          <w:fldChar w:fldCharType="end"/>
        </w:r>
      </w:hyperlink>
    </w:p>
    <w:p w14:paraId="3A5EE400" w14:textId="12D07DC5">
      <w:pPr>
        <w:pStyle w:val="TJ2"/>
        <w:rPr>
          <w:rFonts w:asciiTheme="minorHAnsi" w:hAnsiTheme="minorHAnsi" w:cstheme="minorBidi"/>
          <w:noProof/>
          <w:sz w:val="24"/>
          <w:szCs w:val="21"/>
          <w:lang w:eastAsia="en-GB" w:bidi="sa-IN"/>
        </w:rPr>
      </w:pPr>
      <w:hyperlink w:anchor="_Toc242889571" w:history="1">
        <w:r>
          <w:rPr>
            <w:rStyle w:val="Hiperhivatkozs"/>
            <w:noProof/>
            <w:lang w:bidi="ar-SA"/>
          </w:rPr>
          <w:t>8.5. Line layout</w:t>
        </w:r>
        <w:r>
          <w:rPr>
            <w:noProof/>
            <w:webHidden/>
          </w:rPr>
          <w:tab/>
        </w:r>
        <w:r>
          <w:rPr>
            <w:noProof/>
            <w:webHidden/>
          </w:rPr>
          <w:fldChar w:fldCharType="begin"/>
        </w:r>
        <w:r>
          <w:rPr>
            <w:noProof/>
            <w:webHidden/>
          </w:rPr>
          <w:instrText xml:space="preserve"> PAGEREF _Toc242889571 \h </w:instrText>
        </w:r>
        <w:r>
          <w:rPr>
            <w:noProof/>
            <w:webHidden/>
          </w:rPr>
        </w:r>
        <w:r>
          <w:rPr>
            <w:noProof/>
            <w:webHidden/>
          </w:rPr>
          <w:fldChar w:fldCharType="separate"/>
        </w:r>
        <w:r>
          <w:rPr>
            <w:noProof/>
            <w:webHidden/>
          </w:rPr>
          <w:t>138</w:t>
        </w:r>
        <w:r>
          <w:rPr>
            <w:noProof/>
            <w:webHidden/>
          </w:rPr>
          <w:fldChar w:fldCharType="end"/>
        </w:r>
      </w:hyperlink>
    </w:p>
    <w:p w14:paraId="655D9B8E" w14:textId="3138644B">
      <w:pPr>
        <w:pStyle w:val="TJ3"/>
        <w:rPr>
          <w:rFonts w:asciiTheme="minorHAnsi" w:hAnsiTheme="minorHAnsi" w:cstheme="minorBidi"/>
          <w:noProof/>
          <w:sz w:val="24"/>
          <w:szCs w:val="21"/>
          <w:lang w:eastAsia="en-GB" w:bidi="sa-IN"/>
        </w:rPr>
      </w:pPr>
      <w:hyperlink w:anchor="_Toc242889572" w:history="1">
        <w:r>
          <w:rPr>
            <w:rStyle w:val="Hiperhivatkozs"/>
            <w:noProof/>
            <w:lang w:bidi="ar-SA"/>
          </w:rPr>
          <w:t>8.5.1. Alignment</w:t>
        </w:r>
        <w:r>
          <w:rPr>
            <w:noProof/>
            <w:webHidden/>
          </w:rPr>
          <w:tab/>
        </w:r>
        <w:r>
          <w:rPr>
            <w:noProof/>
            <w:webHidden/>
          </w:rPr>
          <w:fldChar w:fldCharType="begin"/>
        </w:r>
        <w:r>
          <w:rPr>
            <w:noProof/>
            <w:webHidden/>
          </w:rPr>
          <w:instrText xml:space="preserve"> PAGEREF _Toc242889572 \h </w:instrText>
        </w:r>
        <w:r>
          <w:rPr>
            <w:noProof/>
            <w:webHidden/>
          </w:rPr>
        </w:r>
        <w:r>
          <w:rPr>
            <w:noProof/>
            <w:webHidden/>
          </w:rPr>
          <w:fldChar w:fldCharType="separate"/>
        </w:r>
        <w:r>
          <w:rPr>
            <w:noProof/>
            <w:webHidden/>
          </w:rPr>
          <w:t>138</w:t>
        </w:r>
        <w:r>
          <w:rPr>
            <w:noProof/>
            <w:webHidden/>
          </w:rPr>
          <w:fldChar w:fldCharType="end"/>
        </w:r>
      </w:hyperlink>
    </w:p>
    <w:p w14:paraId="53258255" w14:textId="6635E09D">
      <w:pPr>
        <w:pStyle w:val="TJ3"/>
        <w:rPr>
          <w:rFonts w:asciiTheme="minorHAnsi" w:hAnsiTheme="minorHAnsi" w:cstheme="minorBidi"/>
          <w:noProof/>
          <w:sz w:val="24"/>
          <w:szCs w:val="21"/>
          <w:lang w:eastAsia="en-GB" w:bidi="sa-IN"/>
        </w:rPr>
      </w:pPr>
      <w:hyperlink w:anchor="_Toc242889573" w:history="1">
        <w:r>
          <w:rPr>
            <w:rStyle w:val="Hiperhivatkozs"/>
            <w:noProof/>
            <w:lang w:bidi="ar-SA"/>
          </w:rPr>
          <w:t>8.5.2. Directionality and orientation</w:t>
        </w:r>
        <w:r>
          <w:rPr>
            <w:noProof/>
            <w:webHidden/>
          </w:rPr>
          <w:tab/>
        </w:r>
        <w:r>
          <w:rPr>
            <w:noProof/>
            <w:webHidden/>
          </w:rPr>
          <w:fldChar w:fldCharType="begin"/>
        </w:r>
        <w:r>
          <w:rPr>
            <w:noProof/>
            <w:webHidden/>
          </w:rPr>
          <w:instrText xml:space="preserve"> PAGEREF _Toc242889573 \h </w:instrText>
        </w:r>
        <w:r>
          <w:rPr>
            <w:noProof/>
            <w:webHidden/>
          </w:rPr>
        </w:r>
        <w:r>
          <w:rPr>
            <w:noProof/>
            <w:webHidden/>
          </w:rPr>
          <w:fldChar w:fldCharType="separate"/>
        </w:r>
        <w:r>
          <w:rPr>
            <w:noProof/>
            <w:webHidden/>
          </w:rPr>
          <w:t>139</w:t>
        </w:r>
        <w:r>
          <w:rPr>
            <w:noProof/>
            <w:webHidden/>
          </w:rPr>
          <w:fldChar w:fldCharType="end"/>
        </w:r>
      </w:hyperlink>
    </w:p>
    <w:p w14:paraId="6105D85C" w14:textId="09376AAA">
      <w:pPr>
        <w:pStyle w:val="TJ1"/>
        <w:rPr>
          <w:rFonts w:asciiTheme="minorHAnsi" w:hAnsiTheme="minorHAnsi" w:cstheme="minorBidi"/>
          <w:b w:val="0"/>
          <w:noProof/>
          <w:sz w:val="24"/>
          <w:szCs w:val="21"/>
          <w:lang w:eastAsia="en-GB" w:bidi="sa-IN"/>
        </w:rPr>
      </w:pPr>
      <w:hyperlink w:anchor="_Toc242889574" w:history="1">
        <w:r>
          <w:rPr>
            <w:rStyle w:val="Hiperhivatkozs"/>
            <w:noProof/>
            <w:lang w:bidi="ar-SA"/>
          </w:rPr>
          <w:t>9. Interpretive and analytical markup</w:t>
        </w:r>
        <w:r>
          <w:rPr>
            <w:noProof/>
            <w:webHidden/>
          </w:rPr>
          <w:tab/>
        </w:r>
        <w:r>
          <w:rPr>
            <w:noProof/>
            <w:webHidden/>
          </w:rPr>
          <w:fldChar w:fldCharType="begin"/>
        </w:r>
        <w:r>
          <w:rPr>
            <w:noProof/>
            <w:webHidden/>
          </w:rPr>
          <w:instrText xml:space="preserve"> PAGEREF _Toc242889574 \h </w:instrText>
        </w:r>
        <w:r>
          <w:rPr>
            <w:noProof/>
            <w:webHidden/>
          </w:rPr>
        </w:r>
        <w:r>
          <w:rPr>
            <w:noProof/>
            <w:webHidden/>
          </w:rPr>
          <w:fldChar w:fldCharType="separate"/>
        </w:r>
        <w:r>
          <w:rPr>
            <w:noProof/>
            <w:webHidden/>
          </w:rPr>
          <w:t>141</w:t>
        </w:r>
        <w:r>
          <w:rPr>
            <w:noProof/>
            <w:webHidden/>
          </w:rPr>
          <w:fldChar w:fldCharType="end"/>
        </w:r>
      </w:hyperlink>
    </w:p>
    <w:p w14:paraId="384A2753" w14:textId="5F469861">
      <w:pPr>
        <w:pStyle w:val="TJ2"/>
        <w:rPr>
          <w:rFonts w:asciiTheme="minorHAnsi" w:hAnsiTheme="minorHAnsi" w:cstheme="minorBidi"/>
          <w:noProof/>
          <w:sz w:val="24"/>
          <w:szCs w:val="21"/>
          <w:lang w:eastAsia="en-GB" w:bidi="sa-IN"/>
        </w:rPr>
      </w:pPr>
      <w:hyperlink w:anchor="_Toc242889575" w:history="1">
        <w:r>
          <w:rPr>
            <w:rStyle w:val="Hiperhivatkozs"/>
            <w:noProof/>
            <w:lang w:bidi="ar-SA"/>
          </w:rPr>
          <w:t>9.1. Numbers</w:t>
        </w:r>
        <w:r>
          <w:rPr>
            <w:noProof/>
            <w:webHidden/>
          </w:rPr>
          <w:tab/>
        </w:r>
        <w:r>
          <w:rPr>
            <w:noProof/>
            <w:webHidden/>
          </w:rPr>
          <w:fldChar w:fldCharType="begin"/>
        </w:r>
        <w:r>
          <w:rPr>
            <w:noProof/>
            <w:webHidden/>
          </w:rPr>
          <w:instrText xml:space="preserve"> PAGEREF _Toc242889575 \h </w:instrText>
        </w:r>
        <w:r>
          <w:rPr>
            <w:noProof/>
            <w:webHidden/>
          </w:rPr>
        </w:r>
        <w:r>
          <w:rPr>
            <w:noProof/>
            <w:webHidden/>
          </w:rPr>
          <w:fldChar w:fldCharType="separate"/>
        </w:r>
        <w:r>
          <w:rPr>
            <w:noProof/>
            <w:webHidden/>
          </w:rPr>
          <w:t>141</w:t>
        </w:r>
        <w:r>
          <w:rPr>
            <w:noProof/>
            <w:webHidden/>
          </w:rPr>
          <w:fldChar w:fldCharType="end"/>
        </w:r>
      </w:hyperlink>
    </w:p>
    <w:p w14:paraId="0FD37632" w14:textId="5CDAF796">
      <w:pPr>
        <w:pStyle w:val="TJ3"/>
        <w:rPr>
          <w:rFonts w:asciiTheme="minorHAnsi" w:hAnsiTheme="minorHAnsi" w:cstheme="minorBidi"/>
          <w:noProof/>
          <w:sz w:val="24"/>
          <w:szCs w:val="21"/>
          <w:lang w:eastAsia="en-GB" w:bidi="sa-IN"/>
        </w:rPr>
      </w:pPr>
      <w:hyperlink w:anchor="_Toc242889576" w:history="1">
        <w:r>
          <w:rPr>
            <w:rStyle w:val="Hiperhivatkozs"/>
            <w:noProof/>
            <w:lang w:bidi="ar-SA"/>
          </w:rPr>
          <w:t>9.1.1. Encoding numbers</w:t>
        </w:r>
        <w:r>
          <w:rPr>
            <w:noProof/>
            <w:webHidden/>
          </w:rPr>
          <w:tab/>
        </w:r>
        <w:r>
          <w:rPr>
            <w:noProof/>
            <w:webHidden/>
          </w:rPr>
          <w:fldChar w:fldCharType="begin"/>
        </w:r>
        <w:r>
          <w:rPr>
            <w:noProof/>
            <w:webHidden/>
          </w:rPr>
          <w:instrText xml:space="preserve"> PAGEREF _Toc242889576 \h </w:instrText>
        </w:r>
        <w:r>
          <w:rPr>
            <w:noProof/>
            <w:webHidden/>
          </w:rPr>
        </w:r>
        <w:r>
          <w:rPr>
            <w:noProof/>
            <w:webHidden/>
          </w:rPr>
          <w:fldChar w:fldCharType="separate"/>
        </w:r>
        <w:r>
          <w:rPr>
            <w:noProof/>
            <w:webHidden/>
          </w:rPr>
          <w:t>141</w:t>
        </w:r>
        <w:r>
          <w:rPr>
            <w:noProof/>
            <w:webHidden/>
          </w:rPr>
          <w:fldChar w:fldCharType="end"/>
        </w:r>
      </w:hyperlink>
    </w:p>
    <w:p w14:paraId="3E6A03E0" w14:textId="1165A242">
      <w:pPr>
        <w:pStyle w:val="TJ3"/>
        <w:rPr>
          <w:rFonts w:asciiTheme="minorHAnsi" w:hAnsiTheme="minorHAnsi" w:cstheme="minorBidi"/>
          <w:noProof/>
          <w:sz w:val="24"/>
          <w:szCs w:val="21"/>
          <w:lang w:eastAsia="en-GB" w:bidi="sa-IN"/>
        </w:rPr>
      </w:pPr>
      <w:hyperlink w:anchor="_Toc242889577" w:history="1">
        <w:r>
          <w:rPr>
            <w:rStyle w:val="Hiperhivatkozs"/>
            <w:noProof/>
            <w:lang w:bidi="ar-SA"/>
          </w:rPr>
          <w:t>9.1.2. When and how to encode numbers</w:t>
        </w:r>
        <w:r>
          <w:rPr>
            <w:noProof/>
            <w:webHidden/>
          </w:rPr>
          <w:tab/>
        </w:r>
        <w:r>
          <w:rPr>
            <w:noProof/>
            <w:webHidden/>
          </w:rPr>
          <w:fldChar w:fldCharType="begin"/>
        </w:r>
        <w:r>
          <w:rPr>
            <w:noProof/>
            <w:webHidden/>
          </w:rPr>
          <w:instrText xml:space="preserve"> PAGEREF _Toc242889577 \h </w:instrText>
        </w:r>
        <w:r>
          <w:rPr>
            <w:noProof/>
            <w:webHidden/>
          </w:rPr>
        </w:r>
        <w:r>
          <w:rPr>
            <w:noProof/>
            <w:webHidden/>
          </w:rPr>
          <w:fldChar w:fldCharType="separate"/>
        </w:r>
        <w:r>
          <w:rPr>
            <w:noProof/>
            <w:webHidden/>
          </w:rPr>
          <w:t>141</w:t>
        </w:r>
        <w:r>
          <w:rPr>
            <w:noProof/>
            <w:webHidden/>
          </w:rPr>
          <w:fldChar w:fldCharType="end"/>
        </w:r>
      </w:hyperlink>
    </w:p>
    <w:p w14:paraId="04238C8F" w14:textId="5C17C154">
      <w:pPr>
        <w:pStyle w:val="TJ3"/>
        <w:rPr>
          <w:rFonts w:asciiTheme="minorHAnsi" w:hAnsiTheme="minorHAnsi" w:cstheme="minorBidi"/>
          <w:noProof/>
          <w:sz w:val="24"/>
          <w:szCs w:val="21"/>
          <w:lang w:eastAsia="en-GB" w:bidi="sa-IN"/>
        </w:rPr>
      </w:pPr>
      <w:hyperlink w:anchor="_Toc242889578" w:history="1">
        <w:r>
          <w:rPr>
            <w:rStyle w:val="Hiperhivatkozs"/>
            <w:noProof/>
            <w:lang w:bidi="ar-SA"/>
          </w:rPr>
          <w:t>9.1.3. Difficulties in reading numbers</w:t>
        </w:r>
        <w:r>
          <w:rPr>
            <w:noProof/>
            <w:webHidden/>
          </w:rPr>
          <w:tab/>
        </w:r>
        <w:r>
          <w:rPr>
            <w:noProof/>
            <w:webHidden/>
          </w:rPr>
          <w:fldChar w:fldCharType="begin"/>
        </w:r>
        <w:r>
          <w:rPr>
            <w:noProof/>
            <w:webHidden/>
          </w:rPr>
          <w:instrText xml:space="preserve"> PAGEREF _Toc242889578 \h </w:instrText>
        </w:r>
        <w:r>
          <w:rPr>
            <w:noProof/>
            <w:webHidden/>
          </w:rPr>
        </w:r>
        <w:r>
          <w:rPr>
            <w:noProof/>
            <w:webHidden/>
          </w:rPr>
          <w:fldChar w:fldCharType="separate"/>
        </w:r>
        <w:r>
          <w:rPr>
            <w:noProof/>
            <w:webHidden/>
          </w:rPr>
          <w:t>143</w:t>
        </w:r>
        <w:r>
          <w:rPr>
            <w:noProof/>
            <w:webHidden/>
          </w:rPr>
          <w:fldChar w:fldCharType="end"/>
        </w:r>
      </w:hyperlink>
    </w:p>
    <w:p w14:paraId="62D3F7CE" w14:textId="1382E910">
      <w:pPr>
        <w:pStyle w:val="TJ3"/>
        <w:rPr>
          <w:rFonts w:asciiTheme="minorHAnsi" w:hAnsiTheme="minorHAnsi" w:cstheme="minorBidi"/>
          <w:noProof/>
          <w:sz w:val="24"/>
          <w:szCs w:val="21"/>
          <w:lang w:eastAsia="en-GB" w:bidi="sa-IN"/>
        </w:rPr>
      </w:pPr>
      <w:hyperlink w:anchor="_Toc242889579" w:history="1">
        <w:r>
          <w:rPr>
            <w:rStyle w:val="Hiperhivatkozs"/>
            <w:noProof/>
            <w:lang w:bidi="ar-SA"/>
          </w:rPr>
          <w:t>9.1.4. Editorial intervention and numerals</w:t>
        </w:r>
        <w:r>
          <w:rPr>
            <w:noProof/>
            <w:webHidden/>
          </w:rPr>
          <w:tab/>
        </w:r>
        <w:r>
          <w:rPr>
            <w:noProof/>
            <w:webHidden/>
          </w:rPr>
          <w:fldChar w:fldCharType="begin"/>
        </w:r>
        <w:r>
          <w:rPr>
            <w:noProof/>
            <w:webHidden/>
          </w:rPr>
          <w:instrText xml:space="preserve"> PAGEREF _Toc242889579 \h </w:instrText>
        </w:r>
        <w:r>
          <w:rPr>
            <w:noProof/>
            <w:webHidden/>
          </w:rPr>
        </w:r>
        <w:r>
          <w:rPr>
            <w:noProof/>
            <w:webHidden/>
          </w:rPr>
          <w:fldChar w:fldCharType="separate"/>
        </w:r>
        <w:r>
          <w:rPr>
            <w:noProof/>
            <w:webHidden/>
          </w:rPr>
          <w:t>144</w:t>
        </w:r>
        <w:r>
          <w:rPr>
            <w:noProof/>
            <w:webHidden/>
          </w:rPr>
          <w:fldChar w:fldCharType="end"/>
        </w:r>
      </w:hyperlink>
    </w:p>
    <w:p w14:paraId="78D679F7" w14:textId="7ABC1E33">
      <w:pPr>
        <w:pStyle w:val="TJ2"/>
        <w:rPr>
          <w:rFonts w:asciiTheme="minorHAnsi" w:hAnsiTheme="minorHAnsi" w:cstheme="minorBidi"/>
          <w:noProof/>
          <w:sz w:val="24"/>
          <w:szCs w:val="21"/>
          <w:lang w:eastAsia="en-GB" w:bidi="sa-IN"/>
        </w:rPr>
      </w:pPr>
      <w:hyperlink w:anchor="_Toc242889580" w:history="1">
        <w:r>
          <w:rPr>
            <w:rStyle w:val="Hiperhivatkozs"/>
            <w:noProof/>
            <w:lang w:bidi="ar-SA"/>
          </w:rPr>
          <w:t>9.2. Abbreviations</w:t>
        </w:r>
        <w:r>
          <w:rPr>
            <w:noProof/>
            <w:webHidden/>
          </w:rPr>
          <w:tab/>
        </w:r>
        <w:r>
          <w:rPr>
            <w:noProof/>
            <w:webHidden/>
          </w:rPr>
          <w:fldChar w:fldCharType="begin"/>
        </w:r>
        <w:r>
          <w:rPr>
            <w:noProof/>
            <w:webHidden/>
          </w:rPr>
          <w:instrText xml:space="preserve"> PAGEREF _Toc242889580 \h </w:instrText>
        </w:r>
        <w:r>
          <w:rPr>
            <w:noProof/>
            <w:webHidden/>
          </w:rPr>
        </w:r>
        <w:r>
          <w:rPr>
            <w:noProof/>
            <w:webHidden/>
          </w:rPr>
          <w:fldChar w:fldCharType="separate"/>
        </w:r>
        <w:r>
          <w:rPr>
            <w:noProof/>
            <w:webHidden/>
          </w:rPr>
          <w:t>144</w:t>
        </w:r>
        <w:r>
          <w:rPr>
            <w:noProof/>
            <w:webHidden/>
          </w:rPr>
          <w:fldChar w:fldCharType="end"/>
        </w:r>
      </w:hyperlink>
    </w:p>
    <w:p w14:paraId="5711FAA8" w14:textId="23C5DA83">
      <w:pPr>
        <w:pStyle w:val="TJ3"/>
        <w:rPr>
          <w:rFonts w:asciiTheme="minorHAnsi" w:hAnsiTheme="minorHAnsi" w:cstheme="minorBidi"/>
          <w:noProof/>
          <w:sz w:val="24"/>
          <w:szCs w:val="21"/>
          <w:lang w:eastAsia="en-GB" w:bidi="sa-IN"/>
        </w:rPr>
      </w:pPr>
      <w:hyperlink w:anchor="_Toc242889581" w:history="1">
        <w:r>
          <w:rPr>
            <w:rStyle w:val="Hiperhivatkozs"/>
            <w:noProof/>
            <w:lang w:bidi="ar-SA"/>
          </w:rPr>
          <w:t>9.2.1. Tagging abbreviations</w:t>
        </w:r>
        <w:r>
          <w:rPr>
            <w:noProof/>
            <w:webHidden/>
          </w:rPr>
          <w:tab/>
        </w:r>
        <w:r>
          <w:rPr>
            <w:noProof/>
            <w:webHidden/>
          </w:rPr>
          <w:fldChar w:fldCharType="begin"/>
        </w:r>
        <w:r>
          <w:rPr>
            <w:noProof/>
            <w:webHidden/>
          </w:rPr>
          <w:instrText xml:space="preserve"> PAGEREF _Toc242889581 \h </w:instrText>
        </w:r>
        <w:r>
          <w:rPr>
            <w:noProof/>
            <w:webHidden/>
          </w:rPr>
        </w:r>
        <w:r>
          <w:rPr>
            <w:noProof/>
            <w:webHidden/>
          </w:rPr>
          <w:fldChar w:fldCharType="separate"/>
        </w:r>
        <w:r>
          <w:rPr>
            <w:noProof/>
            <w:webHidden/>
          </w:rPr>
          <w:t>144</w:t>
        </w:r>
        <w:r>
          <w:rPr>
            <w:noProof/>
            <w:webHidden/>
          </w:rPr>
          <w:fldChar w:fldCharType="end"/>
        </w:r>
      </w:hyperlink>
    </w:p>
    <w:p w14:paraId="67C9D7AB" w14:textId="14F7D7D6">
      <w:pPr>
        <w:pStyle w:val="TJ3"/>
        <w:rPr>
          <w:rFonts w:asciiTheme="minorHAnsi" w:hAnsiTheme="minorHAnsi" w:cstheme="minorBidi"/>
          <w:noProof/>
          <w:sz w:val="24"/>
          <w:szCs w:val="21"/>
          <w:lang w:eastAsia="en-GB" w:bidi="sa-IN"/>
        </w:rPr>
      </w:pPr>
      <w:hyperlink w:anchor="_Toc242889582" w:history="1">
        <w:r>
          <w:rPr>
            <w:rStyle w:val="Hiperhivatkozs"/>
            <w:noProof/>
            <w:lang w:bidi="ar-SA"/>
          </w:rPr>
          <w:t>9.2.2. Expanding abbreviations</w:t>
        </w:r>
        <w:r>
          <w:rPr>
            <w:noProof/>
            <w:webHidden/>
          </w:rPr>
          <w:tab/>
        </w:r>
        <w:r>
          <w:rPr>
            <w:noProof/>
            <w:webHidden/>
          </w:rPr>
          <w:fldChar w:fldCharType="begin"/>
        </w:r>
        <w:r>
          <w:rPr>
            <w:noProof/>
            <w:webHidden/>
          </w:rPr>
          <w:instrText xml:space="preserve"> PAGEREF _Toc242889582 \h </w:instrText>
        </w:r>
        <w:r>
          <w:rPr>
            <w:noProof/>
            <w:webHidden/>
          </w:rPr>
        </w:r>
        <w:r>
          <w:rPr>
            <w:noProof/>
            <w:webHidden/>
          </w:rPr>
          <w:fldChar w:fldCharType="separate"/>
        </w:r>
        <w:r>
          <w:rPr>
            <w:noProof/>
            <w:webHidden/>
          </w:rPr>
          <w:t>144</w:t>
        </w:r>
        <w:r>
          <w:rPr>
            <w:noProof/>
            <w:webHidden/>
          </w:rPr>
          <w:fldChar w:fldCharType="end"/>
        </w:r>
      </w:hyperlink>
    </w:p>
    <w:p w14:paraId="4563B6C1" w14:textId="7A81C3A6">
      <w:pPr>
        <w:pStyle w:val="TJ1"/>
        <w:rPr>
          <w:rFonts w:asciiTheme="minorHAnsi" w:hAnsiTheme="minorHAnsi" w:cstheme="minorBidi"/>
          <w:b w:val="0"/>
          <w:noProof/>
          <w:sz w:val="24"/>
          <w:szCs w:val="21"/>
          <w:lang w:eastAsia="en-GB" w:bidi="sa-IN"/>
        </w:rPr>
      </w:pPr>
      <w:hyperlink w:anchor="_Toc242889583" w:history="1">
        <w:r>
          <w:rPr>
            <w:rStyle w:val="Hiperhivatkozs"/>
            <w:noProof/>
            <w:lang w:bidi="ar-SA"/>
          </w:rPr>
          <w:t>10. The critical apparatus</w:t>
        </w:r>
        <w:r>
          <w:rPr>
            <w:noProof/>
            <w:webHidden/>
          </w:rPr>
          <w:tab/>
        </w:r>
        <w:r>
          <w:rPr>
            <w:noProof/>
            <w:webHidden/>
          </w:rPr>
          <w:fldChar w:fldCharType="begin"/>
        </w:r>
        <w:r>
          <w:rPr>
            <w:noProof/>
            <w:webHidden/>
          </w:rPr>
          <w:instrText xml:space="preserve"> PAGEREF _Toc242889583 \h </w:instrText>
        </w:r>
        <w:r>
          <w:rPr>
            <w:noProof/>
            <w:webHidden/>
          </w:rPr>
        </w:r>
        <w:r>
          <w:rPr>
            <w:noProof/>
            <w:webHidden/>
          </w:rPr>
          <w:fldChar w:fldCharType="separate"/>
        </w:r>
        <w:r>
          <w:rPr>
            <w:noProof/>
            <w:webHidden/>
          </w:rPr>
          <w:t>146</w:t>
        </w:r>
        <w:r>
          <w:rPr>
            <w:noProof/>
            <w:webHidden/>
          </w:rPr>
          <w:fldChar w:fldCharType="end"/>
        </w:r>
      </w:hyperlink>
    </w:p>
    <w:p w14:paraId="1D66D8B7" w14:textId="0F74F07E">
      <w:pPr>
        <w:pStyle w:val="TJ2"/>
        <w:rPr>
          <w:rFonts w:asciiTheme="minorHAnsi" w:hAnsiTheme="minorHAnsi" w:cstheme="minorBidi"/>
          <w:noProof/>
          <w:sz w:val="24"/>
          <w:szCs w:val="21"/>
          <w:lang w:eastAsia="en-GB" w:bidi="sa-IN"/>
        </w:rPr>
      </w:pPr>
      <w:hyperlink w:anchor="_Toc242889584" w:history="1">
        <w:r>
          <w:rPr>
            <w:rStyle w:val="Hiperhivatkozs"/>
            <w:noProof/>
            <w:lang w:bidi="ar-SA"/>
          </w:rPr>
          <w:t>10.1. Encoding the critical apparatus</w:t>
        </w:r>
        <w:r>
          <w:rPr>
            <w:noProof/>
            <w:webHidden/>
          </w:rPr>
          <w:tab/>
        </w:r>
        <w:r>
          <w:rPr>
            <w:noProof/>
            <w:webHidden/>
          </w:rPr>
          <w:fldChar w:fldCharType="begin"/>
        </w:r>
        <w:r>
          <w:rPr>
            <w:noProof/>
            <w:webHidden/>
          </w:rPr>
          <w:instrText xml:space="preserve"> PAGEREF _Toc242889584 \h </w:instrText>
        </w:r>
        <w:r>
          <w:rPr>
            <w:noProof/>
            <w:webHidden/>
          </w:rPr>
        </w:r>
        <w:r>
          <w:rPr>
            <w:noProof/>
            <w:webHidden/>
          </w:rPr>
          <w:fldChar w:fldCharType="separate"/>
        </w:r>
        <w:r>
          <w:rPr>
            <w:noProof/>
            <w:webHidden/>
          </w:rPr>
          <w:t>146</w:t>
        </w:r>
        <w:r>
          <w:rPr>
            <w:noProof/>
            <w:webHidden/>
          </w:rPr>
          <w:fldChar w:fldCharType="end"/>
        </w:r>
      </w:hyperlink>
    </w:p>
    <w:p w14:paraId="0D94ACB7" w14:textId="2FC1C1FF">
      <w:pPr>
        <w:pStyle w:val="TJ3"/>
        <w:rPr>
          <w:rFonts w:asciiTheme="minorHAnsi" w:hAnsiTheme="minorHAnsi" w:cstheme="minorBidi"/>
          <w:noProof/>
          <w:sz w:val="24"/>
          <w:szCs w:val="21"/>
          <w:lang w:eastAsia="en-GB" w:bidi="sa-IN"/>
        </w:rPr>
      </w:pPr>
      <w:hyperlink w:anchor="_Toc242889585" w:history="1">
        <w:r>
          <w:rPr>
            <w:rStyle w:val="Hiperhivatkozs"/>
            <w:noProof/>
            <w:lang w:bidi="ar-SA"/>
          </w:rPr>
          <w:t>10.1.1. Textpart divisions in the apparatus</w:t>
        </w:r>
        <w:r>
          <w:rPr>
            <w:noProof/>
            <w:webHidden/>
          </w:rPr>
          <w:tab/>
        </w:r>
        <w:r>
          <w:rPr>
            <w:noProof/>
            <w:webHidden/>
          </w:rPr>
          <w:fldChar w:fldCharType="begin"/>
        </w:r>
        <w:r>
          <w:rPr>
            <w:noProof/>
            <w:webHidden/>
          </w:rPr>
          <w:instrText xml:space="preserve"> PAGEREF _Toc242889585 \h </w:instrText>
        </w:r>
        <w:r>
          <w:rPr>
            <w:noProof/>
            <w:webHidden/>
          </w:rPr>
        </w:r>
        <w:r>
          <w:rPr>
            <w:noProof/>
            <w:webHidden/>
          </w:rPr>
          <w:fldChar w:fldCharType="separate"/>
        </w:r>
        <w:r>
          <w:rPr>
            <w:noProof/>
            <w:webHidden/>
          </w:rPr>
          <w:t>147</w:t>
        </w:r>
        <w:r>
          <w:rPr>
            <w:noProof/>
            <w:webHidden/>
          </w:rPr>
          <w:fldChar w:fldCharType="end"/>
        </w:r>
      </w:hyperlink>
    </w:p>
    <w:p w14:paraId="1BB29FDB" w14:textId="1B530B5D">
      <w:pPr>
        <w:pStyle w:val="TJ2"/>
        <w:rPr>
          <w:rFonts w:asciiTheme="minorHAnsi" w:hAnsiTheme="minorHAnsi" w:cstheme="minorBidi"/>
          <w:noProof/>
          <w:sz w:val="24"/>
          <w:szCs w:val="21"/>
          <w:lang w:eastAsia="en-GB" w:bidi="sa-IN"/>
        </w:rPr>
      </w:pPr>
      <w:hyperlink w:anchor="_Toc242889586" w:history="1">
        <w:r>
          <w:rPr>
            <w:rStyle w:val="Hiperhivatkozs"/>
            <w:noProof/>
            <w:lang w:bidi="ar-SA"/>
          </w:rPr>
          <w:t>10.2. Indicating location in apparatus entries</w:t>
        </w:r>
        <w:r>
          <w:rPr>
            <w:noProof/>
            <w:webHidden/>
          </w:rPr>
          <w:tab/>
        </w:r>
        <w:r>
          <w:rPr>
            <w:noProof/>
            <w:webHidden/>
          </w:rPr>
          <w:fldChar w:fldCharType="begin"/>
        </w:r>
        <w:r>
          <w:rPr>
            <w:noProof/>
            <w:webHidden/>
          </w:rPr>
          <w:instrText xml:space="preserve"> PAGEREF _Toc242889586 \h </w:instrText>
        </w:r>
        <w:r>
          <w:rPr>
            <w:noProof/>
            <w:webHidden/>
          </w:rPr>
        </w:r>
        <w:r>
          <w:rPr>
            <w:noProof/>
            <w:webHidden/>
          </w:rPr>
          <w:fldChar w:fldCharType="separate"/>
        </w:r>
        <w:r>
          <w:rPr>
            <w:noProof/>
            <w:webHidden/>
          </w:rPr>
          <w:t>148</w:t>
        </w:r>
        <w:r>
          <w:rPr>
            <w:noProof/>
            <w:webHidden/>
          </w:rPr>
          <w:fldChar w:fldCharType="end"/>
        </w:r>
      </w:hyperlink>
    </w:p>
    <w:p w14:paraId="2EAB50F4" w14:textId="6405EAF2">
      <w:pPr>
        <w:pStyle w:val="TJ2"/>
        <w:rPr>
          <w:rFonts w:asciiTheme="minorHAnsi" w:hAnsiTheme="minorHAnsi" w:cstheme="minorBidi"/>
          <w:noProof/>
          <w:sz w:val="24"/>
          <w:szCs w:val="21"/>
          <w:lang w:eastAsia="en-GB" w:bidi="sa-IN"/>
        </w:rPr>
      </w:pPr>
      <w:hyperlink w:anchor="_Toc242889587" w:history="1">
        <w:r>
          <w:rPr>
            <w:rStyle w:val="Hiperhivatkozs"/>
            <w:noProof/>
            <w:lang w:bidi="ar-SA"/>
          </w:rPr>
          <w:t>10.3. Lemmas</w:t>
        </w:r>
        <w:r>
          <w:rPr>
            <w:noProof/>
            <w:webHidden/>
          </w:rPr>
          <w:tab/>
        </w:r>
        <w:r>
          <w:rPr>
            <w:noProof/>
            <w:webHidden/>
          </w:rPr>
          <w:fldChar w:fldCharType="begin"/>
        </w:r>
        <w:r>
          <w:rPr>
            <w:noProof/>
            <w:webHidden/>
          </w:rPr>
          <w:instrText xml:space="preserve"> PAGEREF _Toc242889587 \h </w:instrText>
        </w:r>
        <w:r>
          <w:rPr>
            <w:noProof/>
            <w:webHidden/>
          </w:rPr>
        </w:r>
        <w:r>
          <w:rPr>
            <w:noProof/>
            <w:webHidden/>
          </w:rPr>
          <w:fldChar w:fldCharType="separate"/>
        </w:r>
        <w:r>
          <w:rPr>
            <w:noProof/>
            <w:webHidden/>
          </w:rPr>
          <w:t>149</w:t>
        </w:r>
        <w:r>
          <w:rPr>
            <w:noProof/>
            <w:webHidden/>
          </w:rPr>
          <w:fldChar w:fldCharType="end"/>
        </w:r>
      </w:hyperlink>
    </w:p>
    <w:p w14:paraId="7D4D638C" w14:textId="43F5126E">
      <w:pPr>
        <w:pStyle w:val="TJ3"/>
        <w:rPr>
          <w:rFonts w:asciiTheme="minorHAnsi" w:hAnsiTheme="minorHAnsi" w:cstheme="minorBidi"/>
          <w:noProof/>
          <w:sz w:val="24"/>
          <w:szCs w:val="21"/>
          <w:lang w:eastAsia="en-GB" w:bidi="sa-IN"/>
        </w:rPr>
      </w:pPr>
      <w:hyperlink w:anchor="_Toc242889588" w:history="1">
        <w:r>
          <w:rPr>
            <w:rStyle w:val="Hiperhivatkozs"/>
            <w:noProof/>
            <w:lang w:bidi="ar-SA"/>
          </w:rPr>
          <w:t>10.3.1. The extent of lemmas</w:t>
        </w:r>
        <w:r>
          <w:rPr>
            <w:noProof/>
            <w:webHidden/>
          </w:rPr>
          <w:tab/>
        </w:r>
        <w:r>
          <w:rPr>
            <w:noProof/>
            <w:webHidden/>
          </w:rPr>
          <w:fldChar w:fldCharType="begin"/>
        </w:r>
        <w:r>
          <w:rPr>
            <w:noProof/>
            <w:webHidden/>
          </w:rPr>
          <w:instrText xml:space="preserve"> PAGEREF _Toc242889588 \h </w:instrText>
        </w:r>
        <w:r>
          <w:rPr>
            <w:noProof/>
            <w:webHidden/>
          </w:rPr>
        </w:r>
        <w:r>
          <w:rPr>
            <w:noProof/>
            <w:webHidden/>
          </w:rPr>
          <w:fldChar w:fldCharType="separate"/>
        </w:r>
        <w:r>
          <w:rPr>
            <w:noProof/>
            <w:webHidden/>
          </w:rPr>
          <w:t>149</w:t>
        </w:r>
        <w:r>
          <w:rPr>
            <w:noProof/>
            <w:webHidden/>
          </w:rPr>
          <w:fldChar w:fldCharType="end"/>
        </w:r>
      </w:hyperlink>
    </w:p>
    <w:p w14:paraId="1CF0F9EE" w14:textId="078568E1">
      <w:pPr>
        <w:pStyle w:val="TJ3"/>
        <w:rPr>
          <w:rFonts w:asciiTheme="minorHAnsi" w:hAnsiTheme="minorHAnsi" w:cstheme="minorBidi"/>
          <w:noProof/>
          <w:sz w:val="24"/>
          <w:szCs w:val="21"/>
          <w:lang w:eastAsia="en-GB" w:bidi="sa-IN"/>
        </w:rPr>
      </w:pPr>
      <w:hyperlink w:anchor="_Toc242889589" w:history="1">
        <w:r>
          <w:rPr>
            <w:rStyle w:val="Hiperhivatkozs"/>
            <w:noProof/>
            <w:lang w:bidi="ar-SA"/>
          </w:rPr>
          <w:t>10.3.2. The content of lemmas</w:t>
        </w:r>
        <w:r>
          <w:rPr>
            <w:noProof/>
            <w:webHidden/>
          </w:rPr>
          <w:tab/>
        </w:r>
        <w:r>
          <w:rPr>
            <w:noProof/>
            <w:webHidden/>
          </w:rPr>
          <w:fldChar w:fldCharType="begin"/>
        </w:r>
        <w:r>
          <w:rPr>
            <w:noProof/>
            <w:webHidden/>
          </w:rPr>
          <w:instrText xml:space="preserve"> PAGEREF _Toc242889589 \h </w:instrText>
        </w:r>
        <w:r>
          <w:rPr>
            <w:noProof/>
            <w:webHidden/>
          </w:rPr>
        </w:r>
        <w:r>
          <w:rPr>
            <w:noProof/>
            <w:webHidden/>
          </w:rPr>
          <w:fldChar w:fldCharType="separate"/>
        </w:r>
        <w:r>
          <w:rPr>
            <w:noProof/>
            <w:webHidden/>
          </w:rPr>
          <w:t>149</w:t>
        </w:r>
        <w:r>
          <w:rPr>
            <w:noProof/>
            <w:webHidden/>
          </w:rPr>
          <w:fldChar w:fldCharType="end"/>
        </w:r>
      </w:hyperlink>
    </w:p>
    <w:p w14:paraId="63B0F3E7" w14:textId="5EE7194B">
      <w:pPr>
        <w:pStyle w:val="TJ3"/>
        <w:rPr>
          <w:rFonts w:asciiTheme="minorHAnsi" w:hAnsiTheme="minorHAnsi" w:cstheme="minorBidi"/>
          <w:noProof/>
          <w:sz w:val="24"/>
          <w:szCs w:val="21"/>
          <w:lang w:eastAsia="en-GB" w:bidi="sa-IN"/>
        </w:rPr>
      </w:pPr>
      <w:hyperlink w:anchor="_Toc242889590" w:history="1">
        <w:r>
          <w:rPr>
            <w:rStyle w:val="Hiperhivatkozs"/>
            <w:noProof/>
            <w:lang w:bidi="ar-SA"/>
          </w:rPr>
          <w:t>10.3.3. The source of lemmas</w:t>
        </w:r>
        <w:r>
          <w:rPr>
            <w:noProof/>
            <w:webHidden/>
          </w:rPr>
          <w:tab/>
        </w:r>
        <w:r>
          <w:rPr>
            <w:noProof/>
            <w:webHidden/>
          </w:rPr>
          <w:fldChar w:fldCharType="begin"/>
        </w:r>
        <w:r>
          <w:rPr>
            <w:noProof/>
            <w:webHidden/>
          </w:rPr>
          <w:instrText xml:space="preserve"> PAGEREF _Toc242889590 \h </w:instrText>
        </w:r>
        <w:r>
          <w:rPr>
            <w:noProof/>
            <w:webHidden/>
          </w:rPr>
        </w:r>
        <w:r>
          <w:rPr>
            <w:noProof/>
            <w:webHidden/>
          </w:rPr>
          <w:fldChar w:fldCharType="separate"/>
        </w:r>
        <w:r>
          <w:rPr>
            <w:noProof/>
            <w:webHidden/>
          </w:rPr>
          <w:t>150</w:t>
        </w:r>
        <w:r>
          <w:rPr>
            <w:noProof/>
            <w:webHidden/>
          </w:rPr>
          <w:fldChar w:fldCharType="end"/>
        </w:r>
      </w:hyperlink>
    </w:p>
    <w:p w14:paraId="1689D9F5" w14:textId="519A51B4">
      <w:pPr>
        <w:pStyle w:val="TJ2"/>
        <w:rPr>
          <w:rFonts w:asciiTheme="minorHAnsi" w:hAnsiTheme="minorHAnsi" w:cstheme="minorBidi"/>
          <w:noProof/>
          <w:sz w:val="24"/>
          <w:szCs w:val="21"/>
          <w:lang w:eastAsia="en-GB" w:bidi="sa-IN"/>
        </w:rPr>
      </w:pPr>
      <w:hyperlink w:anchor="_Toc242889591" w:history="1">
        <w:r>
          <w:rPr>
            <w:rStyle w:val="Hiperhivatkozs"/>
            <w:noProof/>
            <w:lang w:bidi="ar-SA"/>
          </w:rPr>
          <w:t>10.4. Alternative readings, restorations and emendations</w:t>
        </w:r>
        <w:r>
          <w:rPr>
            <w:noProof/>
            <w:webHidden/>
          </w:rPr>
          <w:tab/>
        </w:r>
        <w:r>
          <w:rPr>
            <w:noProof/>
            <w:webHidden/>
          </w:rPr>
          <w:fldChar w:fldCharType="begin"/>
        </w:r>
        <w:r>
          <w:rPr>
            <w:noProof/>
            <w:webHidden/>
          </w:rPr>
          <w:instrText xml:space="preserve"> PAGEREF _Toc242889591 \h </w:instrText>
        </w:r>
        <w:r>
          <w:rPr>
            <w:noProof/>
            <w:webHidden/>
          </w:rPr>
        </w:r>
        <w:r>
          <w:rPr>
            <w:noProof/>
            <w:webHidden/>
          </w:rPr>
          <w:fldChar w:fldCharType="separate"/>
        </w:r>
        <w:r>
          <w:rPr>
            <w:noProof/>
            <w:webHidden/>
          </w:rPr>
          <w:t>150</w:t>
        </w:r>
        <w:r>
          <w:rPr>
            <w:noProof/>
            <w:webHidden/>
          </w:rPr>
          <w:fldChar w:fldCharType="end"/>
        </w:r>
      </w:hyperlink>
    </w:p>
    <w:p w14:paraId="417B5B34" w14:textId="4FA816AF">
      <w:pPr>
        <w:pStyle w:val="TJ3"/>
        <w:rPr>
          <w:rFonts w:asciiTheme="minorHAnsi" w:hAnsiTheme="minorHAnsi" w:cstheme="minorBidi"/>
          <w:noProof/>
          <w:sz w:val="24"/>
          <w:szCs w:val="21"/>
          <w:lang w:eastAsia="en-GB" w:bidi="sa-IN"/>
        </w:rPr>
      </w:pPr>
      <w:hyperlink w:anchor="_Toc242889592" w:history="1">
        <w:r>
          <w:rPr>
            <w:rStyle w:val="Hiperhivatkozs"/>
            <w:noProof/>
            <w:lang w:bidi="ar-SA"/>
          </w:rPr>
          <w:t>10.4.1. The extent of alternative readings</w:t>
        </w:r>
        <w:r>
          <w:rPr>
            <w:noProof/>
            <w:webHidden/>
          </w:rPr>
          <w:tab/>
        </w:r>
        <w:r>
          <w:rPr>
            <w:noProof/>
            <w:webHidden/>
          </w:rPr>
          <w:fldChar w:fldCharType="begin"/>
        </w:r>
        <w:r>
          <w:rPr>
            <w:noProof/>
            <w:webHidden/>
          </w:rPr>
          <w:instrText xml:space="preserve"> PAGEREF _Toc242889592 \h </w:instrText>
        </w:r>
        <w:r>
          <w:rPr>
            <w:noProof/>
            <w:webHidden/>
          </w:rPr>
        </w:r>
        <w:r>
          <w:rPr>
            <w:noProof/>
            <w:webHidden/>
          </w:rPr>
          <w:fldChar w:fldCharType="separate"/>
        </w:r>
        <w:r>
          <w:rPr>
            <w:noProof/>
            <w:webHidden/>
          </w:rPr>
          <w:t>150</w:t>
        </w:r>
        <w:r>
          <w:rPr>
            <w:noProof/>
            <w:webHidden/>
          </w:rPr>
          <w:fldChar w:fldCharType="end"/>
        </w:r>
      </w:hyperlink>
    </w:p>
    <w:p w14:paraId="3466B382" w14:textId="53E1AF76">
      <w:pPr>
        <w:pStyle w:val="TJ3"/>
        <w:rPr>
          <w:rFonts w:asciiTheme="minorHAnsi" w:hAnsiTheme="minorHAnsi" w:cstheme="minorBidi"/>
          <w:noProof/>
          <w:sz w:val="24"/>
          <w:szCs w:val="21"/>
          <w:lang w:eastAsia="en-GB" w:bidi="sa-IN"/>
        </w:rPr>
      </w:pPr>
      <w:hyperlink w:anchor="_Toc242889593" w:history="1">
        <w:r>
          <w:rPr>
            <w:rStyle w:val="Hiperhivatkozs"/>
            <w:noProof/>
            <w:lang w:bidi="ar-SA"/>
          </w:rPr>
          <w:t>10.4.2. The content of alternative readings</w:t>
        </w:r>
        <w:r>
          <w:rPr>
            <w:noProof/>
            <w:webHidden/>
          </w:rPr>
          <w:tab/>
        </w:r>
        <w:r>
          <w:rPr>
            <w:noProof/>
            <w:webHidden/>
          </w:rPr>
          <w:fldChar w:fldCharType="begin"/>
        </w:r>
        <w:r>
          <w:rPr>
            <w:noProof/>
            <w:webHidden/>
          </w:rPr>
          <w:instrText xml:space="preserve"> PAGEREF _Toc242889593 \h </w:instrText>
        </w:r>
        <w:r>
          <w:rPr>
            <w:noProof/>
            <w:webHidden/>
          </w:rPr>
        </w:r>
        <w:r>
          <w:rPr>
            <w:noProof/>
            <w:webHidden/>
          </w:rPr>
          <w:fldChar w:fldCharType="separate"/>
        </w:r>
        <w:r>
          <w:rPr>
            <w:noProof/>
            <w:webHidden/>
          </w:rPr>
          <w:t>150</w:t>
        </w:r>
        <w:r>
          <w:rPr>
            <w:noProof/>
            <w:webHidden/>
          </w:rPr>
          <w:fldChar w:fldCharType="end"/>
        </w:r>
      </w:hyperlink>
    </w:p>
    <w:p w14:paraId="63013EFE" w14:textId="0A672E53">
      <w:pPr>
        <w:pStyle w:val="TJ3"/>
        <w:rPr>
          <w:rFonts w:asciiTheme="minorHAnsi" w:hAnsiTheme="minorHAnsi" w:cstheme="minorBidi"/>
          <w:noProof/>
          <w:sz w:val="24"/>
          <w:szCs w:val="21"/>
          <w:lang w:eastAsia="en-GB" w:bidi="sa-IN"/>
        </w:rPr>
      </w:pPr>
      <w:hyperlink w:anchor="_Toc242889594" w:history="1">
        <w:r>
          <w:rPr>
            <w:rStyle w:val="Hiperhivatkozs"/>
            <w:noProof/>
            <w:lang w:bidi="ar-SA"/>
          </w:rPr>
          <w:t>10.4.3. The source of alternative readings</w:t>
        </w:r>
        <w:r>
          <w:rPr>
            <w:noProof/>
            <w:webHidden/>
          </w:rPr>
          <w:tab/>
        </w:r>
        <w:r>
          <w:rPr>
            <w:noProof/>
            <w:webHidden/>
          </w:rPr>
          <w:fldChar w:fldCharType="begin"/>
        </w:r>
        <w:r>
          <w:rPr>
            <w:noProof/>
            <w:webHidden/>
          </w:rPr>
          <w:instrText xml:space="preserve"> PAGEREF _Toc242889594 \h </w:instrText>
        </w:r>
        <w:r>
          <w:rPr>
            <w:noProof/>
            <w:webHidden/>
          </w:rPr>
        </w:r>
        <w:r>
          <w:rPr>
            <w:noProof/>
            <w:webHidden/>
          </w:rPr>
          <w:fldChar w:fldCharType="separate"/>
        </w:r>
        <w:r>
          <w:rPr>
            <w:noProof/>
            <w:webHidden/>
          </w:rPr>
          <w:t>151</w:t>
        </w:r>
        <w:r>
          <w:rPr>
            <w:noProof/>
            <w:webHidden/>
          </w:rPr>
          <w:fldChar w:fldCharType="end"/>
        </w:r>
      </w:hyperlink>
    </w:p>
    <w:p w14:paraId="41DA7C07" w14:textId="58270A85">
      <w:pPr>
        <w:pStyle w:val="TJ2"/>
        <w:rPr>
          <w:rFonts w:asciiTheme="minorHAnsi" w:hAnsiTheme="minorHAnsi" w:cstheme="minorBidi"/>
          <w:noProof/>
          <w:sz w:val="24"/>
          <w:szCs w:val="21"/>
          <w:lang w:eastAsia="en-GB" w:bidi="sa-IN"/>
        </w:rPr>
      </w:pPr>
      <w:hyperlink w:anchor="_Toc242889595" w:history="1">
        <w:r>
          <w:rPr>
            <w:rStyle w:val="Hiperhivatkozs"/>
            <w:noProof/>
            <w:lang w:bidi="ar-SA"/>
          </w:rPr>
          <w:t>10.5. Identical lemmas, identical readings</w:t>
        </w:r>
        <w:r>
          <w:rPr>
            <w:noProof/>
            <w:webHidden/>
          </w:rPr>
          <w:tab/>
        </w:r>
        <w:r>
          <w:rPr>
            <w:noProof/>
            <w:webHidden/>
          </w:rPr>
          <w:fldChar w:fldCharType="begin"/>
        </w:r>
        <w:r>
          <w:rPr>
            <w:noProof/>
            <w:webHidden/>
          </w:rPr>
          <w:instrText xml:space="preserve"> PAGEREF _Toc242889595 \h </w:instrText>
        </w:r>
        <w:r>
          <w:rPr>
            <w:noProof/>
            <w:webHidden/>
          </w:rPr>
        </w:r>
        <w:r>
          <w:rPr>
            <w:noProof/>
            <w:webHidden/>
          </w:rPr>
          <w:fldChar w:fldCharType="separate"/>
        </w:r>
        <w:r>
          <w:rPr>
            <w:noProof/>
            <w:webHidden/>
          </w:rPr>
          <w:t>151</w:t>
        </w:r>
        <w:r>
          <w:rPr>
            <w:noProof/>
            <w:webHidden/>
          </w:rPr>
          <w:fldChar w:fldCharType="end"/>
        </w:r>
      </w:hyperlink>
    </w:p>
    <w:p w14:paraId="75D4E5A4" w14:textId="57321E79">
      <w:pPr>
        <w:pStyle w:val="TJ2"/>
        <w:rPr>
          <w:rFonts w:asciiTheme="minorHAnsi" w:hAnsiTheme="minorHAnsi" w:cstheme="minorBidi"/>
          <w:noProof/>
          <w:sz w:val="24"/>
          <w:szCs w:val="21"/>
          <w:lang w:eastAsia="en-GB" w:bidi="sa-IN"/>
        </w:rPr>
      </w:pPr>
      <w:hyperlink w:anchor="_Toc242889596" w:history="1">
        <w:r>
          <w:rPr>
            <w:rStyle w:val="Hiperhivatkozs"/>
            <w:noProof/>
            <w:lang w:bidi="ar-SA"/>
          </w:rPr>
          <w:t>10.6. XML markup within lemmas and readings</w:t>
        </w:r>
        <w:r>
          <w:rPr>
            <w:noProof/>
            <w:webHidden/>
          </w:rPr>
          <w:tab/>
        </w:r>
        <w:r>
          <w:rPr>
            <w:noProof/>
            <w:webHidden/>
          </w:rPr>
          <w:fldChar w:fldCharType="begin"/>
        </w:r>
        <w:r>
          <w:rPr>
            <w:noProof/>
            <w:webHidden/>
          </w:rPr>
          <w:instrText xml:space="preserve"> PAGEREF _Toc242889596 \h </w:instrText>
        </w:r>
        <w:r>
          <w:rPr>
            <w:noProof/>
            <w:webHidden/>
          </w:rPr>
        </w:r>
        <w:r>
          <w:rPr>
            <w:noProof/>
            <w:webHidden/>
          </w:rPr>
          <w:fldChar w:fldCharType="separate"/>
        </w:r>
        <w:r>
          <w:rPr>
            <w:noProof/>
            <w:webHidden/>
          </w:rPr>
          <w:t>152</w:t>
        </w:r>
        <w:r>
          <w:rPr>
            <w:noProof/>
            <w:webHidden/>
          </w:rPr>
          <w:fldChar w:fldCharType="end"/>
        </w:r>
      </w:hyperlink>
    </w:p>
    <w:p w14:paraId="037AC143" w14:textId="67509F3A">
      <w:pPr>
        <w:pStyle w:val="TJ2"/>
        <w:rPr>
          <w:rFonts w:asciiTheme="minorHAnsi" w:hAnsiTheme="minorHAnsi" w:cstheme="minorBidi"/>
          <w:noProof/>
          <w:sz w:val="24"/>
          <w:szCs w:val="21"/>
          <w:lang w:eastAsia="en-GB" w:bidi="sa-IN"/>
        </w:rPr>
      </w:pPr>
      <w:hyperlink w:anchor="_Toc242889597" w:history="1">
        <w:r>
          <w:rPr>
            <w:rStyle w:val="Hiperhivatkozs"/>
            <w:noProof/>
            <w:lang w:bidi="ar-SA"/>
          </w:rPr>
          <w:t>10.7. Freeform apparatus notes</w:t>
        </w:r>
        <w:r>
          <w:rPr>
            <w:noProof/>
            <w:webHidden/>
          </w:rPr>
          <w:tab/>
        </w:r>
        <w:r>
          <w:rPr>
            <w:noProof/>
            <w:webHidden/>
          </w:rPr>
          <w:fldChar w:fldCharType="begin"/>
        </w:r>
        <w:r>
          <w:rPr>
            <w:noProof/>
            <w:webHidden/>
          </w:rPr>
          <w:instrText xml:space="preserve"> PAGEREF _Toc242889597 \h </w:instrText>
        </w:r>
        <w:r>
          <w:rPr>
            <w:noProof/>
            <w:webHidden/>
          </w:rPr>
        </w:r>
        <w:r>
          <w:rPr>
            <w:noProof/>
            <w:webHidden/>
          </w:rPr>
          <w:fldChar w:fldCharType="separate"/>
        </w:r>
        <w:r>
          <w:rPr>
            <w:noProof/>
            <w:webHidden/>
          </w:rPr>
          <w:t>153</w:t>
        </w:r>
        <w:r>
          <w:rPr>
            <w:noProof/>
            <w:webHidden/>
          </w:rPr>
          <w:fldChar w:fldCharType="end"/>
        </w:r>
      </w:hyperlink>
    </w:p>
    <w:p w14:paraId="1754E469" w14:textId="6D33C704">
      <w:pPr>
        <w:pStyle w:val="TJ1"/>
        <w:rPr>
          <w:rFonts w:asciiTheme="minorHAnsi" w:hAnsiTheme="minorHAnsi" w:cstheme="minorBidi"/>
          <w:b w:val="0"/>
          <w:noProof/>
          <w:sz w:val="24"/>
          <w:szCs w:val="21"/>
          <w:lang w:eastAsia="en-GB" w:bidi="sa-IN"/>
        </w:rPr>
      </w:pPr>
      <w:hyperlink w:anchor="_Toc242889598" w:history="1">
        <w:r>
          <w:rPr>
            <w:rStyle w:val="Hiperhivatkozs"/>
            <w:noProof/>
            <w:lang w:bidi="ar-SA"/>
          </w:rPr>
          <w:t>11. The translation</w:t>
        </w:r>
        <w:r>
          <w:rPr>
            <w:noProof/>
            <w:webHidden/>
          </w:rPr>
          <w:tab/>
        </w:r>
        <w:r>
          <w:rPr>
            <w:noProof/>
            <w:webHidden/>
          </w:rPr>
          <w:fldChar w:fldCharType="begin"/>
        </w:r>
        <w:r>
          <w:rPr>
            <w:noProof/>
            <w:webHidden/>
          </w:rPr>
          <w:instrText xml:space="preserve"> PAGEREF _Toc242889598 \h </w:instrText>
        </w:r>
        <w:r>
          <w:rPr>
            <w:noProof/>
            <w:webHidden/>
          </w:rPr>
        </w:r>
        <w:r>
          <w:rPr>
            <w:noProof/>
            <w:webHidden/>
          </w:rPr>
          <w:fldChar w:fldCharType="separate"/>
        </w:r>
        <w:r>
          <w:rPr>
            <w:noProof/>
            <w:webHidden/>
          </w:rPr>
          <w:t>154</w:t>
        </w:r>
        <w:r>
          <w:rPr>
            <w:noProof/>
            <w:webHidden/>
          </w:rPr>
          <w:fldChar w:fldCharType="end"/>
        </w:r>
      </w:hyperlink>
    </w:p>
    <w:p w14:paraId="2ECB450C" w14:textId="61ACF1D1">
      <w:pPr>
        <w:pStyle w:val="TJ2"/>
        <w:rPr>
          <w:rFonts w:asciiTheme="minorHAnsi" w:hAnsiTheme="minorHAnsi" w:cstheme="minorBidi"/>
          <w:noProof/>
          <w:sz w:val="24"/>
          <w:szCs w:val="21"/>
          <w:lang w:eastAsia="en-GB" w:bidi="sa-IN"/>
        </w:rPr>
      </w:pPr>
      <w:hyperlink w:anchor="_Toc242889599" w:history="1">
        <w:r>
          <w:rPr>
            <w:rStyle w:val="Hiperhivatkozs"/>
            <w:noProof/>
            <w:lang w:bidi="ar-SA"/>
          </w:rPr>
          <w:t>11.1. Encoding the translation</w:t>
        </w:r>
        <w:r>
          <w:rPr>
            <w:noProof/>
            <w:webHidden/>
          </w:rPr>
          <w:tab/>
        </w:r>
        <w:r>
          <w:rPr>
            <w:noProof/>
            <w:webHidden/>
          </w:rPr>
          <w:fldChar w:fldCharType="begin"/>
        </w:r>
        <w:r>
          <w:rPr>
            <w:noProof/>
            <w:webHidden/>
          </w:rPr>
          <w:instrText xml:space="preserve"> PAGEREF _Toc242889599 \h </w:instrText>
        </w:r>
        <w:r>
          <w:rPr>
            <w:noProof/>
            <w:webHidden/>
          </w:rPr>
        </w:r>
        <w:r>
          <w:rPr>
            <w:noProof/>
            <w:webHidden/>
          </w:rPr>
          <w:fldChar w:fldCharType="separate"/>
        </w:r>
        <w:r>
          <w:rPr>
            <w:noProof/>
            <w:webHidden/>
          </w:rPr>
          <w:t>154</w:t>
        </w:r>
        <w:r>
          <w:rPr>
            <w:noProof/>
            <w:webHidden/>
          </w:rPr>
          <w:fldChar w:fldCharType="end"/>
        </w:r>
      </w:hyperlink>
    </w:p>
    <w:p w14:paraId="472499FA" w14:textId="36090BFB">
      <w:pPr>
        <w:pStyle w:val="TJ3"/>
        <w:rPr>
          <w:rFonts w:asciiTheme="minorHAnsi" w:hAnsiTheme="minorHAnsi" w:cstheme="minorBidi"/>
          <w:noProof/>
          <w:sz w:val="24"/>
          <w:szCs w:val="21"/>
          <w:lang w:eastAsia="en-GB" w:bidi="sa-IN"/>
        </w:rPr>
      </w:pPr>
      <w:hyperlink w:anchor="_Toc242889600" w:history="1">
        <w:r>
          <w:rPr>
            <w:rStyle w:val="Hiperhivatkozs"/>
            <w:noProof/>
            <w:lang w:bidi="ar-SA"/>
          </w:rPr>
          <w:t>11.1.1. Textpart divisions in the translation</w:t>
        </w:r>
        <w:r>
          <w:rPr>
            <w:noProof/>
            <w:webHidden/>
          </w:rPr>
          <w:tab/>
        </w:r>
        <w:r>
          <w:rPr>
            <w:noProof/>
            <w:webHidden/>
          </w:rPr>
          <w:fldChar w:fldCharType="begin"/>
        </w:r>
        <w:r>
          <w:rPr>
            <w:noProof/>
            <w:webHidden/>
          </w:rPr>
          <w:instrText xml:space="preserve"> PAGEREF _Toc242889600 \h </w:instrText>
        </w:r>
        <w:r>
          <w:rPr>
            <w:noProof/>
            <w:webHidden/>
          </w:rPr>
        </w:r>
        <w:r>
          <w:rPr>
            <w:noProof/>
            <w:webHidden/>
          </w:rPr>
          <w:fldChar w:fldCharType="separate"/>
        </w:r>
        <w:r>
          <w:rPr>
            <w:noProof/>
            <w:webHidden/>
          </w:rPr>
          <w:t>154</w:t>
        </w:r>
        <w:r>
          <w:rPr>
            <w:noProof/>
            <w:webHidden/>
          </w:rPr>
          <w:fldChar w:fldCharType="end"/>
        </w:r>
      </w:hyperlink>
    </w:p>
    <w:p w14:paraId="6233E3A2" w14:textId="46C77290">
      <w:pPr>
        <w:pStyle w:val="TJ3"/>
        <w:rPr>
          <w:rFonts w:asciiTheme="minorHAnsi" w:hAnsiTheme="minorHAnsi" w:cstheme="minorBidi"/>
          <w:noProof/>
          <w:sz w:val="24"/>
          <w:szCs w:val="21"/>
          <w:lang w:eastAsia="en-GB" w:bidi="sa-IN"/>
        </w:rPr>
      </w:pPr>
      <w:hyperlink w:anchor="_Toc242889601" w:history="1">
        <w:r>
          <w:rPr>
            <w:rStyle w:val="Hiperhivatkozs"/>
            <w:noProof/>
            <w:lang w:bidi="ar-SA"/>
          </w:rPr>
          <w:t>11.1.2. Crediting the author of the translation</w:t>
        </w:r>
        <w:r>
          <w:rPr>
            <w:noProof/>
            <w:webHidden/>
          </w:rPr>
          <w:tab/>
        </w:r>
        <w:r>
          <w:rPr>
            <w:noProof/>
            <w:webHidden/>
          </w:rPr>
          <w:fldChar w:fldCharType="begin"/>
        </w:r>
        <w:r>
          <w:rPr>
            <w:noProof/>
            <w:webHidden/>
          </w:rPr>
          <w:instrText xml:space="preserve"> PAGEREF _Toc242889601 \h </w:instrText>
        </w:r>
        <w:r>
          <w:rPr>
            <w:noProof/>
            <w:webHidden/>
          </w:rPr>
        </w:r>
        <w:r>
          <w:rPr>
            <w:noProof/>
            <w:webHidden/>
          </w:rPr>
          <w:fldChar w:fldCharType="separate"/>
        </w:r>
        <w:r>
          <w:rPr>
            <w:noProof/>
            <w:webHidden/>
          </w:rPr>
          <w:t>155</w:t>
        </w:r>
        <w:r>
          <w:rPr>
            <w:noProof/>
            <w:webHidden/>
          </w:rPr>
          <w:fldChar w:fldCharType="end"/>
        </w:r>
      </w:hyperlink>
    </w:p>
    <w:p w14:paraId="7BB0B98E" w14:textId="71B9ACB3">
      <w:pPr>
        <w:pStyle w:val="TJ3"/>
        <w:rPr>
          <w:rFonts w:asciiTheme="minorHAnsi" w:hAnsiTheme="minorHAnsi" w:cstheme="minorBidi"/>
          <w:noProof/>
          <w:sz w:val="24"/>
          <w:szCs w:val="21"/>
          <w:lang w:eastAsia="en-GB" w:bidi="sa-IN"/>
        </w:rPr>
      </w:pPr>
      <w:hyperlink w:anchor="_Toc242889602" w:history="1">
        <w:r>
          <w:rPr>
            <w:rStyle w:val="Hiperhivatkozs"/>
            <w:noProof/>
            <w:lang w:bidi="ar-SA"/>
          </w:rPr>
          <w:t>11.1.3. Attaching multiple translations</w:t>
        </w:r>
        <w:r>
          <w:rPr>
            <w:noProof/>
            <w:webHidden/>
          </w:rPr>
          <w:tab/>
        </w:r>
        <w:r>
          <w:rPr>
            <w:noProof/>
            <w:webHidden/>
          </w:rPr>
          <w:fldChar w:fldCharType="begin"/>
        </w:r>
        <w:r>
          <w:rPr>
            <w:noProof/>
            <w:webHidden/>
          </w:rPr>
          <w:instrText xml:space="preserve"> PAGEREF _Toc242889602 \h </w:instrText>
        </w:r>
        <w:r>
          <w:rPr>
            <w:noProof/>
            <w:webHidden/>
          </w:rPr>
        </w:r>
        <w:r>
          <w:rPr>
            <w:noProof/>
            <w:webHidden/>
          </w:rPr>
          <w:fldChar w:fldCharType="separate"/>
        </w:r>
        <w:r>
          <w:rPr>
            <w:noProof/>
            <w:webHidden/>
          </w:rPr>
          <w:t>155</w:t>
        </w:r>
        <w:r>
          <w:rPr>
            <w:noProof/>
            <w:webHidden/>
          </w:rPr>
          <w:fldChar w:fldCharType="end"/>
        </w:r>
      </w:hyperlink>
    </w:p>
    <w:p w14:paraId="45CB7884" w14:textId="14BA5B26">
      <w:pPr>
        <w:pStyle w:val="TJ2"/>
        <w:rPr>
          <w:rFonts w:asciiTheme="minorHAnsi" w:hAnsiTheme="minorHAnsi" w:cstheme="minorBidi"/>
          <w:noProof/>
          <w:sz w:val="24"/>
          <w:szCs w:val="21"/>
          <w:lang w:eastAsia="en-GB" w:bidi="sa-IN"/>
        </w:rPr>
      </w:pPr>
      <w:hyperlink w:anchor="_Toc242889603" w:history="1">
        <w:r>
          <w:rPr>
            <w:rStyle w:val="Hiperhivatkozs"/>
            <w:noProof/>
            <w:lang w:bidi="ar-SA"/>
          </w:rPr>
          <w:t>11.2. Structuring the translation</w:t>
        </w:r>
        <w:r>
          <w:rPr>
            <w:noProof/>
            <w:webHidden/>
          </w:rPr>
          <w:tab/>
        </w:r>
        <w:r>
          <w:rPr>
            <w:noProof/>
            <w:webHidden/>
          </w:rPr>
          <w:fldChar w:fldCharType="begin"/>
        </w:r>
        <w:r>
          <w:rPr>
            <w:noProof/>
            <w:webHidden/>
          </w:rPr>
          <w:instrText xml:space="preserve"> PAGEREF _Toc242889603 \h </w:instrText>
        </w:r>
        <w:r>
          <w:rPr>
            <w:noProof/>
            <w:webHidden/>
          </w:rPr>
        </w:r>
        <w:r>
          <w:rPr>
            <w:noProof/>
            <w:webHidden/>
          </w:rPr>
          <w:fldChar w:fldCharType="separate"/>
        </w:r>
        <w:r>
          <w:rPr>
            <w:noProof/>
            <w:webHidden/>
          </w:rPr>
          <w:t>156</w:t>
        </w:r>
        <w:r>
          <w:rPr>
            <w:noProof/>
            <w:webHidden/>
          </w:rPr>
          <w:fldChar w:fldCharType="end"/>
        </w:r>
      </w:hyperlink>
    </w:p>
    <w:p w14:paraId="29DB4A94" w14:textId="6E10AB22">
      <w:pPr>
        <w:pStyle w:val="TJ3"/>
        <w:rPr>
          <w:rFonts w:asciiTheme="minorHAnsi" w:hAnsiTheme="minorHAnsi" w:cstheme="minorBidi"/>
          <w:noProof/>
          <w:sz w:val="24"/>
          <w:szCs w:val="21"/>
          <w:lang w:eastAsia="en-GB" w:bidi="sa-IN"/>
        </w:rPr>
      </w:pPr>
      <w:hyperlink w:anchor="_Toc242889604" w:history="1">
        <w:r>
          <w:rPr>
            <w:rStyle w:val="Hiperhivatkozs"/>
            <w:noProof/>
            <w:lang w:bidi="ar-SA"/>
          </w:rPr>
          <w:t>11.2.1. Reflecting extrinsic structure in the translation</w:t>
        </w:r>
        <w:r>
          <w:rPr>
            <w:noProof/>
            <w:webHidden/>
          </w:rPr>
          <w:tab/>
        </w:r>
        <w:r>
          <w:rPr>
            <w:noProof/>
            <w:webHidden/>
          </w:rPr>
          <w:fldChar w:fldCharType="begin"/>
        </w:r>
        <w:r>
          <w:rPr>
            <w:noProof/>
            <w:webHidden/>
          </w:rPr>
          <w:instrText xml:space="preserve"> PAGEREF _Toc242889604 \h </w:instrText>
        </w:r>
        <w:r>
          <w:rPr>
            <w:noProof/>
            <w:webHidden/>
          </w:rPr>
        </w:r>
        <w:r>
          <w:rPr>
            <w:noProof/>
            <w:webHidden/>
          </w:rPr>
          <w:fldChar w:fldCharType="separate"/>
        </w:r>
        <w:r>
          <w:rPr>
            <w:noProof/>
            <w:webHidden/>
          </w:rPr>
          <w:t>156</w:t>
        </w:r>
        <w:r>
          <w:rPr>
            <w:noProof/>
            <w:webHidden/>
          </w:rPr>
          <w:fldChar w:fldCharType="end"/>
        </w:r>
      </w:hyperlink>
    </w:p>
    <w:p w14:paraId="5CC8D573" w14:textId="6D74E186">
      <w:pPr>
        <w:pStyle w:val="TJ3"/>
        <w:rPr>
          <w:rFonts w:asciiTheme="minorHAnsi" w:hAnsiTheme="minorHAnsi" w:cstheme="minorBidi"/>
          <w:noProof/>
          <w:sz w:val="24"/>
          <w:szCs w:val="21"/>
          <w:lang w:eastAsia="en-GB" w:bidi="sa-IN"/>
        </w:rPr>
      </w:pPr>
      <w:hyperlink w:anchor="_Toc242889605" w:history="1">
        <w:r>
          <w:rPr>
            <w:rStyle w:val="Hiperhivatkozs"/>
            <w:noProof/>
            <w:lang w:bidi="ar-SA"/>
          </w:rPr>
          <w:t>11.2.2. Reflecting intrinsic structure in the translation</w:t>
        </w:r>
        <w:r>
          <w:rPr>
            <w:noProof/>
            <w:webHidden/>
          </w:rPr>
          <w:tab/>
        </w:r>
        <w:r>
          <w:rPr>
            <w:noProof/>
            <w:webHidden/>
          </w:rPr>
          <w:fldChar w:fldCharType="begin"/>
        </w:r>
        <w:r>
          <w:rPr>
            <w:noProof/>
            <w:webHidden/>
          </w:rPr>
          <w:instrText xml:space="preserve"> PAGEREF _Toc242889605 \h </w:instrText>
        </w:r>
        <w:r>
          <w:rPr>
            <w:noProof/>
            <w:webHidden/>
          </w:rPr>
        </w:r>
        <w:r>
          <w:rPr>
            <w:noProof/>
            <w:webHidden/>
          </w:rPr>
          <w:fldChar w:fldCharType="separate"/>
        </w:r>
        <w:r>
          <w:rPr>
            <w:noProof/>
            <w:webHidden/>
          </w:rPr>
          <w:t>156</w:t>
        </w:r>
        <w:r>
          <w:rPr>
            <w:noProof/>
            <w:webHidden/>
          </w:rPr>
          <w:fldChar w:fldCharType="end"/>
        </w:r>
      </w:hyperlink>
    </w:p>
    <w:p w14:paraId="1FB173C5" w14:textId="7407B694">
      <w:pPr>
        <w:pStyle w:val="TJ3"/>
        <w:rPr>
          <w:rFonts w:asciiTheme="minorHAnsi" w:hAnsiTheme="minorHAnsi" w:cstheme="minorBidi"/>
          <w:noProof/>
          <w:sz w:val="24"/>
          <w:szCs w:val="21"/>
          <w:lang w:eastAsia="en-GB" w:bidi="sa-IN"/>
        </w:rPr>
      </w:pPr>
      <w:hyperlink w:anchor="_Toc242889606" w:history="1">
        <w:r>
          <w:rPr>
            <w:rStyle w:val="Hiperhivatkozs"/>
            <w:noProof/>
            <w:lang w:bidi="ar-SA"/>
          </w:rPr>
          <w:t>11.2.3. Headings in translations</w:t>
        </w:r>
        <w:r>
          <w:rPr>
            <w:noProof/>
            <w:webHidden/>
          </w:rPr>
          <w:tab/>
        </w:r>
        <w:r>
          <w:rPr>
            <w:noProof/>
            <w:webHidden/>
          </w:rPr>
          <w:fldChar w:fldCharType="begin"/>
        </w:r>
        <w:r>
          <w:rPr>
            <w:noProof/>
            <w:webHidden/>
          </w:rPr>
          <w:instrText xml:space="preserve"> PAGEREF _Toc242889606 \h </w:instrText>
        </w:r>
        <w:r>
          <w:rPr>
            <w:noProof/>
            <w:webHidden/>
          </w:rPr>
        </w:r>
        <w:r>
          <w:rPr>
            <w:noProof/>
            <w:webHidden/>
          </w:rPr>
          <w:fldChar w:fldCharType="separate"/>
        </w:r>
        <w:r>
          <w:rPr>
            <w:noProof/>
            <w:webHidden/>
          </w:rPr>
          <w:t>157</w:t>
        </w:r>
        <w:r>
          <w:rPr>
            <w:noProof/>
            <w:webHidden/>
          </w:rPr>
          <w:fldChar w:fldCharType="end"/>
        </w:r>
      </w:hyperlink>
    </w:p>
    <w:p w14:paraId="75B321FB" w14:textId="451BDA87">
      <w:pPr>
        <w:pStyle w:val="TJ2"/>
        <w:rPr>
          <w:rFonts w:asciiTheme="minorHAnsi" w:hAnsiTheme="minorHAnsi" w:cstheme="minorBidi"/>
          <w:noProof/>
          <w:sz w:val="24"/>
          <w:szCs w:val="21"/>
          <w:lang w:eastAsia="en-GB" w:bidi="sa-IN"/>
        </w:rPr>
      </w:pPr>
      <w:hyperlink w:anchor="_Toc242889607" w:history="1">
        <w:r>
          <w:rPr>
            <w:rStyle w:val="Hiperhivatkozs"/>
            <w:noProof/>
            <w:lang w:bidi="ar-SA"/>
          </w:rPr>
          <w:t>11.3. Indicating correspondence to the source</w:t>
        </w:r>
        <w:r>
          <w:rPr>
            <w:noProof/>
            <w:webHidden/>
          </w:rPr>
          <w:tab/>
        </w:r>
        <w:r>
          <w:rPr>
            <w:noProof/>
            <w:webHidden/>
          </w:rPr>
          <w:fldChar w:fldCharType="begin"/>
        </w:r>
        <w:r>
          <w:rPr>
            <w:noProof/>
            <w:webHidden/>
          </w:rPr>
          <w:instrText xml:space="preserve"> PAGEREF _Toc242889607 \h </w:instrText>
        </w:r>
        <w:r>
          <w:rPr>
            <w:noProof/>
            <w:webHidden/>
          </w:rPr>
        </w:r>
        <w:r>
          <w:rPr>
            <w:noProof/>
            <w:webHidden/>
          </w:rPr>
          <w:fldChar w:fldCharType="separate"/>
        </w:r>
        <w:r>
          <w:rPr>
            <w:noProof/>
            <w:webHidden/>
          </w:rPr>
          <w:t>157</w:t>
        </w:r>
        <w:r>
          <w:rPr>
            <w:noProof/>
            <w:webHidden/>
          </w:rPr>
          <w:fldChar w:fldCharType="end"/>
        </w:r>
      </w:hyperlink>
    </w:p>
    <w:p w14:paraId="742B9D15" w14:textId="58263BD5">
      <w:pPr>
        <w:pStyle w:val="TJ3"/>
        <w:rPr>
          <w:rFonts w:asciiTheme="minorHAnsi" w:hAnsiTheme="minorHAnsi" w:cstheme="minorBidi"/>
          <w:noProof/>
          <w:sz w:val="24"/>
          <w:szCs w:val="21"/>
          <w:lang w:eastAsia="en-GB" w:bidi="sa-IN"/>
        </w:rPr>
      </w:pPr>
      <w:hyperlink w:anchor="_Toc242889608" w:history="1">
        <w:r>
          <w:rPr>
            <w:rStyle w:val="Hiperhivatkozs"/>
            <w:noProof/>
            <w:lang w:bidi="ar-SA"/>
          </w:rPr>
          <w:t>11.3.1. Referring to lines and stanzas of the source</w:t>
        </w:r>
        <w:r>
          <w:rPr>
            <w:noProof/>
            <w:webHidden/>
          </w:rPr>
          <w:tab/>
        </w:r>
        <w:r>
          <w:rPr>
            <w:noProof/>
            <w:webHidden/>
          </w:rPr>
          <w:fldChar w:fldCharType="begin"/>
        </w:r>
        <w:r>
          <w:rPr>
            <w:noProof/>
            <w:webHidden/>
          </w:rPr>
          <w:instrText xml:space="preserve"> PAGEREF _Toc242889608 \h </w:instrText>
        </w:r>
        <w:r>
          <w:rPr>
            <w:noProof/>
            <w:webHidden/>
          </w:rPr>
        </w:r>
        <w:r>
          <w:rPr>
            <w:noProof/>
            <w:webHidden/>
          </w:rPr>
          <w:fldChar w:fldCharType="separate"/>
        </w:r>
        <w:r>
          <w:rPr>
            <w:noProof/>
            <w:webHidden/>
          </w:rPr>
          <w:t>157</w:t>
        </w:r>
        <w:r>
          <w:rPr>
            <w:noProof/>
            <w:webHidden/>
          </w:rPr>
          <w:fldChar w:fldCharType="end"/>
        </w:r>
      </w:hyperlink>
    </w:p>
    <w:p w14:paraId="4836150E" w14:textId="1654E10F">
      <w:pPr>
        <w:pStyle w:val="TJ2"/>
        <w:rPr>
          <w:rFonts w:asciiTheme="minorHAnsi" w:hAnsiTheme="minorHAnsi" w:cstheme="minorBidi"/>
          <w:noProof/>
          <w:sz w:val="24"/>
          <w:szCs w:val="21"/>
          <w:lang w:eastAsia="en-GB" w:bidi="sa-IN"/>
        </w:rPr>
      </w:pPr>
      <w:hyperlink w:anchor="_Toc242889609" w:history="1">
        <w:r>
          <w:rPr>
            <w:rStyle w:val="Hiperhivatkozs"/>
            <w:noProof/>
            <w:lang w:bidi="ar-SA"/>
          </w:rPr>
          <w:t>11.4. Markup within translations</w:t>
        </w:r>
        <w:r>
          <w:rPr>
            <w:noProof/>
            <w:webHidden/>
          </w:rPr>
          <w:tab/>
        </w:r>
        <w:r>
          <w:rPr>
            <w:noProof/>
            <w:webHidden/>
          </w:rPr>
          <w:fldChar w:fldCharType="begin"/>
        </w:r>
        <w:r>
          <w:rPr>
            <w:noProof/>
            <w:webHidden/>
          </w:rPr>
          <w:instrText xml:space="preserve"> PAGEREF _Toc242889609 \h </w:instrText>
        </w:r>
        <w:r>
          <w:rPr>
            <w:noProof/>
            <w:webHidden/>
          </w:rPr>
        </w:r>
        <w:r>
          <w:rPr>
            <w:noProof/>
            <w:webHidden/>
          </w:rPr>
          <w:fldChar w:fldCharType="separate"/>
        </w:r>
        <w:r>
          <w:rPr>
            <w:noProof/>
            <w:webHidden/>
          </w:rPr>
          <w:t>158</w:t>
        </w:r>
        <w:r>
          <w:rPr>
            <w:noProof/>
            <w:webHidden/>
          </w:rPr>
          <w:fldChar w:fldCharType="end"/>
        </w:r>
      </w:hyperlink>
    </w:p>
    <w:p w14:paraId="5DD29F9D" w14:textId="3AC477D4">
      <w:pPr>
        <w:pStyle w:val="TJ3"/>
        <w:rPr>
          <w:rFonts w:asciiTheme="minorHAnsi" w:hAnsiTheme="minorHAnsi" w:cstheme="minorBidi"/>
          <w:noProof/>
          <w:sz w:val="24"/>
          <w:szCs w:val="21"/>
          <w:lang w:eastAsia="en-GB" w:bidi="sa-IN"/>
        </w:rPr>
      </w:pPr>
      <w:hyperlink w:anchor="_Toc242889610" w:history="1">
        <w:r>
          <w:rPr>
            <w:rStyle w:val="Hiperhivatkozs"/>
            <w:noProof/>
            <w:lang w:bidi="ar-SA"/>
          </w:rPr>
          <w:t>11.4.1. Globally available markup</w:t>
        </w:r>
        <w:r>
          <w:rPr>
            <w:noProof/>
            <w:webHidden/>
          </w:rPr>
          <w:tab/>
        </w:r>
        <w:r>
          <w:rPr>
            <w:noProof/>
            <w:webHidden/>
          </w:rPr>
          <w:fldChar w:fldCharType="begin"/>
        </w:r>
        <w:r>
          <w:rPr>
            <w:noProof/>
            <w:webHidden/>
          </w:rPr>
          <w:instrText xml:space="preserve"> PAGEREF _Toc242889610 \h </w:instrText>
        </w:r>
        <w:r>
          <w:rPr>
            <w:noProof/>
            <w:webHidden/>
          </w:rPr>
        </w:r>
        <w:r>
          <w:rPr>
            <w:noProof/>
            <w:webHidden/>
          </w:rPr>
          <w:fldChar w:fldCharType="separate"/>
        </w:r>
        <w:r>
          <w:rPr>
            <w:noProof/>
            <w:webHidden/>
          </w:rPr>
          <w:t>158</w:t>
        </w:r>
        <w:r>
          <w:rPr>
            <w:noProof/>
            <w:webHidden/>
          </w:rPr>
          <w:fldChar w:fldCharType="end"/>
        </w:r>
      </w:hyperlink>
    </w:p>
    <w:p w14:paraId="74422897" w14:textId="1277DDCB">
      <w:pPr>
        <w:pStyle w:val="TJ3"/>
        <w:rPr>
          <w:rFonts w:asciiTheme="minorHAnsi" w:hAnsiTheme="minorHAnsi" w:cstheme="minorBidi"/>
          <w:noProof/>
          <w:sz w:val="24"/>
          <w:szCs w:val="21"/>
          <w:lang w:eastAsia="en-GB" w:bidi="sa-IN"/>
        </w:rPr>
      </w:pPr>
      <w:hyperlink w:anchor="_Toc242889611" w:history="1">
        <w:r>
          <w:rPr>
            <w:rStyle w:val="Hiperhivatkozs"/>
            <w:noProof/>
            <w:lang w:bidi="ar-SA"/>
          </w:rPr>
          <w:t>11.4.2. Supplied text in the translation</w:t>
        </w:r>
        <w:r>
          <w:rPr>
            <w:noProof/>
            <w:webHidden/>
          </w:rPr>
          <w:tab/>
        </w:r>
        <w:r>
          <w:rPr>
            <w:noProof/>
            <w:webHidden/>
          </w:rPr>
          <w:fldChar w:fldCharType="begin"/>
        </w:r>
        <w:r>
          <w:rPr>
            <w:noProof/>
            <w:webHidden/>
          </w:rPr>
          <w:instrText xml:space="preserve"> PAGEREF _Toc242889611 \h </w:instrText>
        </w:r>
        <w:r>
          <w:rPr>
            <w:noProof/>
            <w:webHidden/>
          </w:rPr>
        </w:r>
        <w:r>
          <w:rPr>
            <w:noProof/>
            <w:webHidden/>
          </w:rPr>
          <w:fldChar w:fldCharType="separate"/>
        </w:r>
        <w:r>
          <w:rPr>
            <w:noProof/>
            <w:webHidden/>
          </w:rPr>
          <w:t>158</w:t>
        </w:r>
        <w:r>
          <w:rPr>
            <w:noProof/>
            <w:webHidden/>
          </w:rPr>
          <w:fldChar w:fldCharType="end"/>
        </w:r>
      </w:hyperlink>
    </w:p>
    <w:p w14:paraId="291C31E7" w14:textId="451D1C29">
      <w:pPr>
        <w:pStyle w:val="TJ3"/>
        <w:rPr>
          <w:rFonts w:asciiTheme="minorHAnsi" w:hAnsiTheme="minorHAnsi" w:cstheme="minorBidi"/>
          <w:noProof/>
          <w:sz w:val="24"/>
          <w:szCs w:val="21"/>
          <w:lang w:eastAsia="en-GB" w:bidi="sa-IN"/>
        </w:rPr>
      </w:pPr>
      <w:hyperlink w:anchor="_Toc242889612" w:history="1">
        <w:r>
          <w:rPr>
            <w:rStyle w:val="Hiperhivatkozs"/>
            <w:noProof/>
            <w:lang w:bidi="ar-SA"/>
          </w:rPr>
          <w:t>11.4.3. Gaps in the translation</w:t>
        </w:r>
        <w:r>
          <w:rPr>
            <w:noProof/>
            <w:webHidden/>
          </w:rPr>
          <w:tab/>
        </w:r>
        <w:r>
          <w:rPr>
            <w:noProof/>
            <w:webHidden/>
          </w:rPr>
          <w:fldChar w:fldCharType="begin"/>
        </w:r>
        <w:r>
          <w:rPr>
            <w:noProof/>
            <w:webHidden/>
          </w:rPr>
          <w:instrText xml:space="preserve"> PAGEREF _Toc242889612 \h </w:instrText>
        </w:r>
        <w:r>
          <w:rPr>
            <w:noProof/>
            <w:webHidden/>
          </w:rPr>
        </w:r>
        <w:r>
          <w:rPr>
            <w:noProof/>
            <w:webHidden/>
          </w:rPr>
          <w:fldChar w:fldCharType="separate"/>
        </w:r>
        <w:r>
          <w:rPr>
            <w:noProof/>
            <w:webHidden/>
          </w:rPr>
          <w:t>160</w:t>
        </w:r>
        <w:r>
          <w:rPr>
            <w:noProof/>
            <w:webHidden/>
          </w:rPr>
          <w:fldChar w:fldCharType="end"/>
        </w:r>
      </w:hyperlink>
    </w:p>
    <w:p w14:paraId="39B326F0" w14:textId="65E03BC6">
      <w:pPr>
        <w:pStyle w:val="TJ3"/>
        <w:rPr>
          <w:rFonts w:asciiTheme="minorHAnsi" w:hAnsiTheme="minorHAnsi" w:cstheme="minorBidi"/>
          <w:noProof/>
          <w:sz w:val="24"/>
          <w:szCs w:val="21"/>
          <w:lang w:eastAsia="en-GB" w:bidi="sa-IN"/>
        </w:rPr>
      </w:pPr>
      <w:hyperlink w:anchor="_Toc242889613" w:history="1">
        <w:r>
          <w:rPr>
            <w:rStyle w:val="Hiperhivatkozs"/>
            <w:noProof/>
            <w:lang w:bidi="ar-SA"/>
          </w:rPr>
          <w:t>11.4.4. Tentative translation</w:t>
        </w:r>
        <w:r>
          <w:rPr>
            <w:noProof/>
            <w:webHidden/>
          </w:rPr>
          <w:tab/>
        </w:r>
        <w:r>
          <w:rPr>
            <w:noProof/>
            <w:webHidden/>
          </w:rPr>
          <w:fldChar w:fldCharType="begin"/>
        </w:r>
        <w:r>
          <w:rPr>
            <w:noProof/>
            <w:webHidden/>
          </w:rPr>
          <w:instrText xml:space="preserve"> PAGEREF _Toc242889613 \h </w:instrText>
        </w:r>
        <w:r>
          <w:rPr>
            <w:noProof/>
            <w:webHidden/>
          </w:rPr>
        </w:r>
        <w:r>
          <w:rPr>
            <w:noProof/>
            <w:webHidden/>
          </w:rPr>
          <w:fldChar w:fldCharType="separate"/>
        </w:r>
        <w:r>
          <w:rPr>
            <w:noProof/>
            <w:webHidden/>
          </w:rPr>
          <w:t>161</w:t>
        </w:r>
        <w:r>
          <w:rPr>
            <w:noProof/>
            <w:webHidden/>
          </w:rPr>
          <w:fldChar w:fldCharType="end"/>
        </w:r>
      </w:hyperlink>
    </w:p>
    <w:p w14:paraId="28E98B9F" w14:textId="577395AD">
      <w:pPr>
        <w:pStyle w:val="TJ3"/>
        <w:rPr>
          <w:rFonts w:asciiTheme="minorHAnsi" w:hAnsiTheme="minorHAnsi" w:cstheme="minorBidi"/>
          <w:noProof/>
          <w:sz w:val="24"/>
          <w:szCs w:val="21"/>
          <w:lang w:eastAsia="en-GB" w:bidi="sa-IN"/>
        </w:rPr>
      </w:pPr>
      <w:hyperlink w:anchor="_Toc242889614" w:history="1">
        <w:r>
          <w:rPr>
            <w:rStyle w:val="Hiperhivatkozs"/>
            <w:noProof/>
            <w:lang w:bidi="ar-SA"/>
          </w:rPr>
          <w:t>11.4.5. Incorrect or unexpected text</w:t>
        </w:r>
        <w:r>
          <w:rPr>
            <w:noProof/>
            <w:webHidden/>
          </w:rPr>
          <w:tab/>
        </w:r>
        <w:r>
          <w:rPr>
            <w:noProof/>
            <w:webHidden/>
          </w:rPr>
          <w:fldChar w:fldCharType="begin"/>
        </w:r>
        <w:r>
          <w:rPr>
            <w:noProof/>
            <w:webHidden/>
          </w:rPr>
          <w:instrText xml:space="preserve"> PAGEREF _Toc242889614 \h </w:instrText>
        </w:r>
        <w:r>
          <w:rPr>
            <w:noProof/>
            <w:webHidden/>
          </w:rPr>
        </w:r>
        <w:r>
          <w:rPr>
            <w:noProof/>
            <w:webHidden/>
          </w:rPr>
          <w:fldChar w:fldCharType="separate"/>
        </w:r>
        <w:r>
          <w:rPr>
            <w:noProof/>
            <w:webHidden/>
          </w:rPr>
          <w:t>161</w:t>
        </w:r>
        <w:r>
          <w:rPr>
            <w:noProof/>
            <w:webHidden/>
          </w:rPr>
          <w:fldChar w:fldCharType="end"/>
        </w:r>
      </w:hyperlink>
    </w:p>
    <w:p w14:paraId="229E22B6" w14:textId="6581642A">
      <w:pPr>
        <w:pStyle w:val="TJ3"/>
        <w:rPr>
          <w:rFonts w:asciiTheme="minorHAnsi" w:hAnsiTheme="minorHAnsi" w:cstheme="minorBidi"/>
          <w:noProof/>
          <w:sz w:val="24"/>
          <w:szCs w:val="21"/>
          <w:lang w:eastAsia="en-GB" w:bidi="sa-IN"/>
        </w:rPr>
      </w:pPr>
      <w:hyperlink w:anchor="_Toc242889615" w:history="1">
        <w:r>
          <w:rPr>
            <w:rStyle w:val="Hiperhivatkozs"/>
            <w:noProof/>
            <w:lang w:bidi="ar-SA"/>
          </w:rPr>
          <w:t>11.4.6. Bitextual translation</w:t>
        </w:r>
        <w:r>
          <w:rPr>
            <w:noProof/>
            <w:webHidden/>
          </w:rPr>
          <w:tab/>
        </w:r>
        <w:r>
          <w:rPr>
            <w:noProof/>
            <w:webHidden/>
          </w:rPr>
          <w:fldChar w:fldCharType="begin"/>
        </w:r>
        <w:r>
          <w:rPr>
            <w:noProof/>
            <w:webHidden/>
          </w:rPr>
          <w:instrText xml:space="preserve"> PAGEREF _Toc242889615 \h </w:instrText>
        </w:r>
        <w:r>
          <w:rPr>
            <w:noProof/>
            <w:webHidden/>
          </w:rPr>
        </w:r>
        <w:r>
          <w:rPr>
            <w:noProof/>
            <w:webHidden/>
          </w:rPr>
          <w:fldChar w:fldCharType="separate"/>
        </w:r>
        <w:r>
          <w:rPr>
            <w:noProof/>
            <w:webHidden/>
          </w:rPr>
          <w:t>161</w:t>
        </w:r>
        <w:r>
          <w:rPr>
            <w:noProof/>
            <w:webHidden/>
          </w:rPr>
          <w:fldChar w:fldCharType="end"/>
        </w:r>
      </w:hyperlink>
    </w:p>
    <w:p w14:paraId="27A672B1" w14:textId="21DF785D">
      <w:pPr>
        <w:pStyle w:val="TJ3"/>
        <w:rPr>
          <w:rFonts w:asciiTheme="minorHAnsi" w:hAnsiTheme="minorHAnsi" w:cstheme="minorBidi"/>
          <w:noProof/>
          <w:sz w:val="24"/>
          <w:szCs w:val="21"/>
          <w:lang w:eastAsia="en-GB" w:bidi="sa-IN"/>
        </w:rPr>
      </w:pPr>
      <w:hyperlink w:anchor="_Toc242889616" w:history="1">
        <w:r>
          <w:rPr>
            <w:rStyle w:val="Hiperhivatkozs"/>
            <w:noProof/>
            <w:lang w:bidi="ar-SA"/>
          </w:rPr>
          <w:t>11.4.7. Original space in the translation</w:t>
        </w:r>
        <w:r>
          <w:rPr>
            <w:noProof/>
            <w:webHidden/>
          </w:rPr>
          <w:tab/>
        </w:r>
        <w:r>
          <w:rPr>
            <w:noProof/>
            <w:webHidden/>
          </w:rPr>
          <w:fldChar w:fldCharType="begin"/>
        </w:r>
        <w:r>
          <w:rPr>
            <w:noProof/>
            <w:webHidden/>
          </w:rPr>
          <w:instrText xml:space="preserve"> PAGEREF _Toc242889616 \h </w:instrText>
        </w:r>
        <w:r>
          <w:rPr>
            <w:noProof/>
            <w:webHidden/>
          </w:rPr>
        </w:r>
        <w:r>
          <w:rPr>
            <w:noProof/>
            <w:webHidden/>
          </w:rPr>
          <w:fldChar w:fldCharType="separate"/>
        </w:r>
        <w:r>
          <w:rPr>
            <w:noProof/>
            <w:webHidden/>
          </w:rPr>
          <w:t>162</w:t>
        </w:r>
        <w:r>
          <w:rPr>
            <w:noProof/>
            <w:webHidden/>
          </w:rPr>
          <w:fldChar w:fldCharType="end"/>
        </w:r>
      </w:hyperlink>
    </w:p>
    <w:p w14:paraId="378AAA39" w14:textId="05A41843">
      <w:pPr>
        <w:pStyle w:val="TJ2"/>
        <w:rPr>
          <w:rFonts w:asciiTheme="minorHAnsi" w:hAnsiTheme="minorHAnsi" w:cstheme="minorBidi"/>
          <w:noProof/>
          <w:sz w:val="24"/>
          <w:szCs w:val="21"/>
          <w:lang w:eastAsia="en-GB" w:bidi="sa-IN"/>
        </w:rPr>
      </w:pPr>
      <w:hyperlink w:anchor="_Toc242889617" w:history="1">
        <w:r>
          <w:rPr>
            <w:rStyle w:val="Hiperhivatkozs"/>
            <w:noProof/>
            <w:lang w:bidi="ar-SA"/>
          </w:rPr>
          <w:t>11.5. Reproducing a published translation</w:t>
        </w:r>
        <w:r>
          <w:rPr>
            <w:noProof/>
            <w:webHidden/>
          </w:rPr>
          <w:tab/>
        </w:r>
        <w:r>
          <w:rPr>
            <w:noProof/>
            <w:webHidden/>
          </w:rPr>
          <w:fldChar w:fldCharType="begin"/>
        </w:r>
        <w:r>
          <w:rPr>
            <w:noProof/>
            <w:webHidden/>
          </w:rPr>
          <w:instrText xml:space="preserve"> PAGEREF _Toc242889617 \h </w:instrText>
        </w:r>
        <w:r>
          <w:rPr>
            <w:noProof/>
            <w:webHidden/>
          </w:rPr>
        </w:r>
        <w:r>
          <w:rPr>
            <w:noProof/>
            <w:webHidden/>
          </w:rPr>
          <w:fldChar w:fldCharType="separate"/>
        </w:r>
        <w:r>
          <w:rPr>
            <w:noProof/>
            <w:webHidden/>
          </w:rPr>
          <w:t>162</w:t>
        </w:r>
        <w:r>
          <w:rPr>
            <w:noProof/>
            <w:webHidden/>
          </w:rPr>
          <w:fldChar w:fldCharType="end"/>
        </w:r>
      </w:hyperlink>
    </w:p>
    <w:p w14:paraId="5DB10FD7" w14:textId="506A294F">
      <w:pPr>
        <w:pStyle w:val="TJ3"/>
        <w:rPr>
          <w:rFonts w:asciiTheme="minorHAnsi" w:hAnsiTheme="minorHAnsi" w:cstheme="minorBidi"/>
          <w:noProof/>
          <w:sz w:val="24"/>
          <w:szCs w:val="21"/>
          <w:lang w:eastAsia="en-GB" w:bidi="sa-IN"/>
        </w:rPr>
      </w:pPr>
      <w:hyperlink w:anchor="_Toc242889618" w:history="1">
        <w:r>
          <w:rPr>
            <w:rStyle w:val="Hiperhivatkozs"/>
            <w:noProof/>
            <w:lang w:bidi="ar-SA"/>
          </w:rPr>
          <w:t>11.5.1. Adapting a previous translation</w:t>
        </w:r>
        <w:r>
          <w:rPr>
            <w:noProof/>
            <w:webHidden/>
          </w:rPr>
          <w:tab/>
        </w:r>
        <w:r>
          <w:rPr>
            <w:noProof/>
            <w:webHidden/>
          </w:rPr>
          <w:fldChar w:fldCharType="begin"/>
        </w:r>
        <w:r>
          <w:rPr>
            <w:noProof/>
            <w:webHidden/>
          </w:rPr>
          <w:instrText xml:space="preserve"> PAGEREF _Toc242889618 \h </w:instrText>
        </w:r>
        <w:r>
          <w:rPr>
            <w:noProof/>
            <w:webHidden/>
          </w:rPr>
        </w:r>
        <w:r>
          <w:rPr>
            <w:noProof/>
            <w:webHidden/>
          </w:rPr>
          <w:fldChar w:fldCharType="separate"/>
        </w:r>
        <w:r>
          <w:rPr>
            <w:noProof/>
            <w:webHidden/>
          </w:rPr>
          <w:t>162</w:t>
        </w:r>
        <w:r>
          <w:rPr>
            <w:noProof/>
            <w:webHidden/>
          </w:rPr>
          <w:fldChar w:fldCharType="end"/>
        </w:r>
      </w:hyperlink>
    </w:p>
    <w:p w14:paraId="6CB9A1B7" w14:textId="39B30278">
      <w:pPr>
        <w:pStyle w:val="TJ3"/>
        <w:rPr>
          <w:rFonts w:asciiTheme="minorHAnsi" w:hAnsiTheme="minorHAnsi" w:cstheme="minorBidi"/>
          <w:noProof/>
          <w:sz w:val="24"/>
          <w:szCs w:val="21"/>
          <w:lang w:eastAsia="en-GB" w:bidi="sa-IN"/>
        </w:rPr>
      </w:pPr>
      <w:hyperlink w:anchor="_Toc242889619" w:history="1">
        <w:r>
          <w:rPr>
            <w:rStyle w:val="Hiperhivatkozs"/>
            <w:noProof/>
            <w:lang w:bidi="ar-SA"/>
          </w:rPr>
          <w:t>11.5.2. Adopting a previous translation verbatim</w:t>
        </w:r>
        <w:r>
          <w:rPr>
            <w:noProof/>
            <w:webHidden/>
          </w:rPr>
          <w:tab/>
        </w:r>
        <w:r>
          <w:rPr>
            <w:noProof/>
            <w:webHidden/>
          </w:rPr>
          <w:fldChar w:fldCharType="begin"/>
        </w:r>
        <w:r>
          <w:rPr>
            <w:noProof/>
            <w:webHidden/>
          </w:rPr>
          <w:instrText xml:space="preserve"> PAGEREF _Toc242889619 \h </w:instrText>
        </w:r>
        <w:r>
          <w:rPr>
            <w:noProof/>
            <w:webHidden/>
          </w:rPr>
        </w:r>
        <w:r>
          <w:rPr>
            <w:noProof/>
            <w:webHidden/>
          </w:rPr>
          <w:fldChar w:fldCharType="separate"/>
        </w:r>
        <w:r>
          <w:rPr>
            <w:noProof/>
            <w:webHidden/>
          </w:rPr>
          <w:t>162</w:t>
        </w:r>
        <w:r>
          <w:rPr>
            <w:noProof/>
            <w:webHidden/>
          </w:rPr>
          <w:fldChar w:fldCharType="end"/>
        </w:r>
      </w:hyperlink>
    </w:p>
    <w:p w14:paraId="287DD7ED" w14:textId="7D1DA52F">
      <w:pPr>
        <w:pStyle w:val="TJ3"/>
        <w:rPr>
          <w:rFonts w:asciiTheme="minorHAnsi" w:hAnsiTheme="minorHAnsi" w:cstheme="minorBidi"/>
          <w:noProof/>
          <w:sz w:val="24"/>
          <w:szCs w:val="21"/>
          <w:lang w:eastAsia="en-GB" w:bidi="sa-IN"/>
        </w:rPr>
      </w:pPr>
      <w:hyperlink w:anchor="_Toc242889620" w:history="1">
        <w:r>
          <w:rPr>
            <w:rStyle w:val="Hiperhivatkozs"/>
            <w:noProof/>
            <w:lang w:bidi="ar-SA"/>
          </w:rPr>
          <w:t>11.5.3. Adopting and adapting notes to a translation</w:t>
        </w:r>
        <w:r>
          <w:rPr>
            <w:noProof/>
            <w:webHidden/>
          </w:rPr>
          <w:tab/>
        </w:r>
        <w:r>
          <w:rPr>
            <w:noProof/>
            <w:webHidden/>
          </w:rPr>
          <w:fldChar w:fldCharType="begin"/>
        </w:r>
        <w:r>
          <w:rPr>
            <w:noProof/>
            <w:webHidden/>
          </w:rPr>
          <w:instrText xml:space="preserve"> PAGEREF _Toc242889620 \h </w:instrText>
        </w:r>
        <w:r>
          <w:rPr>
            <w:noProof/>
            <w:webHidden/>
          </w:rPr>
        </w:r>
        <w:r>
          <w:rPr>
            <w:noProof/>
            <w:webHidden/>
          </w:rPr>
          <w:fldChar w:fldCharType="separate"/>
        </w:r>
        <w:r>
          <w:rPr>
            <w:noProof/>
            <w:webHidden/>
          </w:rPr>
          <w:t>163</w:t>
        </w:r>
        <w:r>
          <w:rPr>
            <w:noProof/>
            <w:webHidden/>
          </w:rPr>
          <w:fldChar w:fldCharType="end"/>
        </w:r>
      </w:hyperlink>
    </w:p>
    <w:p w14:paraId="7ED16F0B" w14:textId="222223AF">
      <w:pPr>
        <w:pStyle w:val="TJ1"/>
        <w:rPr>
          <w:rFonts w:asciiTheme="minorHAnsi" w:hAnsiTheme="minorHAnsi" w:cstheme="minorBidi"/>
          <w:b w:val="0"/>
          <w:noProof/>
          <w:sz w:val="24"/>
          <w:szCs w:val="21"/>
          <w:lang w:eastAsia="en-GB" w:bidi="sa-IN"/>
        </w:rPr>
      </w:pPr>
      <w:hyperlink w:anchor="_Toc242889621" w:history="1">
        <w:r>
          <w:rPr>
            <w:rStyle w:val="Hiperhivatkozs"/>
            <w:noProof/>
            <w:lang w:bidi="ar-SA"/>
          </w:rPr>
          <w:t>12. The commentary</w:t>
        </w:r>
        <w:r>
          <w:rPr>
            <w:noProof/>
            <w:webHidden/>
          </w:rPr>
          <w:tab/>
        </w:r>
        <w:r>
          <w:rPr>
            <w:noProof/>
            <w:webHidden/>
          </w:rPr>
          <w:fldChar w:fldCharType="begin"/>
        </w:r>
        <w:r>
          <w:rPr>
            <w:noProof/>
            <w:webHidden/>
          </w:rPr>
          <w:instrText xml:space="preserve"> PAGEREF _Toc242889621 \h </w:instrText>
        </w:r>
        <w:r>
          <w:rPr>
            <w:noProof/>
            <w:webHidden/>
          </w:rPr>
        </w:r>
        <w:r>
          <w:rPr>
            <w:noProof/>
            <w:webHidden/>
          </w:rPr>
          <w:fldChar w:fldCharType="separate"/>
        </w:r>
        <w:r>
          <w:rPr>
            <w:noProof/>
            <w:webHidden/>
          </w:rPr>
          <w:t>164</w:t>
        </w:r>
        <w:r>
          <w:rPr>
            <w:noProof/>
            <w:webHidden/>
          </w:rPr>
          <w:fldChar w:fldCharType="end"/>
        </w:r>
      </w:hyperlink>
    </w:p>
    <w:p w14:paraId="439DF1EE" w14:textId="60133537">
      <w:pPr>
        <w:pStyle w:val="TJ2"/>
        <w:rPr>
          <w:rFonts w:asciiTheme="minorHAnsi" w:hAnsiTheme="minorHAnsi" w:cstheme="minorBidi"/>
          <w:noProof/>
          <w:sz w:val="24"/>
          <w:szCs w:val="21"/>
          <w:lang w:eastAsia="en-GB" w:bidi="sa-IN"/>
        </w:rPr>
      </w:pPr>
      <w:hyperlink w:anchor="_Toc242889622" w:history="1">
        <w:r>
          <w:rPr>
            <w:rStyle w:val="Hiperhivatkozs"/>
            <w:noProof/>
            <w:lang w:bidi="ar-SA"/>
          </w:rPr>
          <w:t>12.1. Encoding the commentary</w:t>
        </w:r>
        <w:r>
          <w:rPr>
            <w:noProof/>
            <w:webHidden/>
          </w:rPr>
          <w:tab/>
        </w:r>
        <w:r>
          <w:rPr>
            <w:noProof/>
            <w:webHidden/>
          </w:rPr>
          <w:fldChar w:fldCharType="begin"/>
        </w:r>
        <w:r>
          <w:rPr>
            <w:noProof/>
            <w:webHidden/>
          </w:rPr>
          <w:instrText xml:space="preserve"> PAGEREF _Toc242889622 \h </w:instrText>
        </w:r>
        <w:r>
          <w:rPr>
            <w:noProof/>
            <w:webHidden/>
          </w:rPr>
        </w:r>
        <w:r>
          <w:rPr>
            <w:noProof/>
            <w:webHidden/>
          </w:rPr>
          <w:fldChar w:fldCharType="separate"/>
        </w:r>
        <w:r>
          <w:rPr>
            <w:noProof/>
            <w:webHidden/>
          </w:rPr>
          <w:t>164</w:t>
        </w:r>
        <w:r>
          <w:rPr>
            <w:noProof/>
            <w:webHidden/>
          </w:rPr>
          <w:fldChar w:fldCharType="end"/>
        </w:r>
      </w:hyperlink>
    </w:p>
    <w:p w14:paraId="1D5717E5" w14:textId="3FE1CF02">
      <w:pPr>
        <w:pStyle w:val="TJ3"/>
        <w:rPr>
          <w:rFonts w:asciiTheme="minorHAnsi" w:hAnsiTheme="minorHAnsi" w:cstheme="minorBidi"/>
          <w:noProof/>
          <w:sz w:val="24"/>
          <w:szCs w:val="21"/>
          <w:lang w:eastAsia="en-GB" w:bidi="sa-IN"/>
        </w:rPr>
      </w:pPr>
      <w:hyperlink w:anchor="_Toc242889623" w:history="1">
        <w:r>
          <w:rPr>
            <w:rStyle w:val="Hiperhivatkozs"/>
            <w:noProof/>
            <w:lang w:bidi="ar-SA"/>
          </w:rPr>
          <w:t>12.1.1. Textpart divisions within the commentary</w:t>
        </w:r>
        <w:r>
          <w:rPr>
            <w:noProof/>
            <w:webHidden/>
          </w:rPr>
          <w:tab/>
        </w:r>
        <w:r>
          <w:rPr>
            <w:noProof/>
            <w:webHidden/>
          </w:rPr>
          <w:fldChar w:fldCharType="begin"/>
        </w:r>
        <w:r>
          <w:rPr>
            <w:noProof/>
            <w:webHidden/>
          </w:rPr>
          <w:instrText xml:space="preserve"> PAGEREF _Toc242889623 \h </w:instrText>
        </w:r>
        <w:r>
          <w:rPr>
            <w:noProof/>
            <w:webHidden/>
          </w:rPr>
        </w:r>
        <w:r>
          <w:rPr>
            <w:noProof/>
            <w:webHidden/>
          </w:rPr>
          <w:fldChar w:fldCharType="separate"/>
        </w:r>
        <w:r>
          <w:rPr>
            <w:noProof/>
            <w:webHidden/>
          </w:rPr>
          <w:t>164</w:t>
        </w:r>
        <w:r>
          <w:rPr>
            <w:noProof/>
            <w:webHidden/>
          </w:rPr>
          <w:fldChar w:fldCharType="end"/>
        </w:r>
      </w:hyperlink>
    </w:p>
    <w:p w14:paraId="313C7D44" w14:textId="2FBD7798">
      <w:pPr>
        <w:pStyle w:val="TJ2"/>
        <w:rPr>
          <w:rFonts w:asciiTheme="minorHAnsi" w:hAnsiTheme="minorHAnsi" w:cstheme="minorBidi"/>
          <w:noProof/>
          <w:sz w:val="24"/>
          <w:szCs w:val="21"/>
          <w:lang w:eastAsia="en-GB" w:bidi="sa-IN"/>
        </w:rPr>
      </w:pPr>
      <w:hyperlink w:anchor="_Toc242889624" w:history="1">
        <w:r>
          <w:rPr>
            <w:rStyle w:val="Hiperhivatkozs"/>
            <w:noProof/>
            <w:lang w:bidi="ar-SA"/>
          </w:rPr>
          <w:t>12.2. Indicating reference to the text</w:t>
        </w:r>
        <w:r>
          <w:rPr>
            <w:noProof/>
            <w:webHidden/>
          </w:rPr>
          <w:tab/>
        </w:r>
        <w:r>
          <w:rPr>
            <w:noProof/>
            <w:webHidden/>
          </w:rPr>
          <w:fldChar w:fldCharType="begin"/>
        </w:r>
        <w:r>
          <w:rPr>
            <w:noProof/>
            <w:webHidden/>
          </w:rPr>
          <w:instrText xml:space="preserve"> PAGEREF _Toc242889624 \h </w:instrText>
        </w:r>
        <w:r>
          <w:rPr>
            <w:noProof/>
            <w:webHidden/>
          </w:rPr>
        </w:r>
        <w:r>
          <w:rPr>
            <w:noProof/>
            <w:webHidden/>
          </w:rPr>
          <w:fldChar w:fldCharType="separate"/>
        </w:r>
        <w:r>
          <w:rPr>
            <w:noProof/>
            <w:webHidden/>
          </w:rPr>
          <w:t>164</w:t>
        </w:r>
        <w:r>
          <w:rPr>
            <w:noProof/>
            <w:webHidden/>
          </w:rPr>
          <w:fldChar w:fldCharType="end"/>
        </w:r>
      </w:hyperlink>
    </w:p>
    <w:p w14:paraId="789E61B5" w14:textId="6370608E">
      <w:pPr>
        <w:pStyle w:val="TJ2"/>
        <w:rPr>
          <w:rFonts w:asciiTheme="minorHAnsi" w:hAnsiTheme="minorHAnsi" w:cstheme="minorBidi"/>
          <w:noProof/>
          <w:sz w:val="24"/>
          <w:szCs w:val="21"/>
          <w:lang w:eastAsia="en-GB" w:bidi="sa-IN"/>
        </w:rPr>
      </w:pPr>
      <w:hyperlink w:anchor="_Toc242889625" w:history="1">
        <w:r>
          <w:rPr>
            <w:rStyle w:val="Hiperhivatkozs"/>
            <w:noProof/>
            <w:lang w:bidi="ar-SA"/>
          </w:rPr>
          <w:t>12.3. Markup within the commentary</w:t>
        </w:r>
        <w:r>
          <w:rPr>
            <w:noProof/>
            <w:webHidden/>
          </w:rPr>
          <w:tab/>
        </w:r>
        <w:r>
          <w:rPr>
            <w:noProof/>
            <w:webHidden/>
          </w:rPr>
          <w:fldChar w:fldCharType="begin"/>
        </w:r>
        <w:r>
          <w:rPr>
            <w:noProof/>
            <w:webHidden/>
          </w:rPr>
          <w:instrText xml:space="preserve"> PAGEREF _Toc242889625 \h </w:instrText>
        </w:r>
        <w:r>
          <w:rPr>
            <w:noProof/>
            <w:webHidden/>
          </w:rPr>
        </w:r>
        <w:r>
          <w:rPr>
            <w:noProof/>
            <w:webHidden/>
          </w:rPr>
          <w:fldChar w:fldCharType="separate"/>
        </w:r>
        <w:r>
          <w:rPr>
            <w:noProof/>
            <w:webHidden/>
          </w:rPr>
          <w:t>165</w:t>
        </w:r>
        <w:r>
          <w:rPr>
            <w:noProof/>
            <w:webHidden/>
          </w:rPr>
          <w:fldChar w:fldCharType="end"/>
        </w:r>
      </w:hyperlink>
    </w:p>
    <w:p w14:paraId="6F174BF2" w14:textId="33F16856">
      <w:pPr>
        <w:pStyle w:val="TJ1"/>
        <w:rPr>
          <w:rFonts w:asciiTheme="minorHAnsi" w:hAnsiTheme="minorHAnsi" w:cstheme="minorBidi"/>
          <w:b w:val="0"/>
          <w:noProof/>
          <w:sz w:val="24"/>
          <w:szCs w:val="21"/>
          <w:lang w:eastAsia="en-GB" w:bidi="sa-IN"/>
        </w:rPr>
      </w:pPr>
      <w:hyperlink w:anchor="_Toc242889626" w:history="1">
        <w:r>
          <w:rPr>
            <w:rStyle w:val="Hiperhivatkozs"/>
            <w:noProof/>
            <w:lang w:bidi="ar-SA"/>
          </w:rPr>
          <w:t>13. The bibliography</w:t>
        </w:r>
        <w:r>
          <w:rPr>
            <w:noProof/>
            <w:webHidden/>
          </w:rPr>
          <w:tab/>
        </w:r>
        <w:r>
          <w:rPr>
            <w:noProof/>
            <w:webHidden/>
          </w:rPr>
          <w:fldChar w:fldCharType="begin"/>
        </w:r>
        <w:r>
          <w:rPr>
            <w:noProof/>
            <w:webHidden/>
          </w:rPr>
          <w:instrText xml:space="preserve"> PAGEREF _Toc242889626 \h </w:instrText>
        </w:r>
        <w:r>
          <w:rPr>
            <w:noProof/>
            <w:webHidden/>
          </w:rPr>
        </w:r>
        <w:r>
          <w:rPr>
            <w:noProof/>
            <w:webHidden/>
          </w:rPr>
          <w:fldChar w:fldCharType="separate"/>
        </w:r>
        <w:r>
          <w:rPr>
            <w:noProof/>
            <w:webHidden/>
          </w:rPr>
          <w:t>166</w:t>
        </w:r>
        <w:r>
          <w:rPr>
            <w:noProof/>
            <w:webHidden/>
          </w:rPr>
          <w:fldChar w:fldCharType="end"/>
        </w:r>
      </w:hyperlink>
    </w:p>
    <w:p w14:paraId="6BC97208" w14:textId="5E8E1686">
      <w:pPr>
        <w:pStyle w:val="TJ2"/>
        <w:rPr>
          <w:rFonts w:asciiTheme="minorHAnsi" w:hAnsiTheme="minorHAnsi" w:cstheme="minorBidi"/>
          <w:noProof/>
          <w:sz w:val="24"/>
          <w:szCs w:val="21"/>
          <w:lang w:eastAsia="en-GB" w:bidi="sa-IN"/>
        </w:rPr>
      </w:pPr>
      <w:hyperlink w:anchor="_Toc242889627" w:history="1">
        <w:r>
          <w:rPr>
            <w:rStyle w:val="Hiperhivatkozs"/>
            <w:noProof/>
            <w:lang w:bidi="ar-SA"/>
          </w:rPr>
          <w:t>13.1. Encoding the bibliography</w:t>
        </w:r>
        <w:r>
          <w:rPr>
            <w:noProof/>
            <w:webHidden/>
          </w:rPr>
          <w:tab/>
        </w:r>
        <w:r>
          <w:rPr>
            <w:noProof/>
            <w:webHidden/>
          </w:rPr>
          <w:fldChar w:fldCharType="begin"/>
        </w:r>
        <w:r>
          <w:rPr>
            <w:noProof/>
            <w:webHidden/>
          </w:rPr>
          <w:instrText xml:space="preserve"> PAGEREF _Toc242889627 \h </w:instrText>
        </w:r>
        <w:r>
          <w:rPr>
            <w:noProof/>
            <w:webHidden/>
          </w:rPr>
        </w:r>
        <w:r>
          <w:rPr>
            <w:noProof/>
            <w:webHidden/>
          </w:rPr>
          <w:fldChar w:fldCharType="separate"/>
        </w:r>
        <w:r>
          <w:rPr>
            <w:noProof/>
            <w:webHidden/>
          </w:rPr>
          <w:t>166</w:t>
        </w:r>
        <w:r>
          <w:rPr>
            <w:noProof/>
            <w:webHidden/>
          </w:rPr>
          <w:fldChar w:fldCharType="end"/>
        </w:r>
      </w:hyperlink>
    </w:p>
    <w:p w14:paraId="2A288522" w14:textId="6BD8C6B4">
      <w:pPr>
        <w:pStyle w:val="TJ2"/>
        <w:rPr>
          <w:rFonts w:asciiTheme="minorHAnsi" w:hAnsiTheme="minorHAnsi" w:cstheme="minorBidi"/>
          <w:noProof/>
          <w:sz w:val="24"/>
          <w:szCs w:val="21"/>
          <w:lang w:eastAsia="en-GB" w:bidi="sa-IN"/>
        </w:rPr>
      </w:pPr>
      <w:hyperlink w:anchor="_Toc242889628" w:history="1">
        <w:r>
          <w:rPr>
            <w:rStyle w:val="Hiperhivatkozs"/>
            <w:noProof/>
            <w:lang w:bidi="ar-SA"/>
          </w:rPr>
          <w:t>13.2. The epigraphic lemma</w:t>
        </w:r>
        <w:r>
          <w:rPr>
            <w:noProof/>
            <w:webHidden/>
          </w:rPr>
          <w:tab/>
        </w:r>
        <w:r>
          <w:rPr>
            <w:noProof/>
            <w:webHidden/>
          </w:rPr>
          <w:fldChar w:fldCharType="begin"/>
        </w:r>
        <w:r>
          <w:rPr>
            <w:noProof/>
            <w:webHidden/>
          </w:rPr>
          <w:instrText xml:space="preserve"> PAGEREF _Toc242889628 \h </w:instrText>
        </w:r>
        <w:r>
          <w:rPr>
            <w:noProof/>
            <w:webHidden/>
          </w:rPr>
        </w:r>
        <w:r>
          <w:rPr>
            <w:noProof/>
            <w:webHidden/>
          </w:rPr>
          <w:fldChar w:fldCharType="separate"/>
        </w:r>
        <w:r>
          <w:rPr>
            <w:noProof/>
            <w:webHidden/>
          </w:rPr>
          <w:t>167</w:t>
        </w:r>
        <w:r>
          <w:rPr>
            <w:noProof/>
            <w:webHidden/>
          </w:rPr>
          <w:fldChar w:fldCharType="end"/>
        </w:r>
      </w:hyperlink>
    </w:p>
    <w:p w14:paraId="6F88364D" w14:textId="5773D5D0">
      <w:pPr>
        <w:pStyle w:val="TJ3"/>
        <w:rPr>
          <w:rFonts w:asciiTheme="minorHAnsi" w:hAnsiTheme="minorHAnsi" w:cstheme="minorBidi"/>
          <w:noProof/>
          <w:sz w:val="24"/>
          <w:szCs w:val="21"/>
          <w:lang w:eastAsia="en-GB" w:bidi="sa-IN"/>
        </w:rPr>
      </w:pPr>
      <w:hyperlink w:anchor="_Toc242889629" w:history="1">
        <w:r>
          <w:rPr>
            <w:rStyle w:val="Hiperhivatkozs"/>
            <w:noProof/>
            <w:lang w:bidi="ar-SA"/>
          </w:rPr>
          <w:t>13.2.1. Markup within the epigraphic lemma</w:t>
        </w:r>
        <w:r>
          <w:rPr>
            <w:noProof/>
            <w:webHidden/>
          </w:rPr>
          <w:tab/>
        </w:r>
        <w:r>
          <w:rPr>
            <w:noProof/>
            <w:webHidden/>
          </w:rPr>
          <w:fldChar w:fldCharType="begin"/>
        </w:r>
        <w:r>
          <w:rPr>
            <w:noProof/>
            <w:webHidden/>
          </w:rPr>
          <w:instrText xml:space="preserve"> PAGEREF _Toc242889629 \h </w:instrText>
        </w:r>
        <w:r>
          <w:rPr>
            <w:noProof/>
            <w:webHidden/>
          </w:rPr>
        </w:r>
        <w:r>
          <w:rPr>
            <w:noProof/>
            <w:webHidden/>
          </w:rPr>
          <w:fldChar w:fldCharType="separate"/>
        </w:r>
        <w:r>
          <w:rPr>
            <w:noProof/>
            <w:webHidden/>
          </w:rPr>
          <w:t>167</w:t>
        </w:r>
        <w:r>
          <w:rPr>
            <w:noProof/>
            <w:webHidden/>
          </w:rPr>
          <w:fldChar w:fldCharType="end"/>
        </w:r>
      </w:hyperlink>
    </w:p>
    <w:p w14:paraId="579816B7" w14:textId="1C058F5A">
      <w:pPr>
        <w:pStyle w:val="TJ2"/>
        <w:rPr>
          <w:rFonts w:asciiTheme="minorHAnsi" w:hAnsiTheme="minorHAnsi" w:cstheme="minorBidi"/>
          <w:noProof/>
          <w:sz w:val="24"/>
          <w:szCs w:val="21"/>
          <w:lang w:eastAsia="en-GB" w:bidi="sa-IN"/>
        </w:rPr>
      </w:pPr>
      <w:hyperlink w:anchor="_Toc242889630" w:history="1">
        <w:r>
          <w:rPr>
            <w:rStyle w:val="Hiperhivatkozs"/>
            <w:noProof/>
            <w:lang w:bidi="ar-SA"/>
          </w:rPr>
          <w:t>13.3. The structured bibliography</w:t>
        </w:r>
        <w:r>
          <w:rPr>
            <w:noProof/>
            <w:webHidden/>
          </w:rPr>
          <w:tab/>
        </w:r>
        <w:r>
          <w:rPr>
            <w:noProof/>
            <w:webHidden/>
          </w:rPr>
          <w:fldChar w:fldCharType="begin"/>
        </w:r>
        <w:r>
          <w:rPr>
            <w:noProof/>
            <w:webHidden/>
          </w:rPr>
          <w:instrText xml:space="preserve"> PAGEREF _Toc242889630 \h </w:instrText>
        </w:r>
        <w:r>
          <w:rPr>
            <w:noProof/>
            <w:webHidden/>
          </w:rPr>
        </w:r>
        <w:r>
          <w:rPr>
            <w:noProof/>
            <w:webHidden/>
          </w:rPr>
          <w:fldChar w:fldCharType="separate"/>
        </w:r>
        <w:r>
          <w:rPr>
            <w:noProof/>
            <w:webHidden/>
          </w:rPr>
          <w:t>168</w:t>
        </w:r>
        <w:r>
          <w:rPr>
            <w:noProof/>
            <w:webHidden/>
          </w:rPr>
          <w:fldChar w:fldCharType="end"/>
        </w:r>
      </w:hyperlink>
    </w:p>
    <w:p w14:paraId="00AC564E" w14:textId="23D21335">
      <w:pPr>
        <w:pStyle w:val="TJ3"/>
        <w:rPr>
          <w:rFonts w:asciiTheme="minorHAnsi" w:hAnsiTheme="minorHAnsi" w:cstheme="minorBidi"/>
          <w:noProof/>
          <w:sz w:val="24"/>
          <w:szCs w:val="21"/>
          <w:lang w:eastAsia="en-GB" w:bidi="sa-IN"/>
        </w:rPr>
      </w:pPr>
      <w:hyperlink w:anchor="_Toc242889631" w:history="1">
        <w:r>
          <w:rPr>
            <w:rStyle w:val="Hiperhivatkozs"/>
            <w:noProof/>
            <w:lang w:bidi="ar-SA"/>
          </w:rPr>
          <w:t>13.3.1. The primary bibliography</w:t>
        </w:r>
        <w:r>
          <w:rPr>
            <w:noProof/>
            <w:webHidden/>
          </w:rPr>
          <w:tab/>
        </w:r>
        <w:r>
          <w:rPr>
            <w:noProof/>
            <w:webHidden/>
          </w:rPr>
          <w:fldChar w:fldCharType="begin"/>
        </w:r>
        <w:r>
          <w:rPr>
            <w:noProof/>
            <w:webHidden/>
          </w:rPr>
          <w:instrText xml:space="preserve"> PAGEREF _Toc242889631 \h </w:instrText>
        </w:r>
        <w:r>
          <w:rPr>
            <w:noProof/>
            <w:webHidden/>
          </w:rPr>
        </w:r>
        <w:r>
          <w:rPr>
            <w:noProof/>
            <w:webHidden/>
          </w:rPr>
          <w:fldChar w:fldCharType="separate"/>
        </w:r>
        <w:r>
          <w:rPr>
            <w:noProof/>
            <w:webHidden/>
          </w:rPr>
          <w:t>168</w:t>
        </w:r>
        <w:r>
          <w:rPr>
            <w:noProof/>
            <w:webHidden/>
          </w:rPr>
          <w:fldChar w:fldCharType="end"/>
        </w:r>
      </w:hyperlink>
    </w:p>
    <w:p w14:paraId="6E77B06C" w14:textId="6BA9E08B">
      <w:pPr>
        <w:pStyle w:val="TJ3"/>
        <w:rPr>
          <w:rFonts w:asciiTheme="minorHAnsi" w:hAnsiTheme="minorHAnsi" w:cstheme="minorBidi"/>
          <w:noProof/>
          <w:sz w:val="24"/>
          <w:szCs w:val="21"/>
          <w:lang w:eastAsia="en-GB" w:bidi="sa-IN"/>
        </w:rPr>
      </w:pPr>
      <w:hyperlink w:anchor="_Toc242889632" w:history="1">
        <w:r>
          <w:rPr>
            <w:rStyle w:val="Hiperhivatkozs"/>
            <w:noProof/>
            <w:lang w:bidi="ar-SA"/>
          </w:rPr>
          <w:t>13.3.2. The secondary bibliography</w:t>
        </w:r>
        <w:r>
          <w:rPr>
            <w:noProof/>
            <w:webHidden/>
          </w:rPr>
          <w:tab/>
        </w:r>
        <w:r>
          <w:rPr>
            <w:noProof/>
            <w:webHidden/>
          </w:rPr>
          <w:fldChar w:fldCharType="begin"/>
        </w:r>
        <w:r>
          <w:rPr>
            <w:noProof/>
            <w:webHidden/>
          </w:rPr>
          <w:instrText xml:space="preserve"> PAGEREF _Toc242889632 \h </w:instrText>
        </w:r>
        <w:r>
          <w:rPr>
            <w:noProof/>
            <w:webHidden/>
          </w:rPr>
        </w:r>
        <w:r>
          <w:rPr>
            <w:noProof/>
            <w:webHidden/>
          </w:rPr>
          <w:fldChar w:fldCharType="separate"/>
        </w:r>
        <w:r>
          <w:rPr>
            <w:noProof/>
            <w:webHidden/>
          </w:rPr>
          <w:t>168</w:t>
        </w:r>
        <w:r>
          <w:rPr>
            <w:noProof/>
            <w:webHidden/>
          </w:rPr>
          <w:fldChar w:fldCharType="end"/>
        </w:r>
      </w:hyperlink>
    </w:p>
    <w:p w14:paraId="00B80105" w14:textId="0F290316">
      <w:pPr>
        <w:pStyle w:val="TJ3"/>
        <w:rPr>
          <w:rFonts w:asciiTheme="minorHAnsi" w:hAnsiTheme="minorHAnsi" w:cstheme="minorBidi"/>
          <w:noProof/>
          <w:sz w:val="24"/>
          <w:szCs w:val="21"/>
          <w:lang w:eastAsia="en-GB" w:bidi="sa-IN"/>
        </w:rPr>
      </w:pPr>
      <w:hyperlink w:anchor="_Toc242889633" w:history="1">
        <w:r>
          <w:rPr>
            <w:rStyle w:val="Hiperhivatkozs"/>
            <w:noProof/>
            <w:lang w:bidi="ar-SA"/>
          </w:rPr>
          <w:t>13.3.3. Bibliographic sigla</w:t>
        </w:r>
        <w:r>
          <w:rPr>
            <w:noProof/>
            <w:webHidden/>
          </w:rPr>
          <w:tab/>
        </w:r>
        <w:r>
          <w:rPr>
            <w:noProof/>
            <w:webHidden/>
          </w:rPr>
          <w:fldChar w:fldCharType="begin"/>
        </w:r>
        <w:r>
          <w:rPr>
            <w:noProof/>
            <w:webHidden/>
          </w:rPr>
          <w:instrText xml:space="preserve"> PAGEREF _Toc242889633 \h </w:instrText>
        </w:r>
        <w:r>
          <w:rPr>
            <w:noProof/>
            <w:webHidden/>
          </w:rPr>
        </w:r>
        <w:r>
          <w:rPr>
            <w:noProof/>
            <w:webHidden/>
          </w:rPr>
          <w:fldChar w:fldCharType="separate"/>
        </w:r>
        <w:r>
          <w:rPr>
            <w:noProof/>
            <w:webHidden/>
          </w:rPr>
          <w:t>168</w:t>
        </w:r>
        <w:r>
          <w:rPr>
            <w:noProof/>
            <w:webHidden/>
          </w:rPr>
          <w:fldChar w:fldCharType="end"/>
        </w:r>
      </w:hyperlink>
    </w:p>
    <w:p w14:paraId="2E0BDD7B" w14:textId="3DC22DC8">
      <w:pPr>
        <w:pStyle w:val="TJ1"/>
        <w:rPr>
          <w:rFonts w:asciiTheme="minorHAnsi" w:hAnsiTheme="minorHAnsi" w:cstheme="minorBidi"/>
          <w:b w:val="0"/>
          <w:noProof/>
          <w:sz w:val="24"/>
          <w:szCs w:val="21"/>
          <w:lang w:eastAsia="en-GB" w:bidi="sa-IN"/>
        </w:rPr>
      </w:pPr>
      <w:hyperlink w:anchor="_Toc242889634" w:history="1">
        <w:r>
          <w:rPr>
            <w:rStyle w:val="Hiperhivatkozs"/>
            <w:noProof/>
            <w:lang w:bidi="ar-SA"/>
          </w:rPr>
          <w:t>14. Globally available markup outside the edition</w:t>
        </w:r>
        <w:r>
          <w:rPr>
            <w:noProof/>
            <w:webHidden/>
          </w:rPr>
          <w:tab/>
        </w:r>
        <w:r>
          <w:rPr>
            <w:noProof/>
            <w:webHidden/>
          </w:rPr>
          <w:fldChar w:fldCharType="begin"/>
        </w:r>
        <w:r>
          <w:rPr>
            <w:noProof/>
            <w:webHidden/>
          </w:rPr>
          <w:instrText xml:space="preserve"> PAGEREF _Toc242889634 \h </w:instrText>
        </w:r>
        <w:r>
          <w:rPr>
            <w:noProof/>
            <w:webHidden/>
          </w:rPr>
        </w:r>
        <w:r>
          <w:rPr>
            <w:noProof/>
            <w:webHidden/>
          </w:rPr>
          <w:fldChar w:fldCharType="separate"/>
        </w:r>
        <w:r>
          <w:rPr>
            <w:noProof/>
            <w:webHidden/>
          </w:rPr>
          <w:t>170</w:t>
        </w:r>
        <w:r>
          <w:rPr>
            <w:noProof/>
            <w:webHidden/>
          </w:rPr>
          <w:fldChar w:fldCharType="end"/>
        </w:r>
      </w:hyperlink>
    </w:p>
    <w:p w14:paraId="183C8829" w14:textId="3DA2DA2D">
      <w:pPr>
        <w:pStyle w:val="TJ2"/>
        <w:rPr>
          <w:rFonts w:asciiTheme="minorHAnsi" w:hAnsiTheme="minorHAnsi" w:cstheme="minorBidi"/>
          <w:noProof/>
          <w:sz w:val="24"/>
          <w:szCs w:val="21"/>
          <w:lang w:eastAsia="en-GB" w:bidi="sa-IN"/>
        </w:rPr>
      </w:pPr>
      <w:hyperlink w:anchor="_Toc242889635" w:history="1">
        <w:r>
          <w:rPr>
            <w:rStyle w:val="Hiperhivatkozs"/>
            <w:noProof/>
            <w:lang w:bidi="ar-SA"/>
          </w:rPr>
          <w:t>14.1. Using editorial markup outside the edition</w:t>
        </w:r>
        <w:r>
          <w:rPr>
            <w:noProof/>
            <w:webHidden/>
          </w:rPr>
          <w:tab/>
        </w:r>
        <w:r>
          <w:rPr>
            <w:noProof/>
            <w:webHidden/>
          </w:rPr>
          <w:fldChar w:fldCharType="begin"/>
        </w:r>
        <w:r>
          <w:rPr>
            <w:noProof/>
            <w:webHidden/>
          </w:rPr>
          <w:instrText xml:space="preserve"> PAGEREF _Toc242889635 \h </w:instrText>
        </w:r>
        <w:r>
          <w:rPr>
            <w:noProof/>
            <w:webHidden/>
          </w:rPr>
        </w:r>
        <w:r>
          <w:rPr>
            <w:noProof/>
            <w:webHidden/>
          </w:rPr>
          <w:fldChar w:fldCharType="separate"/>
        </w:r>
        <w:r>
          <w:rPr>
            <w:noProof/>
            <w:webHidden/>
          </w:rPr>
          <w:t>170</w:t>
        </w:r>
        <w:r>
          <w:rPr>
            <w:noProof/>
            <w:webHidden/>
          </w:rPr>
          <w:fldChar w:fldCharType="end"/>
        </w:r>
      </w:hyperlink>
    </w:p>
    <w:p w14:paraId="65404F04" w14:textId="1DDC78C5">
      <w:pPr>
        <w:pStyle w:val="TJ2"/>
        <w:rPr>
          <w:rFonts w:asciiTheme="minorHAnsi" w:hAnsiTheme="minorHAnsi" w:cstheme="minorBidi"/>
          <w:noProof/>
          <w:sz w:val="24"/>
          <w:szCs w:val="21"/>
          <w:lang w:eastAsia="en-GB" w:bidi="sa-IN"/>
        </w:rPr>
      </w:pPr>
      <w:hyperlink w:anchor="_Toc242889636" w:history="1">
        <w:r>
          <w:rPr>
            <w:rStyle w:val="Hiperhivatkozs"/>
            <w:noProof/>
            <w:lang w:bidi="ar-SA"/>
          </w:rPr>
          <w:t>14.2. Character formatting</w:t>
        </w:r>
        <w:r>
          <w:rPr>
            <w:noProof/>
            <w:webHidden/>
          </w:rPr>
          <w:tab/>
        </w:r>
        <w:r>
          <w:rPr>
            <w:noProof/>
            <w:webHidden/>
          </w:rPr>
          <w:fldChar w:fldCharType="begin"/>
        </w:r>
        <w:r>
          <w:rPr>
            <w:noProof/>
            <w:webHidden/>
          </w:rPr>
          <w:instrText xml:space="preserve"> PAGEREF _Toc242889636 \h </w:instrText>
        </w:r>
        <w:r>
          <w:rPr>
            <w:noProof/>
            <w:webHidden/>
          </w:rPr>
        </w:r>
        <w:r>
          <w:rPr>
            <w:noProof/>
            <w:webHidden/>
          </w:rPr>
          <w:fldChar w:fldCharType="separate"/>
        </w:r>
        <w:r>
          <w:rPr>
            <w:noProof/>
            <w:webHidden/>
          </w:rPr>
          <w:t>170</w:t>
        </w:r>
        <w:r>
          <w:rPr>
            <w:noProof/>
            <w:webHidden/>
          </w:rPr>
          <w:fldChar w:fldCharType="end"/>
        </w:r>
      </w:hyperlink>
    </w:p>
    <w:p w14:paraId="6F2444E6" w14:textId="7E5F0FB7">
      <w:pPr>
        <w:pStyle w:val="TJ3"/>
        <w:rPr>
          <w:rFonts w:asciiTheme="minorHAnsi" w:hAnsiTheme="minorHAnsi" w:cstheme="minorBidi"/>
          <w:noProof/>
          <w:sz w:val="24"/>
          <w:szCs w:val="21"/>
          <w:lang w:eastAsia="en-GB" w:bidi="sa-IN"/>
        </w:rPr>
      </w:pPr>
      <w:hyperlink w:anchor="_Toc242889637" w:history="1">
        <w:r>
          <w:rPr>
            <w:rStyle w:val="Hiperhivatkozs"/>
            <w:noProof/>
            <w:lang w:bidi="ar-SA"/>
          </w:rPr>
          <w:t>14.2.1. Emphasis</w:t>
        </w:r>
        <w:r>
          <w:rPr>
            <w:noProof/>
            <w:webHidden/>
          </w:rPr>
          <w:tab/>
        </w:r>
        <w:r>
          <w:rPr>
            <w:noProof/>
            <w:webHidden/>
          </w:rPr>
          <w:fldChar w:fldCharType="begin"/>
        </w:r>
        <w:r>
          <w:rPr>
            <w:noProof/>
            <w:webHidden/>
          </w:rPr>
          <w:instrText xml:space="preserve"> PAGEREF _Toc242889637 \h </w:instrText>
        </w:r>
        <w:r>
          <w:rPr>
            <w:noProof/>
            <w:webHidden/>
          </w:rPr>
        </w:r>
        <w:r>
          <w:rPr>
            <w:noProof/>
            <w:webHidden/>
          </w:rPr>
          <w:fldChar w:fldCharType="separate"/>
        </w:r>
        <w:r>
          <w:rPr>
            <w:noProof/>
            <w:webHidden/>
          </w:rPr>
          <w:t>171</w:t>
        </w:r>
        <w:r>
          <w:rPr>
            <w:noProof/>
            <w:webHidden/>
          </w:rPr>
          <w:fldChar w:fldCharType="end"/>
        </w:r>
      </w:hyperlink>
    </w:p>
    <w:p w14:paraId="5D74180D" w14:textId="0E32A9BE">
      <w:pPr>
        <w:pStyle w:val="TJ3"/>
        <w:rPr>
          <w:rFonts w:asciiTheme="minorHAnsi" w:hAnsiTheme="minorHAnsi" w:cstheme="minorBidi"/>
          <w:noProof/>
          <w:sz w:val="24"/>
          <w:szCs w:val="21"/>
          <w:lang w:eastAsia="en-GB" w:bidi="sa-IN"/>
        </w:rPr>
      </w:pPr>
      <w:hyperlink w:anchor="_Toc242889638" w:history="1">
        <w:r>
          <w:rPr>
            <w:rStyle w:val="Hiperhivatkozs"/>
            <w:noProof/>
            <w:lang w:bidi="ar-SA"/>
          </w:rPr>
          <w:t>14.2.2. Subscript and superscript</w:t>
        </w:r>
        <w:r>
          <w:rPr>
            <w:noProof/>
            <w:webHidden/>
          </w:rPr>
          <w:tab/>
        </w:r>
        <w:r>
          <w:rPr>
            <w:noProof/>
            <w:webHidden/>
          </w:rPr>
          <w:fldChar w:fldCharType="begin"/>
        </w:r>
        <w:r>
          <w:rPr>
            <w:noProof/>
            <w:webHidden/>
          </w:rPr>
          <w:instrText xml:space="preserve"> PAGEREF _Toc242889638 \h </w:instrText>
        </w:r>
        <w:r>
          <w:rPr>
            <w:noProof/>
            <w:webHidden/>
          </w:rPr>
        </w:r>
        <w:r>
          <w:rPr>
            <w:noProof/>
            <w:webHidden/>
          </w:rPr>
          <w:fldChar w:fldCharType="separate"/>
        </w:r>
        <w:r>
          <w:rPr>
            <w:noProof/>
            <w:webHidden/>
          </w:rPr>
          <w:t>171</w:t>
        </w:r>
        <w:r>
          <w:rPr>
            <w:noProof/>
            <w:webHidden/>
          </w:rPr>
          <w:fldChar w:fldCharType="end"/>
        </w:r>
      </w:hyperlink>
    </w:p>
    <w:p w14:paraId="49CB8529" w14:textId="38D550EC">
      <w:pPr>
        <w:pStyle w:val="TJ3"/>
        <w:rPr>
          <w:rFonts w:asciiTheme="minorHAnsi" w:hAnsiTheme="minorHAnsi" w:cstheme="minorBidi"/>
          <w:noProof/>
          <w:sz w:val="24"/>
          <w:szCs w:val="21"/>
          <w:lang w:eastAsia="en-GB" w:bidi="sa-IN"/>
        </w:rPr>
      </w:pPr>
      <w:hyperlink w:anchor="_Toc242889639" w:history="1">
        <w:r>
          <w:rPr>
            <w:rStyle w:val="Hiperhivatkozs"/>
            <w:noProof/>
            <w:lang w:bidi="ar-SA"/>
          </w:rPr>
          <w:t>14.2.3. Grantha script</w:t>
        </w:r>
        <w:r>
          <w:rPr>
            <w:noProof/>
            <w:webHidden/>
          </w:rPr>
          <w:tab/>
        </w:r>
        <w:r>
          <w:rPr>
            <w:noProof/>
            <w:webHidden/>
          </w:rPr>
          <w:fldChar w:fldCharType="begin"/>
        </w:r>
        <w:r>
          <w:rPr>
            <w:noProof/>
            <w:webHidden/>
          </w:rPr>
          <w:instrText xml:space="preserve"> PAGEREF _Toc242889639 \h </w:instrText>
        </w:r>
        <w:r>
          <w:rPr>
            <w:noProof/>
            <w:webHidden/>
          </w:rPr>
        </w:r>
        <w:r>
          <w:rPr>
            <w:noProof/>
            <w:webHidden/>
          </w:rPr>
          <w:fldChar w:fldCharType="separate"/>
        </w:r>
        <w:r>
          <w:rPr>
            <w:noProof/>
            <w:webHidden/>
          </w:rPr>
          <w:t>171</w:t>
        </w:r>
        <w:r>
          <w:rPr>
            <w:noProof/>
            <w:webHidden/>
          </w:rPr>
          <w:fldChar w:fldCharType="end"/>
        </w:r>
      </w:hyperlink>
    </w:p>
    <w:p w14:paraId="1FC058F4" w14:textId="6FF4FD38">
      <w:pPr>
        <w:pStyle w:val="TJ3"/>
        <w:rPr>
          <w:rFonts w:asciiTheme="minorHAnsi" w:hAnsiTheme="minorHAnsi" w:cstheme="minorBidi"/>
          <w:noProof/>
          <w:sz w:val="24"/>
          <w:szCs w:val="21"/>
          <w:lang w:eastAsia="en-GB" w:bidi="sa-IN"/>
        </w:rPr>
      </w:pPr>
      <w:hyperlink w:anchor="_Toc242889640" w:history="1">
        <w:r>
          <w:rPr>
            <w:rStyle w:val="Hiperhivatkozs"/>
            <w:noProof/>
            <w:lang w:bidi="ar-SA"/>
          </w:rPr>
          <w:t>14.2.4. Highlighting for review</w:t>
        </w:r>
        <w:r>
          <w:rPr>
            <w:noProof/>
            <w:webHidden/>
          </w:rPr>
          <w:tab/>
        </w:r>
        <w:r>
          <w:rPr>
            <w:noProof/>
            <w:webHidden/>
          </w:rPr>
          <w:fldChar w:fldCharType="begin"/>
        </w:r>
        <w:r>
          <w:rPr>
            <w:noProof/>
            <w:webHidden/>
          </w:rPr>
          <w:instrText xml:space="preserve"> PAGEREF _Toc242889640 \h </w:instrText>
        </w:r>
        <w:r>
          <w:rPr>
            <w:noProof/>
            <w:webHidden/>
          </w:rPr>
        </w:r>
        <w:r>
          <w:rPr>
            <w:noProof/>
            <w:webHidden/>
          </w:rPr>
          <w:fldChar w:fldCharType="separate"/>
        </w:r>
        <w:r>
          <w:rPr>
            <w:noProof/>
            <w:webHidden/>
          </w:rPr>
          <w:t>171</w:t>
        </w:r>
        <w:r>
          <w:rPr>
            <w:noProof/>
            <w:webHidden/>
          </w:rPr>
          <w:fldChar w:fldCharType="end"/>
        </w:r>
      </w:hyperlink>
    </w:p>
    <w:p w14:paraId="31214110" w14:textId="23D5145F">
      <w:pPr>
        <w:pStyle w:val="TJ2"/>
        <w:rPr>
          <w:rFonts w:asciiTheme="minorHAnsi" w:hAnsiTheme="minorHAnsi" w:cstheme="minorBidi"/>
          <w:noProof/>
          <w:sz w:val="24"/>
          <w:szCs w:val="21"/>
          <w:lang w:eastAsia="en-GB" w:bidi="sa-IN"/>
        </w:rPr>
      </w:pPr>
      <w:hyperlink w:anchor="_Toc242889641" w:history="1">
        <w:r>
          <w:rPr>
            <w:rStyle w:val="Hiperhivatkozs"/>
            <w:noProof/>
            <w:lang w:bidi="ar-SA"/>
          </w:rPr>
          <w:t>14.3. Block-level containers outside the edition</w:t>
        </w:r>
        <w:r>
          <w:rPr>
            <w:noProof/>
            <w:webHidden/>
          </w:rPr>
          <w:tab/>
        </w:r>
        <w:r>
          <w:rPr>
            <w:noProof/>
            <w:webHidden/>
          </w:rPr>
          <w:fldChar w:fldCharType="begin"/>
        </w:r>
        <w:r>
          <w:rPr>
            <w:noProof/>
            <w:webHidden/>
          </w:rPr>
          <w:instrText xml:space="preserve"> PAGEREF _Toc242889641 \h </w:instrText>
        </w:r>
        <w:r>
          <w:rPr>
            <w:noProof/>
            <w:webHidden/>
          </w:rPr>
        </w:r>
        <w:r>
          <w:rPr>
            <w:noProof/>
            <w:webHidden/>
          </w:rPr>
          <w:fldChar w:fldCharType="separate"/>
        </w:r>
        <w:r>
          <w:rPr>
            <w:noProof/>
            <w:webHidden/>
          </w:rPr>
          <w:t>171</w:t>
        </w:r>
        <w:r>
          <w:rPr>
            <w:noProof/>
            <w:webHidden/>
          </w:rPr>
          <w:fldChar w:fldCharType="end"/>
        </w:r>
      </w:hyperlink>
    </w:p>
    <w:p w14:paraId="63C9D408" w14:textId="5246D9EB">
      <w:pPr>
        <w:pStyle w:val="TJ3"/>
        <w:rPr>
          <w:rFonts w:asciiTheme="minorHAnsi" w:hAnsiTheme="minorHAnsi" w:cstheme="minorBidi"/>
          <w:noProof/>
          <w:sz w:val="24"/>
          <w:szCs w:val="21"/>
          <w:lang w:eastAsia="en-GB" w:bidi="sa-IN"/>
        </w:rPr>
      </w:pPr>
      <w:hyperlink w:anchor="_Toc242889642" w:history="1">
        <w:r>
          <w:rPr>
            <w:rStyle w:val="Hiperhivatkozs"/>
            <w:noProof/>
            <w:lang w:bidi="ar-SA"/>
          </w:rPr>
          <w:t>14.3.1. Paragraphs</w:t>
        </w:r>
        <w:r>
          <w:rPr>
            <w:noProof/>
            <w:webHidden/>
          </w:rPr>
          <w:tab/>
        </w:r>
        <w:r>
          <w:rPr>
            <w:noProof/>
            <w:webHidden/>
          </w:rPr>
          <w:fldChar w:fldCharType="begin"/>
        </w:r>
        <w:r>
          <w:rPr>
            <w:noProof/>
            <w:webHidden/>
          </w:rPr>
          <w:instrText xml:space="preserve"> PAGEREF _Toc242889642 \h </w:instrText>
        </w:r>
        <w:r>
          <w:rPr>
            <w:noProof/>
            <w:webHidden/>
          </w:rPr>
        </w:r>
        <w:r>
          <w:rPr>
            <w:noProof/>
            <w:webHidden/>
          </w:rPr>
          <w:fldChar w:fldCharType="separate"/>
        </w:r>
        <w:r>
          <w:rPr>
            <w:noProof/>
            <w:webHidden/>
          </w:rPr>
          <w:t>171</w:t>
        </w:r>
        <w:r>
          <w:rPr>
            <w:noProof/>
            <w:webHidden/>
          </w:rPr>
          <w:fldChar w:fldCharType="end"/>
        </w:r>
      </w:hyperlink>
    </w:p>
    <w:p w14:paraId="50D83336" w14:textId="6BB2E520">
      <w:pPr>
        <w:pStyle w:val="TJ3"/>
        <w:rPr>
          <w:rFonts w:asciiTheme="minorHAnsi" w:hAnsiTheme="minorHAnsi" w:cstheme="minorBidi"/>
          <w:noProof/>
          <w:sz w:val="24"/>
          <w:szCs w:val="21"/>
          <w:lang w:eastAsia="en-GB" w:bidi="sa-IN"/>
        </w:rPr>
      </w:pPr>
      <w:hyperlink w:anchor="_Toc242889643" w:history="1">
        <w:r>
          <w:rPr>
            <w:rStyle w:val="Hiperhivatkozs"/>
            <w:noProof/>
            <w:lang w:bidi="ar-SA"/>
          </w:rPr>
          <w:t>14.3.2. Verse containers</w:t>
        </w:r>
        <w:r>
          <w:rPr>
            <w:noProof/>
            <w:webHidden/>
          </w:rPr>
          <w:tab/>
        </w:r>
        <w:r>
          <w:rPr>
            <w:noProof/>
            <w:webHidden/>
          </w:rPr>
          <w:fldChar w:fldCharType="begin"/>
        </w:r>
        <w:r>
          <w:rPr>
            <w:noProof/>
            <w:webHidden/>
          </w:rPr>
          <w:instrText xml:space="preserve"> PAGEREF _Toc242889643 \h </w:instrText>
        </w:r>
        <w:r>
          <w:rPr>
            <w:noProof/>
            <w:webHidden/>
          </w:rPr>
        </w:r>
        <w:r>
          <w:rPr>
            <w:noProof/>
            <w:webHidden/>
          </w:rPr>
          <w:fldChar w:fldCharType="separate"/>
        </w:r>
        <w:r>
          <w:rPr>
            <w:noProof/>
            <w:webHidden/>
          </w:rPr>
          <w:t>172</w:t>
        </w:r>
        <w:r>
          <w:rPr>
            <w:noProof/>
            <w:webHidden/>
          </w:rPr>
          <w:fldChar w:fldCharType="end"/>
        </w:r>
      </w:hyperlink>
    </w:p>
    <w:p w14:paraId="11318592" w14:textId="0F527C0A">
      <w:pPr>
        <w:pStyle w:val="TJ3"/>
        <w:rPr>
          <w:rFonts w:asciiTheme="minorHAnsi" w:hAnsiTheme="minorHAnsi" w:cstheme="minorBidi"/>
          <w:noProof/>
          <w:sz w:val="24"/>
          <w:szCs w:val="21"/>
          <w:lang w:eastAsia="en-GB" w:bidi="sa-IN"/>
        </w:rPr>
      </w:pPr>
      <w:hyperlink w:anchor="_Toc242889644" w:history="1">
        <w:r>
          <w:rPr>
            <w:rStyle w:val="Hiperhivatkozs"/>
            <w:noProof/>
            <w:lang w:bidi="ar-SA"/>
          </w:rPr>
          <w:t>14.3.3. Block quotes</w:t>
        </w:r>
        <w:r>
          <w:rPr>
            <w:noProof/>
            <w:webHidden/>
          </w:rPr>
          <w:tab/>
        </w:r>
        <w:r>
          <w:rPr>
            <w:noProof/>
            <w:webHidden/>
          </w:rPr>
          <w:fldChar w:fldCharType="begin"/>
        </w:r>
        <w:r>
          <w:rPr>
            <w:noProof/>
            <w:webHidden/>
          </w:rPr>
          <w:instrText xml:space="preserve"> PAGEREF _Toc242889644 \h </w:instrText>
        </w:r>
        <w:r>
          <w:rPr>
            <w:noProof/>
            <w:webHidden/>
          </w:rPr>
        </w:r>
        <w:r>
          <w:rPr>
            <w:noProof/>
            <w:webHidden/>
          </w:rPr>
          <w:fldChar w:fldCharType="separate"/>
        </w:r>
        <w:r>
          <w:rPr>
            <w:noProof/>
            <w:webHidden/>
          </w:rPr>
          <w:t>172</w:t>
        </w:r>
        <w:r>
          <w:rPr>
            <w:noProof/>
            <w:webHidden/>
          </w:rPr>
          <w:fldChar w:fldCharType="end"/>
        </w:r>
      </w:hyperlink>
    </w:p>
    <w:p w14:paraId="33DDFB8B" w14:textId="7E682C54">
      <w:pPr>
        <w:pStyle w:val="TJ3"/>
        <w:rPr>
          <w:rFonts w:asciiTheme="minorHAnsi" w:hAnsiTheme="minorHAnsi" w:cstheme="minorBidi"/>
          <w:noProof/>
          <w:sz w:val="24"/>
          <w:szCs w:val="21"/>
          <w:lang w:eastAsia="en-GB" w:bidi="sa-IN"/>
        </w:rPr>
      </w:pPr>
      <w:hyperlink w:anchor="_Toc242889645" w:history="1">
        <w:r>
          <w:rPr>
            <w:rStyle w:val="Hiperhivatkozs"/>
            <w:noProof/>
            <w:lang w:bidi="ar-SA"/>
          </w:rPr>
          <w:t>14.3.4. Lists</w:t>
        </w:r>
        <w:r>
          <w:rPr>
            <w:noProof/>
            <w:webHidden/>
          </w:rPr>
          <w:tab/>
        </w:r>
        <w:r>
          <w:rPr>
            <w:noProof/>
            <w:webHidden/>
          </w:rPr>
          <w:fldChar w:fldCharType="begin"/>
        </w:r>
        <w:r>
          <w:rPr>
            <w:noProof/>
            <w:webHidden/>
          </w:rPr>
          <w:instrText xml:space="preserve"> PAGEREF _Toc242889645 \h </w:instrText>
        </w:r>
        <w:r>
          <w:rPr>
            <w:noProof/>
            <w:webHidden/>
          </w:rPr>
        </w:r>
        <w:r>
          <w:rPr>
            <w:noProof/>
            <w:webHidden/>
          </w:rPr>
          <w:fldChar w:fldCharType="separate"/>
        </w:r>
        <w:r>
          <w:rPr>
            <w:noProof/>
            <w:webHidden/>
          </w:rPr>
          <w:t>172</w:t>
        </w:r>
        <w:r>
          <w:rPr>
            <w:noProof/>
            <w:webHidden/>
          </w:rPr>
          <w:fldChar w:fldCharType="end"/>
        </w:r>
      </w:hyperlink>
    </w:p>
    <w:p w14:paraId="6607E49A" w14:textId="3BCD90DD">
      <w:pPr>
        <w:pStyle w:val="TJ2"/>
        <w:rPr>
          <w:rFonts w:asciiTheme="minorHAnsi" w:hAnsiTheme="minorHAnsi" w:cstheme="minorBidi"/>
          <w:noProof/>
          <w:sz w:val="24"/>
          <w:szCs w:val="21"/>
          <w:lang w:eastAsia="en-GB" w:bidi="sa-IN"/>
        </w:rPr>
      </w:pPr>
      <w:hyperlink w:anchor="_Toc242889646" w:history="1">
        <w:r>
          <w:rPr>
            <w:rStyle w:val="Hiperhivatkozs"/>
            <w:noProof/>
            <w:lang w:bidi="ar-SA"/>
          </w:rPr>
          <w:t>14.4. Languages</w:t>
        </w:r>
        <w:r>
          <w:rPr>
            <w:noProof/>
            <w:webHidden/>
          </w:rPr>
          <w:tab/>
        </w:r>
        <w:r>
          <w:rPr>
            <w:noProof/>
            <w:webHidden/>
          </w:rPr>
          <w:fldChar w:fldCharType="begin"/>
        </w:r>
        <w:r>
          <w:rPr>
            <w:noProof/>
            <w:webHidden/>
          </w:rPr>
          <w:instrText xml:space="preserve"> PAGEREF _Toc242889646 \h </w:instrText>
        </w:r>
        <w:r>
          <w:rPr>
            <w:noProof/>
            <w:webHidden/>
          </w:rPr>
        </w:r>
        <w:r>
          <w:rPr>
            <w:noProof/>
            <w:webHidden/>
          </w:rPr>
          <w:fldChar w:fldCharType="separate"/>
        </w:r>
        <w:r>
          <w:rPr>
            <w:noProof/>
            <w:webHidden/>
          </w:rPr>
          <w:t>174</w:t>
        </w:r>
        <w:r>
          <w:rPr>
            <w:noProof/>
            <w:webHidden/>
          </w:rPr>
          <w:fldChar w:fldCharType="end"/>
        </w:r>
      </w:hyperlink>
    </w:p>
    <w:p w14:paraId="57D9D15E" w14:textId="76533965">
      <w:pPr>
        <w:pStyle w:val="TJ3"/>
        <w:rPr>
          <w:rFonts w:asciiTheme="minorHAnsi" w:hAnsiTheme="minorHAnsi" w:cstheme="minorBidi"/>
          <w:noProof/>
          <w:sz w:val="24"/>
          <w:szCs w:val="21"/>
          <w:lang w:eastAsia="en-GB" w:bidi="sa-IN"/>
        </w:rPr>
      </w:pPr>
      <w:hyperlink w:anchor="_Toc242889647" w:history="1">
        <w:r>
          <w:rPr>
            <w:rStyle w:val="Hiperhivatkozs"/>
            <w:noProof/>
            <w:lang w:bidi="ar-SA"/>
          </w:rPr>
          <w:t>14.4.1. Encoding language</w:t>
        </w:r>
        <w:r>
          <w:rPr>
            <w:noProof/>
            <w:webHidden/>
          </w:rPr>
          <w:tab/>
        </w:r>
        <w:r>
          <w:rPr>
            <w:noProof/>
            <w:webHidden/>
          </w:rPr>
          <w:fldChar w:fldCharType="begin"/>
        </w:r>
        <w:r>
          <w:rPr>
            <w:noProof/>
            <w:webHidden/>
          </w:rPr>
          <w:instrText xml:space="preserve"> PAGEREF _Toc242889647 \h </w:instrText>
        </w:r>
        <w:r>
          <w:rPr>
            <w:noProof/>
            <w:webHidden/>
          </w:rPr>
        </w:r>
        <w:r>
          <w:rPr>
            <w:noProof/>
            <w:webHidden/>
          </w:rPr>
          <w:fldChar w:fldCharType="separate"/>
        </w:r>
        <w:r>
          <w:rPr>
            <w:noProof/>
            <w:webHidden/>
          </w:rPr>
          <w:t>174</w:t>
        </w:r>
        <w:r>
          <w:rPr>
            <w:noProof/>
            <w:webHidden/>
          </w:rPr>
          <w:fldChar w:fldCharType="end"/>
        </w:r>
      </w:hyperlink>
    </w:p>
    <w:p w14:paraId="5A41F2CA" w14:textId="017B76F5">
      <w:pPr>
        <w:pStyle w:val="TJ3"/>
        <w:rPr>
          <w:rFonts w:asciiTheme="minorHAnsi" w:hAnsiTheme="minorHAnsi" w:cstheme="minorBidi"/>
          <w:noProof/>
          <w:sz w:val="24"/>
          <w:szCs w:val="21"/>
          <w:lang w:eastAsia="en-GB" w:bidi="sa-IN"/>
        </w:rPr>
      </w:pPr>
      <w:hyperlink w:anchor="_Toc242889648" w:history="1">
        <w:r>
          <w:rPr>
            <w:rStyle w:val="Hiperhivatkozs"/>
            <w:noProof/>
            <w:lang w:bidi="ar-SA"/>
          </w:rPr>
          <w:t>14.4.2. Tagging foreign languages outside the edition</w:t>
        </w:r>
        <w:r>
          <w:rPr>
            <w:noProof/>
            <w:webHidden/>
          </w:rPr>
          <w:tab/>
        </w:r>
        <w:r>
          <w:rPr>
            <w:noProof/>
            <w:webHidden/>
          </w:rPr>
          <w:fldChar w:fldCharType="begin"/>
        </w:r>
        <w:r>
          <w:rPr>
            <w:noProof/>
            <w:webHidden/>
          </w:rPr>
          <w:instrText xml:space="preserve"> PAGEREF _Toc242889648 \h </w:instrText>
        </w:r>
        <w:r>
          <w:rPr>
            <w:noProof/>
            <w:webHidden/>
          </w:rPr>
        </w:r>
        <w:r>
          <w:rPr>
            <w:noProof/>
            <w:webHidden/>
          </w:rPr>
          <w:fldChar w:fldCharType="separate"/>
        </w:r>
        <w:r>
          <w:rPr>
            <w:noProof/>
            <w:webHidden/>
          </w:rPr>
          <w:t>175</w:t>
        </w:r>
        <w:r>
          <w:rPr>
            <w:noProof/>
            <w:webHidden/>
          </w:rPr>
          <w:fldChar w:fldCharType="end"/>
        </w:r>
      </w:hyperlink>
    </w:p>
    <w:p w14:paraId="2F0C21F3" w14:textId="2DFE8FC9">
      <w:pPr>
        <w:pStyle w:val="TJ2"/>
        <w:rPr>
          <w:rFonts w:asciiTheme="minorHAnsi" w:hAnsiTheme="minorHAnsi" w:cstheme="minorBidi"/>
          <w:noProof/>
          <w:sz w:val="24"/>
          <w:szCs w:val="21"/>
          <w:lang w:eastAsia="en-GB" w:bidi="sa-IN"/>
        </w:rPr>
      </w:pPr>
      <w:hyperlink w:anchor="_Toc242889649" w:history="1">
        <w:r>
          <w:rPr>
            <w:rStyle w:val="Hiperhivatkozs"/>
            <w:noProof/>
            <w:lang w:bidi="ar-SA"/>
          </w:rPr>
          <w:t>14.5. Notes</w:t>
        </w:r>
        <w:r>
          <w:rPr>
            <w:noProof/>
            <w:webHidden/>
          </w:rPr>
          <w:tab/>
        </w:r>
        <w:r>
          <w:rPr>
            <w:noProof/>
            <w:webHidden/>
          </w:rPr>
          <w:fldChar w:fldCharType="begin"/>
        </w:r>
        <w:r>
          <w:rPr>
            <w:noProof/>
            <w:webHidden/>
          </w:rPr>
          <w:instrText xml:space="preserve"> PAGEREF _Toc242889649 \h </w:instrText>
        </w:r>
        <w:r>
          <w:rPr>
            <w:noProof/>
            <w:webHidden/>
          </w:rPr>
        </w:r>
        <w:r>
          <w:rPr>
            <w:noProof/>
            <w:webHidden/>
          </w:rPr>
          <w:fldChar w:fldCharType="separate"/>
        </w:r>
        <w:r>
          <w:rPr>
            <w:noProof/>
            <w:webHidden/>
          </w:rPr>
          <w:t>176</w:t>
        </w:r>
        <w:r>
          <w:rPr>
            <w:noProof/>
            <w:webHidden/>
          </w:rPr>
          <w:fldChar w:fldCharType="end"/>
        </w:r>
      </w:hyperlink>
    </w:p>
    <w:p w14:paraId="7F7F36B3" w14:textId="1758F09D">
      <w:pPr>
        <w:pStyle w:val="TJ3"/>
        <w:rPr>
          <w:rFonts w:asciiTheme="minorHAnsi" w:hAnsiTheme="minorHAnsi" w:cstheme="minorBidi"/>
          <w:noProof/>
          <w:sz w:val="24"/>
          <w:szCs w:val="21"/>
          <w:lang w:eastAsia="en-GB" w:bidi="sa-IN"/>
        </w:rPr>
      </w:pPr>
      <w:hyperlink w:anchor="_Toc242889650" w:history="1">
        <w:r>
          <w:rPr>
            <w:rStyle w:val="Hiperhivatkozs"/>
            <w:noProof/>
            <w:lang w:bidi="ar-SA"/>
          </w:rPr>
          <w:t>14.5.1. Encoding notes</w:t>
        </w:r>
        <w:r>
          <w:rPr>
            <w:noProof/>
            <w:webHidden/>
          </w:rPr>
          <w:tab/>
        </w:r>
        <w:r>
          <w:rPr>
            <w:noProof/>
            <w:webHidden/>
          </w:rPr>
          <w:fldChar w:fldCharType="begin"/>
        </w:r>
        <w:r>
          <w:rPr>
            <w:noProof/>
            <w:webHidden/>
          </w:rPr>
          <w:instrText xml:space="preserve"> PAGEREF _Toc242889650 \h </w:instrText>
        </w:r>
        <w:r>
          <w:rPr>
            <w:noProof/>
            <w:webHidden/>
          </w:rPr>
        </w:r>
        <w:r>
          <w:rPr>
            <w:noProof/>
            <w:webHidden/>
          </w:rPr>
          <w:fldChar w:fldCharType="separate"/>
        </w:r>
        <w:r>
          <w:rPr>
            <w:noProof/>
            <w:webHidden/>
          </w:rPr>
          <w:t>176</w:t>
        </w:r>
        <w:r>
          <w:rPr>
            <w:noProof/>
            <w:webHidden/>
          </w:rPr>
          <w:fldChar w:fldCharType="end"/>
        </w:r>
      </w:hyperlink>
    </w:p>
    <w:p w14:paraId="4E625F8C" w14:textId="69A44A53">
      <w:pPr>
        <w:pStyle w:val="TJ3"/>
        <w:rPr>
          <w:rFonts w:asciiTheme="minorHAnsi" w:hAnsiTheme="minorHAnsi" w:cstheme="minorBidi"/>
          <w:noProof/>
          <w:sz w:val="24"/>
          <w:szCs w:val="21"/>
          <w:lang w:eastAsia="en-GB" w:bidi="sa-IN"/>
        </w:rPr>
      </w:pPr>
      <w:hyperlink w:anchor="_Toc242889651" w:history="1">
        <w:r>
          <w:rPr>
            <w:rStyle w:val="Hiperhivatkozs"/>
            <w:noProof/>
            <w:lang w:bidi="ar-SA"/>
          </w:rPr>
          <w:t>14.5.2. The content of notes</w:t>
        </w:r>
        <w:r>
          <w:rPr>
            <w:noProof/>
            <w:webHidden/>
          </w:rPr>
          <w:tab/>
        </w:r>
        <w:r>
          <w:rPr>
            <w:noProof/>
            <w:webHidden/>
          </w:rPr>
          <w:fldChar w:fldCharType="begin"/>
        </w:r>
        <w:r>
          <w:rPr>
            <w:noProof/>
            <w:webHidden/>
          </w:rPr>
          <w:instrText xml:space="preserve"> PAGEREF _Toc242889651 \h </w:instrText>
        </w:r>
        <w:r>
          <w:rPr>
            <w:noProof/>
            <w:webHidden/>
          </w:rPr>
        </w:r>
        <w:r>
          <w:rPr>
            <w:noProof/>
            <w:webHidden/>
          </w:rPr>
          <w:fldChar w:fldCharType="separate"/>
        </w:r>
        <w:r>
          <w:rPr>
            <w:noProof/>
            <w:webHidden/>
          </w:rPr>
          <w:t>177</w:t>
        </w:r>
        <w:r>
          <w:rPr>
            <w:noProof/>
            <w:webHidden/>
          </w:rPr>
          <w:fldChar w:fldCharType="end"/>
        </w:r>
      </w:hyperlink>
    </w:p>
    <w:p w14:paraId="2EF854B4" w14:textId="28B5AB7B">
      <w:pPr>
        <w:pStyle w:val="TJ2"/>
        <w:rPr>
          <w:rFonts w:asciiTheme="minorHAnsi" w:hAnsiTheme="minorHAnsi" w:cstheme="minorBidi"/>
          <w:noProof/>
          <w:sz w:val="24"/>
          <w:szCs w:val="21"/>
          <w:lang w:eastAsia="en-GB" w:bidi="sa-IN"/>
        </w:rPr>
      </w:pPr>
      <w:hyperlink w:anchor="_Toc242889652" w:history="1">
        <w:r>
          <w:rPr>
            <w:rStyle w:val="Hiperhivatkozs"/>
            <w:noProof/>
            <w:lang w:bidi="ar-SA"/>
          </w:rPr>
          <w:t>14.6. Citation, quotation and reference</w:t>
        </w:r>
        <w:r>
          <w:rPr>
            <w:noProof/>
            <w:webHidden/>
          </w:rPr>
          <w:tab/>
        </w:r>
        <w:r>
          <w:rPr>
            <w:noProof/>
            <w:webHidden/>
          </w:rPr>
          <w:fldChar w:fldCharType="begin"/>
        </w:r>
        <w:r>
          <w:rPr>
            <w:noProof/>
            <w:webHidden/>
          </w:rPr>
          <w:instrText xml:space="preserve"> PAGEREF _Toc242889652 \h </w:instrText>
        </w:r>
        <w:r>
          <w:rPr>
            <w:noProof/>
            <w:webHidden/>
          </w:rPr>
        </w:r>
        <w:r>
          <w:rPr>
            <w:noProof/>
            <w:webHidden/>
          </w:rPr>
          <w:fldChar w:fldCharType="separate"/>
        </w:r>
        <w:r>
          <w:rPr>
            <w:noProof/>
            <w:webHidden/>
          </w:rPr>
          <w:t>177</w:t>
        </w:r>
        <w:r>
          <w:rPr>
            <w:noProof/>
            <w:webHidden/>
          </w:rPr>
          <w:fldChar w:fldCharType="end"/>
        </w:r>
      </w:hyperlink>
    </w:p>
    <w:p w14:paraId="07D644E0" w14:textId="40368938">
      <w:pPr>
        <w:pStyle w:val="TJ3"/>
        <w:rPr>
          <w:rFonts w:asciiTheme="minorHAnsi" w:hAnsiTheme="minorHAnsi" w:cstheme="minorBidi"/>
          <w:noProof/>
          <w:sz w:val="24"/>
          <w:szCs w:val="21"/>
          <w:lang w:eastAsia="en-GB" w:bidi="sa-IN"/>
        </w:rPr>
      </w:pPr>
      <w:hyperlink w:anchor="_Toc242889653" w:history="1">
        <w:r>
          <w:rPr>
            <w:rStyle w:val="Hiperhivatkozs"/>
            <w:noProof/>
            <w:lang w:bidi="ar-SA"/>
          </w:rPr>
          <w:t>14.6.1. Encoding bibliographic citations</w:t>
        </w:r>
        <w:r>
          <w:rPr>
            <w:noProof/>
            <w:webHidden/>
          </w:rPr>
          <w:tab/>
        </w:r>
        <w:r>
          <w:rPr>
            <w:noProof/>
            <w:webHidden/>
          </w:rPr>
          <w:fldChar w:fldCharType="begin"/>
        </w:r>
        <w:r>
          <w:rPr>
            <w:noProof/>
            <w:webHidden/>
          </w:rPr>
          <w:instrText xml:space="preserve"> PAGEREF _Toc242889653 \h </w:instrText>
        </w:r>
        <w:r>
          <w:rPr>
            <w:noProof/>
            <w:webHidden/>
          </w:rPr>
        </w:r>
        <w:r>
          <w:rPr>
            <w:noProof/>
            <w:webHidden/>
          </w:rPr>
          <w:fldChar w:fldCharType="separate"/>
        </w:r>
        <w:r>
          <w:rPr>
            <w:noProof/>
            <w:webHidden/>
          </w:rPr>
          <w:t>177</w:t>
        </w:r>
        <w:r>
          <w:rPr>
            <w:noProof/>
            <w:webHidden/>
          </w:rPr>
          <w:fldChar w:fldCharType="end"/>
        </w:r>
      </w:hyperlink>
    </w:p>
    <w:p w14:paraId="421D03CA" w14:textId="003A99A0">
      <w:pPr>
        <w:pStyle w:val="TJ3"/>
        <w:rPr>
          <w:rFonts w:asciiTheme="minorHAnsi" w:hAnsiTheme="minorHAnsi" w:cstheme="minorBidi"/>
          <w:noProof/>
          <w:sz w:val="24"/>
          <w:szCs w:val="21"/>
          <w:lang w:eastAsia="en-GB" w:bidi="sa-IN"/>
        </w:rPr>
      </w:pPr>
      <w:hyperlink w:anchor="_Toc242889654" w:history="1">
        <w:r>
          <w:rPr>
            <w:rStyle w:val="Hiperhivatkozs"/>
            <w:noProof/>
            <w:lang w:bidi="ar-SA"/>
          </w:rPr>
          <w:t xml:space="preserve">14.6.2. Crediting publications with </w:t>
        </w:r>
        <w:r>
          <w:rPr>
            <w:rStyle w:val="Hiperhivatkozs"/>
            <w:rFonts w:ascii="Consolas" w:hAnsi="Consolas" w:cs="Consolas"/>
            <w:noProof/>
            <w:shd w:val="clear" w:color="auto" w:fill="F2F2F2" w:themeFill="background1" w:themeFillShade="F2"/>
            <w:lang w:bidi="ar-SA"/>
          </w:rPr>
          <w:t>@source</w:t>
        </w:r>
        <w:r>
          <w:rPr>
            <w:noProof/>
            <w:webHidden/>
          </w:rPr>
          <w:tab/>
        </w:r>
        <w:r>
          <w:rPr>
            <w:noProof/>
            <w:webHidden/>
          </w:rPr>
          <w:fldChar w:fldCharType="begin"/>
        </w:r>
        <w:r>
          <w:rPr>
            <w:noProof/>
            <w:webHidden/>
          </w:rPr>
          <w:instrText xml:space="preserve"> PAGEREF _Toc242889654 \h </w:instrText>
        </w:r>
        <w:r>
          <w:rPr>
            <w:noProof/>
            <w:webHidden/>
          </w:rPr>
        </w:r>
        <w:r>
          <w:rPr>
            <w:noProof/>
            <w:webHidden/>
          </w:rPr>
          <w:fldChar w:fldCharType="separate"/>
        </w:r>
        <w:r>
          <w:rPr>
            <w:noProof/>
            <w:webHidden/>
          </w:rPr>
          <w:t>182</w:t>
        </w:r>
        <w:r>
          <w:rPr>
            <w:noProof/>
            <w:webHidden/>
          </w:rPr>
          <w:fldChar w:fldCharType="end"/>
        </w:r>
      </w:hyperlink>
    </w:p>
    <w:p w14:paraId="6E2741FC" w14:textId="02C54C7C">
      <w:pPr>
        <w:pStyle w:val="TJ3"/>
        <w:rPr>
          <w:rFonts w:asciiTheme="minorHAnsi" w:hAnsiTheme="minorHAnsi" w:cstheme="minorBidi"/>
          <w:noProof/>
          <w:sz w:val="24"/>
          <w:szCs w:val="21"/>
          <w:lang w:eastAsia="en-GB" w:bidi="sa-IN"/>
        </w:rPr>
      </w:pPr>
      <w:hyperlink w:anchor="_Toc242889655" w:history="1">
        <w:r>
          <w:rPr>
            <w:rStyle w:val="Hiperhivatkozs"/>
            <w:noProof/>
            <w:lang w:bidi="ar-SA"/>
          </w:rPr>
          <w:t>14.6.3. Quotation</w:t>
        </w:r>
        <w:r>
          <w:rPr>
            <w:noProof/>
            <w:webHidden/>
          </w:rPr>
          <w:tab/>
        </w:r>
        <w:r>
          <w:rPr>
            <w:noProof/>
            <w:webHidden/>
          </w:rPr>
          <w:fldChar w:fldCharType="begin"/>
        </w:r>
        <w:r>
          <w:rPr>
            <w:noProof/>
            <w:webHidden/>
          </w:rPr>
          <w:instrText xml:space="preserve"> PAGEREF _Toc242889655 \h </w:instrText>
        </w:r>
        <w:r>
          <w:rPr>
            <w:noProof/>
            <w:webHidden/>
          </w:rPr>
        </w:r>
        <w:r>
          <w:rPr>
            <w:noProof/>
            <w:webHidden/>
          </w:rPr>
          <w:fldChar w:fldCharType="separate"/>
        </w:r>
        <w:r>
          <w:rPr>
            <w:noProof/>
            <w:webHidden/>
          </w:rPr>
          <w:t>183</w:t>
        </w:r>
        <w:r>
          <w:rPr>
            <w:noProof/>
            <w:webHidden/>
          </w:rPr>
          <w:fldChar w:fldCharType="end"/>
        </w:r>
      </w:hyperlink>
    </w:p>
    <w:p w14:paraId="731B4612" w14:textId="211F1DCB">
      <w:pPr>
        <w:pStyle w:val="TJ3"/>
        <w:rPr>
          <w:rFonts w:asciiTheme="minorHAnsi" w:hAnsiTheme="minorHAnsi" w:cstheme="minorBidi"/>
          <w:noProof/>
          <w:sz w:val="24"/>
          <w:szCs w:val="21"/>
          <w:lang w:eastAsia="en-GB" w:bidi="sa-IN"/>
        </w:rPr>
      </w:pPr>
      <w:hyperlink w:anchor="_Toc242889656" w:history="1">
        <w:r>
          <w:rPr>
            <w:rStyle w:val="Hiperhivatkozs"/>
            <w:noProof/>
            <w:lang w:bidi="ar-SA"/>
          </w:rPr>
          <w:t>14.6.4. Referring to web resources</w:t>
        </w:r>
        <w:r>
          <w:rPr>
            <w:noProof/>
            <w:webHidden/>
          </w:rPr>
          <w:tab/>
        </w:r>
        <w:r>
          <w:rPr>
            <w:noProof/>
            <w:webHidden/>
          </w:rPr>
          <w:fldChar w:fldCharType="begin"/>
        </w:r>
        <w:r>
          <w:rPr>
            <w:noProof/>
            <w:webHidden/>
          </w:rPr>
          <w:instrText xml:space="preserve"> PAGEREF _Toc242889656 \h </w:instrText>
        </w:r>
        <w:r>
          <w:rPr>
            <w:noProof/>
            <w:webHidden/>
          </w:rPr>
        </w:r>
        <w:r>
          <w:rPr>
            <w:noProof/>
            <w:webHidden/>
          </w:rPr>
          <w:fldChar w:fldCharType="separate"/>
        </w:r>
        <w:r>
          <w:rPr>
            <w:noProof/>
            <w:webHidden/>
          </w:rPr>
          <w:t>184</w:t>
        </w:r>
        <w:r>
          <w:rPr>
            <w:noProof/>
            <w:webHidden/>
          </w:rPr>
          <w:fldChar w:fldCharType="end"/>
        </w:r>
      </w:hyperlink>
    </w:p>
    <w:p w14:paraId="785C2589" w14:textId="7D5002F4">
      <w:pPr>
        <w:pStyle w:val="TJ3"/>
        <w:rPr>
          <w:rFonts w:asciiTheme="minorHAnsi" w:hAnsiTheme="minorHAnsi" w:cstheme="minorBidi"/>
          <w:noProof/>
          <w:sz w:val="24"/>
          <w:szCs w:val="21"/>
          <w:lang w:eastAsia="en-GB" w:bidi="sa-IN"/>
        </w:rPr>
      </w:pPr>
      <w:hyperlink w:anchor="_Toc242889657" w:history="1">
        <w:r>
          <w:rPr>
            <w:rStyle w:val="Hiperhivatkozs"/>
            <w:noProof/>
            <w:lang w:bidi="ar-SA"/>
          </w:rPr>
          <w:t xml:space="preserve">14.6.5. Crediting a DHARMA contributor with </w:t>
        </w:r>
        <w:r>
          <w:rPr>
            <w:rStyle w:val="Hiperhivatkozs"/>
            <w:rFonts w:ascii="Consolas" w:hAnsi="Consolas" w:cs="Consolas"/>
            <w:noProof/>
            <w:shd w:val="clear" w:color="auto" w:fill="F2F2F2" w:themeFill="background1" w:themeFillShade="F2"/>
            <w:lang w:bidi="ar-SA"/>
          </w:rPr>
          <w:t>@resp</w:t>
        </w:r>
        <w:r>
          <w:rPr>
            <w:noProof/>
            <w:webHidden/>
          </w:rPr>
          <w:tab/>
        </w:r>
        <w:r>
          <w:rPr>
            <w:noProof/>
            <w:webHidden/>
          </w:rPr>
          <w:fldChar w:fldCharType="begin"/>
        </w:r>
        <w:r>
          <w:rPr>
            <w:noProof/>
            <w:webHidden/>
          </w:rPr>
          <w:instrText xml:space="preserve"> PAGEREF _Toc242889657 \h </w:instrText>
        </w:r>
        <w:r>
          <w:rPr>
            <w:noProof/>
            <w:webHidden/>
          </w:rPr>
        </w:r>
        <w:r>
          <w:rPr>
            <w:noProof/>
            <w:webHidden/>
          </w:rPr>
          <w:fldChar w:fldCharType="separate"/>
        </w:r>
        <w:r>
          <w:rPr>
            <w:noProof/>
            <w:webHidden/>
          </w:rPr>
          <w:t>184</w:t>
        </w:r>
        <w:r>
          <w:rPr>
            <w:noProof/>
            <w:webHidden/>
          </w:rPr>
          <w:fldChar w:fldCharType="end"/>
        </w:r>
      </w:hyperlink>
    </w:p>
    <w:p w14:paraId="0218E27F" w14:textId="49BD7EF2">
      <w:pPr>
        <w:pStyle w:val="TJ3"/>
        <w:rPr>
          <w:rFonts w:asciiTheme="minorHAnsi" w:hAnsiTheme="minorHAnsi" w:cstheme="minorBidi"/>
          <w:noProof/>
          <w:sz w:val="24"/>
          <w:szCs w:val="21"/>
          <w:lang w:eastAsia="en-GB" w:bidi="sa-IN"/>
        </w:rPr>
      </w:pPr>
      <w:hyperlink w:anchor="_Toc242889658" w:history="1">
        <w:r>
          <w:rPr>
            <w:rStyle w:val="Hiperhivatkozs"/>
            <w:noProof/>
            <w:lang w:bidi="ar-SA"/>
          </w:rPr>
          <w:t xml:space="preserve">14.6.6. Identifying elements with </w:t>
        </w:r>
        <w:r>
          <w:rPr>
            <w:rStyle w:val="Hiperhivatkozs"/>
            <w:rFonts w:ascii="Consolas" w:hAnsi="Consolas" w:cs="Consolas"/>
            <w:noProof/>
            <w:shd w:val="clear" w:color="auto" w:fill="F2F2F2" w:themeFill="background1" w:themeFillShade="F2"/>
            <w:lang w:bidi="ar-SA"/>
          </w:rPr>
          <w:t>@xml:id</w:t>
        </w:r>
        <w:r>
          <w:rPr>
            <w:noProof/>
            <w:webHidden/>
          </w:rPr>
          <w:tab/>
        </w:r>
        <w:r>
          <w:rPr>
            <w:noProof/>
            <w:webHidden/>
          </w:rPr>
          <w:fldChar w:fldCharType="begin"/>
        </w:r>
        <w:r>
          <w:rPr>
            <w:noProof/>
            <w:webHidden/>
          </w:rPr>
          <w:instrText xml:space="preserve"> PAGEREF _Toc242889658 \h </w:instrText>
        </w:r>
        <w:r>
          <w:rPr>
            <w:noProof/>
            <w:webHidden/>
          </w:rPr>
        </w:r>
        <w:r>
          <w:rPr>
            <w:noProof/>
            <w:webHidden/>
          </w:rPr>
          <w:fldChar w:fldCharType="separate"/>
        </w:r>
        <w:r>
          <w:rPr>
            <w:noProof/>
            <w:webHidden/>
          </w:rPr>
          <w:t>184</w:t>
        </w:r>
        <w:r>
          <w:rPr>
            <w:noProof/>
            <w:webHidden/>
          </w:rPr>
          <w:fldChar w:fldCharType="end"/>
        </w:r>
      </w:hyperlink>
    </w:p>
    <w:p w14:paraId="0FB5E101" w14:textId="11F27936">
      <w:pPr>
        <w:pStyle w:val="TJ2"/>
        <w:rPr>
          <w:rFonts w:asciiTheme="minorHAnsi" w:hAnsiTheme="minorHAnsi" w:cstheme="minorBidi"/>
          <w:noProof/>
          <w:sz w:val="24"/>
          <w:szCs w:val="21"/>
          <w:lang w:eastAsia="en-GB" w:bidi="sa-IN"/>
        </w:rPr>
      </w:pPr>
      <w:hyperlink w:anchor="_Toc242889659" w:history="1">
        <w:r>
          <w:rPr>
            <w:rStyle w:val="Hiperhivatkozs"/>
            <w:noProof/>
            <w:lang w:bidi="ar-SA"/>
          </w:rPr>
          <w:t>14.7. Analytical and interpretive markup</w:t>
        </w:r>
        <w:r>
          <w:rPr>
            <w:noProof/>
            <w:webHidden/>
          </w:rPr>
          <w:tab/>
        </w:r>
        <w:r>
          <w:rPr>
            <w:noProof/>
            <w:webHidden/>
          </w:rPr>
          <w:fldChar w:fldCharType="begin"/>
        </w:r>
        <w:r>
          <w:rPr>
            <w:noProof/>
            <w:webHidden/>
          </w:rPr>
          <w:instrText xml:space="preserve"> PAGEREF _Toc242889659 \h </w:instrText>
        </w:r>
        <w:r>
          <w:rPr>
            <w:noProof/>
            <w:webHidden/>
          </w:rPr>
        </w:r>
        <w:r>
          <w:rPr>
            <w:noProof/>
            <w:webHidden/>
          </w:rPr>
          <w:fldChar w:fldCharType="separate"/>
        </w:r>
        <w:r>
          <w:rPr>
            <w:noProof/>
            <w:webHidden/>
          </w:rPr>
          <w:t>185</w:t>
        </w:r>
        <w:r>
          <w:rPr>
            <w:noProof/>
            <w:webHidden/>
          </w:rPr>
          <w:fldChar w:fldCharType="end"/>
        </w:r>
      </w:hyperlink>
    </w:p>
    <w:p w14:paraId="4F85A60D" w14:textId="6C674881">
      <w:pPr>
        <w:pStyle w:val="TJ3"/>
        <w:rPr>
          <w:rFonts w:asciiTheme="minorHAnsi" w:hAnsiTheme="minorHAnsi" w:cstheme="minorBidi"/>
          <w:noProof/>
          <w:sz w:val="24"/>
          <w:szCs w:val="21"/>
          <w:lang w:eastAsia="en-GB" w:bidi="sa-IN"/>
        </w:rPr>
      </w:pPr>
      <w:hyperlink w:anchor="_Toc242889660" w:history="1">
        <w:r>
          <w:rPr>
            <w:rStyle w:val="Hiperhivatkozs"/>
            <w:noProof/>
            <w:lang w:bidi="ar-SA"/>
          </w:rPr>
          <w:t>14.7.1. Encoding titles</w:t>
        </w:r>
        <w:r>
          <w:rPr>
            <w:noProof/>
            <w:webHidden/>
          </w:rPr>
          <w:tab/>
        </w:r>
        <w:r>
          <w:rPr>
            <w:noProof/>
            <w:webHidden/>
          </w:rPr>
          <w:fldChar w:fldCharType="begin"/>
        </w:r>
        <w:r>
          <w:rPr>
            <w:noProof/>
            <w:webHidden/>
          </w:rPr>
          <w:instrText xml:space="preserve"> PAGEREF _Toc242889660 \h </w:instrText>
        </w:r>
        <w:r>
          <w:rPr>
            <w:noProof/>
            <w:webHidden/>
          </w:rPr>
        </w:r>
        <w:r>
          <w:rPr>
            <w:noProof/>
            <w:webHidden/>
          </w:rPr>
          <w:fldChar w:fldCharType="separate"/>
        </w:r>
        <w:r>
          <w:rPr>
            <w:noProof/>
            <w:webHidden/>
          </w:rPr>
          <w:t>185</w:t>
        </w:r>
        <w:r>
          <w:rPr>
            <w:noProof/>
            <w:webHidden/>
          </w:rPr>
          <w:fldChar w:fldCharType="end"/>
        </w:r>
      </w:hyperlink>
    </w:p>
    <w:p w14:paraId="55402487" w14:textId="56C5D144">
      <w:pPr>
        <w:pStyle w:val="TJ3"/>
        <w:rPr>
          <w:rFonts w:asciiTheme="minorHAnsi" w:hAnsiTheme="minorHAnsi" w:cstheme="minorBidi"/>
          <w:noProof/>
          <w:sz w:val="24"/>
          <w:szCs w:val="21"/>
          <w:lang w:eastAsia="en-GB" w:bidi="sa-IN"/>
        </w:rPr>
      </w:pPr>
      <w:hyperlink w:anchor="_Toc242889661" w:history="1">
        <w:r>
          <w:rPr>
            <w:rStyle w:val="Hiperhivatkozs"/>
            <w:noProof/>
            <w:lang w:bidi="ar-SA"/>
          </w:rPr>
          <w:t>14.7.2. Encoding names</w:t>
        </w:r>
        <w:r>
          <w:rPr>
            <w:noProof/>
            <w:webHidden/>
          </w:rPr>
          <w:tab/>
        </w:r>
        <w:r>
          <w:rPr>
            <w:noProof/>
            <w:webHidden/>
          </w:rPr>
          <w:fldChar w:fldCharType="begin"/>
        </w:r>
        <w:r>
          <w:rPr>
            <w:noProof/>
            <w:webHidden/>
          </w:rPr>
          <w:instrText xml:space="preserve"> PAGEREF _Toc242889661 \h </w:instrText>
        </w:r>
        <w:r>
          <w:rPr>
            <w:noProof/>
            <w:webHidden/>
          </w:rPr>
        </w:r>
        <w:r>
          <w:rPr>
            <w:noProof/>
            <w:webHidden/>
          </w:rPr>
          <w:fldChar w:fldCharType="separate"/>
        </w:r>
        <w:r>
          <w:rPr>
            <w:noProof/>
            <w:webHidden/>
          </w:rPr>
          <w:t>185</w:t>
        </w:r>
        <w:r>
          <w:rPr>
            <w:noProof/>
            <w:webHidden/>
          </w:rPr>
          <w:fldChar w:fldCharType="end"/>
        </w:r>
      </w:hyperlink>
    </w:p>
    <w:p w14:paraId="18C626C9" w14:textId="7DFE4E99">
      <w:pPr>
        <w:pStyle w:val="TJ3"/>
        <w:rPr>
          <w:rFonts w:asciiTheme="minorHAnsi" w:hAnsiTheme="minorHAnsi" w:cstheme="minorBidi"/>
          <w:noProof/>
          <w:sz w:val="24"/>
          <w:szCs w:val="21"/>
          <w:lang w:eastAsia="en-GB" w:bidi="sa-IN"/>
        </w:rPr>
      </w:pPr>
      <w:hyperlink w:anchor="_Toc242889662" w:history="1">
        <w:r>
          <w:rPr>
            <w:rStyle w:val="Hiperhivatkozs"/>
            <w:noProof/>
            <w:lang w:bidi="ar-SA"/>
          </w:rPr>
          <w:t>14.7.3. Other interpretive and analytical encoding</w:t>
        </w:r>
        <w:r>
          <w:rPr>
            <w:noProof/>
            <w:webHidden/>
          </w:rPr>
          <w:tab/>
        </w:r>
        <w:r>
          <w:rPr>
            <w:noProof/>
            <w:webHidden/>
          </w:rPr>
          <w:fldChar w:fldCharType="begin"/>
        </w:r>
        <w:r>
          <w:rPr>
            <w:noProof/>
            <w:webHidden/>
          </w:rPr>
          <w:instrText xml:space="preserve"> PAGEREF _Toc242889662 \h </w:instrText>
        </w:r>
        <w:r>
          <w:rPr>
            <w:noProof/>
            <w:webHidden/>
          </w:rPr>
        </w:r>
        <w:r>
          <w:rPr>
            <w:noProof/>
            <w:webHidden/>
          </w:rPr>
          <w:fldChar w:fldCharType="separate"/>
        </w:r>
        <w:r>
          <w:rPr>
            <w:noProof/>
            <w:webHidden/>
          </w:rPr>
          <w:t>186</w:t>
        </w:r>
        <w:r>
          <w:rPr>
            <w:noProof/>
            <w:webHidden/>
          </w:rPr>
          <w:fldChar w:fldCharType="end"/>
        </w:r>
      </w:hyperlink>
    </w:p>
    <w:p w14:paraId="04CABB66" w14:textId="2A96088B">
      <w:pPr>
        <w:pStyle w:val="TJ1"/>
        <w:rPr>
          <w:rFonts w:asciiTheme="minorHAnsi" w:hAnsiTheme="minorHAnsi" w:cstheme="minorBidi"/>
          <w:b w:val="0"/>
          <w:noProof/>
          <w:sz w:val="24"/>
          <w:szCs w:val="21"/>
          <w:lang w:eastAsia="en-GB" w:bidi="sa-IN"/>
        </w:rPr>
      </w:pPr>
      <w:hyperlink w:anchor="_Toc242889663" w:history="1">
        <w:r>
          <w:rPr>
            <w:rStyle w:val="Hiperhivatkozs"/>
            <w:noProof/>
            <w:lang w:bidi="ar-SA"/>
          </w:rPr>
          <w:t>15. The TEI Header</w:t>
        </w:r>
        <w:r>
          <w:rPr>
            <w:noProof/>
            <w:webHidden/>
          </w:rPr>
          <w:tab/>
        </w:r>
        <w:r>
          <w:rPr>
            <w:noProof/>
            <w:webHidden/>
          </w:rPr>
          <w:fldChar w:fldCharType="begin"/>
        </w:r>
        <w:r>
          <w:rPr>
            <w:noProof/>
            <w:webHidden/>
          </w:rPr>
          <w:instrText xml:space="preserve"> PAGEREF _Toc242889663 \h </w:instrText>
        </w:r>
        <w:r>
          <w:rPr>
            <w:noProof/>
            <w:webHidden/>
          </w:rPr>
        </w:r>
        <w:r>
          <w:rPr>
            <w:noProof/>
            <w:webHidden/>
          </w:rPr>
          <w:fldChar w:fldCharType="separate"/>
        </w:r>
        <w:r>
          <w:rPr>
            <w:noProof/>
            <w:webHidden/>
          </w:rPr>
          <w:t>187</w:t>
        </w:r>
        <w:r>
          <w:rPr>
            <w:noProof/>
            <w:webHidden/>
          </w:rPr>
          <w:fldChar w:fldCharType="end"/>
        </w:r>
      </w:hyperlink>
    </w:p>
    <w:p w14:paraId="7083EB61" w14:textId="20CD1F34">
      <w:pPr>
        <w:pStyle w:val="TJ2"/>
        <w:rPr>
          <w:rFonts w:asciiTheme="minorHAnsi" w:hAnsiTheme="minorHAnsi" w:cstheme="minorBidi"/>
          <w:noProof/>
          <w:sz w:val="24"/>
          <w:szCs w:val="21"/>
          <w:lang w:eastAsia="en-GB" w:bidi="sa-IN"/>
        </w:rPr>
      </w:pPr>
      <w:hyperlink w:anchor="_Toc242889664" w:history="1">
        <w:r>
          <w:rPr>
            <w:rStyle w:val="Hiperhivatkozs"/>
            <w:noProof/>
            <w:lang w:bidi="ar-SA"/>
          </w:rPr>
          <w:t>15.1. Describing the XML document</w:t>
        </w:r>
        <w:r>
          <w:rPr>
            <w:noProof/>
            <w:webHidden/>
          </w:rPr>
          <w:tab/>
        </w:r>
        <w:r>
          <w:rPr>
            <w:noProof/>
            <w:webHidden/>
          </w:rPr>
          <w:fldChar w:fldCharType="begin"/>
        </w:r>
        <w:r>
          <w:rPr>
            <w:noProof/>
            <w:webHidden/>
          </w:rPr>
          <w:instrText xml:space="preserve"> PAGEREF _Toc242889664 \h </w:instrText>
        </w:r>
        <w:r>
          <w:rPr>
            <w:noProof/>
            <w:webHidden/>
          </w:rPr>
        </w:r>
        <w:r>
          <w:rPr>
            <w:noProof/>
            <w:webHidden/>
          </w:rPr>
          <w:fldChar w:fldCharType="separate"/>
        </w:r>
        <w:r>
          <w:rPr>
            <w:noProof/>
            <w:webHidden/>
          </w:rPr>
          <w:t>187</w:t>
        </w:r>
        <w:r>
          <w:rPr>
            <w:noProof/>
            <w:webHidden/>
          </w:rPr>
          <w:fldChar w:fldCharType="end"/>
        </w:r>
      </w:hyperlink>
    </w:p>
    <w:p w14:paraId="0FE9D257" w14:textId="4F4D9804">
      <w:pPr>
        <w:pStyle w:val="TJ3"/>
        <w:rPr>
          <w:rFonts w:asciiTheme="minorHAnsi" w:hAnsiTheme="minorHAnsi" w:cstheme="minorBidi"/>
          <w:noProof/>
          <w:sz w:val="24"/>
          <w:szCs w:val="21"/>
          <w:lang w:eastAsia="en-GB" w:bidi="sa-IN"/>
        </w:rPr>
      </w:pPr>
      <w:hyperlink w:anchor="_Toc242889665" w:history="1">
        <w:r>
          <w:rPr>
            <w:rStyle w:val="Hiperhivatkozs"/>
            <w:noProof/>
            <w:lang w:bidi="ar-SA"/>
          </w:rPr>
          <w:t>15.1.1. The title</w:t>
        </w:r>
        <w:r>
          <w:rPr>
            <w:noProof/>
            <w:webHidden/>
          </w:rPr>
          <w:tab/>
        </w:r>
        <w:r>
          <w:rPr>
            <w:noProof/>
            <w:webHidden/>
          </w:rPr>
          <w:fldChar w:fldCharType="begin"/>
        </w:r>
        <w:r>
          <w:rPr>
            <w:noProof/>
            <w:webHidden/>
          </w:rPr>
          <w:instrText xml:space="preserve"> PAGEREF _Toc242889665 \h </w:instrText>
        </w:r>
        <w:r>
          <w:rPr>
            <w:noProof/>
            <w:webHidden/>
          </w:rPr>
        </w:r>
        <w:r>
          <w:rPr>
            <w:noProof/>
            <w:webHidden/>
          </w:rPr>
          <w:fldChar w:fldCharType="separate"/>
        </w:r>
        <w:r>
          <w:rPr>
            <w:noProof/>
            <w:webHidden/>
          </w:rPr>
          <w:t>187</w:t>
        </w:r>
        <w:r>
          <w:rPr>
            <w:noProof/>
            <w:webHidden/>
          </w:rPr>
          <w:fldChar w:fldCharType="end"/>
        </w:r>
      </w:hyperlink>
    </w:p>
    <w:p w14:paraId="18370EE0" w14:textId="653C5661">
      <w:pPr>
        <w:pStyle w:val="TJ3"/>
        <w:rPr>
          <w:rFonts w:asciiTheme="minorHAnsi" w:hAnsiTheme="minorHAnsi" w:cstheme="minorBidi"/>
          <w:noProof/>
          <w:sz w:val="24"/>
          <w:szCs w:val="21"/>
          <w:lang w:eastAsia="en-GB" w:bidi="sa-IN"/>
        </w:rPr>
      </w:pPr>
      <w:hyperlink w:anchor="_Toc242889666" w:history="1">
        <w:r>
          <w:rPr>
            <w:rStyle w:val="Hiperhivatkozs"/>
            <w:noProof/>
            <w:lang w:bidi="ar-SA"/>
          </w:rPr>
          <w:t>15.1.2. The responsibility statement(s)</w:t>
        </w:r>
        <w:r>
          <w:rPr>
            <w:noProof/>
            <w:webHidden/>
          </w:rPr>
          <w:tab/>
        </w:r>
        <w:r>
          <w:rPr>
            <w:noProof/>
            <w:webHidden/>
          </w:rPr>
          <w:fldChar w:fldCharType="begin"/>
        </w:r>
        <w:r>
          <w:rPr>
            <w:noProof/>
            <w:webHidden/>
          </w:rPr>
          <w:instrText xml:space="preserve"> PAGEREF _Toc242889666 \h </w:instrText>
        </w:r>
        <w:r>
          <w:rPr>
            <w:noProof/>
            <w:webHidden/>
          </w:rPr>
        </w:r>
        <w:r>
          <w:rPr>
            <w:noProof/>
            <w:webHidden/>
          </w:rPr>
          <w:fldChar w:fldCharType="separate"/>
        </w:r>
        <w:r>
          <w:rPr>
            <w:noProof/>
            <w:webHidden/>
          </w:rPr>
          <w:t>187</w:t>
        </w:r>
        <w:r>
          <w:rPr>
            <w:noProof/>
            <w:webHidden/>
          </w:rPr>
          <w:fldChar w:fldCharType="end"/>
        </w:r>
      </w:hyperlink>
    </w:p>
    <w:p w14:paraId="134274DB" w14:textId="391630F8">
      <w:pPr>
        <w:pStyle w:val="TJ3"/>
        <w:rPr>
          <w:rFonts w:asciiTheme="minorHAnsi" w:hAnsiTheme="minorHAnsi" w:cstheme="minorBidi"/>
          <w:noProof/>
          <w:sz w:val="24"/>
          <w:szCs w:val="21"/>
          <w:lang w:eastAsia="en-GB" w:bidi="sa-IN"/>
        </w:rPr>
      </w:pPr>
      <w:hyperlink w:anchor="_Toc242889667" w:history="1">
        <w:r>
          <w:rPr>
            <w:rStyle w:val="Hiperhivatkozs"/>
            <w:noProof/>
            <w:lang w:bidi="ar-SA"/>
          </w:rPr>
          <w:t>15.1.3. The publication statement</w:t>
        </w:r>
        <w:r>
          <w:rPr>
            <w:noProof/>
            <w:webHidden/>
          </w:rPr>
          <w:tab/>
        </w:r>
        <w:r>
          <w:rPr>
            <w:noProof/>
            <w:webHidden/>
          </w:rPr>
          <w:fldChar w:fldCharType="begin"/>
        </w:r>
        <w:r>
          <w:rPr>
            <w:noProof/>
            <w:webHidden/>
          </w:rPr>
          <w:instrText xml:space="preserve"> PAGEREF _Toc242889667 \h </w:instrText>
        </w:r>
        <w:r>
          <w:rPr>
            <w:noProof/>
            <w:webHidden/>
          </w:rPr>
        </w:r>
        <w:r>
          <w:rPr>
            <w:noProof/>
            <w:webHidden/>
          </w:rPr>
          <w:fldChar w:fldCharType="separate"/>
        </w:r>
        <w:r>
          <w:rPr>
            <w:noProof/>
            <w:webHidden/>
          </w:rPr>
          <w:t>189</w:t>
        </w:r>
        <w:r>
          <w:rPr>
            <w:noProof/>
            <w:webHidden/>
          </w:rPr>
          <w:fldChar w:fldCharType="end"/>
        </w:r>
      </w:hyperlink>
    </w:p>
    <w:p w14:paraId="7789A1FD" w14:textId="6C3C2E68">
      <w:pPr>
        <w:pStyle w:val="TJ2"/>
        <w:rPr>
          <w:rFonts w:asciiTheme="minorHAnsi" w:hAnsiTheme="minorHAnsi" w:cstheme="minorBidi"/>
          <w:noProof/>
          <w:sz w:val="24"/>
          <w:szCs w:val="21"/>
          <w:lang w:eastAsia="en-GB" w:bidi="sa-IN"/>
        </w:rPr>
      </w:pPr>
      <w:hyperlink w:anchor="_Toc242889668" w:history="1">
        <w:r>
          <w:rPr>
            <w:rStyle w:val="Hiperhivatkozs"/>
            <w:noProof/>
            <w:lang w:bidi="ar-SA"/>
          </w:rPr>
          <w:t>15.2. Describing the original document</w:t>
        </w:r>
        <w:r>
          <w:rPr>
            <w:noProof/>
            <w:webHidden/>
          </w:rPr>
          <w:tab/>
        </w:r>
        <w:r>
          <w:rPr>
            <w:noProof/>
            <w:webHidden/>
          </w:rPr>
          <w:fldChar w:fldCharType="begin"/>
        </w:r>
        <w:r>
          <w:rPr>
            <w:noProof/>
            <w:webHidden/>
          </w:rPr>
          <w:instrText xml:space="preserve"> PAGEREF _Toc242889668 \h </w:instrText>
        </w:r>
        <w:r>
          <w:rPr>
            <w:noProof/>
            <w:webHidden/>
          </w:rPr>
        </w:r>
        <w:r>
          <w:rPr>
            <w:noProof/>
            <w:webHidden/>
          </w:rPr>
          <w:fldChar w:fldCharType="separate"/>
        </w:r>
        <w:r>
          <w:rPr>
            <w:noProof/>
            <w:webHidden/>
          </w:rPr>
          <w:t>189</w:t>
        </w:r>
        <w:r>
          <w:rPr>
            <w:noProof/>
            <w:webHidden/>
          </w:rPr>
          <w:fldChar w:fldCharType="end"/>
        </w:r>
      </w:hyperlink>
    </w:p>
    <w:p w14:paraId="76185C18" w14:textId="6E504FA3">
      <w:pPr>
        <w:pStyle w:val="TJ3"/>
        <w:rPr>
          <w:rFonts w:asciiTheme="minorHAnsi" w:hAnsiTheme="minorHAnsi" w:cstheme="minorBidi"/>
          <w:noProof/>
          <w:sz w:val="24"/>
          <w:szCs w:val="21"/>
          <w:lang w:eastAsia="en-GB" w:bidi="sa-IN"/>
        </w:rPr>
      </w:pPr>
      <w:hyperlink w:anchor="_Toc242889669" w:history="1">
        <w:r>
          <w:rPr>
            <w:rStyle w:val="Hiperhivatkozs"/>
            <w:noProof/>
            <w:lang w:bidi="ar-SA"/>
          </w:rPr>
          <w:t>15.2.1. The hand description</w:t>
        </w:r>
        <w:r>
          <w:rPr>
            <w:noProof/>
            <w:webHidden/>
          </w:rPr>
          <w:tab/>
        </w:r>
        <w:r>
          <w:rPr>
            <w:noProof/>
            <w:webHidden/>
          </w:rPr>
          <w:fldChar w:fldCharType="begin"/>
        </w:r>
        <w:r>
          <w:rPr>
            <w:noProof/>
            <w:webHidden/>
          </w:rPr>
          <w:instrText xml:space="preserve"> PAGEREF _Toc242889669 \h </w:instrText>
        </w:r>
        <w:r>
          <w:rPr>
            <w:noProof/>
            <w:webHidden/>
          </w:rPr>
        </w:r>
        <w:r>
          <w:rPr>
            <w:noProof/>
            <w:webHidden/>
          </w:rPr>
          <w:fldChar w:fldCharType="separate"/>
        </w:r>
        <w:r>
          <w:rPr>
            <w:noProof/>
            <w:webHidden/>
          </w:rPr>
          <w:t>189</w:t>
        </w:r>
        <w:r>
          <w:rPr>
            <w:noProof/>
            <w:webHidden/>
          </w:rPr>
          <w:fldChar w:fldCharType="end"/>
        </w:r>
      </w:hyperlink>
    </w:p>
    <w:p w14:paraId="1F920838" w14:textId="5A4248DC">
      <w:pPr>
        <w:pStyle w:val="TJ2"/>
        <w:rPr>
          <w:rFonts w:asciiTheme="minorHAnsi" w:hAnsiTheme="minorHAnsi" w:cstheme="minorBidi"/>
          <w:noProof/>
          <w:sz w:val="24"/>
          <w:szCs w:val="21"/>
          <w:lang w:eastAsia="en-GB" w:bidi="sa-IN"/>
        </w:rPr>
      </w:pPr>
      <w:hyperlink w:anchor="_Toc242889670" w:history="1">
        <w:r>
          <w:rPr>
            <w:rStyle w:val="Hiperhivatkozs"/>
            <w:noProof/>
            <w:lang w:bidi="ar-SA"/>
          </w:rPr>
          <w:t>15.3. Keeping track of file history</w:t>
        </w:r>
        <w:r>
          <w:rPr>
            <w:noProof/>
            <w:webHidden/>
          </w:rPr>
          <w:tab/>
        </w:r>
        <w:r>
          <w:rPr>
            <w:noProof/>
            <w:webHidden/>
          </w:rPr>
          <w:fldChar w:fldCharType="begin"/>
        </w:r>
        <w:r>
          <w:rPr>
            <w:noProof/>
            <w:webHidden/>
          </w:rPr>
          <w:instrText xml:space="preserve"> PAGEREF _Toc242889670 \h </w:instrText>
        </w:r>
        <w:r>
          <w:rPr>
            <w:noProof/>
            <w:webHidden/>
          </w:rPr>
        </w:r>
        <w:r>
          <w:rPr>
            <w:noProof/>
            <w:webHidden/>
          </w:rPr>
          <w:fldChar w:fldCharType="separate"/>
        </w:r>
        <w:r>
          <w:rPr>
            <w:noProof/>
            <w:webHidden/>
          </w:rPr>
          <w:t>190</w:t>
        </w:r>
        <w:r>
          <w:rPr>
            <w:noProof/>
            <w:webHidden/>
          </w:rPr>
          <w:fldChar w:fldCharType="end"/>
        </w:r>
      </w:hyperlink>
    </w:p>
    <w:p w14:paraId="40521DCB" w14:textId="510F7115">
      <w:pPr>
        <w:pStyle w:val="TJ1"/>
        <w:rPr>
          <w:rFonts w:asciiTheme="minorHAnsi" w:hAnsiTheme="minorHAnsi" w:cstheme="minorBidi"/>
          <w:b w:val="0"/>
          <w:noProof/>
          <w:sz w:val="24"/>
          <w:szCs w:val="21"/>
          <w:lang w:eastAsia="en-GB" w:bidi="sa-IN"/>
        </w:rPr>
      </w:pPr>
      <w:hyperlink w:anchor="_Toc242889671" w:history="1">
        <w:r>
          <w:rPr>
            <w:rStyle w:val="Hiperhivatkozs"/>
            <w:noProof/>
            <w:lang w:bidi="ar-SA"/>
          </w:rPr>
          <w:t>16. Good encoding practice</w:t>
        </w:r>
        <w:r>
          <w:rPr>
            <w:noProof/>
            <w:webHidden/>
          </w:rPr>
          <w:tab/>
        </w:r>
        <w:r>
          <w:rPr>
            <w:noProof/>
            <w:webHidden/>
          </w:rPr>
          <w:fldChar w:fldCharType="begin"/>
        </w:r>
        <w:r>
          <w:rPr>
            <w:noProof/>
            <w:webHidden/>
          </w:rPr>
          <w:instrText xml:space="preserve"> PAGEREF _Toc242889671 \h </w:instrText>
        </w:r>
        <w:r>
          <w:rPr>
            <w:noProof/>
            <w:webHidden/>
          </w:rPr>
        </w:r>
        <w:r>
          <w:rPr>
            <w:noProof/>
            <w:webHidden/>
          </w:rPr>
          <w:fldChar w:fldCharType="separate"/>
        </w:r>
        <w:r>
          <w:rPr>
            <w:noProof/>
            <w:webHidden/>
          </w:rPr>
          <w:t>192</w:t>
        </w:r>
        <w:r>
          <w:rPr>
            <w:noProof/>
            <w:webHidden/>
          </w:rPr>
          <w:fldChar w:fldCharType="end"/>
        </w:r>
      </w:hyperlink>
    </w:p>
    <w:p w14:paraId="294DB93B" w14:textId="2CC4ED34">
      <w:pPr>
        <w:pStyle w:val="TJ2"/>
        <w:rPr>
          <w:rFonts w:asciiTheme="minorHAnsi" w:hAnsiTheme="minorHAnsi" w:cstheme="minorBidi"/>
          <w:noProof/>
          <w:sz w:val="24"/>
          <w:szCs w:val="21"/>
          <w:lang w:eastAsia="en-GB" w:bidi="sa-IN"/>
        </w:rPr>
      </w:pPr>
      <w:hyperlink w:anchor="_Toc242889672" w:history="1">
        <w:r>
          <w:rPr>
            <w:rStyle w:val="Hiperhivatkozs"/>
            <w:noProof/>
            <w:lang w:bidi="ar-SA"/>
          </w:rPr>
          <w:t>16.1. White space</w:t>
        </w:r>
        <w:r>
          <w:rPr>
            <w:noProof/>
            <w:webHidden/>
          </w:rPr>
          <w:tab/>
        </w:r>
        <w:r>
          <w:rPr>
            <w:noProof/>
            <w:webHidden/>
          </w:rPr>
          <w:fldChar w:fldCharType="begin"/>
        </w:r>
        <w:r>
          <w:rPr>
            <w:noProof/>
            <w:webHidden/>
          </w:rPr>
          <w:instrText xml:space="preserve"> PAGEREF _Toc242889672 \h </w:instrText>
        </w:r>
        <w:r>
          <w:rPr>
            <w:noProof/>
            <w:webHidden/>
          </w:rPr>
        </w:r>
        <w:r>
          <w:rPr>
            <w:noProof/>
            <w:webHidden/>
          </w:rPr>
          <w:fldChar w:fldCharType="separate"/>
        </w:r>
        <w:r>
          <w:rPr>
            <w:noProof/>
            <w:webHidden/>
          </w:rPr>
          <w:t>192</w:t>
        </w:r>
        <w:r>
          <w:rPr>
            <w:noProof/>
            <w:webHidden/>
          </w:rPr>
          <w:fldChar w:fldCharType="end"/>
        </w:r>
      </w:hyperlink>
    </w:p>
    <w:p w14:paraId="25C7E706" w14:textId="5CBD35F1">
      <w:pPr>
        <w:pStyle w:val="TJ2"/>
        <w:rPr>
          <w:rFonts w:asciiTheme="minorHAnsi" w:hAnsiTheme="minorHAnsi" w:cstheme="minorBidi"/>
          <w:noProof/>
          <w:sz w:val="24"/>
          <w:szCs w:val="21"/>
          <w:lang w:eastAsia="en-GB" w:bidi="sa-IN"/>
        </w:rPr>
      </w:pPr>
      <w:hyperlink w:anchor="_Toc242889673" w:history="1">
        <w:r>
          <w:rPr>
            <w:rStyle w:val="Hiperhivatkozs"/>
            <w:noProof/>
            <w:lang w:bidi="ar-SA"/>
          </w:rPr>
          <w:t>16.2. Top to bottom hierarchy</w:t>
        </w:r>
        <w:r>
          <w:rPr>
            <w:noProof/>
            <w:webHidden/>
          </w:rPr>
          <w:tab/>
        </w:r>
        <w:r>
          <w:rPr>
            <w:noProof/>
            <w:webHidden/>
          </w:rPr>
          <w:fldChar w:fldCharType="begin"/>
        </w:r>
        <w:r>
          <w:rPr>
            <w:noProof/>
            <w:webHidden/>
          </w:rPr>
          <w:instrText xml:space="preserve"> PAGEREF _Toc242889673 \h </w:instrText>
        </w:r>
        <w:r>
          <w:rPr>
            <w:noProof/>
            <w:webHidden/>
          </w:rPr>
        </w:r>
        <w:r>
          <w:rPr>
            <w:noProof/>
            <w:webHidden/>
          </w:rPr>
          <w:fldChar w:fldCharType="separate"/>
        </w:r>
        <w:r>
          <w:rPr>
            <w:noProof/>
            <w:webHidden/>
          </w:rPr>
          <w:t>193</w:t>
        </w:r>
        <w:r>
          <w:rPr>
            <w:noProof/>
            <w:webHidden/>
          </w:rPr>
          <w:fldChar w:fldCharType="end"/>
        </w:r>
      </w:hyperlink>
    </w:p>
    <w:p w14:paraId="00F69BD0" w14:textId="505856CC">
      <w:pPr>
        <w:pStyle w:val="TJ3"/>
        <w:rPr>
          <w:rFonts w:asciiTheme="minorHAnsi" w:hAnsiTheme="minorHAnsi" w:cstheme="minorBidi"/>
          <w:noProof/>
          <w:sz w:val="24"/>
          <w:szCs w:val="21"/>
          <w:lang w:eastAsia="en-GB" w:bidi="sa-IN"/>
        </w:rPr>
      </w:pPr>
      <w:hyperlink w:anchor="_Toc242889674" w:history="1">
        <w:r>
          <w:rPr>
            <w:rStyle w:val="Hiperhivatkozs"/>
            <w:noProof/>
            <w:lang w:bidi="ar-SA"/>
          </w:rPr>
          <w:t>16.2.1. Tier 1, block-level elements representing XML structure and extrinsic structure</w:t>
        </w:r>
        <w:r>
          <w:rPr>
            <w:noProof/>
            <w:webHidden/>
          </w:rPr>
          <w:tab/>
        </w:r>
        <w:r>
          <w:rPr>
            <w:noProof/>
            <w:webHidden/>
          </w:rPr>
          <w:fldChar w:fldCharType="begin"/>
        </w:r>
        <w:r>
          <w:rPr>
            <w:noProof/>
            <w:webHidden/>
          </w:rPr>
          <w:instrText xml:space="preserve"> PAGEREF _Toc242889674 \h </w:instrText>
        </w:r>
        <w:r>
          <w:rPr>
            <w:noProof/>
            <w:webHidden/>
          </w:rPr>
        </w:r>
        <w:r>
          <w:rPr>
            <w:noProof/>
            <w:webHidden/>
          </w:rPr>
          <w:fldChar w:fldCharType="separate"/>
        </w:r>
        <w:r>
          <w:rPr>
            <w:noProof/>
            <w:webHidden/>
          </w:rPr>
          <w:t>193</w:t>
        </w:r>
        <w:r>
          <w:rPr>
            <w:noProof/>
            <w:webHidden/>
          </w:rPr>
          <w:fldChar w:fldCharType="end"/>
        </w:r>
      </w:hyperlink>
    </w:p>
    <w:p w14:paraId="0FC42ABF" w14:textId="616DCF90">
      <w:pPr>
        <w:pStyle w:val="TJ3"/>
        <w:rPr>
          <w:rFonts w:asciiTheme="minorHAnsi" w:hAnsiTheme="minorHAnsi" w:cstheme="minorBidi"/>
          <w:noProof/>
          <w:sz w:val="24"/>
          <w:szCs w:val="21"/>
          <w:lang w:eastAsia="en-GB" w:bidi="sa-IN"/>
        </w:rPr>
      </w:pPr>
      <w:hyperlink w:anchor="_Toc242889675" w:history="1">
        <w:r>
          <w:rPr>
            <w:rStyle w:val="Hiperhivatkozs"/>
            <w:noProof/>
            <w:lang w:bidi="ar-SA"/>
          </w:rPr>
          <w:t>16.2.2. Tier 2, block-level elements representing intrinsic structure</w:t>
        </w:r>
        <w:r>
          <w:rPr>
            <w:noProof/>
            <w:webHidden/>
          </w:rPr>
          <w:tab/>
        </w:r>
        <w:r>
          <w:rPr>
            <w:noProof/>
            <w:webHidden/>
          </w:rPr>
          <w:fldChar w:fldCharType="begin"/>
        </w:r>
        <w:r>
          <w:rPr>
            <w:noProof/>
            <w:webHidden/>
          </w:rPr>
          <w:instrText xml:space="preserve"> PAGEREF _Toc242889675 \h </w:instrText>
        </w:r>
        <w:r>
          <w:rPr>
            <w:noProof/>
            <w:webHidden/>
          </w:rPr>
        </w:r>
        <w:r>
          <w:rPr>
            <w:noProof/>
            <w:webHidden/>
          </w:rPr>
          <w:fldChar w:fldCharType="separate"/>
        </w:r>
        <w:r>
          <w:rPr>
            <w:noProof/>
            <w:webHidden/>
          </w:rPr>
          <w:t>193</w:t>
        </w:r>
        <w:r>
          <w:rPr>
            <w:noProof/>
            <w:webHidden/>
          </w:rPr>
          <w:fldChar w:fldCharType="end"/>
        </w:r>
      </w:hyperlink>
    </w:p>
    <w:p w14:paraId="73A88CFE" w14:textId="15ADFE70">
      <w:pPr>
        <w:pStyle w:val="TJ3"/>
        <w:rPr>
          <w:rFonts w:asciiTheme="minorHAnsi" w:hAnsiTheme="minorHAnsi" w:cstheme="minorBidi"/>
          <w:noProof/>
          <w:sz w:val="24"/>
          <w:szCs w:val="21"/>
          <w:lang w:eastAsia="en-GB" w:bidi="sa-IN"/>
        </w:rPr>
      </w:pPr>
      <w:hyperlink w:anchor="_Toc242889676" w:history="1">
        <w:r>
          <w:rPr>
            <w:rStyle w:val="Hiperhivatkozs"/>
            <w:noProof/>
            <w:lang w:bidi="ar-SA"/>
          </w:rPr>
          <w:t>16.2.3. Tier 2A, phrase-level elements representing semantic information</w:t>
        </w:r>
        <w:r>
          <w:rPr>
            <w:noProof/>
            <w:webHidden/>
          </w:rPr>
          <w:tab/>
        </w:r>
        <w:r>
          <w:rPr>
            <w:noProof/>
            <w:webHidden/>
          </w:rPr>
          <w:fldChar w:fldCharType="begin"/>
        </w:r>
        <w:r>
          <w:rPr>
            <w:noProof/>
            <w:webHidden/>
          </w:rPr>
          <w:instrText xml:space="preserve"> PAGEREF _Toc242889676 \h </w:instrText>
        </w:r>
        <w:r>
          <w:rPr>
            <w:noProof/>
            <w:webHidden/>
          </w:rPr>
        </w:r>
        <w:r>
          <w:rPr>
            <w:noProof/>
            <w:webHidden/>
          </w:rPr>
          <w:fldChar w:fldCharType="separate"/>
        </w:r>
        <w:r>
          <w:rPr>
            <w:noProof/>
            <w:webHidden/>
          </w:rPr>
          <w:t>193</w:t>
        </w:r>
        <w:r>
          <w:rPr>
            <w:noProof/>
            <w:webHidden/>
          </w:rPr>
          <w:fldChar w:fldCharType="end"/>
        </w:r>
      </w:hyperlink>
    </w:p>
    <w:p w14:paraId="2435ED0A" w14:textId="515C368A">
      <w:pPr>
        <w:pStyle w:val="TJ3"/>
        <w:rPr>
          <w:rFonts w:asciiTheme="minorHAnsi" w:hAnsiTheme="minorHAnsi" w:cstheme="minorBidi"/>
          <w:noProof/>
          <w:sz w:val="24"/>
          <w:szCs w:val="21"/>
          <w:lang w:eastAsia="en-GB" w:bidi="sa-IN"/>
        </w:rPr>
      </w:pPr>
      <w:hyperlink w:anchor="_Toc242889677" w:history="1">
        <w:r>
          <w:rPr>
            <w:rStyle w:val="Hiperhivatkozs"/>
            <w:noProof/>
            <w:lang w:bidi="ar-SA"/>
          </w:rPr>
          <w:t>16.2.4. Tier 3, empty elements representing extrinsic structure</w:t>
        </w:r>
        <w:r>
          <w:rPr>
            <w:noProof/>
            <w:webHidden/>
          </w:rPr>
          <w:tab/>
        </w:r>
        <w:r>
          <w:rPr>
            <w:noProof/>
            <w:webHidden/>
          </w:rPr>
          <w:fldChar w:fldCharType="begin"/>
        </w:r>
        <w:r>
          <w:rPr>
            <w:noProof/>
            <w:webHidden/>
          </w:rPr>
          <w:instrText xml:space="preserve"> PAGEREF _Toc242889677 \h </w:instrText>
        </w:r>
        <w:r>
          <w:rPr>
            <w:noProof/>
            <w:webHidden/>
          </w:rPr>
        </w:r>
        <w:r>
          <w:rPr>
            <w:noProof/>
            <w:webHidden/>
          </w:rPr>
          <w:fldChar w:fldCharType="separate"/>
        </w:r>
        <w:r>
          <w:rPr>
            <w:noProof/>
            <w:webHidden/>
          </w:rPr>
          <w:t>194</w:t>
        </w:r>
        <w:r>
          <w:rPr>
            <w:noProof/>
            <w:webHidden/>
          </w:rPr>
          <w:fldChar w:fldCharType="end"/>
        </w:r>
      </w:hyperlink>
    </w:p>
    <w:p w14:paraId="43D36522" w14:textId="3382C708">
      <w:pPr>
        <w:pStyle w:val="TJ3"/>
        <w:rPr>
          <w:rFonts w:asciiTheme="minorHAnsi" w:hAnsiTheme="minorHAnsi" w:cstheme="minorBidi"/>
          <w:noProof/>
          <w:sz w:val="24"/>
          <w:szCs w:val="21"/>
          <w:lang w:eastAsia="en-GB" w:bidi="sa-IN"/>
        </w:rPr>
      </w:pPr>
      <w:hyperlink w:anchor="_Toc242889678" w:history="1">
        <w:r>
          <w:rPr>
            <w:rStyle w:val="Hiperhivatkozs"/>
            <w:noProof/>
            <w:lang w:bidi="ar-SA"/>
          </w:rPr>
          <w:t>16.2.5. Tier 4, empty elements representing local features</w:t>
        </w:r>
        <w:r>
          <w:rPr>
            <w:noProof/>
            <w:webHidden/>
          </w:rPr>
          <w:tab/>
        </w:r>
        <w:r>
          <w:rPr>
            <w:noProof/>
            <w:webHidden/>
          </w:rPr>
          <w:fldChar w:fldCharType="begin"/>
        </w:r>
        <w:r>
          <w:rPr>
            <w:noProof/>
            <w:webHidden/>
          </w:rPr>
          <w:instrText xml:space="preserve"> PAGEREF _Toc242889678 \h </w:instrText>
        </w:r>
        <w:r>
          <w:rPr>
            <w:noProof/>
            <w:webHidden/>
          </w:rPr>
        </w:r>
        <w:r>
          <w:rPr>
            <w:noProof/>
            <w:webHidden/>
          </w:rPr>
          <w:fldChar w:fldCharType="separate"/>
        </w:r>
        <w:r>
          <w:rPr>
            <w:noProof/>
            <w:webHidden/>
          </w:rPr>
          <w:t>194</w:t>
        </w:r>
        <w:r>
          <w:rPr>
            <w:noProof/>
            <w:webHidden/>
          </w:rPr>
          <w:fldChar w:fldCharType="end"/>
        </w:r>
      </w:hyperlink>
    </w:p>
    <w:p w14:paraId="1FDBB4A7" w14:textId="78F3569B">
      <w:pPr>
        <w:pStyle w:val="TJ3"/>
        <w:rPr>
          <w:rFonts w:asciiTheme="minorHAnsi" w:hAnsiTheme="minorHAnsi" w:cstheme="minorBidi"/>
          <w:noProof/>
          <w:sz w:val="24"/>
          <w:szCs w:val="21"/>
          <w:lang w:eastAsia="en-GB" w:bidi="sa-IN"/>
        </w:rPr>
      </w:pPr>
      <w:hyperlink w:anchor="_Toc242889679" w:history="1">
        <w:r>
          <w:rPr>
            <w:rStyle w:val="Hiperhivatkozs"/>
            <w:noProof/>
            <w:lang w:bidi="ar-SA"/>
          </w:rPr>
          <w:t>16.2.6. Tier 5, phrase-level elements representing changes to the text</w:t>
        </w:r>
        <w:r>
          <w:rPr>
            <w:noProof/>
            <w:webHidden/>
          </w:rPr>
          <w:tab/>
        </w:r>
        <w:r>
          <w:rPr>
            <w:noProof/>
            <w:webHidden/>
          </w:rPr>
          <w:fldChar w:fldCharType="begin"/>
        </w:r>
        <w:r>
          <w:rPr>
            <w:noProof/>
            <w:webHidden/>
          </w:rPr>
          <w:instrText xml:space="preserve"> PAGEREF _Toc242889679 \h </w:instrText>
        </w:r>
        <w:r>
          <w:rPr>
            <w:noProof/>
            <w:webHidden/>
          </w:rPr>
        </w:r>
        <w:r>
          <w:rPr>
            <w:noProof/>
            <w:webHidden/>
          </w:rPr>
          <w:fldChar w:fldCharType="separate"/>
        </w:r>
        <w:r>
          <w:rPr>
            <w:noProof/>
            <w:webHidden/>
          </w:rPr>
          <w:t>194</w:t>
        </w:r>
        <w:r>
          <w:rPr>
            <w:noProof/>
            <w:webHidden/>
          </w:rPr>
          <w:fldChar w:fldCharType="end"/>
        </w:r>
      </w:hyperlink>
    </w:p>
    <w:p w14:paraId="4AAE2257" w14:textId="1B98179F">
      <w:pPr>
        <w:pStyle w:val="TJ3"/>
        <w:rPr>
          <w:rFonts w:asciiTheme="minorHAnsi" w:hAnsiTheme="minorHAnsi" w:cstheme="minorBidi"/>
          <w:noProof/>
          <w:sz w:val="24"/>
          <w:szCs w:val="21"/>
          <w:lang w:eastAsia="en-GB" w:bidi="sa-IN"/>
        </w:rPr>
      </w:pPr>
      <w:hyperlink w:anchor="_Toc242889680" w:history="1">
        <w:r>
          <w:rPr>
            <w:rStyle w:val="Hiperhivatkozs"/>
            <w:noProof/>
            <w:lang w:bidi="ar-SA"/>
          </w:rPr>
          <w:t>16.2.7. Tier 6, unclear</w:t>
        </w:r>
        <w:r>
          <w:rPr>
            <w:noProof/>
            <w:webHidden/>
          </w:rPr>
          <w:tab/>
        </w:r>
        <w:r>
          <w:rPr>
            <w:noProof/>
            <w:webHidden/>
          </w:rPr>
          <w:fldChar w:fldCharType="begin"/>
        </w:r>
        <w:r>
          <w:rPr>
            <w:noProof/>
            <w:webHidden/>
          </w:rPr>
          <w:instrText xml:space="preserve"> PAGEREF _Toc242889680 \h </w:instrText>
        </w:r>
        <w:r>
          <w:rPr>
            <w:noProof/>
            <w:webHidden/>
          </w:rPr>
        </w:r>
        <w:r>
          <w:rPr>
            <w:noProof/>
            <w:webHidden/>
          </w:rPr>
          <w:fldChar w:fldCharType="separate"/>
        </w:r>
        <w:r>
          <w:rPr>
            <w:noProof/>
            <w:webHidden/>
          </w:rPr>
          <w:t>195</w:t>
        </w:r>
        <w:r>
          <w:rPr>
            <w:noProof/>
            <w:webHidden/>
          </w:rPr>
          <w:fldChar w:fldCharType="end"/>
        </w:r>
      </w:hyperlink>
    </w:p>
    <w:p w14:paraId="15683BE0" w14:textId="0495789D">
      <w:pPr>
        <w:pStyle w:val="TJ2"/>
        <w:rPr>
          <w:rFonts w:asciiTheme="minorHAnsi" w:hAnsiTheme="minorHAnsi" w:cstheme="minorBidi"/>
          <w:noProof/>
          <w:sz w:val="24"/>
          <w:szCs w:val="21"/>
          <w:lang w:eastAsia="en-GB" w:bidi="sa-IN"/>
        </w:rPr>
      </w:pPr>
      <w:hyperlink w:anchor="_Toc242889681" w:history="1">
        <w:r>
          <w:rPr>
            <w:rStyle w:val="Hiperhivatkozs"/>
            <w:noProof/>
            <w:lang w:bidi="ar-SA"/>
          </w:rPr>
          <w:t>16.3. Graphemes and the granularity of encoding</w:t>
        </w:r>
        <w:r>
          <w:rPr>
            <w:noProof/>
            <w:webHidden/>
          </w:rPr>
          <w:tab/>
        </w:r>
        <w:r>
          <w:rPr>
            <w:noProof/>
            <w:webHidden/>
          </w:rPr>
          <w:fldChar w:fldCharType="begin"/>
        </w:r>
        <w:r>
          <w:rPr>
            <w:noProof/>
            <w:webHidden/>
          </w:rPr>
          <w:instrText xml:space="preserve"> PAGEREF _Toc242889681 \h </w:instrText>
        </w:r>
        <w:r>
          <w:rPr>
            <w:noProof/>
            <w:webHidden/>
          </w:rPr>
        </w:r>
        <w:r>
          <w:rPr>
            <w:noProof/>
            <w:webHidden/>
          </w:rPr>
          <w:fldChar w:fldCharType="separate"/>
        </w:r>
        <w:r>
          <w:rPr>
            <w:noProof/>
            <w:webHidden/>
          </w:rPr>
          <w:t>195</w:t>
        </w:r>
        <w:r>
          <w:rPr>
            <w:noProof/>
            <w:webHidden/>
          </w:rPr>
          <w:fldChar w:fldCharType="end"/>
        </w:r>
      </w:hyperlink>
    </w:p>
    <w:p w14:paraId="5ACDB2CD" w14:textId="5388155F">
      <w:pPr>
        <w:pStyle w:val="TJ3"/>
        <w:rPr>
          <w:rFonts w:asciiTheme="minorHAnsi" w:hAnsiTheme="minorHAnsi" w:cstheme="minorBidi"/>
          <w:noProof/>
          <w:sz w:val="24"/>
          <w:szCs w:val="21"/>
          <w:lang w:eastAsia="en-GB" w:bidi="sa-IN"/>
        </w:rPr>
      </w:pPr>
      <w:hyperlink w:anchor="_Toc242889682" w:history="1">
        <w:r>
          <w:rPr>
            <w:rStyle w:val="Hiperhivatkozs"/>
            <w:noProof/>
            <w:lang w:bidi="ar-SA"/>
          </w:rPr>
          <w:t>16.3.1. Grapholinguistic recap</w:t>
        </w:r>
        <w:r>
          <w:rPr>
            <w:noProof/>
            <w:webHidden/>
          </w:rPr>
          <w:tab/>
        </w:r>
        <w:r>
          <w:rPr>
            <w:noProof/>
            <w:webHidden/>
          </w:rPr>
          <w:fldChar w:fldCharType="begin"/>
        </w:r>
        <w:r>
          <w:rPr>
            <w:noProof/>
            <w:webHidden/>
          </w:rPr>
          <w:instrText xml:space="preserve"> PAGEREF _Toc242889682 \h </w:instrText>
        </w:r>
        <w:r>
          <w:rPr>
            <w:noProof/>
            <w:webHidden/>
          </w:rPr>
        </w:r>
        <w:r>
          <w:rPr>
            <w:noProof/>
            <w:webHidden/>
          </w:rPr>
          <w:fldChar w:fldCharType="separate"/>
        </w:r>
        <w:r>
          <w:rPr>
            <w:noProof/>
            <w:webHidden/>
          </w:rPr>
          <w:t>195</w:t>
        </w:r>
        <w:r>
          <w:rPr>
            <w:noProof/>
            <w:webHidden/>
          </w:rPr>
          <w:fldChar w:fldCharType="end"/>
        </w:r>
      </w:hyperlink>
    </w:p>
    <w:p w14:paraId="205145AE" w14:textId="3412AC66">
      <w:pPr>
        <w:pStyle w:val="TJ3"/>
        <w:rPr>
          <w:rFonts w:asciiTheme="minorHAnsi" w:hAnsiTheme="minorHAnsi" w:cstheme="minorBidi"/>
          <w:noProof/>
          <w:sz w:val="24"/>
          <w:szCs w:val="21"/>
          <w:lang w:eastAsia="en-GB" w:bidi="sa-IN"/>
        </w:rPr>
      </w:pPr>
      <w:hyperlink w:anchor="_Toc242889683" w:history="1">
        <w:r>
          <w:rPr>
            <w:rStyle w:val="Hiperhivatkozs"/>
            <w:noProof/>
            <w:lang w:bidi="ar-SA"/>
          </w:rPr>
          <w:t>16.3.2. Encoding Indic documents in Romanised transliteration</w:t>
        </w:r>
        <w:r>
          <w:rPr>
            <w:noProof/>
            <w:webHidden/>
          </w:rPr>
          <w:tab/>
        </w:r>
        <w:r>
          <w:rPr>
            <w:noProof/>
            <w:webHidden/>
          </w:rPr>
          <w:fldChar w:fldCharType="begin"/>
        </w:r>
        <w:r>
          <w:rPr>
            <w:noProof/>
            <w:webHidden/>
          </w:rPr>
          <w:instrText xml:space="preserve"> PAGEREF _Toc242889683 \h </w:instrText>
        </w:r>
        <w:r>
          <w:rPr>
            <w:noProof/>
            <w:webHidden/>
          </w:rPr>
        </w:r>
        <w:r>
          <w:rPr>
            <w:noProof/>
            <w:webHidden/>
          </w:rPr>
          <w:fldChar w:fldCharType="separate"/>
        </w:r>
        <w:r>
          <w:rPr>
            <w:noProof/>
            <w:webHidden/>
          </w:rPr>
          <w:t>196</w:t>
        </w:r>
        <w:r>
          <w:rPr>
            <w:noProof/>
            <w:webHidden/>
          </w:rPr>
          <w:fldChar w:fldCharType="end"/>
        </w:r>
      </w:hyperlink>
    </w:p>
    <w:p w14:paraId="68EAEA91" w14:textId="20AB4DC8">
      <w:pPr>
        <w:pStyle w:val="TJ1"/>
        <w:rPr>
          <w:rFonts w:asciiTheme="minorHAnsi" w:hAnsiTheme="minorHAnsi" w:cstheme="minorBidi"/>
          <w:b w:val="0"/>
          <w:noProof/>
          <w:sz w:val="24"/>
          <w:szCs w:val="21"/>
          <w:lang w:eastAsia="en-GB" w:bidi="sa-IN"/>
        </w:rPr>
      </w:pPr>
      <w:hyperlink w:anchor="_Toc242889684" w:history="1">
        <w:r>
          <w:rPr>
            <w:rStyle w:val="Hiperhivatkozs"/>
            <w:noProof/>
            <w:lang w:bidi="ar-SA"/>
          </w:rPr>
          <w:t>Appendix A. Case Studies in encoding complex layout</w:t>
        </w:r>
        <w:r>
          <w:rPr>
            <w:noProof/>
            <w:webHidden/>
          </w:rPr>
          <w:tab/>
        </w:r>
        <w:r>
          <w:rPr>
            <w:noProof/>
            <w:webHidden/>
          </w:rPr>
          <w:fldChar w:fldCharType="begin"/>
        </w:r>
        <w:r>
          <w:rPr>
            <w:noProof/>
            <w:webHidden/>
          </w:rPr>
          <w:instrText xml:space="preserve"> PAGEREF _Toc242889684 \h </w:instrText>
        </w:r>
        <w:r>
          <w:rPr>
            <w:noProof/>
            <w:webHidden/>
          </w:rPr>
        </w:r>
        <w:r>
          <w:rPr>
            <w:noProof/>
            <w:webHidden/>
          </w:rPr>
          <w:fldChar w:fldCharType="separate"/>
        </w:r>
        <w:r>
          <w:rPr>
            <w:noProof/>
            <w:webHidden/>
          </w:rPr>
          <w:t>199</w:t>
        </w:r>
        <w:r>
          <w:rPr>
            <w:noProof/>
            <w:webHidden/>
          </w:rPr>
          <w:fldChar w:fldCharType="end"/>
        </w:r>
      </w:hyperlink>
    </w:p>
    <w:p w14:paraId="1735AC06" w14:textId="60DA565E">
      <w:pPr>
        <w:pStyle w:val="TJ2"/>
        <w:rPr>
          <w:rFonts w:asciiTheme="minorHAnsi" w:hAnsiTheme="minorHAnsi" w:cstheme="minorBidi"/>
          <w:noProof/>
          <w:sz w:val="24"/>
          <w:szCs w:val="21"/>
          <w:lang w:eastAsia="en-GB" w:bidi="sa-IN"/>
        </w:rPr>
      </w:pPr>
      <w:hyperlink w:anchor="_Toc242889685" w:history="1">
        <w:r>
          <w:rPr>
            <w:rStyle w:val="Hiperhivatkozs"/>
            <w:noProof/>
            <w:lang w:bidi="ar-SA"/>
          </w:rPr>
          <w:t>Appendix A.1. Slab in two non-contiguous fragments</w:t>
        </w:r>
        <w:r>
          <w:rPr>
            <w:noProof/>
            <w:webHidden/>
          </w:rPr>
          <w:tab/>
        </w:r>
        <w:r>
          <w:rPr>
            <w:noProof/>
            <w:webHidden/>
          </w:rPr>
          <w:fldChar w:fldCharType="begin"/>
        </w:r>
        <w:r>
          <w:rPr>
            <w:noProof/>
            <w:webHidden/>
          </w:rPr>
          <w:instrText xml:space="preserve"> PAGEREF _Toc242889685 \h </w:instrText>
        </w:r>
        <w:r>
          <w:rPr>
            <w:noProof/>
            <w:webHidden/>
          </w:rPr>
        </w:r>
        <w:r>
          <w:rPr>
            <w:noProof/>
            <w:webHidden/>
          </w:rPr>
          <w:fldChar w:fldCharType="separate"/>
        </w:r>
        <w:r>
          <w:rPr>
            <w:noProof/>
            <w:webHidden/>
          </w:rPr>
          <w:t>199</w:t>
        </w:r>
        <w:r>
          <w:rPr>
            <w:noProof/>
            <w:webHidden/>
          </w:rPr>
          <w:fldChar w:fldCharType="end"/>
        </w:r>
      </w:hyperlink>
    </w:p>
    <w:p w14:paraId="01151283" w14:textId="5B134C90">
      <w:pPr>
        <w:pStyle w:val="TJ2"/>
        <w:rPr>
          <w:rFonts w:asciiTheme="minorHAnsi" w:hAnsiTheme="minorHAnsi" w:cstheme="minorBidi"/>
          <w:noProof/>
          <w:sz w:val="24"/>
          <w:szCs w:val="21"/>
          <w:lang w:eastAsia="en-GB" w:bidi="sa-IN"/>
        </w:rPr>
      </w:pPr>
      <w:hyperlink w:anchor="_Toc242889686" w:history="1">
        <w:r>
          <w:rPr>
            <w:rStyle w:val="Hiperhivatkozs"/>
            <w:noProof/>
            <w:lang w:bidi="ar-SA"/>
          </w:rPr>
          <w:t>Appendix A.2. Copperplate charter with seal and other goodies</w:t>
        </w:r>
        <w:r>
          <w:rPr>
            <w:noProof/>
            <w:webHidden/>
          </w:rPr>
          <w:tab/>
        </w:r>
        <w:r>
          <w:rPr>
            <w:noProof/>
            <w:webHidden/>
          </w:rPr>
          <w:fldChar w:fldCharType="begin"/>
        </w:r>
        <w:r>
          <w:rPr>
            <w:noProof/>
            <w:webHidden/>
          </w:rPr>
          <w:instrText xml:space="preserve"> PAGEREF _Toc242889686 \h </w:instrText>
        </w:r>
        <w:r>
          <w:rPr>
            <w:noProof/>
            <w:webHidden/>
          </w:rPr>
        </w:r>
        <w:r>
          <w:rPr>
            <w:noProof/>
            <w:webHidden/>
          </w:rPr>
          <w:fldChar w:fldCharType="separate"/>
        </w:r>
        <w:r>
          <w:rPr>
            <w:noProof/>
            <w:webHidden/>
          </w:rPr>
          <w:t>200</w:t>
        </w:r>
        <w:r>
          <w:rPr>
            <w:noProof/>
            <w:webHidden/>
          </w:rPr>
          <w:fldChar w:fldCharType="end"/>
        </w:r>
      </w:hyperlink>
    </w:p>
    <w:p w14:paraId="2073E523" w14:textId="0A0E361E">
      <w:pPr>
        <w:pStyle w:val="TJ2"/>
        <w:rPr>
          <w:rFonts w:asciiTheme="minorHAnsi" w:hAnsiTheme="minorHAnsi" w:cstheme="minorBidi"/>
          <w:noProof/>
          <w:sz w:val="24"/>
          <w:szCs w:val="21"/>
          <w:lang w:eastAsia="en-GB" w:bidi="sa-IN"/>
        </w:rPr>
      </w:pPr>
      <w:hyperlink w:anchor="_Toc242889687" w:history="1">
        <w:r>
          <w:rPr>
            <w:rStyle w:val="Hiperhivatkozs"/>
            <w:noProof/>
            <w:lang w:bidi="ar-SA"/>
          </w:rPr>
          <w:t>Appendix A.3. Copperplate charter with a lost plate reconstructed</w:t>
        </w:r>
        <w:r>
          <w:rPr>
            <w:noProof/>
            <w:webHidden/>
          </w:rPr>
          <w:tab/>
        </w:r>
        <w:r>
          <w:rPr>
            <w:noProof/>
            <w:webHidden/>
          </w:rPr>
          <w:fldChar w:fldCharType="begin"/>
        </w:r>
        <w:r>
          <w:rPr>
            <w:noProof/>
            <w:webHidden/>
          </w:rPr>
          <w:instrText xml:space="preserve"> PAGEREF _Toc242889687 \h </w:instrText>
        </w:r>
        <w:r>
          <w:rPr>
            <w:noProof/>
            <w:webHidden/>
          </w:rPr>
        </w:r>
        <w:r>
          <w:rPr>
            <w:noProof/>
            <w:webHidden/>
          </w:rPr>
          <w:fldChar w:fldCharType="separate"/>
        </w:r>
        <w:r>
          <w:rPr>
            <w:noProof/>
            <w:webHidden/>
          </w:rPr>
          <w:t>202</w:t>
        </w:r>
        <w:r>
          <w:rPr>
            <w:noProof/>
            <w:webHidden/>
          </w:rPr>
          <w:fldChar w:fldCharType="end"/>
        </w:r>
      </w:hyperlink>
    </w:p>
    <w:p w14:paraId="192A3660" w14:textId="2A76886E">
      <w:pPr>
        <w:pStyle w:val="TJ2"/>
        <w:rPr>
          <w:rFonts w:asciiTheme="minorHAnsi" w:hAnsiTheme="minorHAnsi" w:cstheme="minorBidi"/>
          <w:noProof/>
          <w:sz w:val="24"/>
          <w:szCs w:val="21"/>
          <w:lang w:eastAsia="en-GB" w:bidi="sa-IN"/>
        </w:rPr>
      </w:pPr>
      <w:hyperlink w:anchor="_Toc242889688" w:history="1">
        <w:r>
          <w:rPr>
            <w:rStyle w:val="Hiperhivatkozs"/>
            <w:noProof/>
            <w:lang w:bidi="ar-SA"/>
          </w:rPr>
          <w:t>Appendix A.4. Copperplate charter with a lost plate not reconstructed</w:t>
        </w:r>
        <w:r>
          <w:rPr>
            <w:noProof/>
            <w:webHidden/>
          </w:rPr>
          <w:tab/>
        </w:r>
        <w:r>
          <w:rPr>
            <w:noProof/>
            <w:webHidden/>
          </w:rPr>
          <w:fldChar w:fldCharType="begin"/>
        </w:r>
        <w:r>
          <w:rPr>
            <w:noProof/>
            <w:webHidden/>
          </w:rPr>
          <w:instrText xml:space="preserve"> PAGEREF _Toc242889688 \h </w:instrText>
        </w:r>
        <w:r>
          <w:rPr>
            <w:noProof/>
            <w:webHidden/>
          </w:rPr>
        </w:r>
        <w:r>
          <w:rPr>
            <w:noProof/>
            <w:webHidden/>
          </w:rPr>
          <w:fldChar w:fldCharType="separate"/>
        </w:r>
        <w:r>
          <w:rPr>
            <w:noProof/>
            <w:webHidden/>
          </w:rPr>
          <w:t>203</w:t>
        </w:r>
        <w:r>
          <w:rPr>
            <w:noProof/>
            <w:webHidden/>
          </w:rPr>
          <w:fldChar w:fldCharType="end"/>
        </w:r>
      </w:hyperlink>
    </w:p>
    <w:p w14:paraId="0374CADF" w14:textId="1C60E765">
      <w:pPr>
        <w:pStyle w:val="TJ2"/>
        <w:rPr>
          <w:rFonts w:asciiTheme="minorHAnsi" w:hAnsiTheme="minorHAnsi" w:cstheme="minorBidi"/>
          <w:noProof/>
          <w:sz w:val="24"/>
          <w:szCs w:val="21"/>
          <w:lang w:eastAsia="en-GB" w:bidi="sa-IN"/>
        </w:rPr>
      </w:pPr>
      <w:hyperlink w:anchor="_Toc242889689" w:history="1">
        <w:r>
          <w:rPr>
            <w:rStyle w:val="Hiperhivatkozs"/>
            <w:noProof/>
            <w:lang w:bidi="ar-SA"/>
          </w:rPr>
          <w:t>Appendix A.5. Four-faced stele</w:t>
        </w:r>
        <w:r>
          <w:rPr>
            <w:noProof/>
            <w:webHidden/>
          </w:rPr>
          <w:tab/>
        </w:r>
        <w:r>
          <w:rPr>
            <w:noProof/>
            <w:webHidden/>
          </w:rPr>
          <w:fldChar w:fldCharType="begin"/>
        </w:r>
        <w:r>
          <w:rPr>
            <w:noProof/>
            <w:webHidden/>
          </w:rPr>
          <w:instrText xml:space="preserve"> PAGEREF _Toc242889689 \h </w:instrText>
        </w:r>
        <w:r>
          <w:rPr>
            <w:noProof/>
            <w:webHidden/>
          </w:rPr>
        </w:r>
        <w:r>
          <w:rPr>
            <w:noProof/>
            <w:webHidden/>
          </w:rPr>
          <w:fldChar w:fldCharType="separate"/>
        </w:r>
        <w:r>
          <w:rPr>
            <w:noProof/>
            <w:webHidden/>
          </w:rPr>
          <w:t>204</w:t>
        </w:r>
        <w:r>
          <w:rPr>
            <w:noProof/>
            <w:webHidden/>
          </w:rPr>
          <w:fldChar w:fldCharType="end"/>
        </w:r>
      </w:hyperlink>
    </w:p>
    <w:p w14:paraId="32977B82" w14:textId="43CD86B0">
      <w:pPr>
        <w:pStyle w:val="TJ2"/>
        <w:rPr>
          <w:rFonts w:asciiTheme="minorHAnsi" w:hAnsiTheme="minorHAnsi" w:cstheme="minorBidi"/>
          <w:noProof/>
          <w:sz w:val="24"/>
          <w:szCs w:val="21"/>
          <w:lang w:eastAsia="en-GB" w:bidi="sa-IN"/>
        </w:rPr>
      </w:pPr>
      <w:hyperlink w:anchor="_Toc242889690" w:history="1">
        <w:r>
          <w:rPr>
            <w:rStyle w:val="Hiperhivatkozs"/>
            <w:noProof/>
            <w:lang w:bidi="ar-SA"/>
          </w:rPr>
          <w:t>Appendix A.6. Stele with two inscribed faces, an incipit and quasi-columns</w:t>
        </w:r>
        <w:r>
          <w:rPr>
            <w:noProof/>
            <w:webHidden/>
          </w:rPr>
          <w:tab/>
        </w:r>
        <w:r>
          <w:rPr>
            <w:noProof/>
            <w:webHidden/>
          </w:rPr>
          <w:fldChar w:fldCharType="begin"/>
        </w:r>
        <w:r>
          <w:rPr>
            <w:noProof/>
            <w:webHidden/>
          </w:rPr>
          <w:instrText xml:space="preserve"> PAGEREF _Toc242889690 \h </w:instrText>
        </w:r>
        <w:r>
          <w:rPr>
            <w:noProof/>
            <w:webHidden/>
          </w:rPr>
        </w:r>
        <w:r>
          <w:rPr>
            <w:noProof/>
            <w:webHidden/>
          </w:rPr>
          <w:fldChar w:fldCharType="separate"/>
        </w:r>
        <w:r>
          <w:rPr>
            <w:noProof/>
            <w:webHidden/>
          </w:rPr>
          <w:t>205</w:t>
        </w:r>
        <w:r>
          <w:rPr>
            <w:noProof/>
            <w:webHidden/>
          </w:rPr>
          <w:fldChar w:fldCharType="end"/>
        </w:r>
      </w:hyperlink>
    </w:p>
    <w:p w14:paraId="7869E5AE" w14:textId="3B8EA197">
      <w:pPr>
        <w:pStyle w:val="TJ1"/>
        <w:rPr>
          <w:rFonts w:asciiTheme="minorHAnsi" w:hAnsiTheme="minorHAnsi" w:cstheme="minorBidi"/>
          <w:b w:val="0"/>
          <w:noProof/>
          <w:sz w:val="24"/>
          <w:szCs w:val="21"/>
          <w:lang w:eastAsia="en-GB" w:bidi="sa-IN"/>
        </w:rPr>
      </w:pPr>
      <w:hyperlink w:anchor="_Toc242889691" w:history="1">
        <w:r>
          <w:rPr>
            <w:rStyle w:val="Hiperhivatkozs"/>
            <w:noProof/>
            <w:lang w:bidi="ar-SA"/>
          </w:rPr>
          <w:t>Appendix B. Titling conventions</w:t>
        </w:r>
        <w:r>
          <w:rPr>
            <w:noProof/>
            <w:webHidden/>
          </w:rPr>
          <w:tab/>
        </w:r>
        <w:r>
          <w:rPr>
            <w:noProof/>
            <w:webHidden/>
          </w:rPr>
          <w:fldChar w:fldCharType="begin"/>
        </w:r>
        <w:r>
          <w:rPr>
            <w:noProof/>
            <w:webHidden/>
          </w:rPr>
          <w:instrText xml:space="preserve"> PAGEREF _Toc242889691 \h </w:instrText>
        </w:r>
        <w:r>
          <w:rPr>
            <w:noProof/>
            <w:webHidden/>
          </w:rPr>
        </w:r>
        <w:r>
          <w:rPr>
            <w:noProof/>
            <w:webHidden/>
          </w:rPr>
          <w:fldChar w:fldCharType="separate"/>
        </w:r>
        <w:r>
          <w:rPr>
            <w:noProof/>
            <w:webHidden/>
          </w:rPr>
          <w:t>208</w:t>
        </w:r>
        <w:r>
          <w:rPr>
            <w:noProof/>
            <w:webHidden/>
          </w:rPr>
          <w:fldChar w:fldCharType="end"/>
        </w:r>
      </w:hyperlink>
    </w:p>
    <w:p w14:paraId="119D364B" w14:textId="66E11D49">
      <w:pPr>
        <w:pStyle w:val="TJ1"/>
        <w:rPr>
          <w:rFonts w:asciiTheme="minorHAnsi" w:hAnsiTheme="minorHAnsi" w:cstheme="minorBidi"/>
          <w:b w:val="0"/>
          <w:noProof/>
          <w:sz w:val="24"/>
          <w:szCs w:val="21"/>
          <w:lang w:eastAsia="en-GB" w:bidi="sa-IN"/>
        </w:rPr>
      </w:pPr>
      <w:hyperlink w:anchor="_Toc242889692" w:history="1">
        <w:r>
          <w:rPr>
            <w:rStyle w:val="Hiperhivatkozs"/>
            <w:noProof/>
            <w:lang w:bidi="ar-SA"/>
          </w:rPr>
          <w:t>Appendix C. Creating DHARMA editions from other editions</w:t>
        </w:r>
        <w:r>
          <w:rPr>
            <w:noProof/>
            <w:webHidden/>
          </w:rPr>
          <w:tab/>
        </w:r>
        <w:r>
          <w:rPr>
            <w:noProof/>
            <w:webHidden/>
          </w:rPr>
          <w:fldChar w:fldCharType="begin"/>
        </w:r>
        <w:r>
          <w:rPr>
            <w:noProof/>
            <w:webHidden/>
          </w:rPr>
          <w:instrText xml:space="preserve"> PAGEREF _Toc242889692 \h </w:instrText>
        </w:r>
        <w:r>
          <w:rPr>
            <w:noProof/>
            <w:webHidden/>
          </w:rPr>
        </w:r>
        <w:r>
          <w:rPr>
            <w:noProof/>
            <w:webHidden/>
          </w:rPr>
          <w:fldChar w:fldCharType="separate"/>
        </w:r>
        <w:r>
          <w:rPr>
            <w:noProof/>
            <w:webHidden/>
          </w:rPr>
          <w:t>210</w:t>
        </w:r>
        <w:r>
          <w:rPr>
            <w:noProof/>
            <w:webHidden/>
          </w:rPr>
          <w:fldChar w:fldCharType="end"/>
        </w:r>
      </w:hyperlink>
    </w:p>
    <w:p w14:paraId="573890AB" w14:textId="1BC909B6">
      <w:pPr>
        <w:pStyle w:val="TJ2"/>
        <w:rPr>
          <w:rFonts w:asciiTheme="minorHAnsi" w:hAnsiTheme="minorHAnsi" w:cstheme="minorBidi"/>
          <w:noProof/>
          <w:sz w:val="24"/>
          <w:szCs w:val="21"/>
          <w:lang w:eastAsia="en-GB" w:bidi="sa-IN"/>
        </w:rPr>
      </w:pPr>
      <w:hyperlink w:anchor="_Toc242889693" w:history="1">
        <w:r>
          <w:rPr>
            <w:rStyle w:val="Hiperhivatkozs"/>
            <w:noProof/>
            <w:lang w:bidi="ar-SA"/>
          </w:rPr>
          <w:t>Appendix C.1. Converting CII/EI markup conventions to EpiDoc</w:t>
        </w:r>
        <w:r>
          <w:rPr>
            <w:noProof/>
            <w:webHidden/>
          </w:rPr>
          <w:tab/>
        </w:r>
        <w:r>
          <w:rPr>
            <w:noProof/>
            <w:webHidden/>
          </w:rPr>
          <w:fldChar w:fldCharType="begin"/>
        </w:r>
        <w:r>
          <w:rPr>
            <w:noProof/>
            <w:webHidden/>
          </w:rPr>
          <w:instrText xml:space="preserve"> PAGEREF _Toc242889693 \h </w:instrText>
        </w:r>
        <w:r>
          <w:rPr>
            <w:noProof/>
            <w:webHidden/>
          </w:rPr>
        </w:r>
        <w:r>
          <w:rPr>
            <w:noProof/>
            <w:webHidden/>
          </w:rPr>
          <w:fldChar w:fldCharType="separate"/>
        </w:r>
        <w:r>
          <w:rPr>
            <w:noProof/>
            <w:webHidden/>
          </w:rPr>
          <w:t>210</w:t>
        </w:r>
        <w:r>
          <w:rPr>
            <w:noProof/>
            <w:webHidden/>
          </w:rPr>
          <w:fldChar w:fldCharType="end"/>
        </w:r>
      </w:hyperlink>
    </w:p>
    <w:p w14:paraId="3012DD85" w14:textId="5BFC54CD">
      <w:pPr>
        <w:pStyle w:val="TJ2"/>
        <w:rPr>
          <w:rFonts w:asciiTheme="minorHAnsi" w:hAnsiTheme="minorHAnsi" w:cstheme="minorBidi"/>
          <w:noProof/>
          <w:sz w:val="24"/>
          <w:szCs w:val="21"/>
          <w:lang w:eastAsia="en-GB" w:bidi="sa-IN"/>
        </w:rPr>
      </w:pPr>
      <w:hyperlink w:anchor="_Toc242889694" w:history="1">
        <w:r>
          <w:rPr>
            <w:rStyle w:val="Hiperhivatkozs"/>
            <w:noProof/>
            <w:lang w:bidi="ar-SA"/>
          </w:rPr>
          <w:t>Appendix C.2. Assimilating Pre-existing Corpora into DHARMA</w:t>
        </w:r>
        <w:r>
          <w:rPr>
            <w:noProof/>
            <w:webHidden/>
          </w:rPr>
          <w:tab/>
        </w:r>
        <w:r>
          <w:rPr>
            <w:noProof/>
            <w:webHidden/>
          </w:rPr>
          <w:fldChar w:fldCharType="begin"/>
        </w:r>
        <w:r>
          <w:rPr>
            <w:noProof/>
            <w:webHidden/>
          </w:rPr>
          <w:instrText xml:space="preserve"> PAGEREF _Toc242889694 \h </w:instrText>
        </w:r>
        <w:r>
          <w:rPr>
            <w:noProof/>
            <w:webHidden/>
          </w:rPr>
        </w:r>
        <w:r>
          <w:rPr>
            <w:noProof/>
            <w:webHidden/>
          </w:rPr>
          <w:fldChar w:fldCharType="separate"/>
        </w:r>
        <w:r>
          <w:rPr>
            <w:noProof/>
            <w:webHidden/>
          </w:rPr>
          <w:t>211</w:t>
        </w:r>
        <w:r>
          <w:rPr>
            <w:noProof/>
            <w:webHidden/>
          </w:rPr>
          <w:fldChar w:fldCharType="end"/>
        </w:r>
      </w:hyperlink>
    </w:p>
    <w:p w14:paraId="5EC8F249" w14:textId="243BA463">
      <w:pPr>
        <w:pStyle w:val="TJ3"/>
        <w:rPr>
          <w:rFonts w:asciiTheme="minorHAnsi" w:hAnsiTheme="minorHAnsi" w:cstheme="minorBidi"/>
          <w:noProof/>
          <w:sz w:val="24"/>
          <w:szCs w:val="21"/>
          <w:lang w:eastAsia="en-GB" w:bidi="sa-IN"/>
        </w:rPr>
      </w:pPr>
      <w:hyperlink w:anchor="_Toc242889695" w:history="1">
        <w:r>
          <w:rPr>
            <w:rStyle w:val="Hiperhivatkozs"/>
            <w:noProof/>
            <w:lang w:bidi="ar-SA"/>
          </w:rPr>
          <w:t>Appendix C.2.1. Crediting the previous digital editor(s)</w:t>
        </w:r>
        <w:r>
          <w:rPr>
            <w:noProof/>
            <w:webHidden/>
          </w:rPr>
          <w:tab/>
        </w:r>
        <w:r>
          <w:rPr>
            <w:noProof/>
            <w:webHidden/>
          </w:rPr>
          <w:fldChar w:fldCharType="begin"/>
        </w:r>
        <w:r>
          <w:rPr>
            <w:noProof/>
            <w:webHidden/>
          </w:rPr>
          <w:instrText xml:space="preserve"> PAGEREF _Toc242889695 \h </w:instrText>
        </w:r>
        <w:r>
          <w:rPr>
            <w:noProof/>
            <w:webHidden/>
          </w:rPr>
        </w:r>
        <w:r>
          <w:rPr>
            <w:noProof/>
            <w:webHidden/>
          </w:rPr>
          <w:fldChar w:fldCharType="separate"/>
        </w:r>
        <w:r>
          <w:rPr>
            <w:noProof/>
            <w:webHidden/>
          </w:rPr>
          <w:t>211</w:t>
        </w:r>
        <w:r>
          <w:rPr>
            <w:noProof/>
            <w:webHidden/>
          </w:rPr>
          <w:fldChar w:fldCharType="end"/>
        </w:r>
      </w:hyperlink>
    </w:p>
    <w:p w14:paraId="5E03B27C" w14:textId="6419AA2A">
      <w:pPr>
        <w:pStyle w:val="TJ3"/>
        <w:rPr>
          <w:rFonts w:asciiTheme="minorHAnsi" w:hAnsiTheme="minorHAnsi" w:cstheme="minorBidi"/>
          <w:noProof/>
          <w:sz w:val="24"/>
          <w:szCs w:val="21"/>
          <w:lang w:eastAsia="en-GB" w:bidi="sa-IN"/>
        </w:rPr>
      </w:pPr>
      <w:hyperlink w:anchor="_Toc242889696" w:history="1">
        <w:r>
          <w:rPr>
            <w:rStyle w:val="Hiperhivatkozs"/>
            <w:noProof/>
            <w:lang w:bidi="ar-SA"/>
          </w:rPr>
          <w:t>Appendix C.2.2. Referring to the ingested digital edition</w:t>
        </w:r>
        <w:r>
          <w:rPr>
            <w:noProof/>
            <w:webHidden/>
          </w:rPr>
          <w:tab/>
        </w:r>
        <w:r>
          <w:rPr>
            <w:noProof/>
            <w:webHidden/>
          </w:rPr>
          <w:fldChar w:fldCharType="begin"/>
        </w:r>
        <w:r>
          <w:rPr>
            <w:noProof/>
            <w:webHidden/>
          </w:rPr>
          <w:instrText xml:space="preserve"> PAGEREF _Toc242889696 \h </w:instrText>
        </w:r>
        <w:r>
          <w:rPr>
            <w:noProof/>
            <w:webHidden/>
          </w:rPr>
        </w:r>
        <w:r>
          <w:rPr>
            <w:noProof/>
            <w:webHidden/>
          </w:rPr>
          <w:fldChar w:fldCharType="separate"/>
        </w:r>
        <w:r>
          <w:rPr>
            <w:noProof/>
            <w:webHidden/>
          </w:rPr>
          <w:t>211</w:t>
        </w:r>
        <w:r>
          <w:rPr>
            <w:noProof/>
            <w:webHidden/>
          </w:rPr>
          <w:fldChar w:fldCharType="end"/>
        </w:r>
      </w:hyperlink>
    </w:p>
    <w:p w14:paraId="4EE32254" w14:textId="2DA38849">
      <w:pPr>
        <w:pStyle w:val="TJ3"/>
        <w:rPr>
          <w:rFonts w:asciiTheme="minorHAnsi" w:hAnsiTheme="minorHAnsi" w:cstheme="minorBidi"/>
          <w:noProof/>
          <w:sz w:val="24"/>
          <w:szCs w:val="21"/>
          <w:lang w:eastAsia="en-GB" w:bidi="sa-IN"/>
        </w:rPr>
      </w:pPr>
      <w:hyperlink w:anchor="_Toc242889697" w:history="1">
        <w:r>
          <w:rPr>
            <w:rStyle w:val="Hiperhivatkozs"/>
            <w:noProof/>
            <w:lang w:bidi="ar-SA"/>
          </w:rPr>
          <w:t>Appendix C.2.3. Manual revision of the encoding</w:t>
        </w:r>
        <w:r>
          <w:rPr>
            <w:noProof/>
            <w:webHidden/>
          </w:rPr>
          <w:tab/>
        </w:r>
        <w:r>
          <w:rPr>
            <w:noProof/>
            <w:webHidden/>
          </w:rPr>
          <w:fldChar w:fldCharType="begin"/>
        </w:r>
        <w:r>
          <w:rPr>
            <w:noProof/>
            <w:webHidden/>
          </w:rPr>
          <w:instrText xml:space="preserve"> PAGEREF _Toc242889697 \h </w:instrText>
        </w:r>
        <w:r>
          <w:rPr>
            <w:noProof/>
            <w:webHidden/>
          </w:rPr>
        </w:r>
        <w:r>
          <w:rPr>
            <w:noProof/>
            <w:webHidden/>
          </w:rPr>
          <w:fldChar w:fldCharType="separate"/>
        </w:r>
        <w:r>
          <w:rPr>
            <w:noProof/>
            <w:webHidden/>
          </w:rPr>
          <w:t>212</w:t>
        </w:r>
        <w:r>
          <w:rPr>
            <w:noProof/>
            <w:webHidden/>
          </w:rPr>
          <w:fldChar w:fldCharType="end"/>
        </w:r>
      </w:hyperlink>
    </w:p>
    <w:p w14:paraId="7AA8BDD7" w14:textId="7F21F7C9">
      <w:pPr>
        <w:pStyle w:val="TJ1"/>
        <w:rPr>
          <w:rFonts w:asciiTheme="minorHAnsi" w:hAnsiTheme="minorHAnsi" w:cstheme="minorBidi"/>
          <w:b w:val="0"/>
          <w:noProof/>
          <w:sz w:val="24"/>
          <w:szCs w:val="21"/>
          <w:lang w:eastAsia="en-GB" w:bidi="sa-IN"/>
        </w:rPr>
      </w:pPr>
      <w:hyperlink w:anchor="_Toc242889698" w:history="1">
        <w:r>
          <w:rPr>
            <w:rStyle w:val="Hiperhivatkozs"/>
            <w:noProof/>
            <w:lang w:bidi="ar-SA"/>
          </w:rPr>
          <w:t>References</w:t>
        </w:r>
        <w:r>
          <w:rPr>
            <w:noProof/>
            <w:webHidden/>
          </w:rPr>
          <w:tab/>
        </w:r>
        <w:r>
          <w:rPr>
            <w:noProof/>
            <w:webHidden/>
          </w:rPr>
          <w:fldChar w:fldCharType="begin"/>
        </w:r>
        <w:r>
          <w:rPr>
            <w:noProof/>
            <w:webHidden/>
          </w:rPr>
          <w:instrText xml:space="preserve"> PAGEREF _Toc242889698 \h </w:instrText>
        </w:r>
        <w:r>
          <w:rPr>
            <w:noProof/>
            <w:webHidden/>
          </w:rPr>
        </w:r>
        <w:r>
          <w:rPr>
            <w:noProof/>
            <w:webHidden/>
          </w:rPr>
          <w:fldChar w:fldCharType="separate"/>
        </w:r>
        <w:r>
          <w:rPr>
            <w:noProof/>
            <w:webHidden/>
          </w:rPr>
          <w:t>213</w:t>
        </w:r>
        <w:r>
          <w:rPr>
            <w:noProof/>
            <w:webHidden/>
          </w:rPr>
          <w:fldChar w:fldCharType="end"/>
        </w:r>
      </w:hyperlink>
    </w:p>
    <w:p w14:paraId="58378B8E" w14:textId="3687CC54">
      <w:r>
        <w:rPr>
          <w:rFonts w:ascii="Calibri" w:hAnsi="Calibri"/>
          <w:b/>
        </w:rPr>
        <w:fldChar w:fldCharType="end"/>
      </w:r>
    </w:p>
    <w:p w14:paraId="65F1B255" w14:textId="77777777">
      <w:pPr>
        <w:pStyle w:val="Cmsor1"/>
      </w:pPr>
      <w:bookmarkStart w:id="6" w:name="_Toc242889427"/>
      <w:r>
        <w:lastRenderedPageBreak/>
        <w:t>Introduction</w:t>
      </w:r>
      <w:bookmarkEnd w:id="6"/>
    </w:p>
    <w:p w14:paraId="0453485D" w14:textId="77777777">
      <w:pPr>
        <w:pStyle w:val="Cmsor2"/>
      </w:pPr>
      <w:bookmarkStart w:id="7" w:name="_ta3bzfnw5348" w:colFirst="0" w:colLast="0"/>
      <w:bookmarkStart w:id="8" w:name="_Toc242889428"/>
      <w:bookmarkEnd w:id="7"/>
      <w:r>
        <w:t>Version history</w:t>
      </w:r>
      <w:bookmarkEnd w:id="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24"/>
        <w:gridCol w:w="3487"/>
        <w:gridCol w:w="3487"/>
        <w:gridCol w:w="1420"/>
      </w:tblGrid>
      <w:tr w14:paraId="7E6BFC8E" w14:textId="77777777">
        <w:trPr>
          <w:trHeight w:val="480"/>
        </w:trPr>
        <w:tc>
          <w:tcPr>
            <w:tcW w:w="636" w:type="pct"/>
            <w:shd w:val="clear" w:color="auto" w:fill="EAF1DD"/>
            <w:tcMar>
              <w:top w:w="100" w:type="dxa"/>
              <w:left w:w="100" w:type="dxa"/>
              <w:bottom w:w="100" w:type="dxa"/>
              <w:right w:w="100" w:type="dxa"/>
            </w:tcMar>
          </w:tcPr>
          <w:p w14:paraId="0A0BD754" w14:textId="77777777">
            <w:pPr>
              <w:pStyle w:val="Tabletext"/>
            </w:pPr>
            <w:r>
              <w:t>Version</w:t>
            </w:r>
          </w:p>
        </w:tc>
        <w:tc>
          <w:tcPr>
            <w:tcW w:w="1812" w:type="pct"/>
            <w:shd w:val="clear" w:color="auto" w:fill="EAF1DD"/>
          </w:tcPr>
          <w:p w14:paraId="070456AA" w14:textId="04FBBDA1">
            <w:pPr>
              <w:pStyle w:val="Tabletext"/>
            </w:pPr>
            <w:r>
              <w:t>Authors</w:t>
            </w:r>
          </w:p>
        </w:tc>
        <w:tc>
          <w:tcPr>
            <w:tcW w:w="1813" w:type="pct"/>
            <w:shd w:val="clear" w:color="auto" w:fill="EAF1DD"/>
            <w:tcMar>
              <w:top w:w="100" w:type="dxa"/>
              <w:left w:w="100" w:type="dxa"/>
              <w:bottom w:w="100" w:type="dxa"/>
              <w:right w:w="100" w:type="dxa"/>
            </w:tcMar>
          </w:tcPr>
          <w:p w14:paraId="03506632" w14:textId="089CEB87">
            <w:pPr>
              <w:pStyle w:val="Tabletext"/>
            </w:pPr>
            <w:r>
              <w:t>Changes</w:t>
            </w:r>
          </w:p>
        </w:tc>
        <w:tc>
          <w:tcPr>
            <w:tcW w:w="738" w:type="pct"/>
            <w:shd w:val="clear" w:color="auto" w:fill="EAF1DD"/>
            <w:tcMar>
              <w:top w:w="100" w:type="dxa"/>
              <w:left w:w="100" w:type="dxa"/>
              <w:bottom w:w="100" w:type="dxa"/>
              <w:right w:w="100" w:type="dxa"/>
            </w:tcMar>
          </w:tcPr>
          <w:p w14:paraId="3E6D33E0" w14:textId="77777777">
            <w:pPr>
              <w:pStyle w:val="Tabletext"/>
            </w:pPr>
            <w:r>
              <w:t>Date</w:t>
            </w:r>
          </w:p>
        </w:tc>
      </w:tr>
      <w:tr w14:paraId="44C7DFA9" w14:textId="77777777">
        <w:tc>
          <w:tcPr>
            <w:tcW w:w="636" w:type="pct"/>
            <w:tcMar>
              <w:top w:w="100" w:type="dxa"/>
              <w:left w:w="100" w:type="dxa"/>
              <w:bottom w:w="100" w:type="dxa"/>
              <w:right w:w="100" w:type="dxa"/>
            </w:tcMar>
          </w:tcPr>
          <w:p w14:paraId="0FC4BED0" w14:textId="77777777">
            <w:pPr>
              <w:pStyle w:val="Tabletext"/>
            </w:pPr>
            <w:r>
              <w:t>0.1</w:t>
            </w:r>
          </w:p>
        </w:tc>
        <w:tc>
          <w:tcPr>
            <w:tcW w:w="1812" w:type="pct"/>
          </w:tcPr>
          <w:p w14:paraId="023A11F7" w14:textId="0F117315">
            <w:pPr>
              <w:pStyle w:val="Tabletext"/>
            </w:pPr>
            <w:r>
              <w:t>Balogh</w:t>
            </w:r>
          </w:p>
        </w:tc>
        <w:tc>
          <w:tcPr>
            <w:tcW w:w="1813" w:type="pct"/>
            <w:tcMar>
              <w:top w:w="100" w:type="dxa"/>
              <w:left w:w="100" w:type="dxa"/>
              <w:bottom w:w="100" w:type="dxa"/>
              <w:right w:w="100" w:type="dxa"/>
            </w:tcMar>
          </w:tcPr>
          <w:p w14:paraId="09D8E258" w14:textId="4C7D6936">
            <w:pPr>
              <w:pStyle w:val="Tabletext"/>
            </w:pPr>
            <w:r>
              <w:t>Redaction of the first draft</w:t>
            </w:r>
          </w:p>
        </w:tc>
        <w:tc>
          <w:tcPr>
            <w:tcW w:w="738" w:type="pct"/>
            <w:tcMar>
              <w:top w:w="100" w:type="dxa"/>
              <w:left w:w="100" w:type="dxa"/>
              <w:bottom w:w="100" w:type="dxa"/>
              <w:right w:w="100" w:type="dxa"/>
            </w:tcMar>
          </w:tcPr>
          <w:p w14:paraId="607006F5" w14:textId="77777777">
            <w:pPr>
              <w:pStyle w:val="Tabletext"/>
            </w:pPr>
            <w:r>
              <w:t>2019-07</w:t>
            </w:r>
          </w:p>
        </w:tc>
      </w:tr>
      <w:tr w14:paraId="036080AA" w14:textId="77777777">
        <w:tc>
          <w:tcPr>
            <w:tcW w:w="636" w:type="pct"/>
            <w:tcMar>
              <w:top w:w="100" w:type="dxa"/>
              <w:left w:w="100" w:type="dxa"/>
              <w:bottom w:w="100" w:type="dxa"/>
              <w:right w:w="100" w:type="dxa"/>
            </w:tcMar>
          </w:tcPr>
          <w:p w14:paraId="42DC3D7F" w14:textId="77777777">
            <w:pPr>
              <w:pStyle w:val="Tabletext"/>
            </w:pPr>
            <w:r>
              <w:t>0.8</w:t>
            </w:r>
          </w:p>
        </w:tc>
        <w:tc>
          <w:tcPr>
            <w:tcW w:w="1812" w:type="pct"/>
          </w:tcPr>
          <w:p w14:paraId="29CEBE4D" w14:textId="59A76477">
            <w:pPr>
              <w:pStyle w:val="Tabletext"/>
            </w:pPr>
            <w:r>
              <w:t>Balogh, Griffiths, with Janiak &amp; Francis</w:t>
            </w:r>
          </w:p>
        </w:tc>
        <w:tc>
          <w:tcPr>
            <w:tcW w:w="1813" w:type="pct"/>
            <w:tcMar>
              <w:top w:w="100" w:type="dxa"/>
              <w:left w:w="100" w:type="dxa"/>
              <w:bottom w:w="100" w:type="dxa"/>
              <w:right w:w="100" w:type="dxa"/>
            </w:tcMar>
          </w:tcPr>
          <w:p w14:paraId="16300895" w14:textId="08CFDFF0">
            <w:pPr>
              <w:pStyle w:val="Tabletext"/>
            </w:pPr>
            <w:r>
              <w:t>Expansion and revision for release</w:t>
            </w:r>
          </w:p>
        </w:tc>
        <w:tc>
          <w:tcPr>
            <w:tcW w:w="738" w:type="pct"/>
            <w:tcMar>
              <w:top w:w="100" w:type="dxa"/>
              <w:left w:w="100" w:type="dxa"/>
              <w:bottom w:w="100" w:type="dxa"/>
              <w:right w:w="100" w:type="dxa"/>
            </w:tcMar>
          </w:tcPr>
          <w:p w14:paraId="4BC5EEA1" w14:textId="77777777">
            <w:pPr>
              <w:pStyle w:val="Tabletext"/>
            </w:pPr>
            <w:r>
              <w:t>to 2019-12</w:t>
            </w:r>
          </w:p>
        </w:tc>
      </w:tr>
      <w:tr w14:paraId="68B935B7" w14:textId="77777777">
        <w:tc>
          <w:tcPr>
            <w:tcW w:w="636" w:type="pct"/>
            <w:tcMar>
              <w:top w:w="100" w:type="dxa"/>
              <w:left w:w="100" w:type="dxa"/>
              <w:bottom w:w="100" w:type="dxa"/>
              <w:right w:w="100" w:type="dxa"/>
            </w:tcMar>
          </w:tcPr>
          <w:p w14:paraId="2834BBFF" w14:textId="77777777">
            <w:pPr>
              <w:pStyle w:val="Tabletext"/>
            </w:pPr>
            <w:r>
              <w:t>0.9</w:t>
            </w:r>
          </w:p>
        </w:tc>
        <w:tc>
          <w:tcPr>
            <w:tcW w:w="1812" w:type="pct"/>
          </w:tcPr>
          <w:p w14:paraId="47A95966" w14:textId="1AD6480C">
            <w:pPr>
              <w:pStyle w:val="Tabletext"/>
            </w:pPr>
            <w:r>
              <w:t>Balogh, Griffiths</w:t>
            </w:r>
          </w:p>
        </w:tc>
        <w:tc>
          <w:tcPr>
            <w:tcW w:w="1813" w:type="pct"/>
            <w:tcMar>
              <w:top w:w="100" w:type="dxa"/>
              <w:left w:w="100" w:type="dxa"/>
              <w:bottom w:w="100" w:type="dxa"/>
              <w:right w:w="100" w:type="dxa"/>
            </w:tcMar>
          </w:tcPr>
          <w:p w14:paraId="0A1CEEFF" w14:textId="7B675EB6">
            <w:pPr>
              <w:pStyle w:val="Tabletext"/>
            </w:pPr>
            <w:r>
              <w:t>Redaction for release</w:t>
            </w:r>
          </w:p>
        </w:tc>
        <w:tc>
          <w:tcPr>
            <w:tcW w:w="738" w:type="pct"/>
            <w:tcMar>
              <w:top w:w="100" w:type="dxa"/>
              <w:left w:w="100" w:type="dxa"/>
              <w:bottom w:w="100" w:type="dxa"/>
              <w:right w:w="100" w:type="dxa"/>
            </w:tcMar>
          </w:tcPr>
          <w:p w14:paraId="13095972" w14:textId="77777777">
            <w:pPr>
              <w:pStyle w:val="Tabletext"/>
            </w:pPr>
            <w:r>
              <w:t>to 2020-03-17</w:t>
            </w:r>
          </w:p>
        </w:tc>
      </w:tr>
      <w:tr w14:paraId="64C7F954" w14:textId="77777777">
        <w:tc>
          <w:tcPr>
            <w:tcW w:w="636" w:type="pct"/>
            <w:tcMar>
              <w:top w:w="100" w:type="dxa"/>
              <w:left w:w="100" w:type="dxa"/>
              <w:bottom w:w="100" w:type="dxa"/>
              <w:right w:w="100" w:type="dxa"/>
            </w:tcMar>
          </w:tcPr>
          <w:p w14:paraId="244E9C60" w14:textId="77777777">
            <w:pPr>
              <w:pStyle w:val="Tabletext"/>
            </w:pPr>
            <w:r>
              <w:t>1.0</w:t>
            </w:r>
          </w:p>
        </w:tc>
        <w:tc>
          <w:tcPr>
            <w:tcW w:w="1812" w:type="pct"/>
          </w:tcPr>
          <w:p w14:paraId="559201AB" w14:textId="2996B15A">
            <w:pPr>
              <w:pStyle w:val="Tabletext"/>
            </w:pPr>
            <w:r>
              <w:t>Balogh, Griffiths</w:t>
            </w:r>
          </w:p>
        </w:tc>
        <w:tc>
          <w:tcPr>
            <w:tcW w:w="1813" w:type="pct"/>
            <w:tcMar>
              <w:top w:w="100" w:type="dxa"/>
              <w:left w:w="100" w:type="dxa"/>
              <w:bottom w:w="100" w:type="dxa"/>
              <w:right w:w="100" w:type="dxa"/>
            </w:tcMar>
          </w:tcPr>
          <w:p w14:paraId="76D1E21E" w14:textId="46D7883A">
            <w:pPr>
              <w:pStyle w:val="Tabletext"/>
            </w:pPr>
            <w:r>
              <w:t>Revision after feedback and discussion</w:t>
            </w:r>
          </w:p>
        </w:tc>
        <w:tc>
          <w:tcPr>
            <w:tcW w:w="738" w:type="pct"/>
            <w:tcMar>
              <w:top w:w="100" w:type="dxa"/>
              <w:left w:w="100" w:type="dxa"/>
              <w:bottom w:w="100" w:type="dxa"/>
              <w:right w:w="100" w:type="dxa"/>
            </w:tcMar>
          </w:tcPr>
          <w:p w14:paraId="6CDC9188" w14:textId="77777777">
            <w:pPr>
              <w:pStyle w:val="Tabletext"/>
            </w:pPr>
            <w:r>
              <w:t>2020-07-05</w:t>
            </w:r>
          </w:p>
        </w:tc>
      </w:tr>
      <w:tr w14:paraId="4FE66377" w14:textId="77777777">
        <w:tc>
          <w:tcPr>
            <w:tcW w:w="636" w:type="pct"/>
            <w:tcMar>
              <w:top w:w="100" w:type="dxa"/>
              <w:left w:w="100" w:type="dxa"/>
              <w:bottom w:w="100" w:type="dxa"/>
              <w:right w:w="100" w:type="dxa"/>
            </w:tcMar>
          </w:tcPr>
          <w:p w14:paraId="66B4ED25" w14:textId="77777777">
            <w:pPr>
              <w:pStyle w:val="Tabletext"/>
            </w:pPr>
            <w:r>
              <w:t>(no release)</w:t>
            </w:r>
          </w:p>
        </w:tc>
        <w:tc>
          <w:tcPr>
            <w:tcW w:w="1812" w:type="pct"/>
          </w:tcPr>
          <w:p w14:paraId="6AC8C746" w14:textId="44E6FBD0">
            <w:pPr>
              <w:pStyle w:val="Tabletext"/>
            </w:pPr>
            <w:r>
              <w:t>Balogh</w:t>
            </w:r>
          </w:p>
        </w:tc>
        <w:tc>
          <w:tcPr>
            <w:tcW w:w="1813" w:type="pct"/>
            <w:tcMar>
              <w:top w:w="100" w:type="dxa"/>
              <w:left w:w="100" w:type="dxa"/>
              <w:bottom w:w="100" w:type="dxa"/>
              <w:right w:w="100" w:type="dxa"/>
            </w:tcMar>
          </w:tcPr>
          <w:p w14:paraId="45FA9848" w14:textId="5D56ECD6">
            <w:pPr>
              <w:pStyle w:val="Tabletext"/>
            </w:pPr>
            <w:r>
              <w:t>ongoing revision of online copy</w:t>
            </w:r>
          </w:p>
        </w:tc>
        <w:tc>
          <w:tcPr>
            <w:tcW w:w="738" w:type="pct"/>
            <w:tcMar>
              <w:top w:w="100" w:type="dxa"/>
              <w:left w:w="100" w:type="dxa"/>
              <w:bottom w:w="100" w:type="dxa"/>
              <w:right w:w="100" w:type="dxa"/>
            </w:tcMar>
          </w:tcPr>
          <w:p w14:paraId="39B0D4F4" w14:textId="77777777">
            <w:pPr>
              <w:pStyle w:val="Tabletext"/>
            </w:pPr>
            <w:r>
              <w:t>to 2024-07</w:t>
            </w:r>
          </w:p>
        </w:tc>
      </w:tr>
      <w:tr w14:paraId="586C52DF" w14:textId="77777777">
        <w:tc>
          <w:tcPr>
            <w:tcW w:w="636" w:type="pct"/>
            <w:tcMar>
              <w:top w:w="100" w:type="dxa"/>
              <w:left w:w="100" w:type="dxa"/>
              <w:bottom w:w="100" w:type="dxa"/>
              <w:right w:w="100" w:type="dxa"/>
            </w:tcMar>
          </w:tcPr>
          <w:p w14:paraId="5482A95E" w14:textId="77777777">
            <w:pPr>
              <w:pStyle w:val="Tabletext"/>
            </w:pPr>
            <w:r>
              <w:t>2.0</w:t>
            </w:r>
          </w:p>
        </w:tc>
        <w:tc>
          <w:tcPr>
            <w:tcW w:w="1812" w:type="pct"/>
          </w:tcPr>
          <w:p w14:paraId="789D19AF" w14:textId="6C3A1684">
            <w:pPr>
              <w:pStyle w:val="Tabletext"/>
            </w:pPr>
            <w:r>
              <w:t>Balogh, with Griffiths, Francis &amp; Meyer</w:t>
            </w:r>
          </w:p>
        </w:tc>
        <w:tc>
          <w:tcPr>
            <w:tcW w:w="1813" w:type="pct"/>
            <w:tcMar>
              <w:top w:w="100" w:type="dxa"/>
              <w:left w:w="100" w:type="dxa"/>
              <w:bottom w:w="100" w:type="dxa"/>
              <w:right w:w="100" w:type="dxa"/>
            </w:tcMar>
          </w:tcPr>
          <w:p w14:paraId="33A84C86" w14:textId="3391BA19">
            <w:pPr>
              <w:pStyle w:val="Tabletext"/>
            </w:pPr>
            <w:r>
              <w:t>major overhaul and finalisation</w:t>
            </w:r>
          </w:p>
        </w:tc>
        <w:tc>
          <w:tcPr>
            <w:tcW w:w="738" w:type="pct"/>
            <w:tcMar>
              <w:top w:w="100" w:type="dxa"/>
              <w:left w:w="100" w:type="dxa"/>
              <w:bottom w:w="100" w:type="dxa"/>
              <w:right w:w="100" w:type="dxa"/>
            </w:tcMar>
          </w:tcPr>
          <w:p w14:paraId="5A8C6E32" w14:textId="77777777">
            <w:pPr>
              <w:pStyle w:val="Tabletext"/>
            </w:pPr>
            <w:r>
              <w:t>2026-09</w:t>
            </w:r>
          </w:p>
        </w:tc>
      </w:tr>
    </w:tbl>
    <w:p w14:paraId="4EB425A1" w14:textId="77777777">
      <w:pPr>
        <w:pStyle w:val="Cmsor3"/>
      </w:pPr>
      <w:bookmarkStart w:id="9" w:name="_ss0fr01ijjvr" w:colFirst="0" w:colLast="0"/>
      <w:bookmarkStart w:id="10" w:name="_Ref149662927"/>
      <w:bookmarkStart w:id="11" w:name="_Toc242889429"/>
      <w:bookmarkEnd w:id="9"/>
      <w:r>
        <w:t>About this version and how it relates to other versions</w:t>
      </w:r>
      <w:bookmarkEnd w:id="10"/>
      <w:bookmarkEnd w:id="11"/>
    </w:p>
    <w:p w14:paraId="70146B8D" w14:textId="77777777">
      <w:r>
        <w:t xml:space="preserve">This is the </w:t>
      </w:r>
      <w:r>
        <w:rPr>
          <w:b/>
          <w:bCs/>
        </w:rPr>
        <w:t>final and definitive public release</w:t>
      </w:r>
      <w:r>
        <w:t xml:space="preserve"> version of the DHARMA Encoding Guide for Documentary Editions, which supersedes the first release version (Balogh and Griffiths 2020b, then called Encoding Guide for Diplomatic Editions).</w:t>
      </w:r>
    </w:p>
    <w:p w14:paraId="5A6EE6CC" w14:textId="28DCD319">
      <w:pPr>
        <w:pStyle w:val="Normlbehzs"/>
      </w:pPr>
      <w:r>
        <w:t>Practical experience since the first release has shown that project members primarily consult the online soft copy of the Guide.</w:t>
      </w:r>
      <w:r>
        <w:rPr>
          <w:rStyle w:val="Lbjegyzet-hivatkozs"/>
        </w:rPr>
        <w:footnoteReference w:id="1"/>
      </w:r>
      <w:r>
        <w:t xml:space="preserve"> This was useful because ongoing revisions have been discussed and introduced in that copy. With the release of this final version, no further revision is planned, so the online copy shall serve only for quick access. Moreover, the online copy’s layout is sub-par and its cross-references may be occasionally incorrect, so only this archived release can be considered definitive. When citing the Guide in a publication, please refer only to the release version.</w:t>
      </w:r>
    </w:p>
    <w:p w14:paraId="6B991392" w14:textId="77777777">
      <w:pPr>
        <w:pStyle w:val="Normlbehzs"/>
      </w:pPr>
      <w:r>
        <w:t>No detailed changelog is included here, because this version incorporates all changes accumulated over the years since the last public release.</w:t>
      </w:r>
    </w:p>
    <w:p w14:paraId="4ED7AA46" w14:textId="77777777">
      <w:pPr>
        <w:pStyle w:val="Cmsor2"/>
      </w:pPr>
      <w:bookmarkStart w:id="12" w:name="_7wlxzerj2b6e" w:colFirst="0" w:colLast="0"/>
      <w:bookmarkStart w:id="13" w:name="_mnn7i9yp8l0l" w:colFirst="0" w:colLast="0"/>
      <w:bookmarkStart w:id="14" w:name="_pxxk68dqnvkk" w:colFirst="0" w:colLast="0"/>
      <w:bookmarkStart w:id="15" w:name="_Toc242889430"/>
      <w:bookmarkEnd w:id="12"/>
      <w:bookmarkEnd w:id="13"/>
      <w:bookmarkEnd w:id="14"/>
      <w:r>
        <w:t>Acknowledgements</w:t>
      </w:r>
      <w:bookmarkEnd w:id="15"/>
    </w:p>
    <w:p w14:paraId="42AC1AB1" w14:textId="77777777">
      <w:r>
        <w:t>Many people in addition to the authors noted above have helped in the creation of this guide; the most significant contributors have been Axelle Janiak, Emmanuel Francis, Michaël Meyer and Annette Schmiedchen.</w:t>
      </w:r>
    </w:p>
    <w:p w14:paraId="5F88DB48" w14:textId="77777777">
      <w:pPr>
        <w:pStyle w:val="Cmsor2"/>
      </w:pPr>
      <w:bookmarkStart w:id="16" w:name="_Toc242889431"/>
      <w:r>
        <w:t>Scope</w:t>
      </w:r>
      <w:bookmarkEnd w:id="16"/>
    </w:p>
    <w:p w14:paraId="205130F9" w14:textId="3583C1BC">
      <w:r>
        <w:t>This Guide is for the EpiDoc compliant encoding of original sources for the DHARMA project. The Guide has been composed primarily with epigraphic texts in mind, but is also applicable to the encoding of texts transmitted as manuscripts, when these are edited “as documents” (rather than “as works” in the form of a critical edition). We also hope that the solutions recommended here gain currency beyond the scope of the DHARMA project. All encoders are strongly encouraged at least to skim it from cover to cover, to obtain a general idea of the topics covered in it. This guide presupposes that you are already familiar with version 4 of the DHARMA Transliteration Guide, released together with the present guide.</w:t>
      </w:r>
    </w:p>
    <w:p w14:paraId="65D095CC" w14:textId="77777777">
      <w:pPr>
        <w:pStyle w:val="Cmsor2"/>
      </w:pPr>
      <w:bookmarkStart w:id="17" w:name="_10lqdugq9c0g" w:colFirst="0" w:colLast="0"/>
      <w:bookmarkStart w:id="18" w:name="_Toc242889432"/>
      <w:bookmarkEnd w:id="17"/>
      <w:r>
        <w:lastRenderedPageBreak/>
        <w:t>Further reading</w:t>
      </w:r>
      <w:bookmarkEnd w:id="18"/>
    </w:p>
    <w:p w14:paraId="0E0FAF0B" w14:textId="77777777">
      <w:r>
        <w:t>This Guide is a constrained and detailed adaptation of the EpiDoc guidelines,</w:t>
      </w:r>
      <w:r>
        <w:rPr>
          <w:rStyle w:val="Lbjegyzet-hivatkozs"/>
        </w:rPr>
        <w:footnoteReference w:id="2"/>
      </w:r>
      <w:r>
        <w:t xml:space="preserve"> which are themselves a constrained and detailed adaptation of the TEI guidelines.</w:t>
      </w:r>
      <w:r>
        <w:rPr>
          <w:rStyle w:val="Lbjegyzet-hivatkozs"/>
        </w:rPr>
        <w:footnoteReference w:id="3"/>
      </w:r>
      <w:r>
        <w:t xml:space="preserve"> A good general introduction to EpiDoc can be found in Bodard 2010. If you are entirely new to XML or the idea of computer markup, we recommend </w:t>
      </w:r>
      <w:r>
        <w:rPr>
          <w:noProof/>
        </w:rPr>
        <w:t>Roueché</w:t>
      </w:r>
      <w:r>
        <w:t xml:space="preserve"> and Flanders (n. d.) and Birnbaum (2015) for an introduction. </w:t>
      </w:r>
    </w:p>
    <w:p w14:paraId="0ABAFD1C" w14:textId="77777777">
      <w:pPr>
        <w:pStyle w:val="Cmsor2"/>
      </w:pPr>
      <w:bookmarkStart w:id="19" w:name="_tm2h1v9vrjxa" w:colFirst="0" w:colLast="0"/>
      <w:bookmarkStart w:id="20" w:name="_Toc242889433"/>
      <w:bookmarkEnd w:id="19"/>
      <w:r>
        <w:t>Software</w:t>
      </w:r>
      <w:bookmarkEnd w:id="20"/>
    </w:p>
    <w:p w14:paraId="428CD2EB" w14:textId="31546501">
      <w:r>
        <w:t>The XML editor recommended throughout the project is Oxygen, but you are free to use any editor to produce your marked-up texts. Visual Studio Code is in particular recommended as a powerful free alternative to Oxygen. Editing software will usually be able to colour-code XML and may also be able to check the well-formedness of the markup or even to validate against a schema.</w:t>
      </w:r>
    </w:p>
    <w:p w14:paraId="2F84609B" w14:textId="77777777"/>
    <w:p w14:paraId="047AEEFB" w14:textId="77777777">
      <w:r>
        <w:t>Working in Oxygen, you will need to set a suitable font for the Editor.</w:t>
      </w:r>
    </w:p>
    <w:p w14:paraId="7B2ED066" w14:textId="77777777">
      <w:pPr>
        <w:pStyle w:val="Lista"/>
      </w:pPr>
      <w:r>
        <w:t>the setting is found at Options/Preferences/Appearance/Fonts</w:t>
      </w:r>
    </w:p>
    <w:p w14:paraId="4DFDC241" w14:textId="77777777">
      <w:pPr>
        <w:pStyle w:val="Lista"/>
      </w:pPr>
      <w:r>
        <w:t>what makes a font suitable?</w:t>
      </w:r>
    </w:p>
    <w:p w14:paraId="1B12125B" w14:textId="77777777">
      <w:pPr>
        <w:pStyle w:val="Lista2"/>
      </w:pPr>
      <w:r>
        <w:t>it can correctly display all the diacritical characters you work with</w:t>
      </w:r>
    </w:p>
    <w:p w14:paraId="1F56DF43" w14:textId="77777777">
      <w:pPr>
        <w:pStyle w:val="Lista2"/>
      </w:pPr>
      <w:r>
        <w:t>it is easy on the eye</w:t>
      </w:r>
    </w:p>
    <w:p w14:paraId="62BFDBA3" w14:textId="77777777">
      <w:pPr>
        <w:pStyle w:val="Lista2"/>
      </w:pPr>
      <w:r>
        <w:t xml:space="preserve">it is preferably one in which the characters | </w:t>
      </w:r>
      <w:r>
        <w:rPr>
          <w:noProof/>
        </w:rPr>
        <w:t>(</w:t>
      </w:r>
      <w:r>
        <w:t xml:space="preserve">vertical bar), l </w:t>
      </w:r>
      <w:r>
        <w:rPr>
          <w:noProof/>
        </w:rPr>
        <w:t>(</w:t>
      </w:r>
      <w:r>
        <w:t xml:space="preserve">lowercase L) and I </w:t>
      </w:r>
      <w:r>
        <w:rPr>
          <w:noProof/>
        </w:rPr>
        <w:t>(</w:t>
      </w:r>
      <w:r>
        <w:t>uppercase i) are all easily distinguishable</w:t>
      </w:r>
    </w:p>
    <w:p w14:paraId="7559F54C" w14:textId="77777777">
      <w:pPr>
        <w:pStyle w:val="Lista2"/>
      </w:pPr>
      <w:r>
        <w:t>it is preferably not too wide, so that you can see plenty of text even when not working on a full screen</w:t>
      </w:r>
    </w:p>
    <w:p w14:paraId="172452D5" w14:textId="77777777">
      <w:pPr>
        <w:pStyle w:val="Lista"/>
      </w:pPr>
      <w:r>
        <w:t>some fonts we have tested and liked include:</w:t>
      </w:r>
    </w:p>
    <w:p w14:paraId="678A7058" w14:textId="77777777">
      <w:pPr>
        <w:pStyle w:val="Lista2"/>
      </w:pPr>
      <w:r>
        <w:t xml:space="preserve">Google’s free </w:t>
      </w:r>
      <w:r>
        <w:rPr>
          <w:rFonts w:cs="Noto Serif"/>
        </w:rPr>
        <w:t>Noto Serif</w:t>
      </w:r>
      <w:r>
        <w:t xml:space="preserve"> and </w:t>
      </w:r>
      <w:r>
        <w:rPr>
          <w:rFonts w:cs="Noto Sans"/>
        </w:rPr>
        <w:t>Noto Sans</w:t>
      </w:r>
    </w:p>
    <w:p w14:paraId="4504DE4C" w14:textId="77777777">
      <w:pPr>
        <w:pStyle w:val="Lista2"/>
      </w:pPr>
      <w:r>
        <w:t xml:space="preserve">Microsoft’s </w:t>
      </w:r>
      <w:r>
        <w:rPr>
          <w:rFonts w:asciiTheme="minorHAnsi" w:hAnsiTheme="minorHAnsi"/>
        </w:rPr>
        <w:t>Cambria</w:t>
      </w:r>
      <w:r>
        <w:t xml:space="preserve"> and </w:t>
      </w:r>
      <w:r>
        <w:rPr>
          <w:rFonts w:ascii="Consolas" w:hAnsi="Consolas"/>
        </w:rPr>
        <w:t>Consolas</w:t>
      </w:r>
    </w:p>
    <w:p w14:paraId="75A49924" w14:textId="77777777">
      <w:pPr>
        <w:pStyle w:val="Lista"/>
      </w:pPr>
      <w:r>
        <w:t>note that fonts continue to develop</w:t>
      </w:r>
    </w:p>
    <w:p w14:paraId="2CA15505" w14:textId="11A19EF1">
      <w:pPr>
        <w:pStyle w:val="Lista2"/>
      </w:pPr>
      <w:r>
        <w:t>if a font is attractive but causes display problems, check whether you have the latest version and if not, replace your version with that to see if the problems go away</w:t>
      </w:r>
    </w:p>
    <w:p w14:paraId="66D0ECE3" w14:textId="77777777"/>
    <w:p w14:paraId="781CB427" w14:textId="77777777">
      <w:r>
        <w:t>Further instructions for XML editing software in the project:</w:t>
      </w:r>
    </w:p>
    <w:p w14:paraId="00382765" w14:textId="7BE3C28A">
      <w:pPr>
        <w:pStyle w:val="Lista"/>
      </w:pPr>
      <w:r>
        <w:t xml:space="preserve">for using Oxygen with the DHARMA XML schema: </w:t>
      </w:r>
      <w:hyperlink r:id="rId10" w:history="1">
        <w:r>
          <w:rPr>
            <w:rStyle w:val="Hiperhivatkozs"/>
          </w:rPr>
          <w:t>https://github.com/erc-dharma/project-documentation/blob/66167c20f4be621256460be1640cb7a727104854/schema/README.md</w:t>
        </w:r>
      </w:hyperlink>
    </w:p>
    <w:p w14:paraId="054BFE79" w14:textId="2081F9A1">
      <w:pPr>
        <w:pStyle w:val="Lista"/>
      </w:pPr>
      <w:r>
        <w:t xml:space="preserve">for setting up Oxygen to create human-readable HTML from an XML edition: </w:t>
      </w:r>
      <w:hyperlink r:id="rId11" w:history="1">
        <w:r>
          <w:rPr>
            <w:rStyle w:val="Hiperhivatkozs"/>
          </w:rPr>
          <w:t>https://github.com/erc-dharma/project-documentation/blob/master/stylesheets/README.md</w:t>
        </w:r>
      </w:hyperlink>
    </w:p>
    <w:p w14:paraId="4F6E24F3" w14:textId="32F3A450">
      <w:pPr>
        <w:pStyle w:val="Lista"/>
      </w:pPr>
      <w:r>
        <w:t xml:space="preserve">for using Visual Studio Code: </w:t>
      </w:r>
      <w:hyperlink r:id="rId12" w:history="1">
        <w:r>
          <w:rPr>
            <w:rStyle w:val="Hiperhivatkozs"/>
          </w:rPr>
          <w:t>https://erc-dharma.github.io/project-documentation/visual-code/UsingVS_v01</w:t>
        </w:r>
      </w:hyperlink>
    </w:p>
    <w:p w14:paraId="4F8C60F1" w14:textId="77777777">
      <w:pPr>
        <w:pStyle w:val="Cmsor2"/>
      </w:pPr>
      <w:bookmarkStart w:id="21" w:name="_h6ld3i1yh73t" w:colFirst="0" w:colLast="0"/>
      <w:bookmarkStart w:id="22" w:name="_Toc242889434"/>
      <w:bookmarkEnd w:id="21"/>
      <w:r>
        <w:t>Note on the examples</w:t>
      </w:r>
      <w:bookmarkEnd w:id="22"/>
    </w:p>
    <w:p w14:paraId="576FEF5E" w14:textId="28770433">
      <w:r>
        <w:t>We use generic English text to illustrate layout and other details where the meaning of the text is not relevant. The text excerpts used for other examples are mostly Sanskrit from India. Many of the illustrations have been drawn from actual inscriptions, but to eliminate distractions, details irrelevant to the topic at hand are often silently normalised, restored, corrected or altered in such illustrations.</w:t>
      </w:r>
    </w:p>
    <w:p w14:paraId="7C3EBF9D" w14:textId="77777777">
      <w:pPr>
        <w:pStyle w:val="Normlbehzs"/>
      </w:pPr>
      <w:r>
        <w:t xml:space="preserve">XML </w:t>
      </w:r>
      <w:r>
        <w:rPr>
          <w:rStyle w:val="Code"/>
        </w:rPr>
        <w:t>&lt;elements&gt;</w:t>
      </w:r>
      <w:r>
        <w:t xml:space="preserve"> mentioned in discussion or used in illustrations are set apart from regular text by typeface, text colour and a shaded background. XML </w:t>
      </w:r>
      <w:r>
        <w:rPr>
          <w:rStyle w:val="Codeattribute"/>
        </w:rPr>
        <w:t>@attributes</w:t>
      </w:r>
      <w:r>
        <w:t xml:space="preserve">, when mentioned on their own, are prefixed with an </w:t>
      </w:r>
      <w:r>
        <w:rPr>
          <w:rStyle w:val="Codeattribute"/>
        </w:rPr>
        <w:t>@</w:t>
      </w:r>
      <w:r>
        <w:t xml:space="preserve"> sign and highlighted with text colour and background shading. To eliminate distractions, encoding details irrelevant to the topic at hand </w:t>
      </w:r>
      <w:r>
        <w:rPr>
          <w:noProof/>
        </w:rPr>
        <w:t>(</w:t>
      </w:r>
      <w:r>
        <w:t xml:space="preserve">such as end-tags, attributes and text content) are often omitted in illustrations even though they may be mandatory in actual practice. </w:t>
      </w:r>
    </w:p>
    <w:p w14:paraId="0E49DB68" w14:textId="77777777">
      <w:pPr>
        <w:pStyle w:val="Cmsor2"/>
      </w:pPr>
      <w:bookmarkStart w:id="23" w:name="_66jpmlsjumit" w:colFirst="0" w:colLast="0"/>
      <w:bookmarkStart w:id="24" w:name="_Toc242889435"/>
      <w:bookmarkEnd w:id="23"/>
      <w:r>
        <w:lastRenderedPageBreak/>
        <w:t>Abbreviations</w:t>
      </w:r>
      <w:bookmarkEnd w:id="24"/>
    </w:p>
    <w:p w14:paraId="4272D183" w14:textId="77777777">
      <w:r>
        <w:t>In addition to some straightforward abbreviations, this Guide uses:</w:t>
      </w:r>
    </w:p>
    <w:p w14:paraId="49DC794A" w14:textId="77777777">
      <w:pPr>
        <w:pStyle w:val="Legend"/>
      </w:pPr>
      <w:r>
        <w:tab/>
        <w:t xml:space="preserve">EGC </w:t>
      </w:r>
      <w:r>
        <w:tab/>
        <w:t>the DHARMA Encoding Guide for Critical Editions</w:t>
      </w:r>
    </w:p>
    <w:p w14:paraId="2A25D889" w14:textId="77777777">
      <w:pPr>
        <w:pStyle w:val="Legend"/>
      </w:pPr>
      <w:r>
        <w:tab/>
        <w:t xml:space="preserve">EGD </w:t>
      </w:r>
      <w:r>
        <w:tab/>
        <w:t xml:space="preserve">the DHARMA Encoding Guide for Documentary Editions </w:t>
      </w:r>
      <w:r>
        <w:rPr>
          <w:noProof/>
        </w:rPr>
        <w:t>(</w:t>
      </w:r>
      <w:r>
        <w:t>the present document)</w:t>
      </w:r>
    </w:p>
    <w:p w14:paraId="08F0D2A5" w14:textId="77777777">
      <w:pPr>
        <w:pStyle w:val="Legend"/>
      </w:pPr>
      <w:r>
        <w:tab/>
        <w:t xml:space="preserve">TG </w:t>
      </w:r>
      <w:r>
        <w:tab/>
        <w:t>the DHARMA Transliteration Guide (version 4)</w:t>
      </w:r>
    </w:p>
    <w:p w14:paraId="6F2DB5DD" w14:textId="74222708">
      <w:pPr>
        <w:pStyle w:val="Legend"/>
      </w:pPr>
      <w:r>
        <w:tab/>
      </w:r>
      <w:r>
        <w:rPr>
          <w:highlight w:val="yellow"/>
        </w:rPr>
        <w:t>VG</w:t>
      </w:r>
      <w:r>
        <w:rPr>
          <w:highlight w:val="yellow"/>
        </w:rPr>
        <w:tab/>
        <w:t>the DHARMA Versification Guide</w:t>
      </w:r>
    </w:p>
    <w:p w14:paraId="19CDB360" w14:textId="77777777">
      <w:pPr>
        <w:pStyle w:val="Legend"/>
      </w:pPr>
      <w:r>
        <w:tab/>
        <w:t>ZG</w:t>
      </w:r>
      <w:r>
        <w:tab/>
        <w:t>the DHARMA Zotero Guide</w:t>
      </w:r>
    </w:p>
    <w:p w14:paraId="4743CD9A" w14:textId="6D6187AE">
      <w:pPr>
        <w:pStyle w:val="Cmsor1"/>
      </w:pPr>
      <w:bookmarkStart w:id="25" w:name="_Toc242889436"/>
      <w:r>
        <w:lastRenderedPageBreak/>
        <w:t>Theoretical framework</w:t>
      </w:r>
      <w:bookmarkEnd w:id="25"/>
    </w:p>
    <w:p w14:paraId="03671C88" w14:textId="77777777">
      <w:pPr>
        <w:pStyle w:val="Cmsor2"/>
      </w:pPr>
      <w:bookmarkStart w:id="26" w:name="_ktq4gtyoojde" w:colFirst="0" w:colLast="0"/>
      <w:bookmarkStart w:id="27" w:name="_u31qo517lzme" w:colFirst="0" w:colLast="0"/>
      <w:bookmarkStart w:id="28" w:name="_2jkucuulj067" w:colFirst="0" w:colLast="0"/>
      <w:bookmarkStart w:id="29" w:name="_Toc242889437"/>
      <w:bookmarkEnd w:id="26"/>
      <w:bookmarkEnd w:id="27"/>
      <w:bookmarkEnd w:id="28"/>
      <w:r>
        <w:t>Technical concepts and terminology</w:t>
      </w:r>
      <w:bookmarkEnd w:id="29"/>
    </w:p>
    <w:p w14:paraId="25BE38CB" w14:textId="0EF507BB">
      <w:r>
        <w:t>This section clarifies terms and concepts essential for encoding texts in XML. Grapholinguistic terminology is used in this Guide exactly as defined in TG §1.6 and elaborated in TG §2; a quick summary is provided here in §</w:t>
      </w:r>
      <w:r>
        <w:fldChar w:fldCharType="begin"/>
      </w:r>
      <w:r>
        <w:instrText xml:space="preserve"> REF _Ref242695968 \r \h </w:instrText>
      </w:r>
      <w:r>
        <w:fldChar w:fldCharType="separate"/>
      </w:r>
      <w:r>
        <w:t>5.1</w:t>
      </w:r>
      <w:r>
        <w:fldChar w:fldCharType="end"/>
      </w:r>
      <w:r>
        <w:t xml:space="preserve">. Terms and concepts relevant to versification are defined in </w:t>
      </w:r>
      <w:r>
        <w:rPr>
          <w:highlight w:val="yellow"/>
        </w:rPr>
        <w:t>VG</w:t>
      </w:r>
      <w:r>
        <w:t xml:space="preserve"> §#. Familiarity with terminology pertaining to epigraphy and textual studies is generally taken for granted, but some definitions and explanations are given in the body of the Guide when deemed necessary.</w:t>
      </w:r>
    </w:p>
    <w:p w14:paraId="0D957DBE" w14:textId="77777777">
      <w:pPr>
        <w:pStyle w:val="Cmsor3"/>
      </w:pPr>
      <w:bookmarkStart w:id="30" w:name="_Ref233641527"/>
      <w:bookmarkStart w:id="31" w:name="_Toc242889438"/>
      <w:r>
        <w:t>Markup</w:t>
      </w:r>
      <w:bookmarkEnd w:id="30"/>
      <w:bookmarkEnd w:id="31"/>
    </w:p>
    <w:p w14:paraId="3B05AC21" w14:textId="77777777">
      <w:pPr>
        <w:pStyle w:val="Lista"/>
      </w:pPr>
      <w:r>
        <w:rPr>
          <w:b/>
          <w:bCs/>
        </w:rPr>
        <w:t>markup</w:t>
      </w:r>
      <w:r>
        <w:t xml:space="preserve"> traditionally means annotation within a text to convey information about the presentation of the text, including among others</w:t>
      </w:r>
    </w:p>
    <w:p w14:paraId="63A93A1D" w14:textId="77777777">
      <w:pPr>
        <w:pStyle w:val="Lista2"/>
      </w:pPr>
      <w:r>
        <w:t xml:space="preserve">markings in a modern manuscript to instruct a typesetter, for instance </w:t>
      </w:r>
      <w:r>
        <w:rPr>
          <w:u w:val="single"/>
        </w:rPr>
        <w:t>underline</w:t>
      </w:r>
      <w:r>
        <w:t xml:space="preserve"> to indicate conversion to italics</w:t>
      </w:r>
    </w:p>
    <w:p w14:paraId="6E27595A" w14:textId="77777777">
      <w:pPr>
        <w:pStyle w:val="Lista2"/>
      </w:pPr>
      <w:r>
        <w:t>various brackets and other signs used in philology and epigraphy, for instance to indicate that certain parts of a text are tentatively read or supplied by the editor</w:t>
      </w:r>
    </w:p>
    <w:p w14:paraId="769BC455" w14:textId="77777777">
      <w:pPr>
        <w:pStyle w:val="Lista2"/>
      </w:pPr>
      <w:r>
        <w:t>machine-readable markup, i.e. encoding</w:t>
      </w:r>
    </w:p>
    <w:p w14:paraId="50C7EDC9" w14:textId="77777777">
      <w:pPr>
        <w:pStyle w:val="Lista"/>
      </w:pPr>
      <w:r>
        <w:t xml:space="preserve">the TEI guidelines define </w:t>
      </w:r>
      <w:r>
        <w:rPr>
          <w:b/>
          <w:bCs/>
        </w:rPr>
        <w:t>encoding</w:t>
      </w:r>
      <w:r>
        <w:t xml:space="preserve"> and </w:t>
      </w:r>
      <w:r>
        <w:rPr>
          <w:b/>
          <w:bCs/>
        </w:rPr>
        <w:t>markup</w:t>
      </w:r>
      <w:r>
        <w:t xml:space="preserve"> as synonymous and applicable in a widely generalised sense to “any means of making explicit an interpretation of a text”</w:t>
      </w:r>
      <w:r>
        <w:rPr>
          <w:rStyle w:val="Lbjegyzet-hivatkozs"/>
        </w:rPr>
        <w:footnoteReference w:id="4"/>
      </w:r>
      <w:r>
        <w:t xml:space="preserve"> and including typographic devices, punctuation marks and even spaces</w:t>
      </w:r>
    </w:p>
    <w:p w14:paraId="20FA0A11" w14:textId="77777777">
      <w:pPr>
        <w:pStyle w:val="Lista"/>
      </w:pPr>
      <w:r>
        <w:t>in the more circumscribed usage of this guide,</w:t>
      </w:r>
    </w:p>
    <w:p w14:paraId="3361040B" w14:textId="77777777">
      <w:pPr>
        <w:pStyle w:val="Lista2"/>
      </w:pPr>
      <w:r>
        <w:rPr>
          <w:b/>
          <w:bCs/>
        </w:rPr>
        <w:t>markup</w:t>
      </w:r>
      <w:r>
        <w:t xml:space="preserve"> may refer to shorthand used in the transliteration (TG §3.3), to editorial signs used in a printed edition, or to XML encoding</w:t>
      </w:r>
    </w:p>
    <w:p w14:paraId="2BE4F9FB" w14:textId="77777777">
      <w:pPr>
        <w:pStyle w:val="Lista2"/>
      </w:pPr>
      <w:r>
        <w:rPr>
          <w:b/>
          <w:bCs/>
        </w:rPr>
        <w:t>encoding</w:t>
      </w:r>
      <w:r>
        <w:t xml:space="preserve"> refers specifically to the method of encoding texts in XML</w:t>
      </w:r>
    </w:p>
    <w:p w14:paraId="0A56DFD0" w14:textId="77777777">
      <w:pPr>
        <w:pStyle w:val="Lista"/>
      </w:pPr>
      <w:r>
        <w:rPr>
          <w:b/>
          <w:bCs/>
        </w:rPr>
        <w:t>conceptual markup</w:t>
      </w:r>
      <w:r>
        <w:t xml:space="preserve"> </w:t>
      </w:r>
      <w:r>
        <w:rPr>
          <w:noProof/>
        </w:rPr>
        <w:t>(</w:t>
      </w:r>
      <w:r>
        <w:t xml:space="preserve">also called descriptive markup and semantic markup) essentially means tagging content for </w:t>
      </w:r>
      <w:r>
        <w:rPr>
          <w:rStyle w:val="Foreign"/>
        </w:rPr>
        <w:t>what it is</w:t>
      </w:r>
      <w:r>
        <w:t xml:space="preserve">, as opposed to other types of markup </w:t>
      </w:r>
      <w:r>
        <w:rPr>
          <w:noProof/>
        </w:rPr>
        <w:t>(</w:t>
      </w:r>
      <w:r>
        <w:t>which are only mentioned here for contrast, but which you need not worry about), namely</w:t>
      </w:r>
    </w:p>
    <w:p w14:paraId="41D4E8EF" w14:textId="77777777">
      <w:pPr>
        <w:pStyle w:val="Lista2"/>
      </w:pPr>
      <w:r>
        <w:t xml:space="preserve">presentational markup, which tags content for </w:t>
      </w:r>
      <w:r>
        <w:rPr>
          <w:rStyle w:val="Foreign"/>
        </w:rPr>
        <w:t>what it should look like</w:t>
      </w:r>
      <w:r>
        <w:t>, as in simple WYSIWYG word processing where you can apply bold, italic, font choice, colour, etc. to bits of text</w:t>
      </w:r>
    </w:p>
    <w:p w14:paraId="1FF8DF69" w14:textId="77777777">
      <w:pPr>
        <w:pStyle w:val="Lista2"/>
      </w:pPr>
      <w:r>
        <w:t xml:space="preserve">procedural markup, which tags content for </w:t>
      </w:r>
      <w:r>
        <w:rPr>
          <w:rStyle w:val="Foreign"/>
        </w:rPr>
        <w:t>what an algorithm should do with it</w:t>
      </w:r>
      <w:r>
        <w:t xml:space="preserve">, as for instance in TeX </w:t>
      </w:r>
      <w:r>
        <w:rPr>
          <w:noProof/>
        </w:rPr>
        <w:t>(</w:t>
      </w:r>
      <w:r>
        <w:t>as opposed to LaTeX, which mostly uses conceptual markup)</w:t>
      </w:r>
    </w:p>
    <w:p w14:paraId="299F76AB" w14:textId="77777777">
      <w:pPr>
        <w:pStyle w:val="Lista"/>
      </w:pPr>
      <w:r>
        <w:t xml:space="preserve">conceptual markup allows a </w:t>
      </w:r>
      <w:r>
        <w:rPr>
          <w:i/>
          <w:iCs/>
        </w:rPr>
        <w:t>separation of concerns</w:t>
      </w:r>
      <w:r>
        <w:t>: instructions for what a processing algorithm should do to items tagged in a particular way, as well as instructions for how these items should be rendered on screen or in print, are kept separate from the actual text</w:t>
      </w:r>
    </w:p>
    <w:p w14:paraId="65984873" w14:textId="77777777">
      <w:pPr>
        <w:pStyle w:val="Lista"/>
      </w:pPr>
      <w:r>
        <w:t xml:space="preserve">a </w:t>
      </w:r>
      <w:r>
        <w:rPr>
          <w:b/>
          <w:bCs/>
        </w:rPr>
        <w:t>markup language</w:t>
      </w:r>
      <w:r>
        <w:t xml:space="preserve"> is a coherent set of markup conventions </w:t>
      </w:r>
    </w:p>
    <w:p w14:paraId="1E2044D0" w14:textId="77777777">
      <w:pPr>
        <w:pStyle w:val="Lista"/>
      </w:pPr>
      <w:r>
        <w:rPr>
          <w:b/>
          <w:bCs/>
        </w:rPr>
        <w:t>XML</w:t>
      </w:r>
      <w:r>
        <w:t xml:space="preserve"> </w:t>
      </w:r>
      <w:r>
        <w:rPr>
          <w:noProof/>
        </w:rPr>
        <w:t>(eXtensible</w:t>
      </w:r>
      <w:r>
        <w:t xml:space="preserve"> Markup Language) is a machine-readable markup language used for a wide variety of purposes and independent of hardware or software platform</w:t>
      </w:r>
    </w:p>
    <w:p w14:paraId="56FC9BA7" w14:textId="77777777">
      <w:pPr>
        <w:pStyle w:val="Lista"/>
      </w:pPr>
      <w:r>
        <w:t xml:space="preserve">the </w:t>
      </w:r>
      <w:r>
        <w:rPr>
          <w:b/>
          <w:bCs/>
        </w:rPr>
        <w:t>TEI</w:t>
      </w:r>
      <w:r>
        <w:t xml:space="preserve"> </w:t>
      </w:r>
      <w:r>
        <w:rPr>
          <w:noProof/>
        </w:rPr>
        <w:t>(</w:t>
      </w:r>
      <w:r>
        <w:t xml:space="preserve">Text Encoding Initiative) is a standard for the machine-readable encoding of texts </w:t>
      </w:r>
      <w:r>
        <w:rPr>
          <w:noProof/>
        </w:rPr>
        <w:t>(</w:t>
      </w:r>
      <w:r>
        <w:t>understood in a very broad sense) to facilitate text documentation, text representation, text analysis and interpretation</w:t>
      </w:r>
    </w:p>
    <w:p w14:paraId="33EC496F" w14:textId="77777777">
      <w:pPr>
        <w:pStyle w:val="Lista2"/>
      </w:pPr>
      <w:r>
        <w:t>TEI has been developed and is maintained by the eponymous Text Encoding Initiative Consortium</w:t>
      </w:r>
    </w:p>
    <w:p w14:paraId="0AC9F328" w14:textId="77777777">
      <w:pPr>
        <w:pStyle w:val="Lista2"/>
      </w:pPr>
      <w:r>
        <w:t>TEI defines a versatile and massive set of XML conventions for marking up texts</w:t>
      </w:r>
    </w:p>
    <w:p w14:paraId="0081F21E" w14:textId="77777777">
      <w:pPr>
        <w:pStyle w:val="Lista"/>
      </w:pPr>
      <w:r>
        <w:rPr>
          <w:b/>
          <w:bCs/>
        </w:rPr>
        <w:t>EpiDoc</w:t>
      </w:r>
      <w:r>
        <w:t xml:space="preserve"> is a subset of TEI-compliant markup rules specifically devised for marking up epigraphic documents</w:t>
      </w:r>
    </w:p>
    <w:p w14:paraId="14321F4D" w14:textId="77777777">
      <w:pPr>
        <w:pStyle w:val="Cmsor3"/>
      </w:pPr>
      <w:bookmarkStart w:id="32" w:name="_Ref224893557"/>
      <w:bookmarkStart w:id="33" w:name="_Toc242889439"/>
      <w:r>
        <w:t>XML elements</w:t>
      </w:r>
      <w:bookmarkEnd w:id="32"/>
      <w:bookmarkEnd w:id="33"/>
    </w:p>
    <w:p w14:paraId="61E77B81" w14:textId="77777777">
      <w:pPr>
        <w:pStyle w:val="Lista"/>
      </w:pPr>
      <w:r>
        <w:t xml:space="preserve">the structural units of XML are known as </w:t>
      </w:r>
      <w:r>
        <w:rPr>
          <w:b/>
          <w:bCs/>
        </w:rPr>
        <w:t>elements</w:t>
      </w:r>
    </w:p>
    <w:p w14:paraId="0879E17D" w14:textId="77777777">
      <w:pPr>
        <w:pStyle w:val="Lista"/>
      </w:pPr>
      <w:r>
        <w:lastRenderedPageBreak/>
        <w:t xml:space="preserve">within an XML document, elements take the form of </w:t>
      </w:r>
      <w:r>
        <w:rPr>
          <w:b/>
          <w:bCs/>
        </w:rPr>
        <w:t>tags</w:t>
      </w:r>
      <w:r>
        <w:t xml:space="preserve">: words of code distinguished from the textual content by being always wrapped in angle brackets </w:t>
      </w:r>
      <w:r>
        <w:rPr>
          <w:rStyle w:val="Code"/>
        </w:rPr>
        <w:t>&lt;&gt;</w:t>
      </w:r>
    </w:p>
    <w:p w14:paraId="46CC3D7E" w14:textId="77777777">
      <w:pPr>
        <w:pStyle w:val="Lista"/>
      </w:pPr>
      <w:r>
        <w:t>an XML element may be either</w:t>
      </w:r>
    </w:p>
    <w:p w14:paraId="245FF6BF" w14:textId="77777777">
      <w:pPr>
        <w:pStyle w:val="Lista2"/>
      </w:pPr>
      <w:r>
        <w:rPr>
          <w:b/>
          <w:bCs/>
        </w:rPr>
        <w:t>empty</w:t>
      </w:r>
      <w:r>
        <w:t>, containing neither text nor further elements</w:t>
      </w:r>
    </w:p>
    <w:p w14:paraId="1089CD6A" w14:textId="77777777">
      <w:pPr>
        <w:pStyle w:val="Lista3"/>
      </w:pPr>
      <w:r>
        <w:t>taking the form of a single tag ending with a slash to show that the element ends with the tag</w:t>
      </w:r>
    </w:p>
    <w:p w14:paraId="119A0EB0" w14:textId="77777777">
      <w:pPr>
        <w:pStyle w:val="Lista4"/>
      </w:pPr>
      <w:r>
        <w:t xml:space="preserve">e.g. </w:t>
      </w:r>
      <w:r>
        <w:rPr>
          <w:rStyle w:val="Code"/>
        </w:rPr>
        <w:t>&lt;lb/&gt;</w:t>
      </w:r>
    </w:p>
    <w:p w14:paraId="5E322BBC" w14:textId="77777777">
      <w:pPr>
        <w:pStyle w:val="Lista2"/>
      </w:pPr>
      <w:r>
        <w:t xml:space="preserve">or </w:t>
      </w:r>
      <w:r>
        <w:rPr>
          <w:b/>
          <w:bCs/>
        </w:rPr>
        <w:t>non-empty</w:t>
      </w:r>
      <w:r>
        <w:t xml:space="preserve">, containing any mixture of text and/or further </w:t>
      </w:r>
      <w:r>
        <w:rPr>
          <w:noProof/>
        </w:rPr>
        <w:t>(</w:t>
      </w:r>
      <w:r>
        <w:t>empty or non-empty) XML elements</w:t>
      </w:r>
    </w:p>
    <w:p w14:paraId="45C4B52C" w14:textId="77777777">
      <w:pPr>
        <w:pStyle w:val="Lista3"/>
      </w:pPr>
      <w:r>
        <w:t>taking the form of a pair of tags</w:t>
      </w:r>
    </w:p>
    <w:p w14:paraId="266725B6" w14:textId="77777777">
      <w:pPr>
        <w:pStyle w:val="Lista4"/>
      </w:pPr>
      <w:r>
        <w:t xml:space="preserve">a start-tag which identifies the element, e.g. </w:t>
      </w:r>
      <w:r>
        <w:rPr>
          <w:rStyle w:val="Code"/>
        </w:rPr>
        <w:t>&lt;unclear&gt;</w:t>
      </w:r>
    </w:p>
    <w:p w14:paraId="5E1E90F4" w14:textId="77777777">
      <w:pPr>
        <w:pStyle w:val="Lista4"/>
      </w:pPr>
      <w:r>
        <w:t xml:space="preserve">and an end-tag which includes the slash and repeats the element name, e.g. </w:t>
      </w:r>
      <w:r>
        <w:rPr>
          <w:rStyle w:val="Code"/>
        </w:rPr>
        <w:t>&lt;/unclear&gt;</w:t>
      </w:r>
    </w:p>
    <w:p w14:paraId="55ABD8AD" w14:textId="77777777">
      <w:pPr>
        <w:pStyle w:val="Lista2"/>
      </w:pPr>
      <w:r>
        <w:t>optionally, empty elements can also be represented by a pair of tags with nothing in between</w:t>
      </w:r>
    </w:p>
    <w:p w14:paraId="3CA43E3D" w14:textId="77777777">
      <w:pPr>
        <w:pStyle w:val="Lista3"/>
      </w:pPr>
      <w:r>
        <w:t xml:space="preserve">e.g. </w:t>
      </w:r>
      <w:r>
        <w:rPr>
          <w:rStyle w:val="Code"/>
        </w:rPr>
        <w:t>&lt;lb&gt;&lt;/lb&gt;</w:t>
      </w:r>
    </w:p>
    <w:p w14:paraId="03F47864" w14:textId="77777777">
      <w:pPr>
        <w:pStyle w:val="Lista"/>
      </w:pPr>
      <w:r>
        <w:t>for our purposes, non-empty elements are distinguished into two basic types:</w:t>
      </w:r>
    </w:p>
    <w:p w14:paraId="54BB39B7" w14:textId="77777777">
      <w:pPr>
        <w:pStyle w:val="Lista2"/>
      </w:pPr>
      <w:r>
        <w:rPr>
          <w:b/>
          <w:bCs/>
        </w:rPr>
        <w:t>block-level elements</w:t>
      </w:r>
      <w:r>
        <w:t xml:space="preserve"> or chunks, which, together, must contain all text within an edition</w:t>
      </w:r>
    </w:p>
    <w:p w14:paraId="2DA213D3" w14:textId="6546BB25">
      <w:pPr>
        <w:pStyle w:val="Lista3"/>
      </w:pPr>
      <w:r>
        <w:t xml:space="preserve">these serve in TEI to encode the intrinsic structure of a text </w:t>
      </w:r>
      <w:r>
        <w:rPr>
          <w:noProof/>
        </w:rPr>
        <w:t>(</w:t>
      </w:r>
      <w:r>
        <w:t>§</w:t>
      </w:r>
      <w:r>
        <w:fldChar w:fldCharType="begin"/>
      </w:r>
      <w:r>
        <w:instrText xml:space="preserve"> REF _Ref43978632 \r \h  \* MERGEFORMAT </w:instrText>
      </w:r>
      <w:r>
        <w:fldChar w:fldCharType="separate"/>
      </w:r>
      <w:r>
        <w:t>3</w:t>
      </w:r>
      <w:r>
        <w:fldChar w:fldCharType="end"/>
      </w:r>
      <w:r>
        <w:t>)</w:t>
      </w:r>
    </w:p>
    <w:p w14:paraId="3DDF402C" w14:textId="77777777">
      <w:pPr>
        <w:pStyle w:val="Lista2"/>
      </w:pPr>
      <w:r>
        <w:rPr>
          <w:b/>
          <w:bCs/>
        </w:rPr>
        <w:t>phrase-level</w:t>
      </w:r>
      <w:r>
        <w:t xml:space="preserve"> elements, which must be entirely contained within a block-level element</w:t>
      </w:r>
    </w:p>
    <w:p w14:paraId="38ADAC81" w14:textId="77777777">
      <w:pPr>
        <w:pStyle w:val="Lista3"/>
      </w:pPr>
      <w:r>
        <w:t>these serve to mark up local features of the text, for example uncertain readings, editorial alterations, segments in a different script and numerals</w:t>
      </w:r>
    </w:p>
    <w:p w14:paraId="79BFA681" w14:textId="77777777">
      <w:pPr>
        <w:pStyle w:val="Lista"/>
      </w:pPr>
      <w:r>
        <w:rPr>
          <w:b/>
          <w:bCs/>
        </w:rPr>
        <w:t>XML element names</w:t>
      </w:r>
      <w:r>
        <w:t xml:space="preserve"> are case-sensitive: e.g. </w:t>
      </w:r>
      <w:r>
        <w:rPr>
          <w:rStyle w:val="Code"/>
        </w:rPr>
        <w:t>&lt;unclear&gt;</w:t>
      </w:r>
      <w:r>
        <w:t xml:space="preserve"> cannot be substituted with </w:t>
      </w:r>
      <w:r>
        <w:rPr>
          <w:rStyle w:val="Code"/>
        </w:rPr>
        <w:t>&lt;Unclear&gt;</w:t>
      </w:r>
      <w:r>
        <w:t xml:space="preserve"> or </w:t>
      </w:r>
      <w:r>
        <w:rPr>
          <w:rStyle w:val="Code"/>
        </w:rPr>
        <w:t>&lt;UNCLEAR&gt;</w:t>
      </w:r>
    </w:p>
    <w:p w14:paraId="4863944E" w14:textId="77777777">
      <w:pPr>
        <w:pStyle w:val="Lista"/>
      </w:pPr>
      <w:r>
        <w:t xml:space="preserve">XML elements can have </w:t>
      </w:r>
      <w:r>
        <w:rPr>
          <w:b/>
          <w:bCs/>
        </w:rPr>
        <w:t>attributes</w:t>
      </w:r>
      <w:r>
        <w:t>, whose function is to record additional information about an element</w:t>
      </w:r>
    </w:p>
    <w:p w14:paraId="2F3D4E7A" w14:textId="77777777">
      <w:pPr>
        <w:pStyle w:val="Lista3"/>
      </w:pPr>
      <w:r>
        <w:t>attributes have a name and a value, which are incorporated into the tag for an empty element, or into the start-tag of a non-empty element, e.g.</w:t>
      </w:r>
    </w:p>
    <w:p w14:paraId="5DF86580" w14:textId="77777777">
      <w:pPr>
        <w:pStyle w:val="Lista4"/>
      </w:pPr>
      <w:r>
        <w:rPr>
          <w:rStyle w:val="Code"/>
        </w:rPr>
        <w:t xml:space="preserve">&lt;space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p>
    <w:p w14:paraId="1D5ACEC5" w14:textId="77777777">
      <w:pPr>
        <w:pStyle w:val="Lista4"/>
      </w:pPr>
      <w:r>
        <w:rPr>
          <w:rStyle w:val="Code"/>
        </w:rPr>
        <w:t xml:space="preserve">&lt;unclear </w:t>
      </w:r>
      <w:r>
        <w:rPr>
          <w:rStyle w:val="Codeattribute"/>
        </w:rPr>
        <w:t>cert</w:t>
      </w:r>
      <w:r>
        <w:rPr>
          <w:rStyle w:val="Code"/>
        </w:rPr>
        <w:t>=</w:t>
      </w:r>
      <w:r>
        <w:rPr>
          <w:rStyle w:val="Codevalue"/>
        </w:rPr>
        <w:t>"low"</w:t>
      </w:r>
      <w:r>
        <w:rPr>
          <w:rStyle w:val="Code"/>
        </w:rPr>
        <w:t>&gt;</w:t>
      </w:r>
      <w:r>
        <w:rPr>
          <w:rStyle w:val="Codetext"/>
        </w:rPr>
        <w:t>...</w:t>
      </w:r>
      <w:r>
        <w:rPr>
          <w:rStyle w:val="Code"/>
        </w:rPr>
        <w:t>&lt;/unclear&gt;</w:t>
      </w:r>
    </w:p>
    <w:p w14:paraId="3FBB2B4A" w14:textId="77777777">
      <w:pPr>
        <w:pStyle w:val="Lista3"/>
      </w:pPr>
      <w:r>
        <w:t>one element may have any number of attributes</w:t>
      </w:r>
    </w:p>
    <w:p w14:paraId="0A7899EA" w14:textId="77777777">
      <w:pPr>
        <w:pStyle w:val="Lista3"/>
      </w:pPr>
      <w:r>
        <w:t>attributes must be separated by spaces from each other and from the element name</w:t>
      </w:r>
    </w:p>
    <w:p w14:paraId="4FB56C4A" w14:textId="77777777">
      <w:pPr>
        <w:pStyle w:val="Lista3"/>
      </w:pPr>
      <w:r>
        <w:t>attributes may appear in any order within an element</w:t>
      </w:r>
    </w:p>
    <w:p w14:paraId="7E083B41" w14:textId="77777777">
      <w:pPr>
        <w:pStyle w:val="Lista4"/>
      </w:pPr>
      <w:r>
        <w:t xml:space="preserve">e.g. </w:t>
      </w:r>
      <w:r>
        <w:rPr>
          <w:rStyle w:val="Code"/>
        </w:rPr>
        <w:t xml:space="preserve">&lt;space </w:t>
      </w:r>
      <w:r>
        <w:rPr>
          <w:rStyle w:val="Codeattribute"/>
        </w:rPr>
        <w:t>unit</w:t>
      </w:r>
      <w:r>
        <w:rPr>
          <w:rStyle w:val="Code"/>
        </w:rPr>
        <w:t>=</w:t>
      </w:r>
      <w:r>
        <w:rPr>
          <w:rStyle w:val="Codevalue"/>
        </w:rPr>
        <w:t>"character"</w:t>
      </w:r>
      <w:r>
        <w:rPr>
          <w:rStyle w:val="Code"/>
        </w:rPr>
        <w:t xml:space="preserve"> </w:t>
      </w:r>
      <w:r>
        <w:rPr>
          <w:rStyle w:val="Codeattribute"/>
        </w:rPr>
        <w:t>quantity</w:t>
      </w:r>
      <w:r>
        <w:rPr>
          <w:rStyle w:val="Code"/>
        </w:rPr>
        <w:t>=</w:t>
      </w:r>
      <w:r>
        <w:rPr>
          <w:rStyle w:val="Codevalue"/>
        </w:rPr>
        <w:t>"3"</w:t>
      </w:r>
      <w:r>
        <w:rPr>
          <w:rStyle w:val="Code"/>
        </w:rPr>
        <w:t>/&gt;</w:t>
      </w:r>
      <w:r>
        <w:t xml:space="preserve"> is entirely identical in meaning to the above example with the same attributes in an inverted order</w:t>
      </w:r>
    </w:p>
    <w:p w14:paraId="1CD62DCB" w14:textId="77777777">
      <w:pPr>
        <w:pStyle w:val="Lista3"/>
      </w:pPr>
      <w:r>
        <w:t>the attribute name is followed by an equals sign and the value in double quote marks</w:t>
      </w:r>
      <w:r>
        <w:rPr>
          <w:rStyle w:val="Lbjegyzet-hivatkozs"/>
        </w:rPr>
        <w:footnoteReference w:id="5"/>
      </w:r>
    </w:p>
    <w:p w14:paraId="5FA77DEA" w14:textId="77777777">
      <w:pPr>
        <w:pStyle w:val="Lista4"/>
      </w:pPr>
      <w:r>
        <w:t xml:space="preserve">note that these must be plain typewriter-style quote marks </w:t>
      </w:r>
      <w:r>
        <w:rPr>
          <w:noProof/>
        </w:rPr>
        <w:t>(</w:t>
      </w:r>
      <w:r>
        <w:t xml:space="preserve">i.e. " "), not printer’s quote marks </w:t>
      </w:r>
      <w:r>
        <w:rPr>
          <w:noProof/>
        </w:rPr>
        <w:t>(</w:t>
      </w:r>
      <w:r>
        <w:t>“ ”)</w:t>
      </w:r>
    </w:p>
    <w:p w14:paraId="37966A8D" w14:textId="77777777">
      <w:pPr>
        <w:pStyle w:val="Lista3"/>
      </w:pPr>
      <w:r>
        <w:t>attributes always qualify only the element to which they belong and have no influence on any other elements such as neighbouring ones or elements of the same type elsewhere in the XML structure</w:t>
      </w:r>
    </w:p>
    <w:p w14:paraId="20827652" w14:textId="77777777">
      <w:pPr>
        <w:pStyle w:val="Lista4"/>
      </w:pPr>
      <w:r>
        <w:t>however, attributes may be inherited by elements further down in the hierarchy, so that if an attribute is used in an element that contains further elements to which that attribute can apply, then the attribute and value encoded in the ancestor element will also pertain to the descendant elements</w:t>
      </w:r>
    </w:p>
    <w:p w14:paraId="4801EC20" w14:textId="77777777">
      <w:pPr>
        <w:pStyle w:val="Lista3"/>
      </w:pPr>
      <w:r>
        <w:t xml:space="preserve">when attributes are discussed in human-readable text without being cited as full XML tags, they are conventionally prefixed with an </w:t>
      </w:r>
      <w:r>
        <w:rPr>
          <w:rStyle w:val="Codeattribute"/>
        </w:rPr>
        <w:t>@</w:t>
      </w:r>
      <w:r>
        <w:t xml:space="preserve"> </w:t>
      </w:r>
      <w:r>
        <w:rPr>
          <w:noProof/>
        </w:rPr>
        <w:t>(</w:t>
      </w:r>
      <w:r>
        <w:t>“at”, implying “attribute”) sign; thus, in the above examples</w:t>
      </w:r>
    </w:p>
    <w:p w14:paraId="0CCC5448" w14:textId="77777777">
      <w:pPr>
        <w:pStyle w:val="Lista4"/>
        <w:rPr>
          <w:rStyle w:val="Codeattribute"/>
          <w:rFonts w:ascii="Gentium" w:hAnsi="Gentium" w:cs="Tiro Devanagari Sanskrit"/>
          <w:noProof w:val="0"/>
          <w:color w:val="auto"/>
          <w:shd w:val="clear" w:color="auto" w:fill="auto"/>
        </w:rPr>
      </w:pPr>
      <w:r>
        <w:t xml:space="preserve">the element </w:t>
      </w:r>
      <w:r>
        <w:rPr>
          <w:rStyle w:val="Code"/>
        </w:rPr>
        <w:t>&lt;space&gt;</w:t>
      </w:r>
      <w:r>
        <w:t xml:space="preserve"> has the attributes </w:t>
      </w:r>
      <w:r>
        <w:rPr>
          <w:rStyle w:val="Codeattribute"/>
        </w:rPr>
        <w:t>@quantity</w:t>
      </w:r>
      <w:r>
        <w:t xml:space="preserve"> and </w:t>
      </w:r>
      <w:r>
        <w:rPr>
          <w:rStyle w:val="Codeattribute"/>
        </w:rPr>
        <w:t>@unit</w:t>
      </w:r>
      <w:r>
        <w:t xml:space="preserve">, while the element </w:t>
      </w:r>
      <w:r>
        <w:rPr>
          <w:rStyle w:val="Code"/>
        </w:rPr>
        <w:t>&lt;unclear&gt;</w:t>
      </w:r>
      <w:r>
        <w:t xml:space="preserve"> has the attribute </w:t>
      </w:r>
      <w:r>
        <w:rPr>
          <w:rStyle w:val="Codeattribute"/>
        </w:rPr>
        <w:t>@cert</w:t>
      </w:r>
    </w:p>
    <w:p w14:paraId="15C9FAAB" w14:textId="77777777">
      <w:pPr>
        <w:pStyle w:val="Lista"/>
      </w:pPr>
      <w:r>
        <w:t>in addition to text and elements proper, XML documents may contain some other items, of which one is relevant to us:</w:t>
      </w:r>
    </w:p>
    <w:p w14:paraId="00A2218E" w14:textId="77777777">
      <w:pPr>
        <w:pStyle w:val="Lista2"/>
      </w:pPr>
      <w:r>
        <w:t xml:space="preserve">an </w:t>
      </w:r>
      <w:r>
        <w:rPr>
          <w:b/>
          <w:bCs/>
        </w:rPr>
        <w:t>XML comment</w:t>
      </w:r>
      <w:r>
        <w:t xml:space="preserve"> is anything that is not considered to be part of the document and will be ignored by computers processing an XML file</w:t>
      </w:r>
    </w:p>
    <w:p w14:paraId="66EDF73C" w14:textId="77777777">
      <w:pPr>
        <w:pStyle w:val="Lista3"/>
      </w:pPr>
      <w:r>
        <w:t xml:space="preserve">an XML comment must begin with the characters </w:t>
      </w:r>
      <w:r>
        <w:rPr>
          <w:rStyle w:val="Codetext"/>
        </w:rPr>
        <w:t>&lt;!--</w:t>
      </w:r>
      <w:r>
        <w:t xml:space="preserve"> and end with the characters </w:t>
      </w:r>
      <w:r>
        <w:rPr>
          <w:rStyle w:val="Codetext"/>
        </w:rPr>
        <w:t>--&gt;</w:t>
      </w:r>
    </w:p>
    <w:p w14:paraId="5232B0E8" w14:textId="77777777">
      <w:pPr>
        <w:pStyle w:val="Lista3"/>
      </w:pPr>
      <w:r>
        <w:t xml:space="preserve">comments may be added by editors as notes to other team members to explain their choice of code or to discuss problems in the edition, e.g. </w:t>
      </w:r>
      <w:r>
        <w:rPr>
          <w:rStyle w:val="Codecomment"/>
        </w:rPr>
        <w:t>&lt;!--I'm not sure how to mark this up--&gt;</w:t>
      </w:r>
    </w:p>
    <w:p w14:paraId="7DB9A01A" w14:textId="77777777">
      <w:pPr>
        <w:pStyle w:val="Lista3"/>
      </w:pPr>
      <w:r>
        <w:lastRenderedPageBreak/>
        <w:t>comments may also be used to “switch off” parts of an XML document without deleting them: any XML code placed within the comment opening and closing sequence will become invisible to computer processing</w:t>
      </w:r>
      <w:r>
        <w:rPr>
          <w:rStyle w:val="Lbjegyzet-hivatkozs"/>
        </w:rPr>
        <w:footnoteReference w:id="6"/>
      </w:r>
    </w:p>
    <w:p w14:paraId="553FEDE5" w14:textId="77777777">
      <w:pPr>
        <w:pStyle w:val="Cmsor3"/>
      </w:pPr>
      <w:bookmarkStart w:id="34" w:name="_Toc242889440"/>
      <w:r>
        <w:t>Character entity references</w:t>
      </w:r>
      <w:bookmarkEnd w:id="34"/>
    </w:p>
    <w:p w14:paraId="10964C20" w14:textId="77777777">
      <w:r>
        <w:t xml:space="preserve">In addition to elements and text, XML documents may contain a few other items which need not concern you generally, except for one item type that you should be aware of: XML allows the use of character entity references. These are short code words preceded by an </w:t>
      </w:r>
      <w:r>
        <w:rPr>
          <w:rStyle w:val="Code"/>
        </w:rPr>
        <w:t>&amp;</w:t>
      </w:r>
      <w:r>
        <w:t xml:space="preserve"> </w:t>
      </w:r>
      <w:r>
        <w:rPr>
          <w:noProof/>
        </w:rPr>
        <w:t>(</w:t>
      </w:r>
      <w:r>
        <w:t xml:space="preserve">ampersand) and followed by a </w:t>
      </w:r>
      <w:r>
        <w:rPr>
          <w:rStyle w:val="Code"/>
        </w:rPr>
        <w:t>;</w:t>
      </w:r>
      <w:r>
        <w:t xml:space="preserve"> </w:t>
      </w:r>
      <w:r>
        <w:rPr>
          <w:noProof/>
        </w:rPr>
        <w:t>(</w:t>
      </w:r>
      <w:r>
        <w:t xml:space="preserve">semicolon). The purpose of character entity references is to allow the typing, display and processing of characters which are either not supported on certain platforms </w:t>
      </w:r>
      <w:r>
        <w:rPr>
          <w:noProof/>
        </w:rPr>
        <w:t>(</w:t>
      </w:r>
      <w:r>
        <w:t xml:space="preserve">such as accented characters, but this case need not bother you) or reserved for a special function in XML </w:t>
      </w:r>
      <w:r>
        <w:rPr>
          <w:noProof/>
        </w:rPr>
        <w:t>(</w:t>
      </w:r>
      <w:r>
        <w:t>which is what matters to us). As a consequence,</w:t>
      </w:r>
    </w:p>
    <w:p w14:paraId="70F32A9C" w14:textId="77777777">
      <w:pPr>
        <w:pStyle w:val="Lista"/>
      </w:pPr>
      <w:r>
        <w:t xml:space="preserve">should you need to use the </w:t>
      </w:r>
      <w:r>
        <w:rPr>
          <w:rStyle w:val="Code"/>
        </w:rPr>
        <w:t>&lt;</w:t>
      </w:r>
      <w:r>
        <w:t xml:space="preserve"> character </w:t>
      </w:r>
      <w:r>
        <w:rPr>
          <w:noProof/>
        </w:rPr>
        <w:t>(</w:t>
      </w:r>
      <w:r>
        <w:t xml:space="preserve">which an XML processing engine would interpret as the beginning of an XML tag), you must instead use the entity reference </w:t>
      </w:r>
      <w:r>
        <w:rPr>
          <w:rStyle w:val="Code"/>
        </w:rPr>
        <w:t>&amp;lt;</w:t>
      </w:r>
      <w:r>
        <w:t xml:space="preserve"> </w:t>
      </w:r>
      <w:r>
        <w:rPr>
          <w:noProof/>
        </w:rPr>
        <w:t>(</w:t>
      </w:r>
      <w:r>
        <w:t xml:space="preserve">where </w:t>
      </w:r>
      <w:r>
        <w:rPr>
          <w:noProof/>
        </w:rPr>
        <w:t>“lt”</w:t>
      </w:r>
      <w:r>
        <w:t xml:space="preserve"> stands for “less than”)</w:t>
      </w:r>
    </w:p>
    <w:p w14:paraId="3BB68B59" w14:textId="77777777">
      <w:pPr>
        <w:pStyle w:val="Lista"/>
      </w:pPr>
      <w:r>
        <w:t xml:space="preserve">should you need to use the </w:t>
      </w:r>
      <w:r>
        <w:rPr>
          <w:rStyle w:val="Code"/>
        </w:rPr>
        <w:t>&amp;</w:t>
      </w:r>
      <w:r>
        <w:t xml:space="preserve"> character </w:t>
      </w:r>
      <w:r>
        <w:rPr>
          <w:noProof/>
        </w:rPr>
        <w:t>(</w:t>
      </w:r>
      <w:r>
        <w:t xml:space="preserve">which an XML processing engine would interpret as the beginning of an entity reference), you must instead use the entity reference </w:t>
      </w:r>
      <w:r>
        <w:rPr>
          <w:rStyle w:val="Code"/>
        </w:rPr>
        <w:t>&amp;amp;</w:t>
      </w:r>
      <w:r>
        <w:t xml:space="preserve"> </w:t>
      </w:r>
      <w:r>
        <w:rPr>
          <w:noProof/>
        </w:rPr>
        <w:t>(</w:t>
      </w:r>
      <w:r>
        <w:t>where “amp” stands for “ampersand”)</w:t>
      </w:r>
    </w:p>
    <w:p w14:paraId="650CA5BA" w14:textId="77777777">
      <w:pPr>
        <w:pStyle w:val="Lista"/>
      </w:pPr>
      <w:r>
        <w:t xml:space="preserve">in Oxygen, whenever you enter an </w:t>
      </w:r>
      <w:r>
        <w:rPr>
          <w:rStyle w:val="Code"/>
        </w:rPr>
        <w:t>&amp;</w:t>
      </w:r>
      <w:r>
        <w:t xml:space="preserve">, the software will automatically suggest a list of pre-defined entity references </w:t>
      </w:r>
      <w:r>
        <w:rPr>
          <w:noProof/>
        </w:rPr>
        <w:t>(</w:t>
      </w:r>
      <w:r>
        <w:t xml:space="preserve">starting with </w:t>
      </w:r>
      <w:r>
        <w:rPr>
          <w:rStyle w:val="Code"/>
        </w:rPr>
        <w:t>&amp;amp;</w:t>
      </w:r>
      <w:r>
        <w:t>) so all you need do is select and accept the suggestion for the character you need</w:t>
      </w:r>
    </w:p>
    <w:p w14:paraId="313ECCF4" w14:textId="0EAB057F">
      <w:pPr>
        <w:pStyle w:val="Lista"/>
      </w:pPr>
      <w:r>
        <w:t xml:space="preserve">if during validation you encounter unexpected errors, consider if you may have used the characters </w:t>
      </w:r>
      <w:r>
        <w:rPr>
          <w:rStyle w:val="Code"/>
        </w:rPr>
        <w:t>&amp;</w:t>
      </w:r>
      <w:r>
        <w:t xml:space="preserve">, </w:t>
      </w:r>
      <w:r>
        <w:rPr>
          <w:rStyle w:val="Code"/>
        </w:rPr>
        <w:t>&lt;</w:t>
      </w:r>
      <w:r>
        <w:t xml:space="preserve"> or </w:t>
      </w:r>
      <w:r>
        <w:rPr>
          <w:rStyle w:val="Code"/>
        </w:rPr>
        <w:t>&gt;</w:t>
      </w:r>
      <w:r>
        <w:t xml:space="preserve"> inadvertently, for example because you have copy-pasted text from a word processor</w:t>
      </w:r>
    </w:p>
    <w:p w14:paraId="51497432" w14:textId="77777777">
      <w:pPr>
        <w:pStyle w:val="Cmsor3"/>
      </w:pPr>
      <w:bookmarkStart w:id="35" w:name="_Ref224893456"/>
      <w:bookmarkStart w:id="36" w:name="_Toc242889441"/>
      <w:r>
        <w:t>XML hierarchy</w:t>
      </w:r>
      <w:bookmarkEnd w:id="35"/>
      <w:bookmarkEnd w:id="36"/>
    </w:p>
    <w:p w14:paraId="09FB8DEA" w14:textId="77777777">
      <w:pPr>
        <w:pStyle w:val="Lista"/>
      </w:pPr>
      <w:r>
        <w:t xml:space="preserve">the structure of an XML document </w:t>
      </w:r>
      <w:r>
        <w:rPr>
          <w:b/>
          <w:bCs/>
        </w:rPr>
        <w:t>hierarchical</w:t>
      </w:r>
      <w:r>
        <w:t xml:space="preserve">, consisting of “boxes within boxes within boxes” or more accurately an </w:t>
      </w:r>
      <w:r>
        <w:rPr>
          <w:rStyle w:val="Foreign"/>
        </w:rPr>
        <w:t>ordered hierarchy of content objects</w:t>
      </w:r>
    </w:p>
    <w:p w14:paraId="12800521" w14:textId="77777777">
      <w:pPr>
        <w:pStyle w:val="Lista"/>
        <w:ind w:left="340"/>
      </w:pPr>
      <w:r>
        <w:t xml:space="preserve">every XML document must be wrapped in a </w:t>
      </w:r>
      <w:r>
        <w:rPr>
          <w:b/>
          <w:bCs/>
        </w:rPr>
        <w:t>root element</w:t>
      </w:r>
      <w:r>
        <w:t xml:space="preserve"> which serves as a container for the document as a whole</w:t>
      </w:r>
    </w:p>
    <w:p w14:paraId="54518287" w14:textId="77777777">
      <w:pPr>
        <w:pStyle w:val="Lista2"/>
        <w:ind w:left="510"/>
      </w:pPr>
      <w:r>
        <w:t xml:space="preserve">all other elements (except for some instructions at the beginning of the document) are </w:t>
      </w:r>
      <w:r>
        <w:rPr>
          <w:b/>
          <w:bCs/>
        </w:rPr>
        <w:t>nested</w:t>
      </w:r>
      <w:r>
        <w:t xml:space="preserve"> either directly within the root element, or at a lower level of the hierarchy</w:t>
      </w:r>
    </w:p>
    <w:p w14:paraId="56095014" w14:textId="77777777">
      <w:pPr>
        <w:pStyle w:val="Lista"/>
        <w:ind w:left="340"/>
      </w:pPr>
      <w:r>
        <w:t xml:space="preserve">if an element is embedded directly within another element, then the former is referred to as a </w:t>
      </w:r>
      <w:r>
        <w:rPr>
          <w:b/>
          <w:bCs/>
        </w:rPr>
        <w:t>child</w:t>
      </w:r>
      <w:r>
        <w:t xml:space="preserve"> of the latter, and the latter as the </w:t>
      </w:r>
      <w:r>
        <w:rPr>
          <w:b/>
          <w:bCs/>
        </w:rPr>
        <w:t>parent</w:t>
      </w:r>
      <w:r>
        <w:t xml:space="preserve"> of the former</w:t>
      </w:r>
    </w:p>
    <w:p w14:paraId="3E5203B4" w14:textId="77777777">
      <w:pPr>
        <w:pStyle w:val="Lista"/>
        <w:ind w:left="340"/>
      </w:pPr>
      <w:r>
        <w:t xml:space="preserve">if an element is embedded at any depth within another element, then the former is a </w:t>
      </w:r>
      <w:r>
        <w:rPr>
          <w:b/>
          <w:bCs/>
        </w:rPr>
        <w:t>descendant</w:t>
      </w:r>
      <w:r>
        <w:t xml:space="preserve"> of the latter, and the latter is the </w:t>
      </w:r>
      <w:r>
        <w:rPr>
          <w:b/>
          <w:bCs/>
        </w:rPr>
        <w:t>ancestor</w:t>
      </w:r>
      <w:r>
        <w:t xml:space="preserve"> of the former</w:t>
      </w:r>
    </w:p>
    <w:tbl>
      <w:tblPr>
        <w:tblStyle w:val="CodeSampleTable"/>
        <w:tblpPr w:leftFromText="180" w:rightFromText="180" w:vertAnchor="text" w:tblpXSpec="right" w:tblpY="4"/>
        <w:tblW w:w="0" w:type="auto"/>
        <w:tblLook w:val="04A0" w:firstRow="1" w:lastRow="0" w:firstColumn="1" w:lastColumn="0" w:noHBand="0" w:noVBand="1"/>
      </w:tblPr>
      <w:tblGrid>
        <w:gridCol w:w="1848"/>
      </w:tblGrid>
      <w:tr w14:paraId="1B075943" w14:textId="77777777">
        <w:trPr>
          <w:cnfStyle w:val="100000000000" w:firstRow="1" w:lastRow="0" w:firstColumn="0" w:lastColumn="0" w:oddVBand="0" w:evenVBand="0" w:oddHBand="0" w:evenHBand="0" w:firstRowFirstColumn="0" w:firstRowLastColumn="0" w:lastRowFirstColumn="0" w:lastRowLastColumn="0"/>
        </w:trPr>
        <w:tc>
          <w:tcPr>
            <w:tcW w:w="1848" w:type="dxa"/>
          </w:tcPr>
          <w:p w14:paraId="6B64F491" w14:textId="47DBFCCF">
            <w:pPr>
              <w:pStyle w:val="Kpalrs"/>
            </w:pPr>
            <w:bookmarkStart w:id="37" w:name="_Ref43993481"/>
            <w:r>
              <w:t xml:space="preserve">Exhibit </w:t>
            </w:r>
            <w:fldSimple w:instr=" STYLEREF 2 \s ">
              <w:r>
                <w:rPr>
                  <w:noProof/>
                </w:rPr>
                <w:t>2.1</w:t>
              </w:r>
            </w:fldSimple>
            <w:r>
              <w:t>.</w:t>
            </w:r>
            <w:fldSimple w:instr=" SEQ Exhibit \* ALPHABETIC \s 2 ">
              <w:r>
                <w:rPr>
                  <w:noProof/>
                </w:rPr>
                <w:t>A</w:t>
              </w:r>
            </w:fldSimple>
            <w:bookmarkEnd w:id="37"/>
            <w:r>
              <w:t xml:space="preserve">: </w:t>
            </w:r>
            <w:r>
              <w:br/>
              <w:t>XML hierarchy</w:t>
            </w:r>
          </w:p>
        </w:tc>
      </w:tr>
      <w:tr w14:paraId="2245B4AA" w14:textId="77777777">
        <w:tc>
          <w:tcPr>
            <w:tcW w:w="1848" w:type="dxa"/>
          </w:tcPr>
          <w:p w14:paraId="03F8191D" w14:textId="77777777">
            <w:pPr>
              <w:pStyle w:val="CodeParagraph"/>
              <w:rPr>
                <w:rStyle w:val="Code"/>
              </w:rPr>
            </w:pPr>
            <w:r>
              <w:rPr>
                <w:rStyle w:val="Code"/>
              </w:rPr>
              <w:t xml:space="preserve">  &lt;A&gt;</w:t>
            </w:r>
          </w:p>
          <w:p w14:paraId="5FE822BC" w14:textId="77777777">
            <w:pPr>
              <w:pStyle w:val="CodeParagraph"/>
              <w:rPr>
                <w:rStyle w:val="Code"/>
              </w:rPr>
            </w:pPr>
            <w:r>
              <w:rPr>
                <w:rStyle w:val="Code"/>
              </w:rPr>
              <w:t xml:space="preserve">    &lt;B&gt;</w:t>
            </w:r>
          </w:p>
          <w:p w14:paraId="67895EC9" w14:textId="77777777">
            <w:pPr>
              <w:pStyle w:val="CodeParagraph"/>
              <w:rPr>
                <w:rStyle w:val="Code"/>
              </w:rPr>
            </w:pPr>
            <w:r>
              <w:rPr>
                <w:rStyle w:val="Code"/>
              </w:rPr>
              <w:t xml:space="preserve">      &lt;C&gt;&lt;/C&gt;</w:t>
            </w:r>
          </w:p>
          <w:p w14:paraId="1C0632B8" w14:textId="77777777">
            <w:pPr>
              <w:pStyle w:val="CodeParagraph"/>
              <w:rPr>
                <w:rStyle w:val="Code"/>
              </w:rPr>
            </w:pPr>
            <w:r>
              <w:rPr>
                <w:rStyle w:val="Code"/>
              </w:rPr>
              <w:t xml:space="preserve">      &lt;D&gt;&lt;/D&gt;</w:t>
            </w:r>
          </w:p>
          <w:p w14:paraId="34D46D53" w14:textId="77777777">
            <w:pPr>
              <w:pStyle w:val="CodeParagraph"/>
              <w:rPr>
                <w:rStyle w:val="Code"/>
              </w:rPr>
            </w:pPr>
            <w:r>
              <w:rPr>
                <w:rStyle w:val="Code"/>
              </w:rPr>
              <w:t xml:space="preserve">    &lt;/B&gt;</w:t>
            </w:r>
          </w:p>
          <w:p w14:paraId="5472D0A2" w14:textId="77777777">
            <w:pPr>
              <w:pStyle w:val="CodeParagraph"/>
              <w:rPr>
                <w:rStyle w:val="Code"/>
              </w:rPr>
            </w:pPr>
            <w:r>
              <w:rPr>
                <w:rStyle w:val="Code"/>
              </w:rPr>
              <w:t xml:space="preserve">    &lt;E&gt;</w:t>
            </w:r>
          </w:p>
          <w:p w14:paraId="53BABBA1" w14:textId="77777777">
            <w:pPr>
              <w:pStyle w:val="CodeParagraph"/>
              <w:rPr>
                <w:rStyle w:val="Code"/>
              </w:rPr>
            </w:pPr>
            <w:r>
              <w:rPr>
                <w:rStyle w:val="Code"/>
              </w:rPr>
              <w:t xml:space="preserve">      &lt;F&gt;&lt;/F&gt;</w:t>
            </w:r>
          </w:p>
          <w:p w14:paraId="3DBCF517" w14:textId="77777777">
            <w:pPr>
              <w:pStyle w:val="CodeParagraph"/>
              <w:rPr>
                <w:rStyle w:val="Code"/>
              </w:rPr>
            </w:pPr>
            <w:r>
              <w:rPr>
                <w:rStyle w:val="Code"/>
              </w:rPr>
              <w:t xml:space="preserve">    &lt;/E&gt;</w:t>
            </w:r>
          </w:p>
          <w:p w14:paraId="151358E3" w14:textId="77777777">
            <w:pPr>
              <w:pStyle w:val="CodeParagraph"/>
            </w:pPr>
            <w:r>
              <w:rPr>
                <w:rStyle w:val="Code"/>
              </w:rPr>
              <w:t xml:space="preserve">  &lt;/A&gt;</w:t>
            </w:r>
          </w:p>
        </w:tc>
      </w:tr>
    </w:tbl>
    <w:p w14:paraId="67309A13" w14:textId="099D5381">
      <w:pPr>
        <w:pStyle w:val="Lista2"/>
        <w:ind w:left="510"/>
      </w:pPr>
      <w:r>
        <w:t xml:space="preserve">thus, in </w:t>
      </w:r>
      <w:r>
        <w:fldChar w:fldCharType="begin"/>
      </w:r>
      <w:r>
        <w:instrText xml:space="preserve"> REF _Ref43993481 \h  \* MERGEFORMAT </w:instrText>
      </w:r>
      <w:r>
        <w:fldChar w:fldCharType="separate"/>
      </w:r>
      <w:r>
        <w:t xml:space="preserve">Exhibit </w:t>
      </w:r>
      <w:r>
        <w:rPr>
          <w:noProof/>
        </w:rPr>
        <w:t>2.1.A</w:t>
      </w:r>
      <w:r>
        <w:fldChar w:fldCharType="end"/>
      </w:r>
      <w:r>
        <w:t>,</w:t>
      </w:r>
    </w:p>
    <w:p w14:paraId="4E93AD35" w14:textId="77777777">
      <w:pPr>
        <w:pStyle w:val="Lista3"/>
        <w:ind w:left="680"/>
      </w:pPr>
      <w:r>
        <w:t xml:space="preserve">B and E are children of A </w:t>
      </w:r>
      <w:r>
        <w:rPr>
          <w:noProof/>
        </w:rPr>
        <w:t>(</w:t>
      </w:r>
      <w:r>
        <w:t>the root element)</w:t>
      </w:r>
    </w:p>
    <w:p w14:paraId="1268B016" w14:textId="77777777">
      <w:pPr>
        <w:pStyle w:val="Lista3"/>
        <w:ind w:left="680"/>
      </w:pPr>
      <w:r>
        <w:t>C and D are children of B</w:t>
      </w:r>
    </w:p>
    <w:p w14:paraId="5537E9B3" w14:textId="77777777">
      <w:pPr>
        <w:pStyle w:val="Lista3"/>
        <w:ind w:left="680"/>
      </w:pPr>
      <w:r>
        <w:t>F is the child of E</w:t>
      </w:r>
    </w:p>
    <w:p w14:paraId="5D0D4A39" w14:textId="77777777">
      <w:pPr>
        <w:pStyle w:val="Lista3"/>
        <w:ind w:left="680"/>
      </w:pPr>
      <w:r>
        <w:t>B, C, D, E and F are all descendants of A</w:t>
      </w:r>
    </w:p>
    <w:p w14:paraId="61E55083" w14:textId="77777777">
      <w:pPr>
        <w:pStyle w:val="Lista"/>
      </w:pPr>
      <w:r>
        <w:t>such a conceptual model is well suited for representing the structure of texts as works (e.g. text in paragraphs in chapters in books)</w:t>
      </w:r>
    </w:p>
    <w:p w14:paraId="354E8955" w14:textId="77777777">
      <w:pPr>
        <w:pStyle w:val="Lista"/>
      </w:pPr>
      <w:r>
        <w:t>however, it faces a problem when it is desirable to encode additional structures within the same text, such as the extrinsic structure of a text as document (e.g. text in lines on pages in sheaves)</w:t>
      </w:r>
    </w:p>
    <w:p w14:paraId="20F75042" w14:textId="77777777">
      <w:pPr>
        <w:pStyle w:val="Lista2"/>
      </w:pPr>
      <w:r>
        <w:t xml:space="preserve">such situations are referred to as </w:t>
      </w:r>
      <w:r>
        <w:rPr>
          <w:b/>
          <w:bCs/>
        </w:rPr>
        <w:t>overlapping hierarchies</w:t>
      </w:r>
      <w:r>
        <w:t xml:space="preserve">: although both are ordered hierarchies, the structures overlap </w:t>
      </w:r>
      <w:r>
        <w:rPr>
          <w:noProof/>
        </w:rPr>
        <w:t>(</w:t>
      </w:r>
      <w:r>
        <w:t>for instance, a stanza or paragraph may begin in one inscribed line and end in the next)</w:t>
      </w:r>
    </w:p>
    <w:p w14:paraId="4ACEA74D" w14:textId="77777777">
      <w:pPr>
        <w:pStyle w:val="Lista3"/>
      </w:pPr>
      <w:r>
        <w:t>other overlapping hierarchies relevant to textual studies include</w:t>
      </w:r>
    </w:p>
    <w:p w14:paraId="74F51F11" w14:textId="77777777">
      <w:pPr>
        <w:pStyle w:val="Lista4"/>
      </w:pPr>
      <w:r>
        <w:t>syntactical structure</w:t>
      </w:r>
    </w:p>
    <w:p w14:paraId="7AB5D72B" w14:textId="77777777">
      <w:pPr>
        <w:pStyle w:val="Lista4"/>
      </w:pPr>
      <w:r>
        <w:lastRenderedPageBreak/>
        <w:t xml:space="preserve">semantically distinguished segments </w:t>
      </w:r>
      <w:r>
        <w:rPr>
          <w:noProof/>
        </w:rPr>
        <w:t>(</w:t>
      </w:r>
      <w:r>
        <w:t>such as names or colophons)</w:t>
      </w:r>
    </w:p>
    <w:p w14:paraId="2D0C8089" w14:textId="77777777">
      <w:pPr>
        <w:pStyle w:val="Lista4"/>
      </w:pPr>
      <w:r>
        <w:t>the location of spots of damage in a physical support</w:t>
      </w:r>
    </w:p>
    <w:p w14:paraId="53ABE19C" w14:textId="77777777">
      <w:pPr>
        <w:pStyle w:val="Lista4"/>
      </w:pPr>
      <w:r>
        <w:t>lemmas to which apparatus entries or commentarial notes may need to be anchored</w:t>
      </w:r>
    </w:p>
    <w:p w14:paraId="03FAEF59" w14:textId="77777777">
      <w:pPr>
        <w:pStyle w:val="Lista"/>
      </w:pPr>
      <w:r>
        <w:t>since XML elements must never overlap, the primary structure of an XML document can represent no more than one hierarchy relevant to the encoded text</w:t>
      </w:r>
    </w:p>
    <w:p w14:paraId="4CBCDC5C" w14:textId="77777777">
      <w:pPr>
        <w:pStyle w:val="Lista2"/>
      </w:pPr>
      <w:r>
        <w:t xml:space="preserve">in our EpiDoc editions, the primary hierarchy is that of the text’s intrinsic </w:t>
      </w:r>
      <w:r>
        <w:rPr>
          <w:noProof/>
        </w:rPr>
        <w:t>(</w:t>
      </w:r>
      <w:r>
        <w:t>as opposed to physical) structure</w:t>
      </w:r>
    </w:p>
    <w:p w14:paraId="045E83A7" w14:textId="77777777">
      <w:pPr>
        <w:pStyle w:val="Lista"/>
      </w:pPr>
      <w:r>
        <w:t>any alternative hierarchies must be represented in XML using one of two basic methods:</w:t>
      </w:r>
    </w:p>
    <w:p w14:paraId="38ED430F" w14:textId="77777777">
      <w:pPr>
        <w:pStyle w:val="Lista2"/>
      </w:pPr>
      <w:r>
        <w:t xml:space="preserve">by using dedicated empty elements </w:t>
      </w:r>
      <w:r>
        <w:rPr>
          <w:noProof/>
        </w:rPr>
        <w:t>(</w:t>
      </w:r>
      <w:r>
        <w:t>called milestones) as pointlike markers of transitions in the alternative hierarchy, instead of non-empty elements as containers for items of the hierarchy</w:t>
      </w:r>
    </w:p>
    <w:p w14:paraId="0132626E" w14:textId="77777777">
      <w:pPr>
        <w:pStyle w:val="Lista3"/>
      </w:pPr>
      <w:r>
        <w:t>thus in our editions, transition points in physical structure are marked with empty elements instead of treating lines and other extrinsic units as elements of the primary hierarchy</w:t>
      </w:r>
    </w:p>
    <w:p w14:paraId="04F6D07C" w14:textId="77777777">
      <w:pPr>
        <w:pStyle w:val="Lista2"/>
      </w:pPr>
      <w:r>
        <w:t>by deploying linking mechanisms to establish a connection between items located in disparate points of the primary hierarchy</w:t>
      </w:r>
    </w:p>
    <w:p w14:paraId="0BA8D335" w14:textId="77777777">
      <w:pPr>
        <w:pStyle w:val="Lista3"/>
      </w:pPr>
      <w:r>
        <w:t xml:space="preserve">in our editions this method is most prominently used in the critical apparatus, which is built using </w:t>
      </w:r>
      <w:r>
        <w:rPr>
          <w:b/>
          <w:bCs/>
        </w:rPr>
        <w:t>standoff markup</w:t>
      </w:r>
      <w:r>
        <w:t>, where the apparatus is located in a section of the XML document separate from the text edition</w:t>
      </w:r>
    </w:p>
    <w:p w14:paraId="66BB5307" w14:textId="77777777">
      <w:pPr>
        <w:pStyle w:val="Lista2"/>
      </w:pPr>
      <w:r>
        <w:t>alternative hierarchies may also be disregarded in XML editions; thus</w:t>
      </w:r>
    </w:p>
    <w:p w14:paraId="3B6D2C02" w14:textId="77777777">
      <w:pPr>
        <w:pStyle w:val="Lista3"/>
      </w:pPr>
      <w:r>
        <w:t>we do not, at the present stage, use any markup to represent the syntactical structure of a text</w:t>
      </w:r>
    </w:p>
    <w:p w14:paraId="663E2D6E" w14:textId="59017406">
      <w:pPr>
        <w:pStyle w:val="Lista3"/>
      </w:pPr>
      <w:r>
        <w:t xml:space="preserve">where physical features of the inscription, such as spots of damage which render the text unclear or illegible, overlap with the intrinsic structure, we use separate XML elements to mark up stretches of the same physical feature divided between two separate elements of the primary hierarchy </w:t>
      </w:r>
      <w:r>
        <w:rPr>
          <w:noProof/>
        </w:rPr>
        <w:t>(</w:t>
      </w:r>
      <w:r>
        <w:t>see §</w:t>
      </w:r>
      <w:r>
        <w:fldChar w:fldCharType="begin"/>
      </w:r>
      <w:r>
        <w:instrText xml:space="preserve"> REF _Ref43978660 \r \h  \* MERGEFORMAT </w:instrText>
      </w:r>
      <w:r>
        <w:fldChar w:fldCharType="separate"/>
      </w:r>
      <w:r>
        <w:t>16.2</w:t>
      </w:r>
      <w:r>
        <w:fldChar w:fldCharType="end"/>
      </w:r>
      <w:r>
        <w:t xml:space="preserve">), and do not use any linking to indicate that the two are in fact a single continuous spot of damage </w:t>
      </w:r>
      <w:r>
        <w:rPr>
          <w:noProof/>
        </w:rPr>
        <w:t>(</w:t>
      </w:r>
      <w:r>
        <w:t>though such linking would be possible)</w:t>
      </w:r>
    </w:p>
    <w:p w14:paraId="7A61B398" w14:textId="77777777">
      <w:pPr>
        <w:pStyle w:val="Cmsor3"/>
      </w:pPr>
      <w:bookmarkStart w:id="38" w:name="_Toc242889442"/>
      <w:r>
        <w:t>Well-formedness and validity</w:t>
      </w:r>
      <w:bookmarkEnd w:id="38"/>
    </w:p>
    <w:p w14:paraId="1133B7DF" w14:textId="77777777">
      <w:pPr>
        <w:pStyle w:val="Lista"/>
      </w:pPr>
      <w:r>
        <w:t xml:space="preserve">an XML document is said to be </w:t>
      </w:r>
      <w:r>
        <w:rPr>
          <w:b/>
          <w:bCs/>
        </w:rPr>
        <w:t>well-formed</w:t>
      </w:r>
      <w:r>
        <w:t xml:space="preserve"> if it follows the above structural requirements, i.e.</w:t>
      </w:r>
    </w:p>
    <w:p w14:paraId="08219DFD" w14:textId="77777777">
      <w:pPr>
        <w:pStyle w:val="Lista3"/>
      </w:pPr>
      <w:r>
        <w:t>the entire document is enclosed in a root element</w:t>
      </w:r>
    </w:p>
    <w:p w14:paraId="0CB69A53" w14:textId="77777777">
      <w:pPr>
        <w:pStyle w:val="Lista3"/>
      </w:pPr>
      <w:r>
        <w:t>there is no overlap between any elements</w:t>
      </w:r>
    </w:p>
    <w:p w14:paraId="544B2A75" w14:textId="77777777">
      <w:pPr>
        <w:pStyle w:val="Lista3"/>
      </w:pPr>
      <w:r>
        <w:t>the start and end of each element is explicitly marked with a tag</w:t>
      </w:r>
    </w:p>
    <w:p w14:paraId="62A8AF35" w14:textId="77777777">
      <w:pPr>
        <w:pStyle w:val="Lista"/>
      </w:pPr>
      <w:r>
        <w:t xml:space="preserve">a well-formed XML document may use any arbitrary element names in any particular order and hierarchy: there is no universal and fixed list of possible XML element names and definitions </w:t>
      </w:r>
      <w:r>
        <w:rPr>
          <w:noProof/>
        </w:rPr>
        <w:t>(</w:t>
      </w:r>
      <w:r>
        <w:t xml:space="preserve">which is why this is an </w:t>
      </w:r>
      <w:r>
        <w:rPr>
          <w:noProof/>
        </w:rPr>
        <w:t>eXtensible</w:t>
      </w:r>
      <w:r>
        <w:t xml:space="preserve"> Markup Language)</w:t>
      </w:r>
    </w:p>
    <w:p w14:paraId="7C5662E3" w14:textId="77777777">
      <w:pPr>
        <w:pStyle w:val="Lista"/>
      </w:pPr>
      <w:r>
        <w:t xml:space="preserve">the set of rules specifying how certain elements must or must not appear in structural relation to other elements is called an XML </w:t>
      </w:r>
      <w:r>
        <w:rPr>
          <w:b/>
          <w:bCs/>
        </w:rPr>
        <w:t>schema</w:t>
      </w:r>
      <w:r>
        <w:t xml:space="preserve"> </w:t>
      </w:r>
      <w:r>
        <w:rPr>
          <w:noProof/>
        </w:rPr>
        <w:t>(</w:t>
      </w:r>
      <w:r>
        <w:t xml:space="preserve">thus, our editions follow the </w:t>
      </w:r>
      <w:r>
        <w:rPr>
          <w:b/>
          <w:bCs/>
        </w:rPr>
        <w:t>EpiDoc schema</w:t>
      </w:r>
      <w:r>
        <w:t>)</w:t>
      </w:r>
    </w:p>
    <w:p w14:paraId="191C881E" w14:textId="77777777">
      <w:pPr>
        <w:pStyle w:val="Lista"/>
      </w:pPr>
      <w:r>
        <w:t xml:space="preserve">an XML document is said to be </w:t>
      </w:r>
      <w:r>
        <w:rPr>
          <w:b/>
          <w:bCs/>
        </w:rPr>
        <w:t>valid</w:t>
      </w:r>
      <w:r>
        <w:t xml:space="preserve"> if, in addition to being well-formed, it is structured in such a way as to meet the requirements of a particular schema</w:t>
      </w:r>
    </w:p>
    <w:p w14:paraId="769E9EDE" w14:textId="77777777">
      <w:pPr>
        <w:pStyle w:val="Cmsor2"/>
      </w:pPr>
      <w:bookmarkStart w:id="39" w:name="_a0njpk1xs3b7" w:colFirst="0" w:colLast="0"/>
      <w:bookmarkStart w:id="40" w:name="_z3xeqgcx3br1" w:colFirst="0" w:colLast="0"/>
      <w:bookmarkStart w:id="41" w:name="_Ref43990558"/>
      <w:bookmarkStart w:id="42" w:name="_Toc242889443"/>
      <w:bookmarkEnd w:id="39"/>
      <w:bookmarkEnd w:id="40"/>
      <w:r>
        <w:t>The framework of an EpiDoc edition</w:t>
      </w:r>
      <w:bookmarkEnd w:id="41"/>
      <w:bookmarkEnd w:id="42"/>
    </w:p>
    <w:p w14:paraId="3E419ECA" w14:textId="77777777">
      <w:r>
        <w:t>This section presents an overview of the constituent parts of a digital edition in EpiDoc. Code illustrations are based on the DHARMA Encoding Template for Inscriptions as released together with this edition of the EGD.</w:t>
      </w:r>
      <w:r>
        <w:rPr>
          <w:rStyle w:val="Lbjegyzet-hivatkozs"/>
        </w:rPr>
        <w:footnoteReference w:id="7"/>
      </w:r>
      <w:r>
        <w:t xml:space="preserve"> Future versions of the template may contain slightly different code without affecting the general explanations provided here. You will not need to learn and produce this or similar code, only to find your way around it and add content without disrupting the code. </w:t>
      </w:r>
    </w:p>
    <w:p w14:paraId="767573D6" w14:textId="77777777">
      <w:pPr>
        <w:pStyle w:val="Cmsor3"/>
      </w:pPr>
      <w:bookmarkStart w:id="43" w:name="_Toc242889444"/>
      <w:r>
        <w:t>Technical specifications</w:t>
      </w:r>
      <w:bookmarkEnd w:id="43"/>
    </w:p>
    <w:p w14:paraId="12E9CB63" w14:textId="77777777">
      <w:pPr>
        <w:pStyle w:val="Lista"/>
      </w:pPr>
      <w:r>
        <w:t>XML files begin with a declaration identifying the file as a particular kind of XML document</w:t>
      </w:r>
    </w:p>
    <w:p w14:paraId="2E2C4525" w14:textId="77777777">
      <w:pPr>
        <w:pStyle w:val="Lista"/>
      </w:pPr>
      <w:r>
        <w:lastRenderedPageBreak/>
        <w:t>this is followed by instructions associating the document with schemas for processing it</w:t>
      </w:r>
    </w:p>
    <w:p w14:paraId="73656E69" w14:textId="77777777">
      <w:pPr>
        <w:pStyle w:val="Lista"/>
      </w:pPr>
      <w:r>
        <w:t xml:space="preserve">the root element </w:t>
      </w:r>
      <w:r>
        <w:rPr>
          <w:rStyle w:val="Code"/>
        </w:rPr>
        <w:t>&lt;TEI&gt;</w:t>
      </w:r>
      <w:r>
        <w:t>, identifying the contents as a TEI-compliant document, wraps all of the remaining content of our files</w:t>
      </w:r>
    </w:p>
    <w:p w14:paraId="1549A769" w14:textId="77777777">
      <w:pPr>
        <w:pStyle w:val="Lista"/>
      </w:pPr>
      <w:r>
        <w:t>you should never edit these parts of the file</w:t>
      </w:r>
    </w:p>
    <w:tbl>
      <w:tblPr>
        <w:tblStyle w:val="CodeSampleTable"/>
        <w:tblW w:w="5000" w:type="pct"/>
        <w:tblLook w:val="04A0" w:firstRow="1" w:lastRow="0" w:firstColumn="1" w:lastColumn="0" w:noHBand="0" w:noVBand="1"/>
      </w:tblPr>
      <w:tblGrid>
        <w:gridCol w:w="9628"/>
      </w:tblGrid>
      <w:tr w14:paraId="5E9EC59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5A824F6" w14:textId="71B7B4BA">
            <w:pPr>
              <w:pStyle w:val="Kpalrs"/>
            </w:pPr>
            <w:r>
              <w:t xml:space="preserve">Exhibit </w:t>
            </w:r>
            <w:fldSimple w:instr=" STYLEREF 2 \s ">
              <w:r>
                <w:rPr>
                  <w:noProof/>
                </w:rPr>
                <w:t>2.2</w:t>
              </w:r>
            </w:fldSimple>
            <w:r>
              <w:t>.</w:t>
            </w:r>
            <w:fldSimple w:instr=" SEQ Exhibit \* ALPHABETIC \s 2 ">
              <w:r>
                <w:rPr>
                  <w:noProof/>
                </w:rPr>
                <w:t>A</w:t>
              </w:r>
            </w:fldSimple>
            <w:r>
              <w:t>: the technical instructions in an EpiDoc edition</w:t>
            </w:r>
          </w:p>
        </w:tc>
      </w:tr>
      <w:tr w14:paraId="7BAD7F84" w14:textId="77777777">
        <w:tc>
          <w:tcPr>
            <w:tcW w:w="5000" w:type="pct"/>
          </w:tcPr>
          <w:p w14:paraId="5DC5FEDB" w14:textId="77777777">
            <w:pPr>
              <w:pStyle w:val="CodeParagraph"/>
              <w:rPr>
                <w:rStyle w:val="Codeinstruction"/>
              </w:rPr>
            </w:pPr>
            <w:r>
              <w:rPr>
                <w:rStyle w:val="Codeinstruction"/>
              </w:rPr>
              <w:t>&lt;?xml version="1.0" encoding="UTF-8"?&gt;</w:t>
            </w:r>
          </w:p>
          <w:p w14:paraId="0FCF0242" w14:textId="77777777">
            <w:pPr>
              <w:pStyle w:val="CodeParagraph"/>
              <w:rPr>
                <w:rStyle w:val="Codeinstruction"/>
              </w:rPr>
            </w:pPr>
            <w:r>
              <w:rPr>
                <w:rStyle w:val="Codeinstruction"/>
              </w:rPr>
              <w:t>&lt;?xml-model href="https://raw.githubusercontent.com/erc-dharma/project-documentation/master/schema/latest/DHARMA_Schema.rng" type="application/xml" schematypens="http://relaxng.org/ns/structure/1.0"?&gt;</w:t>
            </w:r>
          </w:p>
          <w:p w14:paraId="13966AA2" w14:textId="77777777">
            <w:pPr>
              <w:pStyle w:val="CodeParagraph"/>
              <w:rPr>
                <w:rStyle w:val="Codeinstruction"/>
              </w:rPr>
            </w:pPr>
            <w:r>
              <w:rPr>
                <w:rStyle w:val="Codeinstruction"/>
              </w:rPr>
              <w:t>&lt;?xml-model href="https://raw.githubusercontent.com/erc-dharma/project-documentation/master/schema/latest/DHARMA_Schema.rng" type="application/xml" schematypens="http://purl.oclc.org/dsdl/schematron"?&gt;</w:t>
            </w:r>
          </w:p>
          <w:p w14:paraId="0C85755D" w14:textId="77777777">
            <w:pPr>
              <w:pStyle w:val="CodeParagraph"/>
              <w:rPr>
                <w:rStyle w:val="Codeinstruction"/>
              </w:rPr>
            </w:pPr>
            <w:r>
              <w:rPr>
                <w:rStyle w:val="Codeinstruction"/>
              </w:rPr>
              <w:t>&lt;?xml-model href="https://raw.githubusercontent.com/erc-dharma/project-documentation/master/schema/latest/DHARMA_SQF.sch" type="application/xml" schematypens="http://purl.oclc.org/dsdl/schematron"?&gt;</w:t>
            </w:r>
          </w:p>
          <w:p w14:paraId="76F42036" w14:textId="77777777">
            <w:pPr>
              <w:pStyle w:val="CodeParagraph"/>
              <w:rPr>
                <w:rStyle w:val="Codeinstruction"/>
              </w:rPr>
            </w:pPr>
            <w:r>
              <w:rPr>
                <w:rStyle w:val="Codeinstruction"/>
              </w:rPr>
              <w:t>&lt;?xml-model href="https://epidoc.stoa.org/schema/latest/tei-epidoc.rng" schematypens="http://relaxng.org/ns/structure/1.0"?&gt;</w:t>
            </w:r>
          </w:p>
          <w:p w14:paraId="2DE4A4D7" w14:textId="0E84B700">
            <w:pPr>
              <w:pStyle w:val="CodeParagraph"/>
              <w:rPr>
                <w:rStyle w:val="Code"/>
              </w:rPr>
            </w:pPr>
            <w:r>
              <w:rPr>
                <w:rStyle w:val="Codeinstruction"/>
              </w:rPr>
              <w:t xml:space="preserve">&lt;?xml-model href="https://epidoc.stoa.org/schema/latest/tei-epidoc.rng" schematypens="http://purl.oclc.org/dsdl/schematron"?&gt; </w:t>
            </w:r>
          </w:p>
          <w:p w14:paraId="37948AAC" w14:textId="77777777">
            <w:pPr>
              <w:pStyle w:val="CodeParagraph"/>
              <w:rPr>
                <w:rStyle w:val="Code"/>
              </w:rPr>
            </w:pPr>
            <w:r>
              <w:rPr>
                <w:rStyle w:val="Code"/>
              </w:rPr>
              <w:t xml:space="preserve">&lt;TEI </w:t>
            </w:r>
            <w:r>
              <w:rPr>
                <w:rStyle w:val="Codeattribute"/>
              </w:rPr>
              <w:t>xmlns=</w:t>
            </w:r>
            <w:r>
              <w:rPr>
                <w:rStyle w:val="Codevalue"/>
              </w:rPr>
              <w:t>"http://www.tei-c.org/ns/1.0"</w:t>
            </w:r>
            <w:r>
              <w:rPr>
                <w:rStyle w:val="Code"/>
              </w:rPr>
              <w:t xml:space="preserve"> </w:t>
            </w:r>
            <w:r>
              <w:rPr>
                <w:rStyle w:val="Codeattribute"/>
              </w:rPr>
              <w:t>xml:lang=</w:t>
            </w:r>
            <w:r>
              <w:rPr>
                <w:rStyle w:val="Codevalue"/>
              </w:rPr>
              <w:t>"eng"</w:t>
            </w:r>
            <w:r>
              <w:rPr>
                <w:rStyle w:val="Code"/>
              </w:rPr>
              <w:t>&gt;</w:t>
            </w:r>
          </w:p>
          <w:p w14:paraId="5898B5A9" w14:textId="77777777">
            <w:pPr>
              <w:pStyle w:val="CodeParagraph"/>
              <w:rPr>
                <w:rStyle w:val="Code"/>
              </w:rPr>
            </w:pPr>
            <w:r>
              <w:rPr>
                <w:rStyle w:val="Code"/>
              </w:rPr>
              <w:t>...</w:t>
            </w:r>
          </w:p>
          <w:p w14:paraId="757DF1AD" w14:textId="77777777">
            <w:pPr>
              <w:pStyle w:val="CodeParagraph"/>
            </w:pPr>
            <w:r>
              <w:rPr>
                <w:rStyle w:val="Code"/>
              </w:rPr>
              <w:t>&lt;/TEI&gt;</w:t>
            </w:r>
          </w:p>
        </w:tc>
      </w:tr>
    </w:tbl>
    <w:p w14:paraId="4A01ECF4" w14:textId="77777777">
      <w:pPr>
        <w:pStyle w:val="Cmsor3"/>
      </w:pPr>
      <w:bookmarkStart w:id="44" w:name="_Ref233892229"/>
      <w:bookmarkStart w:id="45" w:name="_Toc242889445"/>
      <w:r>
        <w:t>The TEI header</w:t>
      </w:r>
      <w:bookmarkEnd w:id="44"/>
      <w:bookmarkEnd w:id="45"/>
    </w:p>
    <w:p w14:paraId="46EC2C2D" w14:textId="77777777">
      <w:pPr>
        <w:pStyle w:val="Lista"/>
      </w:pPr>
      <w:r>
        <w:t>a header section identifying the digital document and containing additional descriptive information about the encoded text is a mandatory component of every TEI document</w:t>
      </w:r>
    </w:p>
    <w:p w14:paraId="6D678486" w14:textId="77777777">
      <w:pPr>
        <w:pStyle w:val="Lista"/>
      </w:pPr>
      <w:r>
        <w:t>the contents of the header are grouped into sections called statements and descriptions</w:t>
      </w:r>
    </w:p>
    <w:p w14:paraId="37540224" w14:textId="77777777">
      <w:pPr>
        <w:pStyle w:val="Lista"/>
      </w:pPr>
      <w:r>
        <w:t>in several sections of the header, you will need to replace the default content from the template with specific content applicable to your edition</w:t>
      </w:r>
    </w:p>
    <w:p w14:paraId="2CE2E37D" w14:textId="77777777">
      <w:pPr>
        <w:pStyle w:val="Lista2"/>
      </w:pPr>
      <w:r>
        <w:t>in some cases you will also need to add or modify elements in some sections of the header</w:t>
      </w:r>
    </w:p>
    <w:p w14:paraId="173E0608" w14:textId="3E01A2E7">
      <w:pPr>
        <w:pStyle w:val="Lista"/>
      </w:pPr>
      <w:r>
        <w:t>instructions for editing the TEI header are in §</w:t>
      </w:r>
      <w:r>
        <w:fldChar w:fldCharType="begin"/>
      </w:r>
      <w:r>
        <w:instrText xml:space="preserve"> REF _Ref43978719 \r \h </w:instrText>
      </w:r>
      <w:r>
        <w:fldChar w:fldCharType="separate"/>
      </w:r>
      <w:r>
        <w:t>15</w:t>
      </w:r>
      <w:r>
        <w:fldChar w:fldCharType="end"/>
      </w:r>
    </w:p>
    <w:tbl>
      <w:tblPr>
        <w:tblStyle w:val="CodeSampleTable"/>
        <w:tblW w:w="5000" w:type="pct"/>
        <w:tblLook w:val="04A0" w:firstRow="1" w:lastRow="0" w:firstColumn="1" w:lastColumn="0" w:noHBand="0" w:noVBand="1"/>
      </w:tblPr>
      <w:tblGrid>
        <w:gridCol w:w="9628"/>
      </w:tblGrid>
      <w:tr w14:paraId="0783163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17A2FA8" w14:textId="1D194943">
            <w:pPr>
              <w:pStyle w:val="Kpalrs"/>
            </w:pPr>
            <w:r>
              <w:t xml:space="preserve">Exhibit </w:t>
            </w:r>
            <w:fldSimple w:instr=" STYLEREF 2 \s ">
              <w:r>
                <w:rPr>
                  <w:noProof/>
                </w:rPr>
                <w:t>2.2</w:t>
              </w:r>
            </w:fldSimple>
            <w:r>
              <w:t>.</w:t>
            </w:r>
            <w:fldSimple w:instr=" SEQ Exhibit \* ALPHABETIC \s 2 ">
              <w:r>
                <w:rPr>
                  <w:noProof/>
                </w:rPr>
                <w:t>B</w:t>
              </w:r>
            </w:fldSimple>
            <w:r>
              <w:t>: the TEI header</w:t>
            </w:r>
          </w:p>
        </w:tc>
      </w:tr>
      <w:tr w14:paraId="462B8301" w14:textId="77777777">
        <w:tc>
          <w:tcPr>
            <w:tcW w:w="5000" w:type="pct"/>
          </w:tcPr>
          <w:p w14:paraId="4AF77805" w14:textId="77777777">
            <w:pPr>
              <w:pStyle w:val="CodeParagraph"/>
              <w:rPr>
                <w:rStyle w:val="Code"/>
              </w:rPr>
            </w:pPr>
            <w:r>
              <w:rPr>
                <w:rStyle w:val="Code"/>
              </w:rPr>
              <w:t>&lt;teiHeader&gt;</w:t>
            </w:r>
          </w:p>
          <w:p w14:paraId="12C43B53" w14:textId="77777777">
            <w:pPr>
              <w:pStyle w:val="CodeParagraph"/>
              <w:rPr>
                <w:rStyle w:val="Code"/>
              </w:rPr>
            </w:pPr>
            <w:r>
              <w:rPr>
                <w:rStyle w:val="Code"/>
              </w:rPr>
              <w:t xml:space="preserve">  &lt;fileDesc&gt;</w:t>
            </w:r>
          </w:p>
          <w:p w14:paraId="0D249B06" w14:textId="77777777">
            <w:pPr>
              <w:pStyle w:val="CodeParagraph"/>
              <w:rPr>
                <w:rStyle w:val="Code"/>
              </w:rPr>
            </w:pPr>
            <w:r>
              <w:rPr>
                <w:rStyle w:val="Code"/>
              </w:rPr>
              <w:t xml:space="preserve">    &lt;titleStmt&gt;</w:t>
            </w:r>
          </w:p>
          <w:p w14:paraId="505BEDAD" w14:textId="77777777">
            <w:pPr>
              <w:pStyle w:val="CodeParagraph"/>
              <w:rPr>
                <w:rStyle w:val="Code"/>
              </w:rPr>
            </w:pPr>
            <w:r>
              <w:rPr>
                <w:rStyle w:val="Code"/>
              </w:rPr>
              <w:t xml:space="preserve">      ...</w:t>
            </w:r>
          </w:p>
          <w:p w14:paraId="71B9DE09" w14:textId="77777777">
            <w:pPr>
              <w:pStyle w:val="CodeParagraph"/>
              <w:rPr>
                <w:rStyle w:val="Code"/>
              </w:rPr>
            </w:pPr>
            <w:r>
              <w:rPr>
                <w:rStyle w:val="Code"/>
              </w:rPr>
              <w:t xml:space="preserve">    &lt;/titleStmt&gt;</w:t>
            </w:r>
          </w:p>
          <w:p w14:paraId="0287F775" w14:textId="77777777">
            <w:pPr>
              <w:pStyle w:val="CodeParagraph"/>
              <w:rPr>
                <w:rStyle w:val="Code"/>
              </w:rPr>
            </w:pPr>
            <w:r>
              <w:rPr>
                <w:rStyle w:val="Code"/>
              </w:rPr>
              <w:t xml:space="preserve">    &lt;publicationStmt&gt;</w:t>
            </w:r>
          </w:p>
          <w:p w14:paraId="352D0478" w14:textId="77777777">
            <w:pPr>
              <w:pStyle w:val="CodeParagraph"/>
              <w:rPr>
                <w:rStyle w:val="Code"/>
              </w:rPr>
            </w:pPr>
            <w:r>
              <w:rPr>
                <w:rStyle w:val="Code"/>
              </w:rPr>
              <w:t xml:space="preserve">      ...</w:t>
            </w:r>
          </w:p>
          <w:p w14:paraId="1B113595" w14:textId="77777777">
            <w:pPr>
              <w:pStyle w:val="CodeParagraph"/>
              <w:rPr>
                <w:rStyle w:val="Code"/>
              </w:rPr>
            </w:pPr>
            <w:r>
              <w:rPr>
                <w:rStyle w:val="Code"/>
              </w:rPr>
              <w:t xml:space="preserve">    &lt;/publicationStmt&gt;</w:t>
            </w:r>
          </w:p>
          <w:p w14:paraId="7E415244" w14:textId="77777777">
            <w:pPr>
              <w:pStyle w:val="CodeParagraph"/>
              <w:rPr>
                <w:rStyle w:val="Code"/>
              </w:rPr>
            </w:pPr>
            <w:r>
              <w:rPr>
                <w:rStyle w:val="Code"/>
              </w:rPr>
              <w:t xml:space="preserve">    &lt;sourceDesc&gt;</w:t>
            </w:r>
          </w:p>
          <w:p w14:paraId="2AFE034D" w14:textId="77777777">
            <w:pPr>
              <w:pStyle w:val="CodeParagraph"/>
              <w:rPr>
                <w:rStyle w:val="Code"/>
              </w:rPr>
            </w:pPr>
            <w:r>
              <w:rPr>
                <w:rStyle w:val="Code"/>
              </w:rPr>
              <w:t xml:space="preserve">      ...</w:t>
            </w:r>
          </w:p>
          <w:p w14:paraId="6DD1598B" w14:textId="77777777">
            <w:pPr>
              <w:pStyle w:val="CodeParagraph"/>
              <w:rPr>
                <w:rStyle w:val="Code"/>
              </w:rPr>
            </w:pPr>
            <w:r>
              <w:rPr>
                <w:rStyle w:val="Code"/>
              </w:rPr>
              <w:t xml:space="preserve">    &lt;/sourceDesc&gt;</w:t>
            </w:r>
          </w:p>
          <w:p w14:paraId="136508A8" w14:textId="77777777">
            <w:pPr>
              <w:pStyle w:val="CodeParagraph"/>
              <w:rPr>
                <w:rStyle w:val="Code"/>
              </w:rPr>
            </w:pPr>
            <w:r>
              <w:rPr>
                <w:rStyle w:val="Code"/>
              </w:rPr>
              <w:t xml:space="preserve">  &lt;/fileDesc&gt;</w:t>
            </w:r>
          </w:p>
          <w:p w14:paraId="2609E2E2" w14:textId="77777777">
            <w:pPr>
              <w:pStyle w:val="CodeParagraph"/>
              <w:rPr>
                <w:rStyle w:val="Code"/>
              </w:rPr>
            </w:pPr>
            <w:r>
              <w:rPr>
                <w:rStyle w:val="Code"/>
              </w:rPr>
              <w:t xml:space="preserve">  &lt;encodingDesc&gt;</w:t>
            </w:r>
          </w:p>
          <w:p w14:paraId="6451C760" w14:textId="77777777">
            <w:pPr>
              <w:pStyle w:val="CodeParagraph"/>
              <w:rPr>
                <w:rStyle w:val="Code"/>
              </w:rPr>
            </w:pPr>
            <w:r>
              <w:rPr>
                <w:rStyle w:val="Code"/>
              </w:rPr>
              <w:t xml:space="preserve">    ...</w:t>
            </w:r>
          </w:p>
          <w:p w14:paraId="305A8E75" w14:textId="77777777">
            <w:pPr>
              <w:pStyle w:val="CodeParagraph"/>
              <w:rPr>
                <w:rStyle w:val="Code"/>
              </w:rPr>
            </w:pPr>
            <w:r>
              <w:rPr>
                <w:rStyle w:val="Code"/>
              </w:rPr>
              <w:t xml:space="preserve">  &lt;/encodingDesc&gt;</w:t>
            </w:r>
          </w:p>
          <w:p w14:paraId="1D17FD84" w14:textId="77777777">
            <w:pPr>
              <w:pStyle w:val="CodeParagraph"/>
              <w:rPr>
                <w:rStyle w:val="Code"/>
              </w:rPr>
            </w:pPr>
            <w:r>
              <w:rPr>
                <w:rStyle w:val="Code"/>
              </w:rPr>
              <w:t xml:space="preserve">  &lt;revisionDesc&gt;</w:t>
            </w:r>
          </w:p>
          <w:p w14:paraId="3C6570B8" w14:textId="77777777">
            <w:pPr>
              <w:pStyle w:val="CodeParagraph"/>
              <w:rPr>
                <w:rStyle w:val="Code"/>
              </w:rPr>
            </w:pPr>
            <w:r>
              <w:rPr>
                <w:rStyle w:val="Code"/>
              </w:rPr>
              <w:t xml:space="preserve">    ...</w:t>
            </w:r>
          </w:p>
          <w:p w14:paraId="1AA20C6D" w14:textId="77777777">
            <w:pPr>
              <w:pStyle w:val="CodeParagraph"/>
              <w:rPr>
                <w:rStyle w:val="Code"/>
              </w:rPr>
            </w:pPr>
            <w:r>
              <w:rPr>
                <w:rStyle w:val="Code"/>
              </w:rPr>
              <w:t xml:space="preserve">  &lt;/revisionDesc&gt;</w:t>
            </w:r>
          </w:p>
          <w:p w14:paraId="55C3734F" w14:textId="77777777">
            <w:pPr>
              <w:pStyle w:val="CodeParagraph"/>
            </w:pPr>
            <w:r>
              <w:rPr>
                <w:rStyle w:val="Code"/>
              </w:rPr>
              <w:t>&lt;/teiHeader&gt;</w:t>
            </w:r>
          </w:p>
        </w:tc>
      </w:tr>
    </w:tbl>
    <w:p w14:paraId="0E4D8705" w14:textId="77777777">
      <w:pPr>
        <w:pStyle w:val="Cmsor3"/>
      </w:pPr>
      <w:bookmarkStart w:id="46" w:name="_Ref224739111"/>
      <w:bookmarkStart w:id="47" w:name="_Toc242889446"/>
      <w:r>
        <w:t>The body of the document</w:t>
      </w:r>
      <w:bookmarkEnd w:id="46"/>
      <w:bookmarkEnd w:id="47"/>
    </w:p>
    <w:p w14:paraId="4F41937F" w14:textId="77777777">
      <w:pPr>
        <w:pStyle w:val="Lista"/>
      </w:pPr>
      <w:r>
        <w:t xml:space="preserve">the part of the XML file which contains a particular text is wrapped in the element </w:t>
      </w:r>
      <w:r>
        <w:rPr>
          <w:rStyle w:val="Code"/>
        </w:rPr>
        <w:t>&lt;text&gt;</w:t>
      </w:r>
    </w:p>
    <w:p w14:paraId="21C45052" w14:textId="77777777">
      <w:pPr>
        <w:pStyle w:val="Lista"/>
      </w:pPr>
      <w:r>
        <w:t xml:space="preserve">in TEI, the text container may include elements other than </w:t>
      </w:r>
      <w:r>
        <w:rPr>
          <w:rStyle w:val="Code"/>
        </w:rPr>
        <w:t>&lt;body&gt;</w:t>
      </w:r>
      <w:r>
        <w:t xml:space="preserve">, but EpiDoc convention does not use any of these elements, so all of the contents of </w:t>
      </w:r>
      <w:r>
        <w:rPr>
          <w:rStyle w:val="Code"/>
        </w:rPr>
        <w:t>&lt;text&gt;</w:t>
      </w:r>
      <w:r>
        <w:t xml:space="preserve"> are also wrapped in </w:t>
      </w:r>
      <w:r>
        <w:rPr>
          <w:rStyle w:val="Code"/>
        </w:rPr>
        <w:t>&lt;body&gt;</w:t>
      </w:r>
    </w:p>
    <w:p w14:paraId="034A23D2" w14:textId="77777777">
      <w:pPr>
        <w:pStyle w:val="Lista"/>
      </w:pPr>
      <w:r>
        <w:t xml:space="preserve">the body consists of several divisions represented by </w:t>
      </w:r>
      <w:r>
        <w:rPr>
          <w:rStyle w:val="Code"/>
        </w:rPr>
        <w:t>&lt;div&gt;</w:t>
      </w:r>
      <w:r>
        <w:t xml:space="preserve"> elements, each of which contains various aspects of the text</w:t>
      </w:r>
    </w:p>
    <w:p w14:paraId="4E4CF473" w14:textId="77777777">
      <w:pPr>
        <w:pStyle w:val="Lista"/>
      </w:pPr>
      <w:r>
        <w:lastRenderedPageBreak/>
        <w:t>the edition division contains the digital edition of the primary text itself</w:t>
      </w:r>
    </w:p>
    <w:p w14:paraId="794AAC5A" w14:textId="7FFDE904">
      <w:pPr>
        <w:pStyle w:val="Lista2"/>
      </w:pPr>
      <w:r>
        <w:t>instructions for encoding the edition comprise the bulk of this Guide, from §</w:t>
      </w:r>
      <w:r>
        <w:fldChar w:fldCharType="begin"/>
      </w:r>
      <w:r>
        <w:instrText xml:space="preserve"> REF _Ref43978632 \r \h </w:instrText>
      </w:r>
      <w:r>
        <w:fldChar w:fldCharType="separate"/>
      </w:r>
      <w:r>
        <w:t>3</w:t>
      </w:r>
      <w:r>
        <w:fldChar w:fldCharType="end"/>
      </w:r>
      <w:r>
        <w:t xml:space="preserve"> to §</w:t>
      </w:r>
      <w:r>
        <w:fldChar w:fldCharType="begin"/>
      </w:r>
      <w:r>
        <w:instrText xml:space="preserve"> REF _Ref232002354 \r \h </w:instrText>
      </w:r>
      <w:r>
        <w:fldChar w:fldCharType="separate"/>
      </w:r>
      <w:r>
        <w:t>9</w:t>
      </w:r>
      <w:r>
        <w:fldChar w:fldCharType="end"/>
      </w:r>
    </w:p>
    <w:p w14:paraId="40C301F7" w14:textId="77777777">
      <w:pPr>
        <w:pStyle w:val="Lista"/>
      </w:pPr>
      <w:r>
        <w:t>the additional divisions are as follows:</w:t>
      </w:r>
    </w:p>
    <w:p w14:paraId="142F3195" w14:textId="3CCED48E">
      <w:pPr>
        <w:pStyle w:val="Lista2"/>
      </w:pPr>
      <w:r>
        <w:t>critical apparatus, discussed in §</w:t>
      </w:r>
      <w:r>
        <w:fldChar w:fldCharType="begin"/>
      </w:r>
      <w:r>
        <w:instrText xml:space="preserve"> REF _Ref43978773 \r \h </w:instrText>
      </w:r>
      <w:r>
        <w:fldChar w:fldCharType="separate"/>
      </w:r>
      <w:r>
        <w:t>10</w:t>
      </w:r>
      <w:r>
        <w:fldChar w:fldCharType="end"/>
      </w:r>
    </w:p>
    <w:p w14:paraId="718DD43A" w14:textId="25E6E609">
      <w:pPr>
        <w:pStyle w:val="Lista2"/>
      </w:pPr>
      <w:r>
        <w:t>one or more translations, discussed in §</w:t>
      </w:r>
      <w:r>
        <w:fldChar w:fldCharType="begin"/>
      </w:r>
      <w:r>
        <w:instrText xml:space="preserve"> REF _Ref43978780 \r \h </w:instrText>
      </w:r>
      <w:r>
        <w:fldChar w:fldCharType="separate"/>
      </w:r>
      <w:r>
        <w:t>11</w:t>
      </w:r>
      <w:r>
        <w:fldChar w:fldCharType="end"/>
      </w:r>
    </w:p>
    <w:p w14:paraId="6913B0A0" w14:textId="5DFB4B51">
      <w:pPr>
        <w:pStyle w:val="Lista2"/>
      </w:pPr>
      <w:r>
        <w:t>scholarly commentary, discussed in §</w:t>
      </w:r>
      <w:r>
        <w:fldChar w:fldCharType="begin"/>
      </w:r>
      <w:r>
        <w:instrText xml:space="preserve"> REF _Ref181352286 \r \h </w:instrText>
      </w:r>
      <w:r>
        <w:fldChar w:fldCharType="separate"/>
      </w:r>
      <w:r>
        <w:t>12</w:t>
      </w:r>
      <w:r>
        <w:fldChar w:fldCharType="end"/>
      </w:r>
    </w:p>
    <w:p w14:paraId="336BD832" w14:textId="725C80B8">
      <w:pPr>
        <w:pStyle w:val="Lista2"/>
      </w:pPr>
      <w:r>
        <w:t>bibliography, discussed in §</w:t>
      </w:r>
      <w:r>
        <w:fldChar w:fldCharType="begin"/>
      </w:r>
      <w:r>
        <w:instrText xml:space="preserve"> REF _Ref43978796 \r \h </w:instrText>
      </w:r>
      <w:r>
        <w:fldChar w:fldCharType="separate"/>
      </w:r>
      <w:r>
        <w:t>13</w:t>
      </w:r>
      <w:r>
        <w:fldChar w:fldCharType="end"/>
      </w:r>
    </w:p>
    <w:tbl>
      <w:tblPr>
        <w:tblStyle w:val="CodeSampleTable"/>
        <w:tblW w:w="5000" w:type="pct"/>
        <w:tblLook w:val="04A0" w:firstRow="1" w:lastRow="0" w:firstColumn="1" w:lastColumn="0" w:noHBand="0" w:noVBand="1"/>
      </w:tblPr>
      <w:tblGrid>
        <w:gridCol w:w="9628"/>
      </w:tblGrid>
      <w:tr w14:paraId="1BAB734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B51C97C" w14:textId="12563B95">
            <w:pPr>
              <w:pStyle w:val="Kpalrs"/>
            </w:pPr>
            <w:r>
              <w:t xml:space="preserve">Exhibit </w:t>
            </w:r>
            <w:fldSimple w:instr=" STYLEREF 2 \s ">
              <w:r>
                <w:rPr>
                  <w:noProof/>
                </w:rPr>
                <w:t>2.2</w:t>
              </w:r>
            </w:fldSimple>
            <w:r>
              <w:t>.</w:t>
            </w:r>
            <w:fldSimple w:instr=" SEQ Exhibit \* ALPHABETIC \s 2 ">
              <w:r>
                <w:rPr>
                  <w:noProof/>
                </w:rPr>
                <w:t>C</w:t>
              </w:r>
            </w:fldSimple>
            <w:r>
              <w:t>: the body of an EpiDoc edition</w:t>
            </w:r>
          </w:p>
        </w:tc>
      </w:tr>
      <w:tr w14:paraId="48C6F0A4" w14:textId="77777777">
        <w:tc>
          <w:tcPr>
            <w:tcW w:w="5000" w:type="pct"/>
          </w:tcPr>
          <w:p w14:paraId="1B729E2D" w14:textId="77777777">
            <w:pPr>
              <w:pStyle w:val="CodeParagraph"/>
              <w:rPr>
                <w:rStyle w:val="Code"/>
              </w:rPr>
            </w:pPr>
            <w:r>
              <w:rPr>
                <w:rStyle w:val="Code"/>
              </w:rPr>
              <w:t xml:space="preserve">&lt;text </w:t>
            </w:r>
            <w:r>
              <w:rPr>
                <w:rStyle w:val="Codeattribute"/>
              </w:rPr>
              <w:t>xml:space=</w:t>
            </w:r>
            <w:r>
              <w:rPr>
                <w:rStyle w:val="Codevalue"/>
              </w:rPr>
              <w:t>"preserve"</w:t>
            </w:r>
            <w:r>
              <w:rPr>
                <w:rStyle w:val="Code"/>
              </w:rPr>
              <w:t>&gt;</w:t>
            </w:r>
          </w:p>
          <w:p w14:paraId="172AD1FB" w14:textId="77777777">
            <w:pPr>
              <w:pStyle w:val="CodeParagraph"/>
              <w:rPr>
                <w:rStyle w:val="Code"/>
              </w:rPr>
            </w:pPr>
            <w:r>
              <w:rPr>
                <w:rStyle w:val="Code"/>
              </w:rPr>
              <w:t xml:space="preserve">  &lt;body&gt;</w:t>
            </w:r>
          </w:p>
          <w:p w14:paraId="60C65569" w14:textId="77570C15">
            <w:pPr>
              <w:pStyle w:val="CodeParagraph"/>
              <w:rPr>
                <w:rStyle w:val="Code"/>
              </w:rPr>
            </w:pPr>
            <w:r>
              <w:rPr>
                <w:rStyle w:val="Code"/>
              </w:rPr>
              <w:t xml:space="preserve">    &lt;div </w:t>
            </w:r>
            <w:r>
              <w:rPr>
                <w:rStyle w:val="Codeattribute"/>
              </w:rPr>
              <w:t>type=</w:t>
            </w:r>
            <w:r>
              <w:rPr>
                <w:rStyle w:val="Codevalue"/>
              </w:rPr>
              <w:t>"edition"</w:t>
            </w:r>
            <w:r>
              <w:rPr>
                <w:rStyle w:val="Code"/>
              </w:rPr>
              <w:t>&gt;</w:t>
            </w:r>
          </w:p>
          <w:p w14:paraId="33C78512" w14:textId="77777777">
            <w:pPr>
              <w:pStyle w:val="CodeParagraph"/>
              <w:rPr>
                <w:rStyle w:val="Code"/>
              </w:rPr>
            </w:pPr>
            <w:r>
              <w:rPr>
                <w:rStyle w:val="Code"/>
              </w:rPr>
              <w:t xml:space="preserve">      ...</w:t>
            </w:r>
          </w:p>
          <w:p w14:paraId="0848DAE9" w14:textId="77777777">
            <w:pPr>
              <w:pStyle w:val="CodeParagraph"/>
              <w:rPr>
                <w:rStyle w:val="Code"/>
              </w:rPr>
            </w:pPr>
            <w:r>
              <w:rPr>
                <w:rStyle w:val="Code"/>
              </w:rPr>
              <w:t xml:space="preserve">    &lt;/div&gt;</w:t>
            </w:r>
          </w:p>
          <w:p w14:paraId="6E02C82D" w14:textId="77777777">
            <w:pPr>
              <w:pStyle w:val="CodeParagraph"/>
              <w:rPr>
                <w:rStyle w:val="Code"/>
              </w:rPr>
            </w:pPr>
            <w:r>
              <w:rPr>
                <w:rStyle w:val="Code"/>
              </w:rPr>
              <w:t xml:space="preserve">    &lt;div </w:t>
            </w:r>
            <w:r>
              <w:rPr>
                <w:rStyle w:val="Codeattribute"/>
              </w:rPr>
              <w:t>type=</w:t>
            </w:r>
            <w:r>
              <w:rPr>
                <w:rStyle w:val="Codevalue"/>
              </w:rPr>
              <w:t>"apparatus"</w:t>
            </w:r>
            <w:r>
              <w:rPr>
                <w:rStyle w:val="Code"/>
              </w:rPr>
              <w:t>&gt;</w:t>
            </w:r>
          </w:p>
          <w:p w14:paraId="7BC654A4" w14:textId="77777777">
            <w:pPr>
              <w:pStyle w:val="CodeParagraph"/>
              <w:rPr>
                <w:rStyle w:val="Code"/>
              </w:rPr>
            </w:pPr>
            <w:r>
              <w:rPr>
                <w:rStyle w:val="Code"/>
              </w:rPr>
              <w:t xml:space="preserve">      ...</w:t>
            </w:r>
          </w:p>
          <w:p w14:paraId="02A9FFCF" w14:textId="77777777">
            <w:pPr>
              <w:pStyle w:val="CodeParagraph"/>
              <w:rPr>
                <w:rStyle w:val="Code"/>
              </w:rPr>
            </w:pPr>
            <w:r>
              <w:rPr>
                <w:rStyle w:val="Code"/>
              </w:rPr>
              <w:t xml:space="preserve">    &lt;/div&gt;</w:t>
            </w:r>
          </w:p>
          <w:p w14:paraId="4EC74EC9" w14:textId="77777777">
            <w:pPr>
              <w:pStyle w:val="CodeParagraph"/>
              <w:rPr>
                <w:rStyle w:val="Code"/>
              </w:rPr>
            </w:pPr>
            <w:r>
              <w:rPr>
                <w:rStyle w:val="Code"/>
              </w:rPr>
              <w:t xml:space="preserve">    &lt;div </w:t>
            </w:r>
            <w:r>
              <w:rPr>
                <w:rStyle w:val="Codeattribute"/>
              </w:rPr>
              <w:t>type=</w:t>
            </w:r>
            <w:r>
              <w:rPr>
                <w:rStyle w:val="Codevalue"/>
              </w:rPr>
              <w:t>"translation"</w:t>
            </w:r>
            <w:r>
              <w:rPr>
                <w:rStyle w:val="Code"/>
              </w:rPr>
              <w:t>&gt;</w:t>
            </w:r>
          </w:p>
          <w:p w14:paraId="4F2663C4" w14:textId="77777777">
            <w:pPr>
              <w:pStyle w:val="CodeParagraph"/>
              <w:rPr>
                <w:rStyle w:val="Code"/>
              </w:rPr>
            </w:pPr>
            <w:r>
              <w:rPr>
                <w:rStyle w:val="Code"/>
              </w:rPr>
              <w:t xml:space="preserve">      ...</w:t>
            </w:r>
          </w:p>
          <w:p w14:paraId="0ECE3285" w14:textId="77777777">
            <w:pPr>
              <w:pStyle w:val="CodeParagraph"/>
              <w:rPr>
                <w:rStyle w:val="Code"/>
              </w:rPr>
            </w:pPr>
            <w:r>
              <w:rPr>
                <w:rStyle w:val="Code"/>
              </w:rPr>
              <w:t xml:space="preserve">    &lt;/div&gt;</w:t>
            </w:r>
          </w:p>
          <w:p w14:paraId="1774C367" w14:textId="77777777">
            <w:pPr>
              <w:pStyle w:val="CodeParagraph"/>
              <w:rPr>
                <w:rStyle w:val="Code"/>
              </w:rPr>
            </w:pPr>
            <w:r>
              <w:rPr>
                <w:rStyle w:val="Code"/>
              </w:rPr>
              <w:t xml:space="preserve">    &lt;div </w:t>
            </w:r>
            <w:r>
              <w:rPr>
                <w:rStyle w:val="Codeattribute"/>
              </w:rPr>
              <w:t>type=</w:t>
            </w:r>
            <w:r>
              <w:rPr>
                <w:rStyle w:val="Codevalue"/>
              </w:rPr>
              <w:t>"commentary"</w:t>
            </w:r>
            <w:r>
              <w:rPr>
                <w:rStyle w:val="Code"/>
              </w:rPr>
              <w:t>&gt;</w:t>
            </w:r>
          </w:p>
          <w:p w14:paraId="75790AE6" w14:textId="77777777">
            <w:pPr>
              <w:pStyle w:val="CodeParagraph"/>
              <w:rPr>
                <w:rStyle w:val="Code"/>
              </w:rPr>
            </w:pPr>
            <w:r>
              <w:rPr>
                <w:rStyle w:val="Code"/>
              </w:rPr>
              <w:t xml:space="preserve">      ...</w:t>
            </w:r>
          </w:p>
          <w:p w14:paraId="3FA41A82" w14:textId="77777777">
            <w:pPr>
              <w:pStyle w:val="CodeParagraph"/>
              <w:rPr>
                <w:rStyle w:val="Code"/>
              </w:rPr>
            </w:pPr>
            <w:r>
              <w:rPr>
                <w:rStyle w:val="Code"/>
              </w:rPr>
              <w:t xml:space="preserve">    &lt;/div&gt;</w:t>
            </w:r>
          </w:p>
          <w:p w14:paraId="1599B7EF" w14:textId="77777777">
            <w:pPr>
              <w:pStyle w:val="CodeParagraph"/>
              <w:rPr>
                <w:rStyle w:val="Code"/>
              </w:rPr>
            </w:pPr>
            <w:r>
              <w:rPr>
                <w:rStyle w:val="Code"/>
              </w:rPr>
              <w:t xml:space="preserve">    &lt;div </w:t>
            </w:r>
            <w:r>
              <w:rPr>
                <w:rStyle w:val="Codeattribute"/>
              </w:rPr>
              <w:t>type=</w:t>
            </w:r>
            <w:r>
              <w:rPr>
                <w:rStyle w:val="Codevalue"/>
              </w:rPr>
              <w:t>"bibliography"</w:t>
            </w:r>
            <w:r>
              <w:rPr>
                <w:rStyle w:val="Code"/>
              </w:rPr>
              <w:t>&gt;</w:t>
            </w:r>
          </w:p>
          <w:p w14:paraId="453202F9" w14:textId="77777777">
            <w:pPr>
              <w:pStyle w:val="CodeParagraph"/>
              <w:rPr>
                <w:rStyle w:val="Code"/>
              </w:rPr>
            </w:pPr>
            <w:r>
              <w:rPr>
                <w:rStyle w:val="Code"/>
              </w:rPr>
              <w:t xml:space="preserve">      ...</w:t>
            </w:r>
          </w:p>
          <w:p w14:paraId="2AA8D84F" w14:textId="77777777">
            <w:pPr>
              <w:pStyle w:val="CodeParagraph"/>
              <w:rPr>
                <w:rStyle w:val="Code"/>
              </w:rPr>
            </w:pPr>
            <w:r>
              <w:rPr>
                <w:rStyle w:val="Code"/>
              </w:rPr>
              <w:t xml:space="preserve">    &lt;/div&gt;</w:t>
            </w:r>
          </w:p>
          <w:p w14:paraId="2A7F1DFA" w14:textId="77777777">
            <w:pPr>
              <w:pStyle w:val="CodeParagraph"/>
              <w:rPr>
                <w:rStyle w:val="Code"/>
              </w:rPr>
            </w:pPr>
            <w:r>
              <w:rPr>
                <w:rStyle w:val="Code"/>
              </w:rPr>
              <w:t xml:space="preserve">  &lt;/body&gt;</w:t>
            </w:r>
          </w:p>
          <w:p w14:paraId="69ADBA0A" w14:textId="77777777">
            <w:pPr>
              <w:pStyle w:val="CodeParagraph"/>
            </w:pPr>
            <w:r>
              <w:rPr>
                <w:rStyle w:val="Code"/>
              </w:rPr>
              <w:t>&lt;/text&gt;</w:t>
            </w:r>
          </w:p>
        </w:tc>
      </w:tr>
    </w:tbl>
    <w:p w14:paraId="130AA9B5" w14:textId="77777777"/>
    <w:p w14:paraId="1B1D4E56" w14:textId="77777777">
      <w:pPr>
        <w:pStyle w:val="Cmsor1"/>
      </w:pPr>
      <w:bookmarkStart w:id="48" w:name="_a88bdnf7s1v4" w:colFirst="0" w:colLast="0"/>
      <w:bookmarkStart w:id="49" w:name="_Ref43978632"/>
      <w:bookmarkStart w:id="50" w:name="_Ref224890440"/>
      <w:bookmarkStart w:id="51" w:name="_Ref225153941"/>
      <w:bookmarkStart w:id="52" w:name="_Toc242889447"/>
      <w:bookmarkEnd w:id="48"/>
      <w:r>
        <w:lastRenderedPageBreak/>
        <w:t>Intrinsic structure</w:t>
      </w:r>
      <w:bookmarkEnd w:id="49"/>
      <w:bookmarkEnd w:id="50"/>
      <w:bookmarkEnd w:id="51"/>
      <w:bookmarkEnd w:id="52"/>
    </w:p>
    <w:p w14:paraId="4E52FAF4" w14:textId="77777777">
      <w:pPr>
        <w:pStyle w:val="Cmsor2"/>
      </w:pPr>
      <w:bookmarkStart w:id="53" w:name="_Ref225153755"/>
      <w:bookmarkStart w:id="54" w:name="_Ref43978813"/>
      <w:bookmarkStart w:id="55" w:name="_Ref149918441"/>
      <w:bookmarkStart w:id="56" w:name="_Toc242889448"/>
      <w:r>
        <w:t>Representing intrinsic structure</w:t>
      </w:r>
      <w:bookmarkEnd w:id="53"/>
      <w:bookmarkEnd w:id="56"/>
    </w:p>
    <w:p w14:paraId="607247F1" w14:textId="3D1F9602">
      <w:r>
        <w:t xml:space="preserve">Of the various parallel, and more or less hierarchical, structures present in a written text, two are particularly relevant to encoding in the DHARMA scheme. By </w:t>
      </w:r>
      <w:r>
        <w:rPr>
          <w:i/>
          <w:iCs/>
        </w:rPr>
        <w:t>intrinsic structure</w:t>
      </w:r>
      <w:r>
        <w:t xml:space="preserve">, we refer to the structure of a text “as work” in the terminology of </w:t>
      </w:r>
      <w:r>
        <w:rPr>
          <w:noProof/>
        </w:rPr>
        <w:t>Tanselle</w:t>
      </w:r>
      <w:r>
        <w:t xml:space="preserve"> (1989), meaning the text as an entity abstracted from its physical medium. We contrast this with </w:t>
      </w:r>
      <w:r>
        <w:rPr>
          <w:i/>
          <w:iCs/>
        </w:rPr>
        <w:t>extrinsic structure</w:t>
      </w:r>
      <w:r>
        <w:t xml:space="preserve"> (§</w:t>
      </w:r>
      <w:r>
        <w:fldChar w:fldCharType="begin"/>
      </w:r>
      <w:r>
        <w:instrText xml:space="preserve"> REF _Ref225261475 \r \h </w:instrText>
      </w:r>
      <w:r>
        <w:fldChar w:fldCharType="separate"/>
      </w:r>
      <w:r>
        <w:t>4</w:t>
      </w:r>
      <w:r>
        <w:fldChar w:fldCharType="end"/>
      </w:r>
      <w:r>
        <w:t>), which is the structure of a text “as document” in a concrete physical manifestation. In a quintessential book, intrinsic structure might comprise several parts, each containing one or more chapters, each containing a number of paragraphs.</w:t>
      </w:r>
    </w:p>
    <w:p w14:paraId="1B3ED892" w14:textId="1C64E496">
      <w:pPr>
        <w:pStyle w:val="Normlbehzs"/>
      </w:pPr>
      <w:r>
        <w:t>TEI editions, and therefore also our digital editions, dedicate the primary hierarchy of XML elements (§</w:t>
      </w:r>
      <w:r>
        <w:fldChar w:fldCharType="begin"/>
      </w:r>
      <w:r>
        <w:instrText xml:space="preserve"> REF _Ref224893456 \r \h </w:instrText>
      </w:r>
      <w:r>
        <w:fldChar w:fldCharType="separate"/>
      </w:r>
      <w:r>
        <w:t>2.1.4</w:t>
      </w:r>
      <w:r>
        <w:fldChar w:fldCharType="end"/>
      </w:r>
      <w:r>
        <w:t xml:space="preserve">) to representing a text’s intrinsic structure. DHARMA documentary editions represent intrinsic structure in a simple, schematic hierarchy illustrated in </w:t>
      </w:r>
      <w:r>
        <w:fldChar w:fldCharType="begin"/>
      </w:r>
      <w:r>
        <w:instrText xml:space="preserve"> REF _Ref224805161 \h </w:instrText>
      </w:r>
      <w:r>
        <w:fldChar w:fldCharType="separate"/>
      </w:r>
      <w:r>
        <w:t xml:space="preserve">Exhibit </w:t>
      </w:r>
      <w:r>
        <w:rPr>
          <w:noProof/>
        </w:rPr>
        <w:t>3.1</w:t>
      </w:r>
      <w:r>
        <w:t>.</w:t>
      </w:r>
      <w:r>
        <w:rPr>
          <w:noProof/>
        </w:rPr>
        <w:t>A</w:t>
      </w:r>
      <w:r>
        <w:fldChar w:fldCharType="end"/>
      </w:r>
      <w:r>
        <w:t>. The labels in the Exhibit are shown in angle brackets to indicate that they correspond to XML elements, but the actual XML elements are introduced in the sections discussing their encoding.</w:t>
      </w:r>
    </w:p>
    <w:tbl>
      <w:tblPr>
        <w:tblStyle w:val="FigureTable"/>
        <w:tblW w:w="0" w:type="auto"/>
        <w:tblLook w:val="04A0" w:firstRow="1" w:lastRow="0" w:firstColumn="1" w:lastColumn="0" w:noHBand="0" w:noVBand="1"/>
      </w:tblPr>
      <w:tblGrid>
        <w:gridCol w:w="9628"/>
      </w:tblGrid>
      <w:tr w14:paraId="0DA57107" w14:textId="77777777">
        <w:trPr>
          <w:cnfStyle w:val="100000000000" w:firstRow="1" w:lastRow="0" w:firstColumn="0" w:lastColumn="0" w:oddVBand="0" w:evenVBand="0" w:oddHBand="0" w:evenHBand="0" w:firstRowFirstColumn="0" w:firstRowLastColumn="0" w:lastRowFirstColumn="0" w:lastRowLastColumn="0"/>
        </w:trPr>
        <w:tc>
          <w:tcPr>
            <w:tcW w:w="9628" w:type="dxa"/>
          </w:tcPr>
          <w:p w14:paraId="550721B8" w14:textId="5CD8AAF1">
            <w:pPr>
              <w:pStyle w:val="Kpalrs"/>
            </w:pPr>
            <w:bookmarkStart w:id="57" w:name="_Ref224805161"/>
            <w:bookmarkStart w:id="58" w:name="_Ref224805068"/>
            <w:r>
              <w:t xml:space="preserve">Exhibit </w:t>
            </w:r>
            <w:fldSimple w:instr=" STYLEREF 2 \s ">
              <w:r>
                <w:rPr>
                  <w:noProof/>
                </w:rPr>
                <w:t>3.1</w:t>
              </w:r>
            </w:fldSimple>
            <w:r>
              <w:t>.</w:t>
            </w:r>
            <w:fldSimple w:instr=" SEQ Exhibit \* ALPHABETIC \s 2 ">
              <w:r>
                <w:rPr>
                  <w:noProof/>
                </w:rPr>
                <w:t>A</w:t>
              </w:r>
            </w:fldSimple>
            <w:bookmarkEnd w:id="57"/>
            <w:r>
              <w:t>. the encoding hierarchy of intrinsic structure</w:t>
            </w:r>
            <w:bookmarkEnd w:id="58"/>
          </w:p>
        </w:tc>
      </w:tr>
      <w:tr w14:paraId="40C76335" w14:textId="77777777">
        <w:tc>
          <w:tcPr>
            <w:tcW w:w="9628" w:type="dxa"/>
          </w:tcPr>
          <w:tbl>
            <w:tblPr>
              <w:tblStyle w:val="TGtableblank"/>
              <w:tblW w:w="0" w:type="auto"/>
              <w:jc w:val="center"/>
              <w:tblLook w:val="04A0" w:firstRow="1" w:lastRow="0" w:firstColumn="1" w:lastColumn="0" w:noHBand="0" w:noVBand="1"/>
            </w:tblPr>
            <w:tblGrid>
              <w:gridCol w:w="284"/>
              <w:gridCol w:w="284"/>
              <w:gridCol w:w="284"/>
              <w:gridCol w:w="2835"/>
              <w:gridCol w:w="1418"/>
              <w:gridCol w:w="284"/>
              <w:gridCol w:w="284"/>
              <w:gridCol w:w="284"/>
              <w:gridCol w:w="284"/>
            </w:tblGrid>
            <w:tr w14:paraId="27404390" w14:textId="77777777">
              <w:trPr>
                <w:trHeight w:hRule="exact" w:val="397"/>
                <w:jc w:val="center"/>
              </w:trPr>
              <w:tc>
                <w:tcPr>
                  <w:tcW w:w="6241" w:type="dxa"/>
                  <w:gridSpan w:val="9"/>
                  <w:tcBorders>
                    <w:top w:val="double" w:sz="12" w:space="0" w:color="auto"/>
                    <w:left w:val="double" w:sz="12" w:space="0" w:color="auto"/>
                    <w:right w:val="double" w:sz="12" w:space="0" w:color="auto"/>
                  </w:tcBorders>
                  <w:shd w:val="clear" w:color="auto" w:fill="92D050"/>
                </w:tcPr>
                <w:p w14:paraId="1EEDE393" w14:textId="77777777">
                  <w:pPr>
                    <w:pStyle w:val="Tabletext"/>
                    <w:keepNext/>
                  </w:pPr>
                  <w:r>
                    <w:t>&lt;edition&gt; contains</w:t>
                  </w:r>
                </w:p>
              </w:tc>
            </w:tr>
            <w:tr w14:paraId="60B51978" w14:textId="77777777">
              <w:trPr>
                <w:trHeight w:hRule="exact" w:val="284"/>
                <w:jc w:val="center"/>
              </w:trPr>
              <w:tc>
                <w:tcPr>
                  <w:tcW w:w="284" w:type="dxa"/>
                  <w:tcBorders>
                    <w:left w:val="double" w:sz="12" w:space="0" w:color="auto"/>
                    <w:right w:val="double" w:sz="4" w:space="0" w:color="auto"/>
                  </w:tcBorders>
                  <w:shd w:val="clear" w:color="auto" w:fill="92D050"/>
                </w:tcPr>
                <w:p w14:paraId="676CB7E3" w14:textId="77777777">
                  <w:pPr>
                    <w:pStyle w:val="Tabletext"/>
                    <w:keepNext/>
                  </w:pPr>
                  <w:r>
                    <w:t xml:space="preserve"> </w:t>
                  </w:r>
                </w:p>
              </w:tc>
              <w:tc>
                <w:tcPr>
                  <w:tcW w:w="5673" w:type="dxa"/>
                  <w:gridSpan w:val="7"/>
                  <w:tcBorders>
                    <w:top w:val="double" w:sz="4" w:space="0" w:color="auto"/>
                    <w:left w:val="double" w:sz="4" w:space="0" w:color="auto"/>
                    <w:right w:val="double" w:sz="4" w:space="0" w:color="auto"/>
                  </w:tcBorders>
                  <w:shd w:val="clear" w:color="auto" w:fill="CCFFCC"/>
                </w:tcPr>
                <w:p w14:paraId="50D771BB" w14:textId="77777777">
                  <w:pPr>
                    <w:pStyle w:val="Tabletext"/>
                    <w:keepNext/>
                  </w:pPr>
                  <w:r>
                    <w:t>&lt;textpart A&gt; contains</w:t>
                  </w:r>
                </w:p>
              </w:tc>
              <w:tc>
                <w:tcPr>
                  <w:tcW w:w="284" w:type="dxa"/>
                  <w:tcBorders>
                    <w:left w:val="double" w:sz="4" w:space="0" w:color="auto"/>
                    <w:right w:val="double" w:sz="12" w:space="0" w:color="auto"/>
                  </w:tcBorders>
                  <w:shd w:val="clear" w:color="auto" w:fill="92D050"/>
                </w:tcPr>
                <w:p w14:paraId="7432ECD8" w14:textId="77777777">
                  <w:pPr>
                    <w:pStyle w:val="Tabletext"/>
                    <w:keepNext/>
                  </w:pPr>
                </w:p>
              </w:tc>
            </w:tr>
            <w:tr w14:paraId="3B6698DA" w14:textId="77777777">
              <w:trPr>
                <w:trHeight w:hRule="exact" w:val="113"/>
                <w:jc w:val="center"/>
              </w:trPr>
              <w:tc>
                <w:tcPr>
                  <w:tcW w:w="284" w:type="dxa"/>
                  <w:tcBorders>
                    <w:left w:val="double" w:sz="12" w:space="0" w:color="auto"/>
                    <w:right w:val="double" w:sz="4" w:space="0" w:color="auto"/>
                  </w:tcBorders>
                  <w:shd w:val="clear" w:color="auto" w:fill="92D050"/>
                </w:tcPr>
                <w:p w14:paraId="1E9F0C4D" w14:textId="77777777">
                  <w:pPr>
                    <w:pStyle w:val="Tabletext"/>
                    <w:keepNext/>
                  </w:pPr>
                </w:p>
              </w:tc>
              <w:tc>
                <w:tcPr>
                  <w:tcW w:w="284" w:type="dxa"/>
                  <w:tcBorders>
                    <w:left w:val="double" w:sz="4" w:space="0" w:color="auto"/>
                    <w:right w:val="single" w:sz="4" w:space="0" w:color="auto"/>
                  </w:tcBorders>
                  <w:shd w:val="clear" w:color="auto" w:fill="CCFFCC"/>
                </w:tcPr>
                <w:p w14:paraId="56A7BB8A" w14:textId="77777777">
                  <w:pPr>
                    <w:pStyle w:val="Tabletext"/>
                    <w:keepNext/>
                  </w:pPr>
                </w:p>
              </w:tc>
              <w:tc>
                <w:tcPr>
                  <w:tcW w:w="3119" w:type="dxa"/>
                  <w:gridSpan w:val="2"/>
                  <w:vMerge w:val="restart"/>
                  <w:tcBorders>
                    <w:top w:val="single" w:sz="4" w:space="0" w:color="auto"/>
                    <w:left w:val="single" w:sz="4" w:space="0" w:color="auto"/>
                  </w:tcBorders>
                  <w:shd w:val="clear" w:color="auto" w:fill="CC99FF"/>
                </w:tcPr>
                <w:p w14:paraId="7BD2879A" w14:textId="77777777">
                  <w:pPr>
                    <w:pStyle w:val="Tabletext"/>
                    <w:keepNext/>
                  </w:pPr>
                  <w:r>
                    <w:t>&lt;paragraph&gt; contains</w:t>
                  </w:r>
                </w:p>
              </w:tc>
              <w:tc>
                <w:tcPr>
                  <w:tcW w:w="1418" w:type="dxa"/>
                  <w:tcBorders>
                    <w:top w:val="single" w:sz="4" w:space="0" w:color="auto"/>
                  </w:tcBorders>
                  <w:shd w:val="clear" w:color="auto" w:fill="CC99FF"/>
                </w:tcPr>
                <w:p w14:paraId="56A9236B" w14:textId="77777777">
                  <w:pPr>
                    <w:pStyle w:val="Tabletext"/>
                    <w:keepNext/>
                    <w:jc w:val="center"/>
                    <w:rPr>
                      <w:i/>
                      <w:iCs/>
                    </w:rPr>
                  </w:pPr>
                </w:p>
              </w:tc>
              <w:tc>
                <w:tcPr>
                  <w:tcW w:w="284" w:type="dxa"/>
                  <w:tcBorders>
                    <w:top w:val="single" w:sz="4" w:space="0" w:color="auto"/>
                  </w:tcBorders>
                  <w:shd w:val="clear" w:color="auto" w:fill="CC99FF"/>
                </w:tcPr>
                <w:p w14:paraId="31C09F1B" w14:textId="77777777">
                  <w:pPr>
                    <w:pStyle w:val="Tabletext"/>
                    <w:keepNext/>
                    <w:jc w:val="center"/>
                  </w:pPr>
                </w:p>
              </w:tc>
              <w:tc>
                <w:tcPr>
                  <w:tcW w:w="284" w:type="dxa"/>
                  <w:tcBorders>
                    <w:top w:val="single" w:sz="4" w:space="0" w:color="auto"/>
                    <w:right w:val="single" w:sz="4" w:space="0" w:color="auto"/>
                  </w:tcBorders>
                  <w:shd w:val="clear" w:color="auto" w:fill="CC99FF"/>
                </w:tcPr>
                <w:p w14:paraId="45A4A37A" w14:textId="77777777">
                  <w:pPr>
                    <w:pStyle w:val="Tabletext"/>
                    <w:keepNext/>
                  </w:pPr>
                </w:p>
              </w:tc>
              <w:tc>
                <w:tcPr>
                  <w:tcW w:w="284" w:type="dxa"/>
                  <w:tcBorders>
                    <w:left w:val="single" w:sz="4" w:space="0" w:color="auto"/>
                    <w:right w:val="double" w:sz="4" w:space="0" w:color="auto"/>
                  </w:tcBorders>
                  <w:shd w:val="clear" w:color="auto" w:fill="CCFFCC"/>
                </w:tcPr>
                <w:p w14:paraId="582062E6" w14:textId="77777777">
                  <w:pPr>
                    <w:pStyle w:val="Tabletext"/>
                    <w:keepNext/>
                  </w:pPr>
                </w:p>
              </w:tc>
              <w:tc>
                <w:tcPr>
                  <w:tcW w:w="284" w:type="dxa"/>
                  <w:tcBorders>
                    <w:left w:val="double" w:sz="4" w:space="0" w:color="auto"/>
                    <w:right w:val="double" w:sz="12" w:space="0" w:color="auto"/>
                  </w:tcBorders>
                  <w:shd w:val="clear" w:color="auto" w:fill="92D050"/>
                </w:tcPr>
                <w:p w14:paraId="6D7EFAC0" w14:textId="77777777">
                  <w:pPr>
                    <w:pStyle w:val="Tabletext"/>
                    <w:keepNext/>
                  </w:pPr>
                </w:p>
              </w:tc>
            </w:tr>
            <w:tr w14:paraId="3295E252" w14:textId="77777777">
              <w:trPr>
                <w:trHeight w:hRule="exact" w:val="284"/>
                <w:jc w:val="center"/>
              </w:trPr>
              <w:tc>
                <w:tcPr>
                  <w:tcW w:w="284" w:type="dxa"/>
                  <w:tcBorders>
                    <w:left w:val="double" w:sz="12" w:space="0" w:color="auto"/>
                    <w:right w:val="double" w:sz="4" w:space="0" w:color="auto"/>
                  </w:tcBorders>
                  <w:shd w:val="clear" w:color="auto" w:fill="92D050"/>
                </w:tcPr>
                <w:p w14:paraId="6A02BBD5" w14:textId="77777777">
                  <w:pPr>
                    <w:pStyle w:val="Tabletext"/>
                    <w:keepNext/>
                  </w:pPr>
                </w:p>
              </w:tc>
              <w:tc>
                <w:tcPr>
                  <w:tcW w:w="284" w:type="dxa"/>
                  <w:tcBorders>
                    <w:left w:val="double" w:sz="4" w:space="0" w:color="auto"/>
                    <w:right w:val="single" w:sz="4" w:space="0" w:color="auto"/>
                  </w:tcBorders>
                  <w:shd w:val="clear" w:color="auto" w:fill="CCFFCC"/>
                </w:tcPr>
                <w:p w14:paraId="05ECD604" w14:textId="77777777">
                  <w:pPr>
                    <w:pStyle w:val="Tabletext"/>
                    <w:keepNext/>
                  </w:pPr>
                </w:p>
              </w:tc>
              <w:tc>
                <w:tcPr>
                  <w:tcW w:w="3119" w:type="dxa"/>
                  <w:gridSpan w:val="2"/>
                  <w:vMerge/>
                  <w:tcBorders>
                    <w:left w:val="single" w:sz="4" w:space="0" w:color="auto"/>
                  </w:tcBorders>
                  <w:shd w:val="clear" w:color="auto" w:fill="CC99FF"/>
                </w:tcPr>
                <w:p w14:paraId="69DAFFB0" w14:textId="77777777">
                  <w:pPr>
                    <w:pStyle w:val="Tabletext"/>
                    <w:keepNext/>
                  </w:pPr>
                </w:p>
              </w:tc>
              <w:tc>
                <w:tcPr>
                  <w:tcW w:w="1418" w:type="dxa"/>
                  <w:shd w:val="clear" w:color="auto" w:fill="FFFF00"/>
                </w:tcPr>
                <w:p w14:paraId="118FF189" w14:textId="77777777">
                  <w:pPr>
                    <w:pStyle w:val="Tabletext"/>
                    <w:keepNext/>
                    <w:jc w:val="center"/>
                    <w:rPr>
                      <w:i/>
                      <w:iCs/>
                      <w:noProof/>
                    </w:rPr>
                  </w:pPr>
                  <w:r>
                    <w:rPr>
                      <w:i/>
                      <w:iCs/>
                      <w:noProof/>
                    </w:rPr>
                    <w:t>… text abc…</w:t>
                  </w:r>
                </w:p>
              </w:tc>
              <w:tc>
                <w:tcPr>
                  <w:tcW w:w="284" w:type="dxa"/>
                  <w:shd w:val="clear" w:color="auto" w:fill="CC99FF"/>
                </w:tcPr>
                <w:p w14:paraId="5A31CC24" w14:textId="77777777">
                  <w:pPr>
                    <w:pStyle w:val="Tabletext"/>
                    <w:keepNext/>
                    <w:jc w:val="center"/>
                  </w:pPr>
                </w:p>
              </w:tc>
              <w:tc>
                <w:tcPr>
                  <w:tcW w:w="284" w:type="dxa"/>
                  <w:tcBorders>
                    <w:right w:val="single" w:sz="4" w:space="0" w:color="auto"/>
                  </w:tcBorders>
                  <w:shd w:val="clear" w:color="auto" w:fill="CC99FF"/>
                </w:tcPr>
                <w:p w14:paraId="437163D5" w14:textId="77777777">
                  <w:pPr>
                    <w:pStyle w:val="Tabletext"/>
                    <w:keepNext/>
                  </w:pPr>
                </w:p>
              </w:tc>
              <w:tc>
                <w:tcPr>
                  <w:tcW w:w="284" w:type="dxa"/>
                  <w:tcBorders>
                    <w:left w:val="single" w:sz="4" w:space="0" w:color="auto"/>
                    <w:right w:val="double" w:sz="4" w:space="0" w:color="auto"/>
                  </w:tcBorders>
                  <w:shd w:val="clear" w:color="auto" w:fill="CCFFCC"/>
                </w:tcPr>
                <w:p w14:paraId="700FCBA7" w14:textId="77777777">
                  <w:pPr>
                    <w:pStyle w:val="Tabletext"/>
                    <w:keepNext/>
                  </w:pPr>
                </w:p>
              </w:tc>
              <w:tc>
                <w:tcPr>
                  <w:tcW w:w="284" w:type="dxa"/>
                  <w:tcBorders>
                    <w:left w:val="double" w:sz="4" w:space="0" w:color="auto"/>
                    <w:right w:val="double" w:sz="12" w:space="0" w:color="auto"/>
                  </w:tcBorders>
                  <w:shd w:val="clear" w:color="auto" w:fill="92D050"/>
                </w:tcPr>
                <w:p w14:paraId="2904A760" w14:textId="77777777">
                  <w:pPr>
                    <w:pStyle w:val="Tabletext"/>
                    <w:keepNext/>
                  </w:pPr>
                </w:p>
              </w:tc>
            </w:tr>
            <w:tr w14:paraId="4A30AA44" w14:textId="77777777">
              <w:trPr>
                <w:trHeight w:hRule="exact" w:val="113"/>
                <w:jc w:val="center"/>
              </w:trPr>
              <w:tc>
                <w:tcPr>
                  <w:tcW w:w="284" w:type="dxa"/>
                  <w:tcBorders>
                    <w:left w:val="double" w:sz="12" w:space="0" w:color="auto"/>
                    <w:right w:val="double" w:sz="4" w:space="0" w:color="auto"/>
                  </w:tcBorders>
                  <w:shd w:val="clear" w:color="auto" w:fill="92D050"/>
                </w:tcPr>
                <w:p w14:paraId="3B183277" w14:textId="77777777">
                  <w:pPr>
                    <w:pStyle w:val="Tabletext"/>
                    <w:keepNext/>
                  </w:pPr>
                </w:p>
              </w:tc>
              <w:tc>
                <w:tcPr>
                  <w:tcW w:w="284" w:type="dxa"/>
                  <w:tcBorders>
                    <w:left w:val="double" w:sz="4" w:space="0" w:color="auto"/>
                    <w:right w:val="single" w:sz="4" w:space="0" w:color="auto"/>
                  </w:tcBorders>
                  <w:shd w:val="clear" w:color="auto" w:fill="CCFFCC"/>
                </w:tcPr>
                <w:p w14:paraId="2A54CE6E" w14:textId="77777777">
                  <w:pPr>
                    <w:pStyle w:val="Tabletext"/>
                    <w:keepNext/>
                  </w:pPr>
                </w:p>
              </w:tc>
              <w:tc>
                <w:tcPr>
                  <w:tcW w:w="3119" w:type="dxa"/>
                  <w:gridSpan w:val="2"/>
                  <w:tcBorders>
                    <w:left w:val="single" w:sz="4" w:space="0" w:color="auto"/>
                    <w:bottom w:val="single" w:sz="4" w:space="0" w:color="auto"/>
                  </w:tcBorders>
                  <w:shd w:val="clear" w:color="auto" w:fill="CC99FF"/>
                </w:tcPr>
                <w:p w14:paraId="12802B94" w14:textId="77777777">
                  <w:pPr>
                    <w:pStyle w:val="Tabletext"/>
                    <w:keepNext/>
                  </w:pPr>
                </w:p>
              </w:tc>
              <w:tc>
                <w:tcPr>
                  <w:tcW w:w="1418" w:type="dxa"/>
                  <w:tcBorders>
                    <w:bottom w:val="single" w:sz="4" w:space="0" w:color="auto"/>
                  </w:tcBorders>
                  <w:shd w:val="clear" w:color="auto" w:fill="CC99FF"/>
                </w:tcPr>
                <w:p w14:paraId="5A148988" w14:textId="77777777">
                  <w:pPr>
                    <w:pStyle w:val="Tabletext"/>
                    <w:keepNext/>
                    <w:jc w:val="center"/>
                    <w:rPr>
                      <w:i/>
                      <w:iCs/>
                      <w:noProof/>
                    </w:rPr>
                  </w:pPr>
                </w:p>
              </w:tc>
              <w:tc>
                <w:tcPr>
                  <w:tcW w:w="284" w:type="dxa"/>
                  <w:tcBorders>
                    <w:bottom w:val="single" w:sz="4" w:space="0" w:color="auto"/>
                  </w:tcBorders>
                  <w:shd w:val="clear" w:color="auto" w:fill="CC99FF"/>
                </w:tcPr>
                <w:p w14:paraId="60ED0C28" w14:textId="77777777">
                  <w:pPr>
                    <w:pStyle w:val="Tabletext"/>
                    <w:keepNext/>
                    <w:jc w:val="center"/>
                  </w:pPr>
                </w:p>
              </w:tc>
              <w:tc>
                <w:tcPr>
                  <w:tcW w:w="284" w:type="dxa"/>
                  <w:tcBorders>
                    <w:bottom w:val="single" w:sz="4" w:space="0" w:color="auto"/>
                    <w:right w:val="single" w:sz="4" w:space="0" w:color="auto"/>
                  </w:tcBorders>
                  <w:shd w:val="clear" w:color="auto" w:fill="CC99FF"/>
                </w:tcPr>
                <w:p w14:paraId="00F84E00" w14:textId="77777777">
                  <w:pPr>
                    <w:pStyle w:val="Tabletext"/>
                    <w:keepNext/>
                  </w:pPr>
                </w:p>
              </w:tc>
              <w:tc>
                <w:tcPr>
                  <w:tcW w:w="284" w:type="dxa"/>
                  <w:tcBorders>
                    <w:left w:val="single" w:sz="4" w:space="0" w:color="auto"/>
                    <w:right w:val="double" w:sz="4" w:space="0" w:color="auto"/>
                  </w:tcBorders>
                  <w:shd w:val="clear" w:color="auto" w:fill="CCFFCC"/>
                </w:tcPr>
                <w:p w14:paraId="50D505F4" w14:textId="77777777">
                  <w:pPr>
                    <w:pStyle w:val="Tabletext"/>
                    <w:keepNext/>
                  </w:pPr>
                </w:p>
              </w:tc>
              <w:tc>
                <w:tcPr>
                  <w:tcW w:w="284" w:type="dxa"/>
                  <w:tcBorders>
                    <w:left w:val="double" w:sz="4" w:space="0" w:color="auto"/>
                    <w:right w:val="double" w:sz="12" w:space="0" w:color="auto"/>
                  </w:tcBorders>
                  <w:shd w:val="clear" w:color="auto" w:fill="92D050"/>
                </w:tcPr>
                <w:p w14:paraId="17524513" w14:textId="77777777">
                  <w:pPr>
                    <w:pStyle w:val="Tabletext"/>
                    <w:keepNext/>
                  </w:pPr>
                </w:p>
              </w:tc>
            </w:tr>
            <w:tr w14:paraId="302B90B4" w14:textId="77777777">
              <w:trPr>
                <w:trHeight w:hRule="exact" w:val="113"/>
                <w:jc w:val="center"/>
              </w:trPr>
              <w:tc>
                <w:tcPr>
                  <w:tcW w:w="284" w:type="dxa"/>
                  <w:tcBorders>
                    <w:left w:val="double" w:sz="12" w:space="0" w:color="auto"/>
                    <w:right w:val="double" w:sz="4" w:space="0" w:color="auto"/>
                  </w:tcBorders>
                  <w:shd w:val="clear" w:color="auto" w:fill="92D050"/>
                </w:tcPr>
                <w:p w14:paraId="4800CDAA" w14:textId="77777777">
                  <w:pPr>
                    <w:pStyle w:val="Tabletext"/>
                    <w:keepNext/>
                  </w:pPr>
                </w:p>
              </w:tc>
              <w:tc>
                <w:tcPr>
                  <w:tcW w:w="284" w:type="dxa"/>
                  <w:tcBorders>
                    <w:left w:val="double" w:sz="4" w:space="0" w:color="auto"/>
                    <w:right w:val="single" w:sz="4" w:space="0" w:color="auto"/>
                  </w:tcBorders>
                  <w:shd w:val="clear" w:color="auto" w:fill="CCFFCC"/>
                </w:tcPr>
                <w:p w14:paraId="61DEE03A" w14:textId="77777777">
                  <w:pPr>
                    <w:pStyle w:val="Tabletext"/>
                    <w:keepNext/>
                  </w:pPr>
                </w:p>
              </w:tc>
              <w:tc>
                <w:tcPr>
                  <w:tcW w:w="3119" w:type="dxa"/>
                  <w:gridSpan w:val="2"/>
                  <w:vMerge w:val="restart"/>
                  <w:tcBorders>
                    <w:top w:val="single" w:sz="4" w:space="0" w:color="auto"/>
                    <w:left w:val="single" w:sz="4" w:space="0" w:color="auto"/>
                  </w:tcBorders>
                  <w:shd w:val="clear" w:color="auto" w:fill="FF66CC"/>
                </w:tcPr>
                <w:p w14:paraId="3E4CF95F" w14:textId="77777777">
                  <w:pPr>
                    <w:pStyle w:val="Tabletext"/>
                    <w:keepNext/>
                  </w:pPr>
                  <w:r>
                    <w:t>&lt;anonymous block&gt; contains</w:t>
                  </w:r>
                </w:p>
              </w:tc>
              <w:tc>
                <w:tcPr>
                  <w:tcW w:w="1418" w:type="dxa"/>
                  <w:tcBorders>
                    <w:top w:val="single" w:sz="4" w:space="0" w:color="auto"/>
                  </w:tcBorders>
                  <w:shd w:val="clear" w:color="auto" w:fill="FF66CC"/>
                </w:tcPr>
                <w:p w14:paraId="2A07855C" w14:textId="77777777">
                  <w:pPr>
                    <w:pStyle w:val="Tabletext"/>
                    <w:keepNext/>
                    <w:jc w:val="center"/>
                    <w:rPr>
                      <w:i/>
                      <w:iCs/>
                      <w:noProof/>
                    </w:rPr>
                  </w:pPr>
                </w:p>
              </w:tc>
              <w:tc>
                <w:tcPr>
                  <w:tcW w:w="284" w:type="dxa"/>
                  <w:tcBorders>
                    <w:top w:val="single" w:sz="4" w:space="0" w:color="auto"/>
                  </w:tcBorders>
                  <w:shd w:val="clear" w:color="auto" w:fill="FF66CC"/>
                </w:tcPr>
                <w:p w14:paraId="7D93D7B6" w14:textId="77777777">
                  <w:pPr>
                    <w:pStyle w:val="Tabletext"/>
                    <w:keepNext/>
                    <w:jc w:val="center"/>
                  </w:pPr>
                </w:p>
              </w:tc>
              <w:tc>
                <w:tcPr>
                  <w:tcW w:w="284" w:type="dxa"/>
                  <w:tcBorders>
                    <w:top w:val="single" w:sz="4" w:space="0" w:color="auto"/>
                    <w:right w:val="single" w:sz="4" w:space="0" w:color="auto"/>
                  </w:tcBorders>
                  <w:shd w:val="clear" w:color="auto" w:fill="FF66CC"/>
                </w:tcPr>
                <w:p w14:paraId="2BC75149" w14:textId="77777777">
                  <w:pPr>
                    <w:pStyle w:val="Tabletext"/>
                    <w:keepNext/>
                  </w:pPr>
                </w:p>
              </w:tc>
              <w:tc>
                <w:tcPr>
                  <w:tcW w:w="284" w:type="dxa"/>
                  <w:tcBorders>
                    <w:left w:val="single" w:sz="4" w:space="0" w:color="auto"/>
                    <w:right w:val="double" w:sz="4" w:space="0" w:color="auto"/>
                  </w:tcBorders>
                  <w:shd w:val="clear" w:color="auto" w:fill="CCFFCC"/>
                </w:tcPr>
                <w:p w14:paraId="18863437" w14:textId="77777777">
                  <w:pPr>
                    <w:pStyle w:val="Tabletext"/>
                    <w:keepNext/>
                  </w:pPr>
                </w:p>
              </w:tc>
              <w:tc>
                <w:tcPr>
                  <w:tcW w:w="284" w:type="dxa"/>
                  <w:tcBorders>
                    <w:left w:val="double" w:sz="4" w:space="0" w:color="auto"/>
                    <w:right w:val="double" w:sz="12" w:space="0" w:color="auto"/>
                  </w:tcBorders>
                  <w:shd w:val="clear" w:color="auto" w:fill="92D050"/>
                </w:tcPr>
                <w:p w14:paraId="6F8DDB86" w14:textId="77777777">
                  <w:pPr>
                    <w:pStyle w:val="Tabletext"/>
                    <w:keepNext/>
                  </w:pPr>
                </w:p>
              </w:tc>
            </w:tr>
            <w:tr w14:paraId="5DF2F28D" w14:textId="77777777">
              <w:trPr>
                <w:trHeight w:hRule="exact" w:val="284"/>
                <w:jc w:val="center"/>
              </w:trPr>
              <w:tc>
                <w:tcPr>
                  <w:tcW w:w="284" w:type="dxa"/>
                  <w:tcBorders>
                    <w:left w:val="double" w:sz="12" w:space="0" w:color="auto"/>
                    <w:right w:val="double" w:sz="4" w:space="0" w:color="auto"/>
                  </w:tcBorders>
                  <w:shd w:val="clear" w:color="auto" w:fill="92D050"/>
                </w:tcPr>
                <w:p w14:paraId="125B07F5" w14:textId="77777777">
                  <w:pPr>
                    <w:pStyle w:val="Tabletext"/>
                    <w:keepNext/>
                  </w:pPr>
                </w:p>
              </w:tc>
              <w:tc>
                <w:tcPr>
                  <w:tcW w:w="284" w:type="dxa"/>
                  <w:tcBorders>
                    <w:left w:val="double" w:sz="4" w:space="0" w:color="auto"/>
                    <w:right w:val="single" w:sz="4" w:space="0" w:color="auto"/>
                  </w:tcBorders>
                  <w:shd w:val="clear" w:color="auto" w:fill="CCFFCC"/>
                </w:tcPr>
                <w:p w14:paraId="494D0F2E" w14:textId="77777777">
                  <w:pPr>
                    <w:pStyle w:val="Tabletext"/>
                    <w:keepNext/>
                  </w:pPr>
                </w:p>
              </w:tc>
              <w:tc>
                <w:tcPr>
                  <w:tcW w:w="3119" w:type="dxa"/>
                  <w:gridSpan w:val="2"/>
                  <w:vMerge/>
                  <w:tcBorders>
                    <w:left w:val="single" w:sz="4" w:space="0" w:color="auto"/>
                  </w:tcBorders>
                  <w:shd w:val="clear" w:color="auto" w:fill="FF66CC"/>
                </w:tcPr>
                <w:p w14:paraId="2C4C3500" w14:textId="77777777">
                  <w:pPr>
                    <w:pStyle w:val="Tabletext"/>
                    <w:keepNext/>
                  </w:pPr>
                </w:p>
              </w:tc>
              <w:tc>
                <w:tcPr>
                  <w:tcW w:w="1418" w:type="dxa"/>
                  <w:shd w:val="clear" w:color="auto" w:fill="FFFF00"/>
                </w:tcPr>
                <w:p w14:paraId="0299F9F3" w14:textId="77777777">
                  <w:pPr>
                    <w:pStyle w:val="Tabletext"/>
                    <w:keepNext/>
                    <w:jc w:val="center"/>
                    <w:rPr>
                      <w:i/>
                      <w:iCs/>
                      <w:noProof/>
                    </w:rPr>
                  </w:pPr>
                  <w:r>
                    <w:rPr>
                      <w:i/>
                      <w:iCs/>
                      <w:noProof/>
                    </w:rPr>
                    <w:t>… text def…</w:t>
                  </w:r>
                </w:p>
              </w:tc>
              <w:tc>
                <w:tcPr>
                  <w:tcW w:w="284" w:type="dxa"/>
                  <w:shd w:val="clear" w:color="auto" w:fill="FF66CC"/>
                </w:tcPr>
                <w:p w14:paraId="6816948D" w14:textId="77777777">
                  <w:pPr>
                    <w:pStyle w:val="Tabletext"/>
                    <w:keepNext/>
                    <w:jc w:val="center"/>
                  </w:pPr>
                </w:p>
              </w:tc>
              <w:tc>
                <w:tcPr>
                  <w:tcW w:w="284" w:type="dxa"/>
                  <w:tcBorders>
                    <w:right w:val="single" w:sz="4" w:space="0" w:color="auto"/>
                  </w:tcBorders>
                  <w:shd w:val="clear" w:color="auto" w:fill="FF66CC"/>
                </w:tcPr>
                <w:p w14:paraId="454DC4AF" w14:textId="77777777">
                  <w:pPr>
                    <w:pStyle w:val="Tabletext"/>
                    <w:keepNext/>
                  </w:pPr>
                </w:p>
              </w:tc>
              <w:tc>
                <w:tcPr>
                  <w:tcW w:w="284" w:type="dxa"/>
                  <w:tcBorders>
                    <w:left w:val="single" w:sz="4" w:space="0" w:color="auto"/>
                    <w:right w:val="double" w:sz="4" w:space="0" w:color="auto"/>
                  </w:tcBorders>
                  <w:shd w:val="clear" w:color="auto" w:fill="CCFFCC"/>
                </w:tcPr>
                <w:p w14:paraId="537F47C9" w14:textId="77777777">
                  <w:pPr>
                    <w:pStyle w:val="Tabletext"/>
                    <w:keepNext/>
                  </w:pPr>
                </w:p>
              </w:tc>
              <w:tc>
                <w:tcPr>
                  <w:tcW w:w="284" w:type="dxa"/>
                  <w:tcBorders>
                    <w:left w:val="double" w:sz="4" w:space="0" w:color="auto"/>
                    <w:right w:val="double" w:sz="12" w:space="0" w:color="auto"/>
                  </w:tcBorders>
                  <w:shd w:val="clear" w:color="auto" w:fill="92D050"/>
                </w:tcPr>
                <w:p w14:paraId="54F1DE88" w14:textId="77777777">
                  <w:pPr>
                    <w:pStyle w:val="Tabletext"/>
                    <w:keepNext/>
                  </w:pPr>
                </w:p>
              </w:tc>
            </w:tr>
            <w:tr w14:paraId="3B5A295B" w14:textId="77777777">
              <w:trPr>
                <w:trHeight w:hRule="exact" w:val="113"/>
                <w:jc w:val="center"/>
              </w:trPr>
              <w:tc>
                <w:tcPr>
                  <w:tcW w:w="284" w:type="dxa"/>
                  <w:tcBorders>
                    <w:left w:val="double" w:sz="12" w:space="0" w:color="auto"/>
                    <w:right w:val="double" w:sz="4" w:space="0" w:color="auto"/>
                  </w:tcBorders>
                  <w:shd w:val="clear" w:color="auto" w:fill="92D050"/>
                </w:tcPr>
                <w:p w14:paraId="4C5001AF" w14:textId="77777777">
                  <w:pPr>
                    <w:pStyle w:val="Tabletext"/>
                    <w:keepNext/>
                  </w:pPr>
                </w:p>
              </w:tc>
              <w:tc>
                <w:tcPr>
                  <w:tcW w:w="284" w:type="dxa"/>
                  <w:tcBorders>
                    <w:left w:val="double" w:sz="4" w:space="0" w:color="auto"/>
                    <w:right w:val="single" w:sz="4" w:space="0" w:color="auto"/>
                  </w:tcBorders>
                  <w:shd w:val="clear" w:color="auto" w:fill="CCFFCC"/>
                </w:tcPr>
                <w:p w14:paraId="345D7715" w14:textId="77777777">
                  <w:pPr>
                    <w:pStyle w:val="Tabletext"/>
                    <w:keepNext/>
                  </w:pPr>
                </w:p>
              </w:tc>
              <w:tc>
                <w:tcPr>
                  <w:tcW w:w="3119" w:type="dxa"/>
                  <w:gridSpan w:val="2"/>
                  <w:tcBorders>
                    <w:left w:val="single" w:sz="4" w:space="0" w:color="auto"/>
                    <w:bottom w:val="single" w:sz="4" w:space="0" w:color="auto"/>
                  </w:tcBorders>
                  <w:shd w:val="clear" w:color="auto" w:fill="FF66CC"/>
                </w:tcPr>
                <w:p w14:paraId="00AE38AD" w14:textId="77777777">
                  <w:pPr>
                    <w:pStyle w:val="Tabletext"/>
                    <w:keepNext/>
                  </w:pPr>
                </w:p>
              </w:tc>
              <w:tc>
                <w:tcPr>
                  <w:tcW w:w="1418" w:type="dxa"/>
                  <w:tcBorders>
                    <w:bottom w:val="single" w:sz="4" w:space="0" w:color="auto"/>
                  </w:tcBorders>
                  <w:shd w:val="clear" w:color="auto" w:fill="FF66CC"/>
                </w:tcPr>
                <w:p w14:paraId="36C0E25F" w14:textId="77777777">
                  <w:pPr>
                    <w:pStyle w:val="Tabletext"/>
                    <w:keepNext/>
                    <w:jc w:val="center"/>
                    <w:rPr>
                      <w:i/>
                      <w:iCs/>
                      <w:noProof/>
                    </w:rPr>
                  </w:pPr>
                </w:p>
              </w:tc>
              <w:tc>
                <w:tcPr>
                  <w:tcW w:w="284" w:type="dxa"/>
                  <w:tcBorders>
                    <w:bottom w:val="single" w:sz="4" w:space="0" w:color="auto"/>
                  </w:tcBorders>
                  <w:shd w:val="clear" w:color="auto" w:fill="FF66CC"/>
                </w:tcPr>
                <w:p w14:paraId="20B91FB8" w14:textId="77777777">
                  <w:pPr>
                    <w:pStyle w:val="Tabletext"/>
                    <w:keepNext/>
                    <w:jc w:val="center"/>
                  </w:pPr>
                </w:p>
              </w:tc>
              <w:tc>
                <w:tcPr>
                  <w:tcW w:w="284" w:type="dxa"/>
                  <w:tcBorders>
                    <w:bottom w:val="single" w:sz="4" w:space="0" w:color="auto"/>
                    <w:right w:val="single" w:sz="4" w:space="0" w:color="auto"/>
                  </w:tcBorders>
                  <w:shd w:val="clear" w:color="auto" w:fill="FF66CC"/>
                </w:tcPr>
                <w:p w14:paraId="7902A68A" w14:textId="77777777">
                  <w:pPr>
                    <w:pStyle w:val="Tabletext"/>
                    <w:keepNext/>
                  </w:pPr>
                </w:p>
              </w:tc>
              <w:tc>
                <w:tcPr>
                  <w:tcW w:w="284" w:type="dxa"/>
                  <w:tcBorders>
                    <w:left w:val="single" w:sz="4" w:space="0" w:color="auto"/>
                    <w:right w:val="double" w:sz="4" w:space="0" w:color="auto"/>
                  </w:tcBorders>
                  <w:shd w:val="clear" w:color="auto" w:fill="CCFFCC"/>
                </w:tcPr>
                <w:p w14:paraId="75BBEE05" w14:textId="77777777">
                  <w:pPr>
                    <w:pStyle w:val="Tabletext"/>
                    <w:keepNext/>
                  </w:pPr>
                </w:p>
              </w:tc>
              <w:tc>
                <w:tcPr>
                  <w:tcW w:w="284" w:type="dxa"/>
                  <w:tcBorders>
                    <w:left w:val="double" w:sz="4" w:space="0" w:color="auto"/>
                    <w:right w:val="double" w:sz="12" w:space="0" w:color="auto"/>
                  </w:tcBorders>
                  <w:shd w:val="clear" w:color="auto" w:fill="92D050"/>
                </w:tcPr>
                <w:p w14:paraId="45A7399E" w14:textId="77777777">
                  <w:pPr>
                    <w:pStyle w:val="Tabletext"/>
                    <w:keepNext/>
                  </w:pPr>
                </w:p>
              </w:tc>
            </w:tr>
            <w:tr w14:paraId="10FFB8CA" w14:textId="77777777">
              <w:trPr>
                <w:trHeight w:hRule="exact" w:val="284"/>
                <w:jc w:val="center"/>
              </w:trPr>
              <w:tc>
                <w:tcPr>
                  <w:tcW w:w="284" w:type="dxa"/>
                  <w:tcBorders>
                    <w:left w:val="double" w:sz="12" w:space="0" w:color="auto"/>
                    <w:right w:val="double" w:sz="4" w:space="0" w:color="auto"/>
                  </w:tcBorders>
                  <w:shd w:val="clear" w:color="auto" w:fill="92D050"/>
                </w:tcPr>
                <w:p w14:paraId="0CF1626D" w14:textId="77777777">
                  <w:pPr>
                    <w:pStyle w:val="Tabletext"/>
                    <w:keepNext/>
                  </w:pPr>
                </w:p>
              </w:tc>
              <w:tc>
                <w:tcPr>
                  <w:tcW w:w="284" w:type="dxa"/>
                  <w:tcBorders>
                    <w:left w:val="double" w:sz="4" w:space="0" w:color="auto"/>
                    <w:right w:val="single" w:sz="4" w:space="0" w:color="auto"/>
                  </w:tcBorders>
                  <w:shd w:val="clear" w:color="auto" w:fill="CCFFCC"/>
                </w:tcPr>
                <w:p w14:paraId="2359A553" w14:textId="77777777">
                  <w:pPr>
                    <w:pStyle w:val="Tabletext"/>
                    <w:keepNext/>
                  </w:pPr>
                </w:p>
              </w:tc>
              <w:tc>
                <w:tcPr>
                  <w:tcW w:w="4821" w:type="dxa"/>
                  <w:gridSpan w:val="4"/>
                  <w:tcBorders>
                    <w:top w:val="single" w:sz="4" w:space="0" w:color="auto"/>
                    <w:left w:val="single" w:sz="4" w:space="0" w:color="auto"/>
                  </w:tcBorders>
                  <w:shd w:val="clear" w:color="auto" w:fill="00B0F0"/>
                </w:tcPr>
                <w:p w14:paraId="41281DB2" w14:textId="77777777">
                  <w:pPr>
                    <w:pStyle w:val="Tabletext"/>
                    <w:keepNext/>
                    <w:rPr>
                      <w:noProof/>
                    </w:rPr>
                  </w:pPr>
                  <w:r>
                    <w:rPr>
                      <w:noProof/>
                    </w:rPr>
                    <w:t>&lt;stanza 1&gt; contains</w:t>
                  </w:r>
                </w:p>
              </w:tc>
              <w:tc>
                <w:tcPr>
                  <w:tcW w:w="284" w:type="dxa"/>
                  <w:tcBorders>
                    <w:top w:val="single" w:sz="4" w:space="0" w:color="auto"/>
                    <w:right w:val="single" w:sz="4" w:space="0" w:color="auto"/>
                  </w:tcBorders>
                  <w:shd w:val="clear" w:color="auto" w:fill="00B0F0"/>
                </w:tcPr>
                <w:p w14:paraId="3B080683" w14:textId="77777777">
                  <w:pPr>
                    <w:pStyle w:val="Tabletext"/>
                    <w:keepNext/>
                  </w:pPr>
                </w:p>
              </w:tc>
              <w:tc>
                <w:tcPr>
                  <w:tcW w:w="284" w:type="dxa"/>
                  <w:tcBorders>
                    <w:left w:val="single" w:sz="4" w:space="0" w:color="auto"/>
                    <w:right w:val="double" w:sz="4" w:space="0" w:color="auto"/>
                  </w:tcBorders>
                  <w:shd w:val="clear" w:color="auto" w:fill="CCFFCC"/>
                </w:tcPr>
                <w:p w14:paraId="3DEEA90E" w14:textId="77777777">
                  <w:pPr>
                    <w:pStyle w:val="Tabletext"/>
                    <w:keepNext/>
                  </w:pPr>
                </w:p>
              </w:tc>
              <w:tc>
                <w:tcPr>
                  <w:tcW w:w="284" w:type="dxa"/>
                  <w:tcBorders>
                    <w:left w:val="double" w:sz="4" w:space="0" w:color="auto"/>
                    <w:right w:val="double" w:sz="12" w:space="0" w:color="auto"/>
                  </w:tcBorders>
                  <w:shd w:val="clear" w:color="auto" w:fill="92D050"/>
                </w:tcPr>
                <w:p w14:paraId="07D85348" w14:textId="77777777">
                  <w:pPr>
                    <w:pStyle w:val="Tabletext"/>
                    <w:keepNext/>
                  </w:pPr>
                </w:p>
              </w:tc>
            </w:tr>
            <w:tr w14:paraId="32C7283B" w14:textId="77777777">
              <w:trPr>
                <w:trHeight w:hRule="exact" w:val="113"/>
                <w:jc w:val="center"/>
              </w:trPr>
              <w:tc>
                <w:tcPr>
                  <w:tcW w:w="284" w:type="dxa"/>
                  <w:tcBorders>
                    <w:left w:val="double" w:sz="12" w:space="0" w:color="auto"/>
                    <w:right w:val="double" w:sz="4" w:space="0" w:color="auto"/>
                  </w:tcBorders>
                  <w:shd w:val="clear" w:color="auto" w:fill="92D050"/>
                </w:tcPr>
                <w:p w14:paraId="3D60E9BC" w14:textId="77777777">
                  <w:pPr>
                    <w:pStyle w:val="Tabletext"/>
                    <w:keepNext/>
                  </w:pPr>
                </w:p>
              </w:tc>
              <w:tc>
                <w:tcPr>
                  <w:tcW w:w="284" w:type="dxa"/>
                  <w:tcBorders>
                    <w:left w:val="double" w:sz="4" w:space="0" w:color="auto"/>
                    <w:right w:val="single" w:sz="4" w:space="0" w:color="auto"/>
                  </w:tcBorders>
                  <w:shd w:val="clear" w:color="auto" w:fill="CCFFCC"/>
                </w:tcPr>
                <w:p w14:paraId="49F3AEA8" w14:textId="77777777">
                  <w:pPr>
                    <w:pStyle w:val="Tabletext"/>
                    <w:keepNext/>
                  </w:pPr>
                </w:p>
              </w:tc>
              <w:tc>
                <w:tcPr>
                  <w:tcW w:w="284" w:type="dxa"/>
                  <w:tcBorders>
                    <w:left w:val="single" w:sz="4" w:space="0" w:color="auto"/>
                    <w:right w:val="single" w:sz="4" w:space="0" w:color="auto"/>
                  </w:tcBorders>
                  <w:shd w:val="clear" w:color="auto" w:fill="00B0F0"/>
                </w:tcPr>
                <w:p w14:paraId="2480494F" w14:textId="77777777">
                  <w:pPr>
                    <w:pStyle w:val="Tabletext"/>
                    <w:keepNext/>
                  </w:pPr>
                </w:p>
              </w:tc>
              <w:tc>
                <w:tcPr>
                  <w:tcW w:w="2835" w:type="dxa"/>
                  <w:vMerge w:val="restart"/>
                  <w:tcBorders>
                    <w:top w:val="single" w:sz="4" w:space="0" w:color="auto"/>
                    <w:left w:val="single" w:sz="4" w:space="0" w:color="auto"/>
                  </w:tcBorders>
                  <w:shd w:val="clear" w:color="auto" w:fill="FF6600"/>
                </w:tcPr>
                <w:p w14:paraId="68893337" w14:textId="77777777">
                  <w:pPr>
                    <w:pStyle w:val="Tabletext"/>
                    <w:keepNext/>
                  </w:pPr>
                  <w:r>
                    <w:t>&lt;line a&gt; contains</w:t>
                  </w:r>
                </w:p>
              </w:tc>
              <w:tc>
                <w:tcPr>
                  <w:tcW w:w="1418" w:type="dxa"/>
                  <w:tcBorders>
                    <w:top w:val="single" w:sz="4" w:space="0" w:color="auto"/>
                  </w:tcBorders>
                  <w:shd w:val="clear" w:color="auto" w:fill="FF6600"/>
                </w:tcPr>
                <w:p w14:paraId="727EA4D0" w14:textId="77777777">
                  <w:pPr>
                    <w:pStyle w:val="Tabletext"/>
                    <w:keepNext/>
                    <w:jc w:val="center"/>
                    <w:rPr>
                      <w:i/>
                      <w:iCs/>
                      <w:noProof/>
                    </w:rPr>
                  </w:pPr>
                </w:p>
              </w:tc>
              <w:tc>
                <w:tcPr>
                  <w:tcW w:w="284" w:type="dxa"/>
                  <w:tcBorders>
                    <w:top w:val="single" w:sz="4" w:space="0" w:color="auto"/>
                    <w:right w:val="single" w:sz="4" w:space="0" w:color="auto"/>
                  </w:tcBorders>
                  <w:shd w:val="clear" w:color="auto" w:fill="FF6600"/>
                </w:tcPr>
                <w:p w14:paraId="7F85A59C" w14:textId="77777777">
                  <w:pPr>
                    <w:pStyle w:val="Tabletext"/>
                    <w:keepNext/>
                    <w:jc w:val="center"/>
                  </w:pPr>
                </w:p>
              </w:tc>
              <w:tc>
                <w:tcPr>
                  <w:tcW w:w="284" w:type="dxa"/>
                  <w:tcBorders>
                    <w:left w:val="single" w:sz="4" w:space="0" w:color="auto"/>
                    <w:right w:val="single" w:sz="4" w:space="0" w:color="auto"/>
                  </w:tcBorders>
                  <w:shd w:val="clear" w:color="auto" w:fill="00B0F0"/>
                </w:tcPr>
                <w:p w14:paraId="452F6129" w14:textId="77777777">
                  <w:pPr>
                    <w:pStyle w:val="Tabletext"/>
                    <w:keepNext/>
                  </w:pPr>
                </w:p>
              </w:tc>
              <w:tc>
                <w:tcPr>
                  <w:tcW w:w="284" w:type="dxa"/>
                  <w:tcBorders>
                    <w:left w:val="single" w:sz="4" w:space="0" w:color="auto"/>
                    <w:right w:val="double" w:sz="4" w:space="0" w:color="auto"/>
                  </w:tcBorders>
                  <w:shd w:val="clear" w:color="auto" w:fill="CCFFCC"/>
                </w:tcPr>
                <w:p w14:paraId="45AF35BD" w14:textId="77777777">
                  <w:pPr>
                    <w:pStyle w:val="Tabletext"/>
                    <w:keepNext/>
                  </w:pPr>
                </w:p>
              </w:tc>
              <w:tc>
                <w:tcPr>
                  <w:tcW w:w="284" w:type="dxa"/>
                  <w:tcBorders>
                    <w:left w:val="double" w:sz="4" w:space="0" w:color="auto"/>
                    <w:right w:val="double" w:sz="12" w:space="0" w:color="auto"/>
                  </w:tcBorders>
                  <w:shd w:val="clear" w:color="auto" w:fill="92D050"/>
                </w:tcPr>
                <w:p w14:paraId="6DAD7750" w14:textId="77777777">
                  <w:pPr>
                    <w:pStyle w:val="Tabletext"/>
                    <w:keepNext/>
                  </w:pPr>
                </w:p>
              </w:tc>
            </w:tr>
            <w:tr w14:paraId="2E114FE4" w14:textId="77777777">
              <w:trPr>
                <w:trHeight w:hRule="exact" w:val="284"/>
                <w:jc w:val="center"/>
              </w:trPr>
              <w:tc>
                <w:tcPr>
                  <w:tcW w:w="284" w:type="dxa"/>
                  <w:tcBorders>
                    <w:left w:val="double" w:sz="12" w:space="0" w:color="auto"/>
                    <w:right w:val="double" w:sz="4" w:space="0" w:color="auto"/>
                  </w:tcBorders>
                  <w:shd w:val="clear" w:color="auto" w:fill="92D050"/>
                </w:tcPr>
                <w:p w14:paraId="1D5F3621" w14:textId="77777777">
                  <w:pPr>
                    <w:pStyle w:val="Tabletext"/>
                    <w:keepNext/>
                  </w:pPr>
                </w:p>
              </w:tc>
              <w:tc>
                <w:tcPr>
                  <w:tcW w:w="284" w:type="dxa"/>
                  <w:tcBorders>
                    <w:left w:val="double" w:sz="4" w:space="0" w:color="auto"/>
                    <w:right w:val="single" w:sz="4" w:space="0" w:color="auto"/>
                  </w:tcBorders>
                  <w:shd w:val="clear" w:color="auto" w:fill="CCFFCC"/>
                </w:tcPr>
                <w:p w14:paraId="68AC4988" w14:textId="77777777">
                  <w:pPr>
                    <w:pStyle w:val="Tabletext"/>
                    <w:keepNext/>
                  </w:pPr>
                </w:p>
              </w:tc>
              <w:tc>
                <w:tcPr>
                  <w:tcW w:w="284" w:type="dxa"/>
                  <w:tcBorders>
                    <w:left w:val="single" w:sz="4" w:space="0" w:color="auto"/>
                    <w:right w:val="single" w:sz="4" w:space="0" w:color="auto"/>
                  </w:tcBorders>
                  <w:shd w:val="clear" w:color="auto" w:fill="00B0F0"/>
                </w:tcPr>
                <w:p w14:paraId="348DD36E" w14:textId="77777777">
                  <w:pPr>
                    <w:pStyle w:val="Tabletext"/>
                    <w:keepNext/>
                  </w:pPr>
                </w:p>
              </w:tc>
              <w:tc>
                <w:tcPr>
                  <w:tcW w:w="2835" w:type="dxa"/>
                  <w:vMerge/>
                  <w:tcBorders>
                    <w:left w:val="single" w:sz="4" w:space="0" w:color="auto"/>
                  </w:tcBorders>
                  <w:shd w:val="clear" w:color="auto" w:fill="FF6600"/>
                </w:tcPr>
                <w:p w14:paraId="3FF4E174" w14:textId="77777777">
                  <w:pPr>
                    <w:pStyle w:val="Tabletext"/>
                    <w:keepNext/>
                  </w:pPr>
                </w:p>
              </w:tc>
              <w:tc>
                <w:tcPr>
                  <w:tcW w:w="1418" w:type="dxa"/>
                  <w:shd w:val="clear" w:color="auto" w:fill="FFFF00"/>
                </w:tcPr>
                <w:p w14:paraId="3079E55A" w14:textId="77777777">
                  <w:pPr>
                    <w:pStyle w:val="Tabletext"/>
                    <w:keepNext/>
                    <w:jc w:val="center"/>
                    <w:rPr>
                      <w:i/>
                      <w:iCs/>
                      <w:noProof/>
                    </w:rPr>
                  </w:pPr>
                  <w:r>
                    <w:rPr>
                      <w:i/>
                      <w:iCs/>
                      <w:noProof/>
                    </w:rPr>
                    <w:t>… text ghi…</w:t>
                  </w:r>
                </w:p>
              </w:tc>
              <w:tc>
                <w:tcPr>
                  <w:tcW w:w="284" w:type="dxa"/>
                  <w:tcBorders>
                    <w:right w:val="single" w:sz="4" w:space="0" w:color="auto"/>
                  </w:tcBorders>
                  <w:shd w:val="clear" w:color="auto" w:fill="FF6600"/>
                </w:tcPr>
                <w:p w14:paraId="4F6068BD" w14:textId="77777777">
                  <w:pPr>
                    <w:pStyle w:val="Tabletext"/>
                    <w:keepNext/>
                    <w:jc w:val="center"/>
                  </w:pPr>
                </w:p>
              </w:tc>
              <w:tc>
                <w:tcPr>
                  <w:tcW w:w="284" w:type="dxa"/>
                  <w:tcBorders>
                    <w:left w:val="single" w:sz="4" w:space="0" w:color="auto"/>
                    <w:right w:val="single" w:sz="4" w:space="0" w:color="auto"/>
                  </w:tcBorders>
                  <w:shd w:val="clear" w:color="auto" w:fill="00B0F0"/>
                </w:tcPr>
                <w:p w14:paraId="409EF998" w14:textId="77777777">
                  <w:pPr>
                    <w:pStyle w:val="Tabletext"/>
                    <w:keepNext/>
                  </w:pPr>
                </w:p>
              </w:tc>
              <w:tc>
                <w:tcPr>
                  <w:tcW w:w="284" w:type="dxa"/>
                  <w:tcBorders>
                    <w:left w:val="single" w:sz="4" w:space="0" w:color="auto"/>
                    <w:right w:val="double" w:sz="4" w:space="0" w:color="auto"/>
                  </w:tcBorders>
                  <w:shd w:val="clear" w:color="auto" w:fill="CCFFCC"/>
                </w:tcPr>
                <w:p w14:paraId="2DDA1B61" w14:textId="77777777">
                  <w:pPr>
                    <w:pStyle w:val="Tabletext"/>
                    <w:keepNext/>
                  </w:pPr>
                </w:p>
              </w:tc>
              <w:tc>
                <w:tcPr>
                  <w:tcW w:w="284" w:type="dxa"/>
                  <w:tcBorders>
                    <w:left w:val="double" w:sz="4" w:space="0" w:color="auto"/>
                    <w:right w:val="double" w:sz="12" w:space="0" w:color="auto"/>
                  </w:tcBorders>
                  <w:shd w:val="clear" w:color="auto" w:fill="92D050"/>
                </w:tcPr>
                <w:p w14:paraId="235925F1" w14:textId="77777777">
                  <w:pPr>
                    <w:pStyle w:val="Tabletext"/>
                    <w:keepNext/>
                  </w:pPr>
                </w:p>
              </w:tc>
            </w:tr>
            <w:tr w14:paraId="2CA756D8" w14:textId="77777777">
              <w:trPr>
                <w:trHeight w:hRule="exact" w:val="113"/>
                <w:jc w:val="center"/>
              </w:trPr>
              <w:tc>
                <w:tcPr>
                  <w:tcW w:w="284" w:type="dxa"/>
                  <w:tcBorders>
                    <w:left w:val="double" w:sz="12" w:space="0" w:color="auto"/>
                    <w:right w:val="double" w:sz="4" w:space="0" w:color="auto"/>
                  </w:tcBorders>
                  <w:shd w:val="clear" w:color="auto" w:fill="92D050"/>
                </w:tcPr>
                <w:p w14:paraId="6932A04A" w14:textId="77777777">
                  <w:pPr>
                    <w:pStyle w:val="Tabletext"/>
                    <w:keepNext/>
                  </w:pPr>
                </w:p>
              </w:tc>
              <w:tc>
                <w:tcPr>
                  <w:tcW w:w="284" w:type="dxa"/>
                  <w:tcBorders>
                    <w:left w:val="double" w:sz="4" w:space="0" w:color="auto"/>
                    <w:right w:val="single" w:sz="4" w:space="0" w:color="auto"/>
                  </w:tcBorders>
                  <w:shd w:val="clear" w:color="auto" w:fill="CCFFCC"/>
                </w:tcPr>
                <w:p w14:paraId="563C1524" w14:textId="77777777">
                  <w:pPr>
                    <w:pStyle w:val="Tabletext"/>
                    <w:keepNext/>
                  </w:pPr>
                </w:p>
              </w:tc>
              <w:tc>
                <w:tcPr>
                  <w:tcW w:w="284" w:type="dxa"/>
                  <w:tcBorders>
                    <w:left w:val="single" w:sz="4" w:space="0" w:color="auto"/>
                    <w:right w:val="single" w:sz="4" w:space="0" w:color="auto"/>
                  </w:tcBorders>
                  <w:shd w:val="clear" w:color="auto" w:fill="00B0F0"/>
                </w:tcPr>
                <w:p w14:paraId="5A03F33F" w14:textId="77777777">
                  <w:pPr>
                    <w:pStyle w:val="Tabletext"/>
                    <w:keepNext/>
                  </w:pPr>
                </w:p>
              </w:tc>
              <w:tc>
                <w:tcPr>
                  <w:tcW w:w="2835" w:type="dxa"/>
                  <w:tcBorders>
                    <w:left w:val="single" w:sz="4" w:space="0" w:color="auto"/>
                    <w:bottom w:val="dashed" w:sz="4" w:space="0" w:color="auto"/>
                  </w:tcBorders>
                  <w:shd w:val="clear" w:color="auto" w:fill="FF6600"/>
                </w:tcPr>
                <w:p w14:paraId="6497AAAD" w14:textId="77777777">
                  <w:pPr>
                    <w:pStyle w:val="Tabletext"/>
                    <w:keepNext/>
                  </w:pPr>
                </w:p>
              </w:tc>
              <w:tc>
                <w:tcPr>
                  <w:tcW w:w="1418" w:type="dxa"/>
                  <w:tcBorders>
                    <w:bottom w:val="dashed" w:sz="4" w:space="0" w:color="auto"/>
                  </w:tcBorders>
                  <w:shd w:val="clear" w:color="auto" w:fill="FF6600"/>
                </w:tcPr>
                <w:p w14:paraId="297B932E" w14:textId="77777777">
                  <w:pPr>
                    <w:pStyle w:val="Tabletext"/>
                    <w:keepNext/>
                    <w:jc w:val="center"/>
                    <w:rPr>
                      <w:i/>
                      <w:iCs/>
                      <w:noProof/>
                    </w:rPr>
                  </w:pPr>
                </w:p>
              </w:tc>
              <w:tc>
                <w:tcPr>
                  <w:tcW w:w="284" w:type="dxa"/>
                  <w:tcBorders>
                    <w:bottom w:val="dashed" w:sz="4" w:space="0" w:color="auto"/>
                    <w:right w:val="single" w:sz="4" w:space="0" w:color="auto"/>
                  </w:tcBorders>
                  <w:shd w:val="clear" w:color="auto" w:fill="FF6600"/>
                </w:tcPr>
                <w:p w14:paraId="04CA0782" w14:textId="77777777">
                  <w:pPr>
                    <w:pStyle w:val="Tabletext"/>
                    <w:keepNext/>
                    <w:jc w:val="center"/>
                  </w:pPr>
                </w:p>
              </w:tc>
              <w:tc>
                <w:tcPr>
                  <w:tcW w:w="284" w:type="dxa"/>
                  <w:tcBorders>
                    <w:left w:val="single" w:sz="4" w:space="0" w:color="auto"/>
                    <w:right w:val="single" w:sz="4" w:space="0" w:color="auto"/>
                  </w:tcBorders>
                  <w:shd w:val="clear" w:color="auto" w:fill="00B0F0"/>
                </w:tcPr>
                <w:p w14:paraId="558EB7C1" w14:textId="77777777">
                  <w:pPr>
                    <w:pStyle w:val="Tabletext"/>
                    <w:keepNext/>
                  </w:pPr>
                </w:p>
              </w:tc>
              <w:tc>
                <w:tcPr>
                  <w:tcW w:w="284" w:type="dxa"/>
                  <w:tcBorders>
                    <w:left w:val="single" w:sz="4" w:space="0" w:color="auto"/>
                    <w:right w:val="double" w:sz="4" w:space="0" w:color="auto"/>
                  </w:tcBorders>
                  <w:shd w:val="clear" w:color="auto" w:fill="CCFFCC"/>
                </w:tcPr>
                <w:p w14:paraId="5F2C436C" w14:textId="77777777">
                  <w:pPr>
                    <w:pStyle w:val="Tabletext"/>
                    <w:keepNext/>
                  </w:pPr>
                </w:p>
              </w:tc>
              <w:tc>
                <w:tcPr>
                  <w:tcW w:w="284" w:type="dxa"/>
                  <w:tcBorders>
                    <w:left w:val="double" w:sz="4" w:space="0" w:color="auto"/>
                    <w:right w:val="double" w:sz="12" w:space="0" w:color="auto"/>
                  </w:tcBorders>
                  <w:shd w:val="clear" w:color="auto" w:fill="92D050"/>
                </w:tcPr>
                <w:p w14:paraId="40237E0C" w14:textId="77777777">
                  <w:pPr>
                    <w:pStyle w:val="Tabletext"/>
                    <w:keepNext/>
                  </w:pPr>
                </w:p>
              </w:tc>
            </w:tr>
            <w:tr w14:paraId="30776CE6" w14:textId="77777777">
              <w:trPr>
                <w:trHeight w:hRule="exact" w:val="113"/>
                <w:jc w:val="center"/>
              </w:trPr>
              <w:tc>
                <w:tcPr>
                  <w:tcW w:w="284" w:type="dxa"/>
                  <w:tcBorders>
                    <w:left w:val="double" w:sz="12" w:space="0" w:color="auto"/>
                    <w:right w:val="double" w:sz="4" w:space="0" w:color="auto"/>
                  </w:tcBorders>
                  <w:shd w:val="clear" w:color="auto" w:fill="92D050"/>
                </w:tcPr>
                <w:p w14:paraId="2ABB770F" w14:textId="77777777">
                  <w:pPr>
                    <w:pStyle w:val="Tabletext"/>
                    <w:keepNext/>
                  </w:pPr>
                </w:p>
              </w:tc>
              <w:tc>
                <w:tcPr>
                  <w:tcW w:w="284" w:type="dxa"/>
                  <w:tcBorders>
                    <w:left w:val="double" w:sz="4" w:space="0" w:color="auto"/>
                    <w:right w:val="single" w:sz="4" w:space="0" w:color="auto"/>
                  </w:tcBorders>
                  <w:shd w:val="clear" w:color="auto" w:fill="CCFFCC"/>
                </w:tcPr>
                <w:p w14:paraId="74D34513" w14:textId="77777777">
                  <w:pPr>
                    <w:pStyle w:val="Tabletext"/>
                    <w:keepNext/>
                  </w:pPr>
                </w:p>
              </w:tc>
              <w:tc>
                <w:tcPr>
                  <w:tcW w:w="284" w:type="dxa"/>
                  <w:tcBorders>
                    <w:left w:val="single" w:sz="4" w:space="0" w:color="auto"/>
                    <w:right w:val="single" w:sz="4" w:space="0" w:color="auto"/>
                  </w:tcBorders>
                  <w:shd w:val="clear" w:color="auto" w:fill="00B0F0"/>
                </w:tcPr>
                <w:p w14:paraId="680DE6CE" w14:textId="77777777">
                  <w:pPr>
                    <w:pStyle w:val="Tabletext"/>
                    <w:keepNext/>
                  </w:pPr>
                </w:p>
              </w:tc>
              <w:tc>
                <w:tcPr>
                  <w:tcW w:w="2835" w:type="dxa"/>
                  <w:vMerge w:val="restart"/>
                  <w:tcBorders>
                    <w:top w:val="dashed" w:sz="4" w:space="0" w:color="auto"/>
                    <w:left w:val="single" w:sz="4" w:space="0" w:color="auto"/>
                  </w:tcBorders>
                  <w:shd w:val="clear" w:color="auto" w:fill="FF6600"/>
                </w:tcPr>
                <w:p w14:paraId="785C653E" w14:textId="77777777">
                  <w:pPr>
                    <w:pStyle w:val="Tabletext"/>
                    <w:keepNext/>
                  </w:pPr>
                  <w:r>
                    <w:t>&lt;line b&gt; contains</w:t>
                  </w:r>
                </w:p>
              </w:tc>
              <w:tc>
                <w:tcPr>
                  <w:tcW w:w="1418" w:type="dxa"/>
                  <w:tcBorders>
                    <w:top w:val="dashed" w:sz="4" w:space="0" w:color="auto"/>
                  </w:tcBorders>
                  <w:shd w:val="clear" w:color="auto" w:fill="FF6600"/>
                </w:tcPr>
                <w:p w14:paraId="0BA4F7C2" w14:textId="77777777">
                  <w:pPr>
                    <w:pStyle w:val="Tabletext"/>
                    <w:keepNext/>
                    <w:jc w:val="center"/>
                    <w:rPr>
                      <w:i/>
                      <w:iCs/>
                      <w:noProof/>
                    </w:rPr>
                  </w:pPr>
                </w:p>
              </w:tc>
              <w:tc>
                <w:tcPr>
                  <w:tcW w:w="284" w:type="dxa"/>
                  <w:tcBorders>
                    <w:top w:val="dashed" w:sz="4" w:space="0" w:color="auto"/>
                    <w:right w:val="single" w:sz="4" w:space="0" w:color="auto"/>
                  </w:tcBorders>
                  <w:shd w:val="clear" w:color="auto" w:fill="FF6600"/>
                </w:tcPr>
                <w:p w14:paraId="52C1873F" w14:textId="77777777">
                  <w:pPr>
                    <w:pStyle w:val="Tabletext"/>
                    <w:keepNext/>
                    <w:jc w:val="center"/>
                  </w:pPr>
                </w:p>
              </w:tc>
              <w:tc>
                <w:tcPr>
                  <w:tcW w:w="284" w:type="dxa"/>
                  <w:tcBorders>
                    <w:left w:val="single" w:sz="4" w:space="0" w:color="auto"/>
                    <w:right w:val="single" w:sz="4" w:space="0" w:color="auto"/>
                  </w:tcBorders>
                  <w:shd w:val="clear" w:color="auto" w:fill="00B0F0"/>
                </w:tcPr>
                <w:p w14:paraId="656E5772" w14:textId="77777777">
                  <w:pPr>
                    <w:pStyle w:val="Tabletext"/>
                    <w:keepNext/>
                  </w:pPr>
                </w:p>
              </w:tc>
              <w:tc>
                <w:tcPr>
                  <w:tcW w:w="284" w:type="dxa"/>
                  <w:tcBorders>
                    <w:left w:val="single" w:sz="4" w:space="0" w:color="auto"/>
                    <w:right w:val="double" w:sz="4" w:space="0" w:color="auto"/>
                  </w:tcBorders>
                  <w:shd w:val="clear" w:color="auto" w:fill="CCFFCC"/>
                </w:tcPr>
                <w:p w14:paraId="551DAF44" w14:textId="77777777">
                  <w:pPr>
                    <w:pStyle w:val="Tabletext"/>
                    <w:keepNext/>
                  </w:pPr>
                </w:p>
              </w:tc>
              <w:tc>
                <w:tcPr>
                  <w:tcW w:w="284" w:type="dxa"/>
                  <w:tcBorders>
                    <w:left w:val="double" w:sz="4" w:space="0" w:color="auto"/>
                    <w:right w:val="double" w:sz="12" w:space="0" w:color="auto"/>
                  </w:tcBorders>
                  <w:shd w:val="clear" w:color="auto" w:fill="92D050"/>
                </w:tcPr>
                <w:p w14:paraId="6ED9B165" w14:textId="77777777">
                  <w:pPr>
                    <w:pStyle w:val="Tabletext"/>
                    <w:keepNext/>
                  </w:pPr>
                </w:p>
              </w:tc>
            </w:tr>
            <w:tr w14:paraId="6A9052A6" w14:textId="77777777">
              <w:trPr>
                <w:trHeight w:hRule="exact" w:val="284"/>
                <w:jc w:val="center"/>
              </w:trPr>
              <w:tc>
                <w:tcPr>
                  <w:tcW w:w="284" w:type="dxa"/>
                  <w:tcBorders>
                    <w:left w:val="double" w:sz="12" w:space="0" w:color="auto"/>
                    <w:right w:val="double" w:sz="4" w:space="0" w:color="auto"/>
                  </w:tcBorders>
                  <w:shd w:val="clear" w:color="auto" w:fill="92D050"/>
                </w:tcPr>
                <w:p w14:paraId="70997B1C" w14:textId="77777777">
                  <w:pPr>
                    <w:pStyle w:val="Tabletext"/>
                    <w:keepNext/>
                  </w:pPr>
                </w:p>
              </w:tc>
              <w:tc>
                <w:tcPr>
                  <w:tcW w:w="284" w:type="dxa"/>
                  <w:tcBorders>
                    <w:left w:val="double" w:sz="4" w:space="0" w:color="auto"/>
                    <w:right w:val="single" w:sz="4" w:space="0" w:color="auto"/>
                  </w:tcBorders>
                  <w:shd w:val="clear" w:color="auto" w:fill="CCFFCC"/>
                </w:tcPr>
                <w:p w14:paraId="4B14CCEB" w14:textId="77777777">
                  <w:pPr>
                    <w:pStyle w:val="Tabletext"/>
                    <w:keepNext/>
                  </w:pPr>
                </w:p>
              </w:tc>
              <w:tc>
                <w:tcPr>
                  <w:tcW w:w="284" w:type="dxa"/>
                  <w:tcBorders>
                    <w:left w:val="single" w:sz="4" w:space="0" w:color="auto"/>
                    <w:right w:val="single" w:sz="4" w:space="0" w:color="auto"/>
                  </w:tcBorders>
                  <w:shd w:val="clear" w:color="auto" w:fill="00B0F0"/>
                </w:tcPr>
                <w:p w14:paraId="78063500" w14:textId="77777777">
                  <w:pPr>
                    <w:pStyle w:val="Tabletext"/>
                    <w:keepNext/>
                  </w:pPr>
                </w:p>
              </w:tc>
              <w:tc>
                <w:tcPr>
                  <w:tcW w:w="2835" w:type="dxa"/>
                  <w:vMerge/>
                  <w:tcBorders>
                    <w:left w:val="single" w:sz="4" w:space="0" w:color="auto"/>
                  </w:tcBorders>
                  <w:shd w:val="clear" w:color="auto" w:fill="FF6600"/>
                </w:tcPr>
                <w:p w14:paraId="212C34D7" w14:textId="77777777">
                  <w:pPr>
                    <w:pStyle w:val="Tabletext"/>
                    <w:keepNext/>
                  </w:pPr>
                </w:p>
              </w:tc>
              <w:tc>
                <w:tcPr>
                  <w:tcW w:w="1418" w:type="dxa"/>
                  <w:shd w:val="clear" w:color="auto" w:fill="FFFF00"/>
                </w:tcPr>
                <w:p w14:paraId="37F3EF0D" w14:textId="77777777">
                  <w:pPr>
                    <w:pStyle w:val="Tabletext"/>
                    <w:keepNext/>
                    <w:jc w:val="center"/>
                    <w:rPr>
                      <w:i/>
                      <w:iCs/>
                      <w:noProof/>
                    </w:rPr>
                  </w:pPr>
                  <w:r>
                    <w:rPr>
                      <w:i/>
                      <w:iCs/>
                      <w:noProof/>
                    </w:rPr>
                    <w:t>… text jkl…</w:t>
                  </w:r>
                </w:p>
              </w:tc>
              <w:tc>
                <w:tcPr>
                  <w:tcW w:w="284" w:type="dxa"/>
                  <w:tcBorders>
                    <w:right w:val="single" w:sz="4" w:space="0" w:color="auto"/>
                  </w:tcBorders>
                  <w:shd w:val="clear" w:color="auto" w:fill="FF6600"/>
                </w:tcPr>
                <w:p w14:paraId="2426A27C" w14:textId="77777777">
                  <w:pPr>
                    <w:pStyle w:val="Tabletext"/>
                    <w:keepNext/>
                    <w:jc w:val="center"/>
                  </w:pPr>
                </w:p>
              </w:tc>
              <w:tc>
                <w:tcPr>
                  <w:tcW w:w="284" w:type="dxa"/>
                  <w:tcBorders>
                    <w:left w:val="single" w:sz="4" w:space="0" w:color="auto"/>
                    <w:right w:val="single" w:sz="4" w:space="0" w:color="auto"/>
                  </w:tcBorders>
                  <w:shd w:val="clear" w:color="auto" w:fill="00B0F0"/>
                </w:tcPr>
                <w:p w14:paraId="793443F0" w14:textId="77777777">
                  <w:pPr>
                    <w:pStyle w:val="Tabletext"/>
                    <w:keepNext/>
                  </w:pPr>
                </w:p>
              </w:tc>
              <w:tc>
                <w:tcPr>
                  <w:tcW w:w="284" w:type="dxa"/>
                  <w:tcBorders>
                    <w:left w:val="single" w:sz="4" w:space="0" w:color="auto"/>
                    <w:right w:val="double" w:sz="4" w:space="0" w:color="auto"/>
                  </w:tcBorders>
                  <w:shd w:val="clear" w:color="auto" w:fill="CCFFCC"/>
                </w:tcPr>
                <w:p w14:paraId="651F46AC" w14:textId="77777777">
                  <w:pPr>
                    <w:pStyle w:val="Tabletext"/>
                    <w:keepNext/>
                  </w:pPr>
                </w:p>
              </w:tc>
              <w:tc>
                <w:tcPr>
                  <w:tcW w:w="284" w:type="dxa"/>
                  <w:tcBorders>
                    <w:left w:val="double" w:sz="4" w:space="0" w:color="auto"/>
                    <w:right w:val="double" w:sz="12" w:space="0" w:color="auto"/>
                  </w:tcBorders>
                  <w:shd w:val="clear" w:color="auto" w:fill="92D050"/>
                </w:tcPr>
                <w:p w14:paraId="7BE71151" w14:textId="77777777">
                  <w:pPr>
                    <w:pStyle w:val="Tabletext"/>
                    <w:keepNext/>
                  </w:pPr>
                </w:p>
              </w:tc>
            </w:tr>
            <w:tr w14:paraId="46B8C013" w14:textId="77777777">
              <w:trPr>
                <w:trHeight w:hRule="exact" w:val="113"/>
                <w:jc w:val="center"/>
              </w:trPr>
              <w:tc>
                <w:tcPr>
                  <w:tcW w:w="284" w:type="dxa"/>
                  <w:tcBorders>
                    <w:left w:val="double" w:sz="12" w:space="0" w:color="auto"/>
                    <w:right w:val="double" w:sz="4" w:space="0" w:color="auto"/>
                  </w:tcBorders>
                  <w:shd w:val="clear" w:color="auto" w:fill="92D050"/>
                </w:tcPr>
                <w:p w14:paraId="3DBF9ED2" w14:textId="77777777">
                  <w:pPr>
                    <w:pStyle w:val="Tabletext"/>
                    <w:keepNext/>
                  </w:pPr>
                </w:p>
              </w:tc>
              <w:tc>
                <w:tcPr>
                  <w:tcW w:w="284" w:type="dxa"/>
                  <w:tcBorders>
                    <w:left w:val="double" w:sz="4" w:space="0" w:color="auto"/>
                    <w:right w:val="single" w:sz="4" w:space="0" w:color="auto"/>
                  </w:tcBorders>
                  <w:shd w:val="clear" w:color="auto" w:fill="CCFFCC"/>
                </w:tcPr>
                <w:p w14:paraId="7B3CA312" w14:textId="77777777">
                  <w:pPr>
                    <w:pStyle w:val="Tabletext"/>
                    <w:keepNext/>
                  </w:pPr>
                </w:p>
              </w:tc>
              <w:tc>
                <w:tcPr>
                  <w:tcW w:w="284" w:type="dxa"/>
                  <w:tcBorders>
                    <w:left w:val="single" w:sz="4" w:space="0" w:color="auto"/>
                    <w:right w:val="single" w:sz="4" w:space="0" w:color="auto"/>
                  </w:tcBorders>
                  <w:shd w:val="clear" w:color="auto" w:fill="00B0F0"/>
                </w:tcPr>
                <w:p w14:paraId="6048E000" w14:textId="77777777">
                  <w:pPr>
                    <w:pStyle w:val="Tabletext"/>
                    <w:keepNext/>
                  </w:pPr>
                </w:p>
              </w:tc>
              <w:tc>
                <w:tcPr>
                  <w:tcW w:w="2835" w:type="dxa"/>
                  <w:tcBorders>
                    <w:left w:val="single" w:sz="4" w:space="0" w:color="auto"/>
                    <w:bottom w:val="dashed" w:sz="4" w:space="0" w:color="auto"/>
                  </w:tcBorders>
                  <w:shd w:val="clear" w:color="auto" w:fill="FF6600"/>
                </w:tcPr>
                <w:p w14:paraId="66C64095" w14:textId="77777777">
                  <w:pPr>
                    <w:pStyle w:val="Tabletext"/>
                    <w:keepNext/>
                  </w:pPr>
                </w:p>
              </w:tc>
              <w:tc>
                <w:tcPr>
                  <w:tcW w:w="1418" w:type="dxa"/>
                  <w:tcBorders>
                    <w:bottom w:val="dashed" w:sz="4" w:space="0" w:color="auto"/>
                  </w:tcBorders>
                  <w:shd w:val="clear" w:color="auto" w:fill="FF6600"/>
                </w:tcPr>
                <w:p w14:paraId="5EA87323" w14:textId="77777777">
                  <w:pPr>
                    <w:pStyle w:val="Tabletext"/>
                    <w:keepNext/>
                    <w:jc w:val="center"/>
                    <w:rPr>
                      <w:i/>
                      <w:iCs/>
                      <w:noProof/>
                    </w:rPr>
                  </w:pPr>
                </w:p>
              </w:tc>
              <w:tc>
                <w:tcPr>
                  <w:tcW w:w="284" w:type="dxa"/>
                  <w:tcBorders>
                    <w:bottom w:val="dashed" w:sz="4" w:space="0" w:color="auto"/>
                    <w:right w:val="single" w:sz="4" w:space="0" w:color="auto"/>
                  </w:tcBorders>
                  <w:shd w:val="clear" w:color="auto" w:fill="FF6600"/>
                </w:tcPr>
                <w:p w14:paraId="7F55EBD7" w14:textId="77777777">
                  <w:pPr>
                    <w:pStyle w:val="Tabletext"/>
                    <w:keepNext/>
                    <w:jc w:val="center"/>
                  </w:pPr>
                </w:p>
              </w:tc>
              <w:tc>
                <w:tcPr>
                  <w:tcW w:w="284" w:type="dxa"/>
                  <w:tcBorders>
                    <w:left w:val="single" w:sz="4" w:space="0" w:color="auto"/>
                    <w:right w:val="single" w:sz="4" w:space="0" w:color="auto"/>
                  </w:tcBorders>
                  <w:shd w:val="clear" w:color="auto" w:fill="00B0F0"/>
                </w:tcPr>
                <w:p w14:paraId="1E45870D" w14:textId="77777777">
                  <w:pPr>
                    <w:pStyle w:val="Tabletext"/>
                    <w:keepNext/>
                  </w:pPr>
                </w:p>
              </w:tc>
              <w:tc>
                <w:tcPr>
                  <w:tcW w:w="284" w:type="dxa"/>
                  <w:tcBorders>
                    <w:left w:val="single" w:sz="4" w:space="0" w:color="auto"/>
                    <w:right w:val="double" w:sz="4" w:space="0" w:color="auto"/>
                  </w:tcBorders>
                  <w:shd w:val="clear" w:color="auto" w:fill="CCFFCC"/>
                </w:tcPr>
                <w:p w14:paraId="6C5ABF95" w14:textId="77777777">
                  <w:pPr>
                    <w:pStyle w:val="Tabletext"/>
                    <w:keepNext/>
                  </w:pPr>
                </w:p>
              </w:tc>
              <w:tc>
                <w:tcPr>
                  <w:tcW w:w="284" w:type="dxa"/>
                  <w:tcBorders>
                    <w:left w:val="double" w:sz="4" w:space="0" w:color="auto"/>
                    <w:right w:val="double" w:sz="12" w:space="0" w:color="auto"/>
                  </w:tcBorders>
                  <w:shd w:val="clear" w:color="auto" w:fill="92D050"/>
                </w:tcPr>
                <w:p w14:paraId="7074AA5E" w14:textId="77777777">
                  <w:pPr>
                    <w:pStyle w:val="Tabletext"/>
                    <w:keepNext/>
                  </w:pPr>
                </w:p>
              </w:tc>
            </w:tr>
            <w:tr w14:paraId="699B9F5F" w14:textId="77777777">
              <w:trPr>
                <w:trHeight w:hRule="exact" w:val="113"/>
                <w:jc w:val="center"/>
              </w:trPr>
              <w:tc>
                <w:tcPr>
                  <w:tcW w:w="284" w:type="dxa"/>
                  <w:tcBorders>
                    <w:left w:val="double" w:sz="12" w:space="0" w:color="auto"/>
                    <w:right w:val="double" w:sz="4" w:space="0" w:color="auto"/>
                  </w:tcBorders>
                  <w:shd w:val="clear" w:color="auto" w:fill="92D050"/>
                </w:tcPr>
                <w:p w14:paraId="38AD7058" w14:textId="77777777">
                  <w:pPr>
                    <w:pStyle w:val="Tabletext"/>
                    <w:keepNext/>
                  </w:pPr>
                </w:p>
              </w:tc>
              <w:tc>
                <w:tcPr>
                  <w:tcW w:w="284" w:type="dxa"/>
                  <w:tcBorders>
                    <w:left w:val="double" w:sz="4" w:space="0" w:color="auto"/>
                    <w:right w:val="single" w:sz="4" w:space="0" w:color="auto"/>
                  </w:tcBorders>
                  <w:shd w:val="clear" w:color="auto" w:fill="CCFFCC"/>
                </w:tcPr>
                <w:p w14:paraId="70BBB8D5" w14:textId="77777777">
                  <w:pPr>
                    <w:pStyle w:val="Tabletext"/>
                    <w:keepNext/>
                  </w:pPr>
                </w:p>
              </w:tc>
              <w:tc>
                <w:tcPr>
                  <w:tcW w:w="284" w:type="dxa"/>
                  <w:tcBorders>
                    <w:left w:val="single" w:sz="4" w:space="0" w:color="auto"/>
                    <w:right w:val="single" w:sz="4" w:space="0" w:color="auto"/>
                  </w:tcBorders>
                  <w:shd w:val="clear" w:color="auto" w:fill="00B0F0"/>
                </w:tcPr>
                <w:p w14:paraId="6CAEAD8D" w14:textId="77777777">
                  <w:pPr>
                    <w:pStyle w:val="Tabletext"/>
                    <w:keepNext/>
                  </w:pPr>
                </w:p>
              </w:tc>
              <w:tc>
                <w:tcPr>
                  <w:tcW w:w="2835" w:type="dxa"/>
                  <w:vMerge w:val="restart"/>
                  <w:tcBorders>
                    <w:top w:val="dashed" w:sz="4" w:space="0" w:color="auto"/>
                    <w:left w:val="single" w:sz="4" w:space="0" w:color="auto"/>
                  </w:tcBorders>
                  <w:shd w:val="clear" w:color="auto" w:fill="FF6600"/>
                </w:tcPr>
                <w:p w14:paraId="0444E2E7" w14:textId="77777777">
                  <w:pPr>
                    <w:pStyle w:val="Tabletext"/>
                    <w:keepNext/>
                  </w:pPr>
                  <w:r>
                    <w:t>&lt;line c&gt; contains</w:t>
                  </w:r>
                </w:p>
              </w:tc>
              <w:tc>
                <w:tcPr>
                  <w:tcW w:w="1418" w:type="dxa"/>
                  <w:tcBorders>
                    <w:top w:val="dashed" w:sz="4" w:space="0" w:color="auto"/>
                  </w:tcBorders>
                  <w:shd w:val="clear" w:color="auto" w:fill="FF6600"/>
                </w:tcPr>
                <w:p w14:paraId="61C161F3" w14:textId="77777777">
                  <w:pPr>
                    <w:pStyle w:val="Tabletext"/>
                    <w:keepNext/>
                    <w:jc w:val="center"/>
                    <w:rPr>
                      <w:i/>
                      <w:iCs/>
                      <w:noProof/>
                    </w:rPr>
                  </w:pPr>
                </w:p>
              </w:tc>
              <w:tc>
                <w:tcPr>
                  <w:tcW w:w="284" w:type="dxa"/>
                  <w:tcBorders>
                    <w:top w:val="dashed" w:sz="4" w:space="0" w:color="auto"/>
                    <w:right w:val="single" w:sz="4" w:space="0" w:color="auto"/>
                  </w:tcBorders>
                  <w:shd w:val="clear" w:color="auto" w:fill="FF6600"/>
                </w:tcPr>
                <w:p w14:paraId="52D7A3A8" w14:textId="77777777">
                  <w:pPr>
                    <w:pStyle w:val="Tabletext"/>
                    <w:keepNext/>
                    <w:jc w:val="center"/>
                  </w:pPr>
                </w:p>
              </w:tc>
              <w:tc>
                <w:tcPr>
                  <w:tcW w:w="284" w:type="dxa"/>
                  <w:tcBorders>
                    <w:left w:val="single" w:sz="4" w:space="0" w:color="auto"/>
                    <w:right w:val="single" w:sz="4" w:space="0" w:color="auto"/>
                  </w:tcBorders>
                  <w:shd w:val="clear" w:color="auto" w:fill="00B0F0"/>
                </w:tcPr>
                <w:p w14:paraId="35AE51F4" w14:textId="77777777">
                  <w:pPr>
                    <w:pStyle w:val="Tabletext"/>
                    <w:keepNext/>
                  </w:pPr>
                </w:p>
              </w:tc>
              <w:tc>
                <w:tcPr>
                  <w:tcW w:w="284" w:type="dxa"/>
                  <w:tcBorders>
                    <w:left w:val="single" w:sz="4" w:space="0" w:color="auto"/>
                    <w:right w:val="double" w:sz="4" w:space="0" w:color="auto"/>
                  </w:tcBorders>
                  <w:shd w:val="clear" w:color="auto" w:fill="CCFFCC"/>
                </w:tcPr>
                <w:p w14:paraId="7B8AC305" w14:textId="77777777">
                  <w:pPr>
                    <w:pStyle w:val="Tabletext"/>
                    <w:keepNext/>
                  </w:pPr>
                </w:p>
              </w:tc>
              <w:tc>
                <w:tcPr>
                  <w:tcW w:w="284" w:type="dxa"/>
                  <w:tcBorders>
                    <w:left w:val="double" w:sz="4" w:space="0" w:color="auto"/>
                    <w:right w:val="double" w:sz="12" w:space="0" w:color="auto"/>
                  </w:tcBorders>
                  <w:shd w:val="clear" w:color="auto" w:fill="92D050"/>
                </w:tcPr>
                <w:p w14:paraId="15689EAA" w14:textId="77777777">
                  <w:pPr>
                    <w:pStyle w:val="Tabletext"/>
                    <w:keepNext/>
                  </w:pPr>
                </w:p>
              </w:tc>
            </w:tr>
            <w:tr w14:paraId="1B33DC14" w14:textId="77777777">
              <w:trPr>
                <w:trHeight w:hRule="exact" w:val="284"/>
                <w:jc w:val="center"/>
              </w:trPr>
              <w:tc>
                <w:tcPr>
                  <w:tcW w:w="284" w:type="dxa"/>
                  <w:tcBorders>
                    <w:left w:val="double" w:sz="12" w:space="0" w:color="auto"/>
                    <w:right w:val="double" w:sz="4" w:space="0" w:color="auto"/>
                  </w:tcBorders>
                  <w:shd w:val="clear" w:color="auto" w:fill="92D050"/>
                </w:tcPr>
                <w:p w14:paraId="123DE185" w14:textId="77777777">
                  <w:pPr>
                    <w:pStyle w:val="Tabletext"/>
                    <w:keepNext/>
                  </w:pPr>
                </w:p>
              </w:tc>
              <w:tc>
                <w:tcPr>
                  <w:tcW w:w="284" w:type="dxa"/>
                  <w:tcBorders>
                    <w:left w:val="double" w:sz="4" w:space="0" w:color="auto"/>
                    <w:right w:val="single" w:sz="4" w:space="0" w:color="auto"/>
                  </w:tcBorders>
                  <w:shd w:val="clear" w:color="auto" w:fill="CCFFCC"/>
                </w:tcPr>
                <w:p w14:paraId="6B017545" w14:textId="77777777">
                  <w:pPr>
                    <w:pStyle w:val="Tabletext"/>
                    <w:keepNext/>
                  </w:pPr>
                </w:p>
              </w:tc>
              <w:tc>
                <w:tcPr>
                  <w:tcW w:w="284" w:type="dxa"/>
                  <w:tcBorders>
                    <w:left w:val="single" w:sz="4" w:space="0" w:color="auto"/>
                    <w:right w:val="single" w:sz="4" w:space="0" w:color="auto"/>
                  </w:tcBorders>
                  <w:shd w:val="clear" w:color="auto" w:fill="00B0F0"/>
                </w:tcPr>
                <w:p w14:paraId="31FCBC9F" w14:textId="77777777">
                  <w:pPr>
                    <w:pStyle w:val="Tabletext"/>
                    <w:keepNext/>
                  </w:pPr>
                </w:p>
              </w:tc>
              <w:tc>
                <w:tcPr>
                  <w:tcW w:w="2835" w:type="dxa"/>
                  <w:vMerge/>
                  <w:tcBorders>
                    <w:left w:val="single" w:sz="4" w:space="0" w:color="auto"/>
                  </w:tcBorders>
                  <w:shd w:val="clear" w:color="auto" w:fill="FF6600"/>
                </w:tcPr>
                <w:p w14:paraId="47DCF09C" w14:textId="77777777">
                  <w:pPr>
                    <w:pStyle w:val="Tabletext"/>
                    <w:keepNext/>
                  </w:pPr>
                </w:p>
              </w:tc>
              <w:tc>
                <w:tcPr>
                  <w:tcW w:w="1418" w:type="dxa"/>
                  <w:shd w:val="clear" w:color="auto" w:fill="FFFF00"/>
                </w:tcPr>
                <w:p w14:paraId="02076A24" w14:textId="77777777">
                  <w:pPr>
                    <w:pStyle w:val="Tabletext"/>
                    <w:keepNext/>
                    <w:jc w:val="center"/>
                    <w:rPr>
                      <w:i/>
                      <w:iCs/>
                      <w:noProof/>
                    </w:rPr>
                  </w:pPr>
                  <w:r>
                    <w:rPr>
                      <w:i/>
                      <w:iCs/>
                      <w:noProof/>
                    </w:rPr>
                    <w:t>… text mno…</w:t>
                  </w:r>
                </w:p>
              </w:tc>
              <w:tc>
                <w:tcPr>
                  <w:tcW w:w="284" w:type="dxa"/>
                  <w:tcBorders>
                    <w:right w:val="single" w:sz="4" w:space="0" w:color="auto"/>
                  </w:tcBorders>
                  <w:shd w:val="clear" w:color="auto" w:fill="FF6600"/>
                </w:tcPr>
                <w:p w14:paraId="717F95E8" w14:textId="77777777">
                  <w:pPr>
                    <w:pStyle w:val="Tabletext"/>
                    <w:keepNext/>
                    <w:jc w:val="center"/>
                  </w:pPr>
                </w:p>
              </w:tc>
              <w:tc>
                <w:tcPr>
                  <w:tcW w:w="284" w:type="dxa"/>
                  <w:tcBorders>
                    <w:left w:val="single" w:sz="4" w:space="0" w:color="auto"/>
                    <w:right w:val="single" w:sz="4" w:space="0" w:color="auto"/>
                  </w:tcBorders>
                  <w:shd w:val="clear" w:color="auto" w:fill="00B0F0"/>
                </w:tcPr>
                <w:p w14:paraId="46A6D347" w14:textId="77777777">
                  <w:pPr>
                    <w:pStyle w:val="Tabletext"/>
                    <w:keepNext/>
                  </w:pPr>
                </w:p>
              </w:tc>
              <w:tc>
                <w:tcPr>
                  <w:tcW w:w="284" w:type="dxa"/>
                  <w:tcBorders>
                    <w:left w:val="single" w:sz="4" w:space="0" w:color="auto"/>
                    <w:right w:val="double" w:sz="4" w:space="0" w:color="auto"/>
                  </w:tcBorders>
                  <w:shd w:val="clear" w:color="auto" w:fill="CCFFCC"/>
                </w:tcPr>
                <w:p w14:paraId="09042E3A" w14:textId="77777777">
                  <w:pPr>
                    <w:pStyle w:val="Tabletext"/>
                    <w:keepNext/>
                  </w:pPr>
                </w:p>
              </w:tc>
              <w:tc>
                <w:tcPr>
                  <w:tcW w:w="284" w:type="dxa"/>
                  <w:tcBorders>
                    <w:left w:val="double" w:sz="4" w:space="0" w:color="auto"/>
                    <w:right w:val="double" w:sz="12" w:space="0" w:color="auto"/>
                  </w:tcBorders>
                  <w:shd w:val="clear" w:color="auto" w:fill="92D050"/>
                </w:tcPr>
                <w:p w14:paraId="006E1BF9" w14:textId="77777777">
                  <w:pPr>
                    <w:pStyle w:val="Tabletext"/>
                    <w:keepNext/>
                  </w:pPr>
                </w:p>
              </w:tc>
            </w:tr>
            <w:tr w14:paraId="03CB44F2" w14:textId="77777777">
              <w:trPr>
                <w:trHeight w:hRule="exact" w:val="113"/>
                <w:jc w:val="center"/>
              </w:trPr>
              <w:tc>
                <w:tcPr>
                  <w:tcW w:w="284" w:type="dxa"/>
                  <w:tcBorders>
                    <w:left w:val="double" w:sz="12" w:space="0" w:color="auto"/>
                    <w:right w:val="double" w:sz="4" w:space="0" w:color="auto"/>
                  </w:tcBorders>
                  <w:shd w:val="clear" w:color="auto" w:fill="92D050"/>
                </w:tcPr>
                <w:p w14:paraId="2F8E9CB9" w14:textId="77777777">
                  <w:pPr>
                    <w:pStyle w:val="Tabletext"/>
                    <w:keepNext/>
                  </w:pPr>
                </w:p>
              </w:tc>
              <w:tc>
                <w:tcPr>
                  <w:tcW w:w="284" w:type="dxa"/>
                  <w:tcBorders>
                    <w:left w:val="double" w:sz="4" w:space="0" w:color="auto"/>
                    <w:right w:val="single" w:sz="4" w:space="0" w:color="auto"/>
                  </w:tcBorders>
                  <w:shd w:val="clear" w:color="auto" w:fill="CCFFCC"/>
                </w:tcPr>
                <w:p w14:paraId="0D1F1FB1" w14:textId="77777777">
                  <w:pPr>
                    <w:pStyle w:val="Tabletext"/>
                    <w:keepNext/>
                  </w:pPr>
                </w:p>
              </w:tc>
              <w:tc>
                <w:tcPr>
                  <w:tcW w:w="284" w:type="dxa"/>
                  <w:tcBorders>
                    <w:left w:val="single" w:sz="4" w:space="0" w:color="auto"/>
                    <w:right w:val="single" w:sz="4" w:space="0" w:color="auto"/>
                  </w:tcBorders>
                  <w:shd w:val="clear" w:color="auto" w:fill="00B0F0"/>
                </w:tcPr>
                <w:p w14:paraId="7E0F8727" w14:textId="77777777">
                  <w:pPr>
                    <w:pStyle w:val="Tabletext"/>
                    <w:keepNext/>
                  </w:pPr>
                </w:p>
              </w:tc>
              <w:tc>
                <w:tcPr>
                  <w:tcW w:w="2835" w:type="dxa"/>
                  <w:tcBorders>
                    <w:left w:val="single" w:sz="4" w:space="0" w:color="auto"/>
                    <w:bottom w:val="dashed" w:sz="4" w:space="0" w:color="auto"/>
                  </w:tcBorders>
                  <w:shd w:val="clear" w:color="auto" w:fill="FF6600"/>
                </w:tcPr>
                <w:p w14:paraId="34C0CE0E" w14:textId="77777777">
                  <w:pPr>
                    <w:pStyle w:val="Tabletext"/>
                    <w:keepNext/>
                  </w:pPr>
                </w:p>
              </w:tc>
              <w:tc>
                <w:tcPr>
                  <w:tcW w:w="1418" w:type="dxa"/>
                  <w:tcBorders>
                    <w:bottom w:val="dashed" w:sz="4" w:space="0" w:color="auto"/>
                  </w:tcBorders>
                  <w:shd w:val="clear" w:color="auto" w:fill="FF6600"/>
                </w:tcPr>
                <w:p w14:paraId="63ADBA16" w14:textId="77777777">
                  <w:pPr>
                    <w:pStyle w:val="Tabletext"/>
                    <w:keepNext/>
                    <w:jc w:val="center"/>
                    <w:rPr>
                      <w:i/>
                      <w:iCs/>
                      <w:noProof/>
                    </w:rPr>
                  </w:pPr>
                </w:p>
              </w:tc>
              <w:tc>
                <w:tcPr>
                  <w:tcW w:w="284" w:type="dxa"/>
                  <w:tcBorders>
                    <w:bottom w:val="dashed" w:sz="4" w:space="0" w:color="auto"/>
                    <w:right w:val="single" w:sz="4" w:space="0" w:color="auto"/>
                  </w:tcBorders>
                  <w:shd w:val="clear" w:color="auto" w:fill="FF6600"/>
                </w:tcPr>
                <w:p w14:paraId="1AC8D761" w14:textId="77777777">
                  <w:pPr>
                    <w:pStyle w:val="Tabletext"/>
                    <w:keepNext/>
                    <w:jc w:val="center"/>
                  </w:pPr>
                </w:p>
              </w:tc>
              <w:tc>
                <w:tcPr>
                  <w:tcW w:w="284" w:type="dxa"/>
                  <w:tcBorders>
                    <w:left w:val="single" w:sz="4" w:space="0" w:color="auto"/>
                    <w:right w:val="single" w:sz="4" w:space="0" w:color="auto"/>
                  </w:tcBorders>
                  <w:shd w:val="clear" w:color="auto" w:fill="00B0F0"/>
                </w:tcPr>
                <w:p w14:paraId="25FB619B" w14:textId="77777777">
                  <w:pPr>
                    <w:pStyle w:val="Tabletext"/>
                    <w:keepNext/>
                  </w:pPr>
                </w:p>
              </w:tc>
              <w:tc>
                <w:tcPr>
                  <w:tcW w:w="284" w:type="dxa"/>
                  <w:tcBorders>
                    <w:left w:val="single" w:sz="4" w:space="0" w:color="auto"/>
                    <w:right w:val="double" w:sz="4" w:space="0" w:color="auto"/>
                  </w:tcBorders>
                  <w:shd w:val="clear" w:color="auto" w:fill="CCFFCC"/>
                </w:tcPr>
                <w:p w14:paraId="37DC4815" w14:textId="77777777">
                  <w:pPr>
                    <w:pStyle w:val="Tabletext"/>
                    <w:keepNext/>
                  </w:pPr>
                </w:p>
              </w:tc>
              <w:tc>
                <w:tcPr>
                  <w:tcW w:w="284" w:type="dxa"/>
                  <w:tcBorders>
                    <w:left w:val="double" w:sz="4" w:space="0" w:color="auto"/>
                    <w:right w:val="double" w:sz="12" w:space="0" w:color="auto"/>
                  </w:tcBorders>
                  <w:shd w:val="clear" w:color="auto" w:fill="92D050"/>
                </w:tcPr>
                <w:p w14:paraId="18C62021" w14:textId="77777777">
                  <w:pPr>
                    <w:pStyle w:val="Tabletext"/>
                    <w:keepNext/>
                  </w:pPr>
                </w:p>
              </w:tc>
            </w:tr>
            <w:tr w14:paraId="1B334E9B" w14:textId="77777777">
              <w:trPr>
                <w:trHeight w:hRule="exact" w:val="113"/>
                <w:jc w:val="center"/>
              </w:trPr>
              <w:tc>
                <w:tcPr>
                  <w:tcW w:w="284" w:type="dxa"/>
                  <w:tcBorders>
                    <w:left w:val="double" w:sz="12" w:space="0" w:color="auto"/>
                    <w:right w:val="double" w:sz="4" w:space="0" w:color="auto"/>
                  </w:tcBorders>
                  <w:shd w:val="clear" w:color="auto" w:fill="92D050"/>
                </w:tcPr>
                <w:p w14:paraId="282098CF" w14:textId="77777777">
                  <w:pPr>
                    <w:pStyle w:val="Tabletext"/>
                    <w:keepNext/>
                  </w:pPr>
                </w:p>
              </w:tc>
              <w:tc>
                <w:tcPr>
                  <w:tcW w:w="284" w:type="dxa"/>
                  <w:tcBorders>
                    <w:left w:val="double" w:sz="4" w:space="0" w:color="auto"/>
                    <w:right w:val="single" w:sz="4" w:space="0" w:color="auto"/>
                  </w:tcBorders>
                  <w:shd w:val="clear" w:color="auto" w:fill="CCFFCC"/>
                </w:tcPr>
                <w:p w14:paraId="05930D14" w14:textId="77777777">
                  <w:pPr>
                    <w:pStyle w:val="Tabletext"/>
                    <w:keepNext/>
                  </w:pPr>
                </w:p>
              </w:tc>
              <w:tc>
                <w:tcPr>
                  <w:tcW w:w="284" w:type="dxa"/>
                  <w:tcBorders>
                    <w:left w:val="single" w:sz="4" w:space="0" w:color="auto"/>
                    <w:right w:val="single" w:sz="4" w:space="0" w:color="auto"/>
                  </w:tcBorders>
                  <w:shd w:val="clear" w:color="auto" w:fill="00B0F0"/>
                </w:tcPr>
                <w:p w14:paraId="75695D81" w14:textId="77777777">
                  <w:pPr>
                    <w:pStyle w:val="Tabletext"/>
                    <w:keepNext/>
                  </w:pPr>
                </w:p>
              </w:tc>
              <w:tc>
                <w:tcPr>
                  <w:tcW w:w="2835" w:type="dxa"/>
                  <w:vMerge w:val="restart"/>
                  <w:tcBorders>
                    <w:top w:val="dashed" w:sz="4" w:space="0" w:color="auto"/>
                    <w:left w:val="single" w:sz="4" w:space="0" w:color="auto"/>
                  </w:tcBorders>
                  <w:shd w:val="clear" w:color="auto" w:fill="FF6600"/>
                </w:tcPr>
                <w:p w14:paraId="66350244" w14:textId="77777777">
                  <w:pPr>
                    <w:pStyle w:val="Tabletext"/>
                    <w:keepNext/>
                  </w:pPr>
                  <w:r>
                    <w:t>&lt;line d&gt; contains</w:t>
                  </w:r>
                </w:p>
              </w:tc>
              <w:tc>
                <w:tcPr>
                  <w:tcW w:w="1418" w:type="dxa"/>
                  <w:tcBorders>
                    <w:top w:val="dashed" w:sz="4" w:space="0" w:color="auto"/>
                  </w:tcBorders>
                  <w:shd w:val="clear" w:color="auto" w:fill="FF6600"/>
                </w:tcPr>
                <w:p w14:paraId="1AA4D3D5" w14:textId="77777777">
                  <w:pPr>
                    <w:pStyle w:val="Tabletext"/>
                    <w:keepNext/>
                    <w:jc w:val="center"/>
                    <w:rPr>
                      <w:i/>
                      <w:iCs/>
                      <w:noProof/>
                    </w:rPr>
                  </w:pPr>
                </w:p>
              </w:tc>
              <w:tc>
                <w:tcPr>
                  <w:tcW w:w="284" w:type="dxa"/>
                  <w:tcBorders>
                    <w:top w:val="dashed" w:sz="4" w:space="0" w:color="auto"/>
                    <w:right w:val="single" w:sz="4" w:space="0" w:color="auto"/>
                  </w:tcBorders>
                  <w:shd w:val="clear" w:color="auto" w:fill="FF6600"/>
                </w:tcPr>
                <w:p w14:paraId="405F3FC9" w14:textId="77777777">
                  <w:pPr>
                    <w:pStyle w:val="Tabletext"/>
                    <w:keepNext/>
                    <w:jc w:val="center"/>
                  </w:pPr>
                </w:p>
              </w:tc>
              <w:tc>
                <w:tcPr>
                  <w:tcW w:w="284" w:type="dxa"/>
                  <w:tcBorders>
                    <w:left w:val="single" w:sz="4" w:space="0" w:color="auto"/>
                    <w:right w:val="single" w:sz="4" w:space="0" w:color="auto"/>
                  </w:tcBorders>
                  <w:shd w:val="clear" w:color="auto" w:fill="00B0F0"/>
                </w:tcPr>
                <w:p w14:paraId="211EDEB5" w14:textId="77777777">
                  <w:pPr>
                    <w:pStyle w:val="Tabletext"/>
                    <w:keepNext/>
                  </w:pPr>
                </w:p>
              </w:tc>
              <w:tc>
                <w:tcPr>
                  <w:tcW w:w="284" w:type="dxa"/>
                  <w:tcBorders>
                    <w:left w:val="single" w:sz="4" w:space="0" w:color="auto"/>
                    <w:right w:val="double" w:sz="4" w:space="0" w:color="auto"/>
                  </w:tcBorders>
                  <w:shd w:val="clear" w:color="auto" w:fill="CCFFCC"/>
                </w:tcPr>
                <w:p w14:paraId="385293AE" w14:textId="77777777">
                  <w:pPr>
                    <w:pStyle w:val="Tabletext"/>
                    <w:keepNext/>
                  </w:pPr>
                </w:p>
              </w:tc>
              <w:tc>
                <w:tcPr>
                  <w:tcW w:w="284" w:type="dxa"/>
                  <w:tcBorders>
                    <w:left w:val="double" w:sz="4" w:space="0" w:color="auto"/>
                    <w:right w:val="double" w:sz="12" w:space="0" w:color="auto"/>
                  </w:tcBorders>
                  <w:shd w:val="clear" w:color="auto" w:fill="92D050"/>
                </w:tcPr>
                <w:p w14:paraId="52F85074" w14:textId="77777777">
                  <w:pPr>
                    <w:pStyle w:val="Tabletext"/>
                    <w:keepNext/>
                  </w:pPr>
                </w:p>
              </w:tc>
            </w:tr>
            <w:tr w14:paraId="1BD9E114" w14:textId="77777777">
              <w:trPr>
                <w:trHeight w:hRule="exact" w:val="284"/>
                <w:jc w:val="center"/>
              </w:trPr>
              <w:tc>
                <w:tcPr>
                  <w:tcW w:w="284" w:type="dxa"/>
                  <w:tcBorders>
                    <w:left w:val="double" w:sz="12" w:space="0" w:color="auto"/>
                    <w:right w:val="double" w:sz="4" w:space="0" w:color="auto"/>
                  </w:tcBorders>
                  <w:shd w:val="clear" w:color="auto" w:fill="92D050"/>
                </w:tcPr>
                <w:p w14:paraId="1A5B4955" w14:textId="77777777">
                  <w:pPr>
                    <w:pStyle w:val="Tabletext"/>
                    <w:keepNext/>
                  </w:pPr>
                </w:p>
              </w:tc>
              <w:tc>
                <w:tcPr>
                  <w:tcW w:w="284" w:type="dxa"/>
                  <w:tcBorders>
                    <w:left w:val="double" w:sz="4" w:space="0" w:color="auto"/>
                    <w:right w:val="single" w:sz="4" w:space="0" w:color="auto"/>
                  </w:tcBorders>
                  <w:shd w:val="clear" w:color="auto" w:fill="CCFFCC"/>
                </w:tcPr>
                <w:p w14:paraId="3B18FE1F" w14:textId="77777777">
                  <w:pPr>
                    <w:pStyle w:val="Tabletext"/>
                    <w:keepNext/>
                  </w:pPr>
                </w:p>
              </w:tc>
              <w:tc>
                <w:tcPr>
                  <w:tcW w:w="284" w:type="dxa"/>
                  <w:tcBorders>
                    <w:left w:val="single" w:sz="4" w:space="0" w:color="auto"/>
                    <w:right w:val="single" w:sz="4" w:space="0" w:color="auto"/>
                  </w:tcBorders>
                  <w:shd w:val="clear" w:color="auto" w:fill="00B0F0"/>
                </w:tcPr>
                <w:p w14:paraId="48D9C699" w14:textId="77777777">
                  <w:pPr>
                    <w:pStyle w:val="Tabletext"/>
                    <w:keepNext/>
                  </w:pPr>
                </w:p>
              </w:tc>
              <w:tc>
                <w:tcPr>
                  <w:tcW w:w="2835" w:type="dxa"/>
                  <w:vMerge/>
                  <w:tcBorders>
                    <w:left w:val="single" w:sz="4" w:space="0" w:color="auto"/>
                  </w:tcBorders>
                  <w:shd w:val="clear" w:color="auto" w:fill="FF6600"/>
                </w:tcPr>
                <w:p w14:paraId="65A4C587" w14:textId="77777777">
                  <w:pPr>
                    <w:pStyle w:val="Tabletext"/>
                    <w:keepNext/>
                  </w:pPr>
                </w:p>
              </w:tc>
              <w:tc>
                <w:tcPr>
                  <w:tcW w:w="1418" w:type="dxa"/>
                  <w:shd w:val="clear" w:color="auto" w:fill="FFFF00"/>
                </w:tcPr>
                <w:p w14:paraId="7D3AC619" w14:textId="77777777">
                  <w:pPr>
                    <w:pStyle w:val="Tabletext"/>
                    <w:keepNext/>
                    <w:jc w:val="center"/>
                    <w:rPr>
                      <w:i/>
                      <w:iCs/>
                      <w:noProof/>
                    </w:rPr>
                  </w:pPr>
                  <w:r>
                    <w:rPr>
                      <w:i/>
                      <w:iCs/>
                      <w:noProof/>
                    </w:rPr>
                    <w:t>… text pqr…</w:t>
                  </w:r>
                </w:p>
              </w:tc>
              <w:tc>
                <w:tcPr>
                  <w:tcW w:w="284" w:type="dxa"/>
                  <w:tcBorders>
                    <w:right w:val="single" w:sz="4" w:space="0" w:color="auto"/>
                  </w:tcBorders>
                  <w:shd w:val="clear" w:color="auto" w:fill="FF6600"/>
                </w:tcPr>
                <w:p w14:paraId="52CEA92A" w14:textId="77777777">
                  <w:pPr>
                    <w:pStyle w:val="Tabletext"/>
                    <w:keepNext/>
                    <w:jc w:val="center"/>
                  </w:pPr>
                </w:p>
              </w:tc>
              <w:tc>
                <w:tcPr>
                  <w:tcW w:w="284" w:type="dxa"/>
                  <w:tcBorders>
                    <w:left w:val="single" w:sz="4" w:space="0" w:color="auto"/>
                    <w:right w:val="single" w:sz="4" w:space="0" w:color="auto"/>
                  </w:tcBorders>
                  <w:shd w:val="clear" w:color="auto" w:fill="00B0F0"/>
                </w:tcPr>
                <w:p w14:paraId="5D3C824E" w14:textId="77777777">
                  <w:pPr>
                    <w:pStyle w:val="Tabletext"/>
                    <w:keepNext/>
                  </w:pPr>
                </w:p>
              </w:tc>
              <w:tc>
                <w:tcPr>
                  <w:tcW w:w="284" w:type="dxa"/>
                  <w:tcBorders>
                    <w:left w:val="single" w:sz="4" w:space="0" w:color="auto"/>
                    <w:right w:val="double" w:sz="4" w:space="0" w:color="auto"/>
                  </w:tcBorders>
                  <w:shd w:val="clear" w:color="auto" w:fill="CCFFCC"/>
                </w:tcPr>
                <w:p w14:paraId="755FC033" w14:textId="77777777">
                  <w:pPr>
                    <w:pStyle w:val="Tabletext"/>
                    <w:keepNext/>
                  </w:pPr>
                </w:p>
              </w:tc>
              <w:tc>
                <w:tcPr>
                  <w:tcW w:w="284" w:type="dxa"/>
                  <w:tcBorders>
                    <w:left w:val="double" w:sz="4" w:space="0" w:color="auto"/>
                    <w:right w:val="double" w:sz="12" w:space="0" w:color="auto"/>
                  </w:tcBorders>
                  <w:shd w:val="clear" w:color="auto" w:fill="92D050"/>
                </w:tcPr>
                <w:p w14:paraId="755D6ADF" w14:textId="77777777">
                  <w:pPr>
                    <w:pStyle w:val="Tabletext"/>
                    <w:keepNext/>
                  </w:pPr>
                </w:p>
              </w:tc>
            </w:tr>
            <w:tr w14:paraId="127CAEC5" w14:textId="77777777">
              <w:trPr>
                <w:trHeight w:hRule="exact" w:val="113"/>
                <w:jc w:val="center"/>
              </w:trPr>
              <w:tc>
                <w:tcPr>
                  <w:tcW w:w="284" w:type="dxa"/>
                  <w:tcBorders>
                    <w:left w:val="double" w:sz="12" w:space="0" w:color="auto"/>
                    <w:right w:val="double" w:sz="4" w:space="0" w:color="auto"/>
                  </w:tcBorders>
                  <w:shd w:val="clear" w:color="auto" w:fill="92D050"/>
                </w:tcPr>
                <w:p w14:paraId="109C7DAE" w14:textId="77777777">
                  <w:pPr>
                    <w:pStyle w:val="Tabletext"/>
                    <w:keepNext/>
                  </w:pPr>
                </w:p>
              </w:tc>
              <w:tc>
                <w:tcPr>
                  <w:tcW w:w="284" w:type="dxa"/>
                  <w:tcBorders>
                    <w:left w:val="double" w:sz="4" w:space="0" w:color="auto"/>
                    <w:right w:val="single" w:sz="4" w:space="0" w:color="auto"/>
                  </w:tcBorders>
                  <w:shd w:val="clear" w:color="auto" w:fill="CCFFCC"/>
                </w:tcPr>
                <w:p w14:paraId="5E8E45A4" w14:textId="77777777">
                  <w:pPr>
                    <w:pStyle w:val="Tabletext"/>
                    <w:keepNext/>
                  </w:pPr>
                </w:p>
              </w:tc>
              <w:tc>
                <w:tcPr>
                  <w:tcW w:w="284" w:type="dxa"/>
                  <w:tcBorders>
                    <w:left w:val="single" w:sz="4" w:space="0" w:color="auto"/>
                    <w:right w:val="single" w:sz="4" w:space="0" w:color="auto"/>
                  </w:tcBorders>
                  <w:shd w:val="clear" w:color="auto" w:fill="00B0F0"/>
                </w:tcPr>
                <w:p w14:paraId="13127EB8" w14:textId="77777777">
                  <w:pPr>
                    <w:pStyle w:val="Tabletext"/>
                    <w:keepNext/>
                  </w:pPr>
                </w:p>
              </w:tc>
              <w:tc>
                <w:tcPr>
                  <w:tcW w:w="2835" w:type="dxa"/>
                  <w:tcBorders>
                    <w:left w:val="single" w:sz="4" w:space="0" w:color="auto"/>
                    <w:bottom w:val="single" w:sz="4" w:space="0" w:color="auto"/>
                  </w:tcBorders>
                  <w:shd w:val="clear" w:color="auto" w:fill="FF6600"/>
                </w:tcPr>
                <w:p w14:paraId="47942007" w14:textId="77777777">
                  <w:pPr>
                    <w:pStyle w:val="Tabletext"/>
                    <w:keepNext/>
                  </w:pPr>
                </w:p>
              </w:tc>
              <w:tc>
                <w:tcPr>
                  <w:tcW w:w="1418" w:type="dxa"/>
                  <w:tcBorders>
                    <w:bottom w:val="single" w:sz="4" w:space="0" w:color="auto"/>
                  </w:tcBorders>
                  <w:shd w:val="clear" w:color="auto" w:fill="FF6600"/>
                </w:tcPr>
                <w:p w14:paraId="189D7573" w14:textId="77777777">
                  <w:pPr>
                    <w:pStyle w:val="Tabletext"/>
                    <w:keepNext/>
                    <w:jc w:val="center"/>
                    <w:rPr>
                      <w:i/>
                      <w:iCs/>
                      <w:noProof/>
                    </w:rPr>
                  </w:pPr>
                </w:p>
              </w:tc>
              <w:tc>
                <w:tcPr>
                  <w:tcW w:w="284" w:type="dxa"/>
                  <w:tcBorders>
                    <w:bottom w:val="single" w:sz="4" w:space="0" w:color="auto"/>
                    <w:right w:val="single" w:sz="4" w:space="0" w:color="auto"/>
                  </w:tcBorders>
                  <w:shd w:val="clear" w:color="auto" w:fill="FF6600"/>
                </w:tcPr>
                <w:p w14:paraId="6BAF8C80" w14:textId="77777777">
                  <w:pPr>
                    <w:pStyle w:val="Tabletext"/>
                    <w:keepNext/>
                    <w:jc w:val="center"/>
                  </w:pPr>
                </w:p>
              </w:tc>
              <w:tc>
                <w:tcPr>
                  <w:tcW w:w="284" w:type="dxa"/>
                  <w:tcBorders>
                    <w:left w:val="single" w:sz="4" w:space="0" w:color="auto"/>
                    <w:right w:val="single" w:sz="4" w:space="0" w:color="auto"/>
                  </w:tcBorders>
                  <w:shd w:val="clear" w:color="auto" w:fill="00B0F0"/>
                </w:tcPr>
                <w:p w14:paraId="48ADEE87" w14:textId="77777777">
                  <w:pPr>
                    <w:pStyle w:val="Tabletext"/>
                    <w:keepNext/>
                  </w:pPr>
                </w:p>
              </w:tc>
              <w:tc>
                <w:tcPr>
                  <w:tcW w:w="284" w:type="dxa"/>
                  <w:tcBorders>
                    <w:left w:val="single" w:sz="4" w:space="0" w:color="auto"/>
                    <w:right w:val="double" w:sz="4" w:space="0" w:color="auto"/>
                  </w:tcBorders>
                  <w:shd w:val="clear" w:color="auto" w:fill="CCFFCC"/>
                </w:tcPr>
                <w:p w14:paraId="53A49DC3" w14:textId="77777777">
                  <w:pPr>
                    <w:pStyle w:val="Tabletext"/>
                    <w:keepNext/>
                  </w:pPr>
                </w:p>
              </w:tc>
              <w:tc>
                <w:tcPr>
                  <w:tcW w:w="284" w:type="dxa"/>
                  <w:tcBorders>
                    <w:left w:val="double" w:sz="4" w:space="0" w:color="auto"/>
                    <w:right w:val="double" w:sz="12" w:space="0" w:color="auto"/>
                  </w:tcBorders>
                  <w:shd w:val="clear" w:color="auto" w:fill="92D050"/>
                </w:tcPr>
                <w:p w14:paraId="6D45312E" w14:textId="77777777">
                  <w:pPr>
                    <w:pStyle w:val="Tabletext"/>
                    <w:keepNext/>
                  </w:pPr>
                </w:p>
              </w:tc>
            </w:tr>
            <w:tr w14:paraId="73AC4B44" w14:textId="77777777">
              <w:trPr>
                <w:trHeight w:hRule="exact" w:val="284"/>
                <w:jc w:val="center"/>
              </w:trPr>
              <w:tc>
                <w:tcPr>
                  <w:tcW w:w="284" w:type="dxa"/>
                  <w:tcBorders>
                    <w:left w:val="double" w:sz="12" w:space="0" w:color="auto"/>
                    <w:right w:val="double" w:sz="4" w:space="0" w:color="auto"/>
                  </w:tcBorders>
                  <w:shd w:val="clear" w:color="auto" w:fill="92D050"/>
                </w:tcPr>
                <w:p w14:paraId="5449752F" w14:textId="77777777">
                  <w:pPr>
                    <w:pStyle w:val="Tabletext"/>
                    <w:keepNext/>
                  </w:pPr>
                </w:p>
              </w:tc>
              <w:tc>
                <w:tcPr>
                  <w:tcW w:w="284" w:type="dxa"/>
                  <w:tcBorders>
                    <w:left w:val="double" w:sz="4" w:space="0" w:color="auto"/>
                    <w:right w:val="single" w:sz="4" w:space="0" w:color="auto"/>
                  </w:tcBorders>
                  <w:shd w:val="clear" w:color="auto" w:fill="CCFFCC"/>
                </w:tcPr>
                <w:p w14:paraId="21218011" w14:textId="77777777">
                  <w:pPr>
                    <w:pStyle w:val="Tabletext"/>
                    <w:keepNext/>
                  </w:pPr>
                </w:p>
              </w:tc>
              <w:tc>
                <w:tcPr>
                  <w:tcW w:w="284" w:type="dxa"/>
                  <w:tcBorders>
                    <w:left w:val="single" w:sz="4" w:space="0" w:color="auto"/>
                    <w:bottom w:val="single" w:sz="4" w:space="0" w:color="auto"/>
                  </w:tcBorders>
                  <w:shd w:val="clear" w:color="auto" w:fill="00B0F0"/>
                </w:tcPr>
                <w:p w14:paraId="1D3AC68C" w14:textId="77777777">
                  <w:pPr>
                    <w:pStyle w:val="Tabletext"/>
                    <w:keepNext/>
                  </w:pPr>
                </w:p>
              </w:tc>
              <w:tc>
                <w:tcPr>
                  <w:tcW w:w="2835" w:type="dxa"/>
                  <w:tcBorders>
                    <w:top w:val="single" w:sz="4" w:space="0" w:color="auto"/>
                    <w:bottom w:val="single" w:sz="4" w:space="0" w:color="auto"/>
                  </w:tcBorders>
                  <w:shd w:val="clear" w:color="auto" w:fill="00B0F0"/>
                </w:tcPr>
                <w:p w14:paraId="72DFAF70" w14:textId="77777777">
                  <w:pPr>
                    <w:pStyle w:val="Tabletext"/>
                    <w:keepNext/>
                  </w:pPr>
                </w:p>
              </w:tc>
              <w:tc>
                <w:tcPr>
                  <w:tcW w:w="1418" w:type="dxa"/>
                  <w:tcBorders>
                    <w:top w:val="single" w:sz="4" w:space="0" w:color="auto"/>
                    <w:bottom w:val="single" w:sz="4" w:space="0" w:color="auto"/>
                  </w:tcBorders>
                  <w:shd w:val="clear" w:color="auto" w:fill="00B0F0"/>
                </w:tcPr>
                <w:p w14:paraId="0A5A5FF1" w14:textId="77777777">
                  <w:pPr>
                    <w:pStyle w:val="Tabletext"/>
                    <w:keepNext/>
                    <w:jc w:val="center"/>
                    <w:rPr>
                      <w:i/>
                      <w:iCs/>
                      <w:noProof/>
                    </w:rPr>
                  </w:pPr>
                </w:p>
              </w:tc>
              <w:tc>
                <w:tcPr>
                  <w:tcW w:w="284" w:type="dxa"/>
                  <w:tcBorders>
                    <w:top w:val="single" w:sz="4" w:space="0" w:color="auto"/>
                    <w:bottom w:val="single" w:sz="4" w:space="0" w:color="auto"/>
                  </w:tcBorders>
                  <w:shd w:val="clear" w:color="auto" w:fill="00B0F0"/>
                </w:tcPr>
                <w:p w14:paraId="481F4497" w14:textId="77777777">
                  <w:pPr>
                    <w:pStyle w:val="Tabletext"/>
                    <w:keepNext/>
                    <w:jc w:val="center"/>
                  </w:pPr>
                </w:p>
              </w:tc>
              <w:tc>
                <w:tcPr>
                  <w:tcW w:w="284" w:type="dxa"/>
                  <w:tcBorders>
                    <w:bottom w:val="single" w:sz="4" w:space="0" w:color="auto"/>
                    <w:right w:val="single" w:sz="4" w:space="0" w:color="auto"/>
                  </w:tcBorders>
                  <w:shd w:val="clear" w:color="auto" w:fill="00B0F0"/>
                </w:tcPr>
                <w:p w14:paraId="72973CDA" w14:textId="77777777">
                  <w:pPr>
                    <w:pStyle w:val="Tabletext"/>
                    <w:keepNext/>
                  </w:pPr>
                </w:p>
              </w:tc>
              <w:tc>
                <w:tcPr>
                  <w:tcW w:w="284" w:type="dxa"/>
                  <w:tcBorders>
                    <w:left w:val="single" w:sz="4" w:space="0" w:color="auto"/>
                    <w:right w:val="double" w:sz="4" w:space="0" w:color="auto"/>
                  </w:tcBorders>
                  <w:shd w:val="clear" w:color="auto" w:fill="CCFFCC"/>
                </w:tcPr>
                <w:p w14:paraId="2F067BE5" w14:textId="77777777">
                  <w:pPr>
                    <w:pStyle w:val="Tabletext"/>
                    <w:keepNext/>
                  </w:pPr>
                </w:p>
              </w:tc>
              <w:tc>
                <w:tcPr>
                  <w:tcW w:w="284" w:type="dxa"/>
                  <w:tcBorders>
                    <w:left w:val="double" w:sz="4" w:space="0" w:color="auto"/>
                    <w:right w:val="double" w:sz="12" w:space="0" w:color="auto"/>
                  </w:tcBorders>
                  <w:shd w:val="clear" w:color="auto" w:fill="92D050"/>
                </w:tcPr>
                <w:p w14:paraId="26CBCE0B" w14:textId="77777777">
                  <w:pPr>
                    <w:pStyle w:val="Tabletext"/>
                    <w:keepNext/>
                  </w:pPr>
                </w:p>
              </w:tc>
            </w:tr>
            <w:tr w14:paraId="55F1818A" w14:textId="77777777">
              <w:trPr>
                <w:trHeight w:hRule="exact" w:val="284"/>
                <w:jc w:val="center"/>
              </w:trPr>
              <w:tc>
                <w:tcPr>
                  <w:tcW w:w="284" w:type="dxa"/>
                  <w:tcBorders>
                    <w:left w:val="double" w:sz="12" w:space="0" w:color="auto"/>
                    <w:right w:val="double" w:sz="4" w:space="0" w:color="auto"/>
                  </w:tcBorders>
                  <w:shd w:val="clear" w:color="auto" w:fill="92D050"/>
                </w:tcPr>
                <w:p w14:paraId="33D076A6" w14:textId="77777777">
                  <w:pPr>
                    <w:pStyle w:val="Tabletext"/>
                    <w:keepNext/>
                  </w:pPr>
                </w:p>
              </w:tc>
              <w:tc>
                <w:tcPr>
                  <w:tcW w:w="284" w:type="dxa"/>
                  <w:tcBorders>
                    <w:left w:val="double" w:sz="4" w:space="0" w:color="auto"/>
                    <w:bottom w:val="double" w:sz="4" w:space="0" w:color="auto"/>
                  </w:tcBorders>
                  <w:shd w:val="clear" w:color="auto" w:fill="CCFFCC"/>
                </w:tcPr>
                <w:p w14:paraId="5F649D63" w14:textId="77777777">
                  <w:pPr>
                    <w:pStyle w:val="Tabletext"/>
                    <w:keepNext/>
                  </w:pPr>
                </w:p>
              </w:tc>
              <w:tc>
                <w:tcPr>
                  <w:tcW w:w="284" w:type="dxa"/>
                  <w:tcBorders>
                    <w:top w:val="single" w:sz="4" w:space="0" w:color="auto"/>
                    <w:bottom w:val="double" w:sz="4" w:space="0" w:color="auto"/>
                  </w:tcBorders>
                  <w:shd w:val="clear" w:color="auto" w:fill="CCFFCC"/>
                </w:tcPr>
                <w:p w14:paraId="31F6CC10" w14:textId="77777777">
                  <w:pPr>
                    <w:pStyle w:val="Tabletext"/>
                    <w:keepNext/>
                  </w:pPr>
                </w:p>
              </w:tc>
              <w:tc>
                <w:tcPr>
                  <w:tcW w:w="2835" w:type="dxa"/>
                  <w:tcBorders>
                    <w:top w:val="single" w:sz="4" w:space="0" w:color="auto"/>
                    <w:bottom w:val="double" w:sz="4" w:space="0" w:color="auto"/>
                  </w:tcBorders>
                  <w:shd w:val="clear" w:color="auto" w:fill="CCFFCC"/>
                </w:tcPr>
                <w:p w14:paraId="63FF4745" w14:textId="77777777">
                  <w:pPr>
                    <w:pStyle w:val="Tabletext"/>
                    <w:keepNext/>
                  </w:pPr>
                </w:p>
              </w:tc>
              <w:tc>
                <w:tcPr>
                  <w:tcW w:w="1418" w:type="dxa"/>
                  <w:tcBorders>
                    <w:top w:val="single" w:sz="4" w:space="0" w:color="auto"/>
                    <w:bottom w:val="double" w:sz="4" w:space="0" w:color="auto"/>
                  </w:tcBorders>
                  <w:shd w:val="clear" w:color="auto" w:fill="CCFFCC"/>
                </w:tcPr>
                <w:p w14:paraId="535E0A84" w14:textId="77777777">
                  <w:pPr>
                    <w:pStyle w:val="Tabletext"/>
                    <w:keepNext/>
                    <w:jc w:val="center"/>
                    <w:rPr>
                      <w:i/>
                      <w:iCs/>
                      <w:noProof/>
                    </w:rPr>
                  </w:pPr>
                </w:p>
              </w:tc>
              <w:tc>
                <w:tcPr>
                  <w:tcW w:w="284" w:type="dxa"/>
                  <w:tcBorders>
                    <w:top w:val="single" w:sz="4" w:space="0" w:color="auto"/>
                    <w:bottom w:val="double" w:sz="4" w:space="0" w:color="auto"/>
                  </w:tcBorders>
                  <w:shd w:val="clear" w:color="auto" w:fill="CCFFCC"/>
                </w:tcPr>
                <w:p w14:paraId="59C64BBC" w14:textId="77777777">
                  <w:pPr>
                    <w:pStyle w:val="Tabletext"/>
                    <w:keepNext/>
                    <w:jc w:val="center"/>
                  </w:pPr>
                </w:p>
              </w:tc>
              <w:tc>
                <w:tcPr>
                  <w:tcW w:w="284" w:type="dxa"/>
                  <w:tcBorders>
                    <w:top w:val="single" w:sz="4" w:space="0" w:color="auto"/>
                    <w:bottom w:val="double" w:sz="4" w:space="0" w:color="auto"/>
                  </w:tcBorders>
                  <w:shd w:val="clear" w:color="auto" w:fill="CCFFCC"/>
                </w:tcPr>
                <w:p w14:paraId="275446B6" w14:textId="77777777">
                  <w:pPr>
                    <w:pStyle w:val="Tabletext"/>
                    <w:keepNext/>
                  </w:pPr>
                </w:p>
              </w:tc>
              <w:tc>
                <w:tcPr>
                  <w:tcW w:w="284" w:type="dxa"/>
                  <w:tcBorders>
                    <w:bottom w:val="double" w:sz="4" w:space="0" w:color="auto"/>
                    <w:right w:val="double" w:sz="4" w:space="0" w:color="auto"/>
                  </w:tcBorders>
                  <w:shd w:val="clear" w:color="auto" w:fill="CCFFCC"/>
                </w:tcPr>
                <w:p w14:paraId="67297EAB" w14:textId="77777777">
                  <w:pPr>
                    <w:pStyle w:val="Tabletext"/>
                    <w:keepNext/>
                  </w:pPr>
                </w:p>
              </w:tc>
              <w:tc>
                <w:tcPr>
                  <w:tcW w:w="284" w:type="dxa"/>
                  <w:tcBorders>
                    <w:left w:val="double" w:sz="4" w:space="0" w:color="auto"/>
                    <w:right w:val="double" w:sz="12" w:space="0" w:color="auto"/>
                  </w:tcBorders>
                  <w:shd w:val="clear" w:color="auto" w:fill="92D050"/>
                </w:tcPr>
                <w:p w14:paraId="3DED5C0F" w14:textId="77777777">
                  <w:pPr>
                    <w:pStyle w:val="Tabletext"/>
                    <w:keepNext/>
                  </w:pPr>
                </w:p>
              </w:tc>
            </w:tr>
            <w:tr w14:paraId="69F8D5CF" w14:textId="77777777">
              <w:trPr>
                <w:trHeight w:hRule="exact" w:val="284"/>
                <w:jc w:val="center"/>
              </w:trPr>
              <w:tc>
                <w:tcPr>
                  <w:tcW w:w="284" w:type="dxa"/>
                  <w:tcBorders>
                    <w:left w:val="double" w:sz="12" w:space="0" w:color="auto"/>
                    <w:right w:val="double" w:sz="4" w:space="0" w:color="auto"/>
                  </w:tcBorders>
                  <w:shd w:val="clear" w:color="auto" w:fill="92D050"/>
                </w:tcPr>
                <w:p w14:paraId="2D038006" w14:textId="77777777">
                  <w:pPr>
                    <w:pStyle w:val="Tabletext"/>
                    <w:keepNext/>
                  </w:pPr>
                </w:p>
              </w:tc>
              <w:tc>
                <w:tcPr>
                  <w:tcW w:w="5673" w:type="dxa"/>
                  <w:gridSpan w:val="7"/>
                  <w:tcBorders>
                    <w:top w:val="double" w:sz="4" w:space="0" w:color="auto"/>
                    <w:left w:val="double" w:sz="4" w:space="0" w:color="auto"/>
                    <w:right w:val="double" w:sz="4" w:space="0" w:color="auto"/>
                  </w:tcBorders>
                  <w:shd w:val="clear" w:color="auto" w:fill="CCFFCC"/>
                </w:tcPr>
                <w:p w14:paraId="7A532770" w14:textId="77777777">
                  <w:pPr>
                    <w:pStyle w:val="Tabletext"/>
                    <w:keepNext/>
                    <w:rPr>
                      <w:noProof/>
                    </w:rPr>
                  </w:pPr>
                  <w:r>
                    <w:rPr>
                      <w:noProof/>
                    </w:rPr>
                    <w:t>&lt;textpart B&gt; contains</w:t>
                  </w:r>
                </w:p>
              </w:tc>
              <w:tc>
                <w:tcPr>
                  <w:tcW w:w="284" w:type="dxa"/>
                  <w:tcBorders>
                    <w:left w:val="double" w:sz="4" w:space="0" w:color="auto"/>
                    <w:right w:val="double" w:sz="12" w:space="0" w:color="auto"/>
                  </w:tcBorders>
                  <w:shd w:val="clear" w:color="auto" w:fill="92D050"/>
                </w:tcPr>
                <w:p w14:paraId="631CFBE8" w14:textId="77777777">
                  <w:pPr>
                    <w:pStyle w:val="Tabletext"/>
                    <w:keepNext/>
                  </w:pPr>
                </w:p>
              </w:tc>
            </w:tr>
            <w:tr w14:paraId="74928BF5" w14:textId="77777777">
              <w:trPr>
                <w:trHeight w:hRule="exact" w:val="113"/>
                <w:jc w:val="center"/>
              </w:trPr>
              <w:tc>
                <w:tcPr>
                  <w:tcW w:w="284" w:type="dxa"/>
                  <w:tcBorders>
                    <w:left w:val="double" w:sz="12" w:space="0" w:color="auto"/>
                    <w:right w:val="double" w:sz="4" w:space="0" w:color="auto"/>
                  </w:tcBorders>
                  <w:shd w:val="clear" w:color="auto" w:fill="92D050"/>
                </w:tcPr>
                <w:p w14:paraId="0A2F60EF" w14:textId="77777777">
                  <w:pPr>
                    <w:pStyle w:val="Tabletext"/>
                    <w:keepNext/>
                  </w:pPr>
                </w:p>
              </w:tc>
              <w:tc>
                <w:tcPr>
                  <w:tcW w:w="284" w:type="dxa"/>
                  <w:tcBorders>
                    <w:left w:val="double" w:sz="4" w:space="0" w:color="auto"/>
                    <w:right w:val="single" w:sz="4" w:space="0" w:color="auto"/>
                  </w:tcBorders>
                  <w:shd w:val="clear" w:color="auto" w:fill="CCFFCC"/>
                </w:tcPr>
                <w:p w14:paraId="56A67888" w14:textId="77777777">
                  <w:pPr>
                    <w:pStyle w:val="Tabletext"/>
                    <w:keepNext/>
                  </w:pPr>
                </w:p>
              </w:tc>
              <w:tc>
                <w:tcPr>
                  <w:tcW w:w="3119" w:type="dxa"/>
                  <w:gridSpan w:val="2"/>
                  <w:vMerge w:val="restart"/>
                  <w:tcBorders>
                    <w:top w:val="single" w:sz="4" w:space="0" w:color="auto"/>
                    <w:left w:val="single" w:sz="4" w:space="0" w:color="auto"/>
                  </w:tcBorders>
                  <w:shd w:val="clear" w:color="auto" w:fill="CC99FF"/>
                </w:tcPr>
                <w:p w14:paraId="4B6ACCBA" w14:textId="77777777">
                  <w:pPr>
                    <w:pStyle w:val="Tabletext"/>
                    <w:keepNext/>
                  </w:pPr>
                  <w:r>
                    <w:t>&lt;paragraph&gt; contains</w:t>
                  </w:r>
                </w:p>
              </w:tc>
              <w:tc>
                <w:tcPr>
                  <w:tcW w:w="1418" w:type="dxa"/>
                  <w:tcBorders>
                    <w:top w:val="single" w:sz="4" w:space="0" w:color="auto"/>
                  </w:tcBorders>
                  <w:shd w:val="clear" w:color="auto" w:fill="CC99FF"/>
                </w:tcPr>
                <w:p w14:paraId="5B3CD4CF" w14:textId="77777777">
                  <w:pPr>
                    <w:pStyle w:val="Tabletext"/>
                    <w:keepNext/>
                    <w:jc w:val="center"/>
                    <w:rPr>
                      <w:i/>
                      <w:iCs/>
                      <w:noProof/>
                    </w:rPr>
                  </w:pPr>
                </w:p>
              </w:tc>
              <w:tc>
                <w:tcPr>
                  <w:tcW w:w="284" w:type="dxa"/>
                  <w:tcBorders>
                    <w:top w:val="single" w:sz="4" w:space="0" w:color="auto"/>
                  </w:tcBorders>
                  <w:shd w:val="clear" w:color="auto" w:fill="CC99FF"/>
                </w:tcPr>
                <w:p w14:paraId="47BCEFDA" w14:textId="77777777">
                  <w:pPr>
                    <w:pStyle w:val="Tabletext"/>
                    <w:keepNext/>
                    <w:jc w:val="center"/>
                  </w:pPr>
                </w:p>
              </w:tc>
              <w:tc>
                <w:tcPr>
                  <w:tcW w:w="284" w:type="dxa"/>
                  <w:tcBorders>
                    <w:top w:val="single" w:sz="4" w:space="0" w:color="auto"/>
                    <w:right w:val="single" w:sz="4" w:space="0" w:color="auto"/>
                  </w:tcBorders>
                  <w:shd w:val="clear" w:color="auto" w:fill="CC99FF"/>
                </w:tcPr>
                <w:p w14:paraId="364A5231" w14:textId="77777777">
                  <w:pPr>
                    <w:pStyle w:val="Tabletext"/>
                    <w:keepNext/>
                  </w:pPr>
                </w:p>
              </w:tc>
              <w:tc>
                <w:tcPr>
                  <w:tcW w:w="284" w:type="dxa"/>
                  <w:tcBorders>
                    <w:left w:val="single" w:sz="4" w:space="0" w:color="auto"/>
                    <w:right w:val="double" w:sz="4" w:space="0" w:color="auto"/>
                  </w:tcBorders>
                  <w:shd w:val="clear" w:color="auto" w:fill="CCFFCC"/>
                </w:tcPr>
                <w:p w14:paraId="5C3FED07" w14:textId="77777777">
                  <w:pPr>
                    <w:pStyle w:val="Tabletext"/>
                    <w:keepNext/>
                  </w:pPr>
                </w:p>
              </w:tc>
              <w:tc>
                <w:tcPr>
                  <w:tcW w:w="284" w:type="dxa"/>
                  <w:tcBorders>
                    <w:left w:val="double" w:sz="4" w:space="0" w:color="auto"/>
                    <w:right w:val="double" w:sz="12" w:space="0" w:color="auto"/>
                  </w:tcBorders>
                  <w:shd w:val="clear" w:color="auto" w:fill="92D050"/>
                </w:tcPr>
                <w:p w14:paraId="1B750D79" w14:textId="77777777">
                  <w:pPr>
                    <w:pStyle w:val="Tabletext"/>
                    <w:keepNext/>
                  </w:pPr>
                </w:p>
              </w:tc>
            </w:tr>
            <w:tr w14:paraId="72FF1A1B" w14:textId="77777777">
              <w:trPr>
                <w:trHeight w:hRule="exact" w:val="284"/>
                <w:jc w:val="center"/>
              </w:trPr>
              <w:tc>
                <w:tcPr>
                  <w:tcW w:w="284" w:type="dxa"/>
                  <w:tcBorders>
                    <w:left w:val="double" w:sz="12" w:space="0" w:color="auto"/>
                    <w:right w:val="double" w:sz="4" w:space="0" w:color="auto"/>
                  </w:tcBorders>
                  <w:shd w:val="clear" w:color="auto" w:fill="92D050"/>
                </w:tcPr>
                <w:p w14:paraId="35102E44" w14:textId="77777777">
                  <w:pPr>
                    <w:pStyle w:val="Tabletext"/>
                    <w:keepNext/>
                  </w:pPr>
                </w:p>
              </w:tc>
              <w:tc>
                <w:tcPr>
                  <w:tcW w:w="284" w:type="dxa"/>
                  <w:tcBorders>
                    <w:left w:val="double" w:sz="4" w:space="0" w:color="auto"/>
                    <w:right w:val="single" w:sz="4" w:space="0" w:color="auto"/>
                  </w:tcBorders>
                  <w:shd w:val="clear" w:color="auto" w:fill="CCFFCC"/>
                </w:tcPr>
                <w:p w14:paraId="48CBAEB6" w14:textId="77777777">
                  <w:pPr>
                    <w:pStyle w:val="Tabletext"/>
                    <w:keepNext/>
                  </w:pPr>
                </w:p>
              </w:tc>
              <w:tc>
                <w:tcPr>
                  <w:tcW w:w="3119" w:type="dxa"/>
                  <w:gridSpan w:val="2"/>
                  <w:vMerge/>
                  <w:tcBorders>
                    <w:left w:val="single" w:sz="4" w:space="0" w:color="auto"/>
                  </w:tcBorders>
                  <w:shd w:val="clear" w:color="auto" w:fill="CC99FF"/>
                </w:tcPr>
                <w:p w14:paraId="48FA44F3" w14:textId="77777777">
                  <w:pPr>
                    <w:pStyle w:val="Tabletext"/>
                    <w:keepNext/>
                  </w:pPr>
                </w:p>
              </w:tc>
              <w:tc>
                <w:tcPr>
                  <w:tcW w:w="1418" w:type="dxa"/>
                  <w:shd w:val="clear" w:color="auto" w:fill="FFFF00"/>
                </w:tcPr>
                <w:p w14:paraId="4433E708" w14:textId="77777777">
                  <w:pPr>
                    <w:pStyle w:val="Tabletext"/>
                    <w:keepNext/>
                    <w:jc w:val="center"/>
                    <w:rPr>
                      <w:i/>
                      <w:iCs/>
                      <w:noProof/>
                    </w:rPr>
                  </w:pPr>
                  <w:r>
                    <w:rPr>
                      <w:i/>
                      <w:iCs/>
                      <w:noProof/>
                    </w:rPr>
                    <w:t>… text stu…</w:t>
                  </w:r>
                </w:p>
              </w:tc>
              <w:tc>
                <w:tcPr>
                  <w:tcW w:w="284" w:type="dxa"/>
                  <w:shd w:val="clear" w:color="auto" w:fill="CC99FF"/>
                </w:tcPr>
                <w:p w14:paraId="1633060F" w14:textId="77777777">
                  <w:pPr>
                    <w:pStyle w:val="Tabletext"/>
                    <w:keepNext/>
                    <w:jc w:val="center"/>
                  </w:pPr>
                </w:p>
              </w:tc>
              <w:tc>
                <w:tcPr>
                  <w:tcW w:w="284" w:type="dxa"/>
                  <w:tcBorders>
                    <w:right w:val="single" w:sz="4" w:space="0" w:color="auto"/>
                  </w:tcBorders>
                  <w:shd w:val="clear" w:color="auto" w:fill="CC99FF"/>
                </w:tcPr>
                <w:p w14:paraId="3E7C335C" w14:textId="77777777">
                  <w:pPr>
                    <w:pStyle w:val="Tabletext"/>
                    <w:keepNext/>
                  </w:pPr>
                </w:p>
              </w:tc>
              <w:tc>
                <w:tcPr>
                  <w:tcW w:w="284" w:type="dxa"/>
                  <w:tcBorders>
                    <w:left w:val="single" w:sz="4" w:space="0" w:color="auto"/>
                    <w:right w:val="double" w:sz="4" w:space="0" w:color="auto"/>
                  </w:tcBorders>
                  <w:shd w:val="clear" w:color="auto" w:fill="CCFFCC"/>
                </w:tcPr>
                <w:p w14:paraId="3DCB15F5" w14:textId="77777777">
                  <w:pPr>
                    <w:pStyle w:val="Tabletext"/>
                    <w:keepNext/>
                  </w:pPr>
                </w:p>
              </w:tc>
              <w:tc>
                <w:tcPr>
                  <w:tcW w:w="284" w:type="dxa"/>
                  <w:tcBorders>
                    <w:left w:val="double" w:sz="4" w:space="0" w:color="auto"/>
                    <w:right w:val="double" w:sz="12" w:space="0" w:color="auto"/>
                  </w:tcBorders>
                  <w:shd w:val="clear" w:color="auto" w:fill="92D050"/>
                </w:tcPr>
                <w:p w14:paraId="3316210F" w14:textId="77777777">
                  <w:pPr>
                    <w:pStyle w:val="Tabletext"/>
                    <w:keepNext/>
                  </w:pPr>
                </w:p>
              </w:tc>
            </w:tr>
            <w:tr w14:paraId="606F8FFA" w14:textId="77777777">
              <w:trPr>
                <w:trHeight w:hRule="exact" w:val="113"/>
                <w:jc w:val="center"/>
              </w:trPr>
              <w:tc>
                <w:tcPr>
                  <w:tcW w:w="284" w:type="dxa"/>
                  <w:tcBorders>
                    <w:left w:val="double" w:sz="12" w:space="0" w:color="auto"/>
                    <w:right w:val="double" w:sz="4" w:space="0" w:color="auto"/>
                  </w:tcBorders>
                  <w:shd w:val="clear" w:color="auto" w:fill="92D050"/>
                </w:tcPr>
                <w:p w14:paraId="3F997FF6" w14:textId="77777777">
                  <w:pPr>
                    <w:pStyle w:val="Tabletext"/>
                    <w:keepNext/>
                  </w:pPr>
                </w:p>
              </w:tc>
              <w:tc>
                <w:tcPr>
                  <w:tcW w:w="284" w:type="dxa"/>
                  <w:tcBorders>
                    <w:left w:val="double" w:sz="4" w:space="0" w:color="auto"/>
                    <w:right w:val="single" w:sz="4" w:space="0" w:color="auto"/>
                  </w:tcBorders>
                  <w:shd w:val="clear" w:color="auto" w:fill="CCFFCC"/>
                </w:tcPr>
                <w:p w14:paraId="7ECEC778" w14:textId="77777777">
                  <w:pPr>
                    <w:pStyle w:val="Tabletext"/>
                    <w:keepNext/>
                  </w:pPr>
                </w:p>
              </w:tc>
              <w:tc>
                <w:tcPr>
                  <w:tcW w:w="3119" w:type="dxa"/>
                  <w:gridSpan w:val="2"/>
                  <w:tcBorders>
                    <w:left w:val="single" w:sz="4" w:space="0" w:color="auto"/>
                    <w:bottom w:val="single" w:sz="4" w:space="0" w:color="auto"/>
                  </w:tcBorders>
                  <w:shd w:val="clear" w:color="auto" w:fill="CC99FF"/>
                </w:tcPr>
                <w:p w14:paraId="5DC75541" w14:textId="77777777">
                  <w:pPr>
                    <w:pStyle w:val="Tabletext"/>
                    <w:keepNext/>
                  </w:pPr>
                </w:p>
              </w:tc>
              <w:tc>
                <w:tcPr>
                  <w:tcW w:w="1418" w:type="dxa"/>
                  <w:tcBorders>
                    <w:bottom w:val="single" w:sz="4" w:space="0" w:color="auto"/>
                  </w:tcBorders>
                  <w:shd w:val="clear" w:color="auto" w:fill="CC99FF"/>
                </w:tcPr>
                <w:p w14:paraId="431E98D2" w14:textId="77777777">
                  <w:pPr>
                    <w:pStyle w:val="Tabletext"/>
                    <w:keepNext/>
                    <w:jc w:val="center"/>
                    <w:rPr>
                      <w:i/>
                      <w:iCs/>
                      <w:noProof/>
                    </w:rPr>
                  </w:pPr>
                </w:p>
              </w:tc>
              <w:tc>
                <w:tcPr>
                  <w:tcW w:w="284" w:type="dxa"/>
                  <w:tcBorders>
                    <w:bottom w:val="single" w:sz="4" w:space="0" w:color="auto"/>
                  </w:tcBorders>
                  <w:shd w:val="clear" w:color="auto" w:fill="CC99FF"/>
                </w:tcPr>
                <w:p w14:paraId="07D993F3" w14:textId="77777777">
                  <w:pPr>
                    <w:pStyle w:val="Tabletext"/>
                    <w:keepNext/>
                    <w:jc w:val="center"/>
                  </w:pPr>
                </w:p>
              </w:tc>
              <w:tc>
                <w:tcPr>
                  <w:tcW w:w="284" w:type="dxa"/>
                  <w:tcBorders>
                    <w:bottom w:val="single" w:sz="4" w:space="0" w:color="auto"/>
                    <w:right w:val="single" w:sz="4" w:space="0" w:color="auto"/>
                  </w:tcBorders>
                  <w:shd w:val="clear" w:color="auto" w:fill="CC99FF"/>
                </w:tcPr>
                <w:p w14:paraId="410D74B8" w14:textId="77777777">
                  <w:pPr>
                    <w:pStyle w:val="Tabletext"/>
                    <w:keepNext/>
                  </w:pPr>
                </w:p>
              </w:tc>
              <w:tc>
                <w:tcPr>
                  <w:tcW w:w="284" w:type="dxa"/>
                  <w:tcBorders>
                    <w:left w:val="single" w:sz="4" w:space="0" w:color="auto"/>
                    <w:right w:val="double" w:sz="4" w:space="0" w:color="auto"/>
                  </w:tcBorders>
                  <w:shd w:val="clear" w:color="auto" w:fill="CCFFCC"/>
                </w:tcPr>
                <w:p w14:paraId="3C438D76" w14:textId="77777777">
                  <w:pPr>
                    <w:pStyle w:val="Tabletext"/>
                    <w:keepNext/>
                  </w:pPr>
                </w:p>
              </w:tc>
              <w:tc>
                <w:tcPr>
                  <w:tcW w:w="284" w:type="dxa"/>
                  <w:tcBorders>
                    <w:left w:val="double" w:sz="4" w:space="0" w:color="auto"/>
                    <w:right w:val="double" w:sz="12" w:space="0" w:color="auto"/>
                  </w:tcBorders>
                  <w:shd w:val="clear" w:color="auto" w:fill="92D050"/>
                </w:tcPr>
                <w:p w14:paraId="0696C0D0" w14:textId="77777777">
                  <w:pPr>
                    <w:pStyle w:val="Tabletext"/>
                    <w:keepNext/>
                  </w:pPr>
                </w:p>
              </w:tc>
            </w:tr>
            <w:tr w14:paraId="3A676100" w14:textId="77777777">
              <w:trPr>
                <w:trHeight w:hRule="exact" w:val="113"/>
                <w:jc w:val="center"/>
              </w:trPr>
              <w:tc>
                <w:tcPr>
                  <w:tcW w:w="284" w:type="dxa"/>
                  <w:tcBorders>
                    <w:left w:val="double" w:sz="12" w:space="0" w:color="auto"/>
                    <w:right w:val="double" w:sz="4" w:space="0" w:color="auto"/>
                  </w:tcBorders>
                  <w:shd w:val="clear" w:color="auto" w:fill="92D050"/>
                </w:tcPr>
                <w:p w14:paraId="32F34E4D" w14:textId="77777777">
                  <w:pPr>
                    <w:pStyle w:val="Tabletext"/>
                    <w:keepNext/>
                  </w:pPr>
                </w:p>
              </w:tc>
              <w:tc>
                <w:tcPr>
                  <w:tcW w:w="284" w:type="dxa"/>
                  <w:tcBorders>
                    <w:left w:val="double" w:sz="4" w:space="0" w:color="auto"/>
                    <w:right w:val="single" w:sz="4" w:space="0" w:color="auto"/>
                  </w:tcBorders>
                  <w:shd w:val="clear" w:color="auto" w:fill="CCFFCC"/>
                </w:tcPr>
                <w:p w14:paraId="3B0FA9B4" w14:textId="77777777">
                  <w:pPr>
                    <w:pStyle w:val="Tabletext"/>
                    <w:keepNext/>
                  </w:pPr>
                </w:p>
              </w:tc>
              <w:tc>
                <w:tcPr>
                  <w:tcW w:w="3119" w:type="dxa"/>
                  <w:gridSpan w:val="2"/>
                  <w:vMerge w:val="restart"/>
                  <w:tcBorders>
                    <w:top w:val="single" w:sz="4" w:space="0" w:color="auto"/>
                    <w:left w:val="single" w:sz="4" w:space="0" w:color="auto"/>
                  </w:tcBorders>
                  <w:shd w:val="clear" w:color="auto" w:fill="CC99FF"/>
                </w:tcPr>
                <w:p w14:paraId="62EE2E0A" w14:textId="77777777">
                  <w:pPr>
                    <w:pStyle w:val="Tabletext"/>
                    <w:keepNext/>
                  </w:pPr>
                  <w:r>
                    <w:t>&lt;paragraph&gt; contains</w:t>
                  </w:r>
                </w:p>
              </w:tc>
              <w:tc>
                <w:tcPr>
                  <w:tcW w:w="1418" w:type="dxa"/>
                  <w:tcBorders>
                    <w:top w:val="single" w:sz="4" w:space="0" w:color="auto"/>
                  </w:tcBorders>
                  <w:shd w:val="clear" w:color="auto" w:fill="CC99FF"/>
                </w:tcPr>
                <w:p w14:paraId="666912B1" w14:textId="77777777">
                  <w:pPr>
                    <w:pStyle w:val="Tabletext"/>
                    <w:keepNext/>
                    <w:jc w:val="center"/>
                    <w:rPr>
                      <w:i/>
                      <w:iCs/>
                      <w:noProof/>
                    </w:rPr>
                  </w:pPr>
                </w:p>
              </w:tc>
              <w:tc>
                <w:tcPr>
                  <w:tcW w:w="284" w:type="dxa"/>
                  <w:tcBorders>
                    <w:top w:val="single" w:sz="4" w:space="0" w:color="auto"/>
                  </w:tcBorders>
                  <w:shd w:val="clear" w:color="auto" w:fill="CC99FF"/>
                </w:tcPr>
                <w:p w14:paraId="67FF0111" w14:textId="77777777">
                  <w:pPr>
                    <w:pStyle w:val="Tabletext"/>
                    <w:keepNext/>
                    <w:jc w:val="center"/>
                  </w:pPr>
                </w:p>
              </w:tc>
              <w:tc>
                <w:tcPr>
                  <w:tcW w:w="284" w:type="dxa"/>
                  <w:tcBorders>
                    <w:top w:val="single" w:sz="4" w:space="0" w:color="auto"/>
                    <w:right w:val="single" w:sz="4" w:space="0" w:color="auto"/>
                  </w:tcBorders>
                  <w:shd w:val="clear" w:color="auto" w:fill="CC99FF"/>
                </w:tcPr>
                <w:p w14:paraId="3CD8D12D" w14:textId="77777777">
                  <w:pPr>
                    <w:pStyle w:val="Tabletext"/>
                    <w:keepNext/>
                  </w:pPr>
                </w:p>
              </w:tc>
              <w:tc>
                <w:tcPr>
                  <w:tcW w:w="284" w:type="dxa"/>
                  <w:tcBorders>
                    <w:left w:val="single" w:sz="4" w:space="0" w:color="auto"/>
                    <w:right w:val="double" w:sz="4" w:space="0" w:color="auto"/>
                  </w:tcBorders>
                  <w:shd w:val="clear" w:color="auto" w:fill="CCFFCC"/>
                </w:tcPr>
                <w:p w14:paraId="64DD89AE" w14:textId="77777777">
                  <w:pPr>
                    <w:pStyle w:val="Tabletext"/>
                    <w:keepNext/>
                  </w:pPr>
                </w:p>
              </w:tc>
              <w:tc>
                <w:tcPr>
                  <w:tcW w:w="284" w:type="dxa"/>
                  <w:tcBorders>
                    <w:left w:val="double" w:sz="4" w:space="0" w:color="auto"/>
                    <w:right w:val="double" w:sz="12" w:space="0" w:color="auto"/>
                  </w:tcBorders>
                  <w:shd w:val="clear" w:color="auto" w:fill="92D050"/>
                </w:tcPr>
                <w:p w14:paraId="21F7CC5A" w14:textId="77777777">
                  <w:pPr>
                    <w:pStyle w:val="Tabletext"/>
                    <w:keepNext/>
                  </w:pPr>
                </w:p>
              </w:tc>
            </w:tr>
            <w:tr w14:paraId="2B5CB253" w14:textId="77777777">
              <w:trPr>
                <w:trHeight w:hRule="exact" w:val="284"/>
                <w:jc w:val="center"/>
              </w:trPr>
              <w:tc>
                <w:tcPr>
                  <w:tcW w:w="284" w:type="dxa"/>
                  <w:tcBorders>
                    <w:left w:val="double" w:sz="12" w:space="0" w:color="auto"/>
                    <w:right w:val="double" w:sz="4" w:space="0" w:color="auto"/>
                  </w:tcBorders>
                  <w:shd w:val="clear" w:color="auto" w:fill="92D050"/>
                </w:tcPr>
                <w:p w14:paraId="2B0121B5" w14:textId="77777777">
                  <w:pPr>
                    <w:pStyle w:val="Tabletext"/>
                    <w:keepNext/>
                  </w:pPr>
                </w:p>
              </w:tc>
              <w:tc>
                <w:tcPr>
                  <w:tcW w:w="284" w:type="dxa"/>
                  <w:tcBorders>
                    <w:left w:val="double" w:sz="4" w:space="0" w:color="auto"/>
                    <w:right w:val="single" w:sz="4" w:space="0" w:color="auto"/>
                  </w:tcBorders>
                  <w:shd w:val="clear" w:color="auto" w:fill="CCFFCC"/>
                </w:tcPr>
                <w:p w14:paraId="6576D506" w14:textId="77777777">
                  <w:pPr>
                    <w:pStyle w:val="Tabletext"/>
                    <w:keepNext/>
                  </w:pPr>
                </w:p>
              </w:tc>
              <w:tc>
                <w:tcPr>
                  <w:tcW w:w="3119" w:type="dxa"/>
                  <w:gridSpan w:val="2"/>
                  <w:vMerge/>
                  <w:tcBorders>
                    <w:left w:val="single" w:sz="4" w:space="0" w:color="auto"/>
                  </w:tcBorders>
                  <w:shd w:val="clear" w:color="auto" w:fill="CC99FF"/>
                </w:tcPr>
                <w:p w14:paraId="1AD730D5" w14:textId="77777777">
                  <w:pPr>
                    <w:pStyle w:val="Tabletext"/>
                    <w:keepNext/>
                  </w:pPr>
                </w:p>
              </w:tc>
              <w:tc>
                <w:tcPr>
                  <w:tcW w:w="1418" w:type="dxa"/>
                  <w:shd w:val="clear" w:color="auto" w:fill="FFFF00"/>
                </w:tcPr>
                <w:p w14:paraId="4C791333" w14:textId="77777777">
                  <w:pPr>
                    <w:pStyle w:val="Tabletext"/>
                    <w:keepNext/>
                    <w:jc w:val="center"/>
                    <w:rPr>
                      <w:i/>
                      <w:iCs/>
                      <w:noProof/>
                    </w:rPr>
                  </w:pPr>
                  <w:r>
                    <w:rPr>
                      <w:i/>
                      <w:iCs/>
                      <w:noProof/>
                    </w:rPr>
                    <w:t>… text vwx…</w:t>
                  </w:r>
                </w:p>
              </w:tc>
              <w:tc>
                <w:tcPr>
                  <w:tcW w:w="284" w:type="dxa"/>
                  <w:shd w:val="clear" w:color="auto" w:fill="CC99FF"/>
                </w:tcPr>
                <w:p w14:paraId="5BE271BA" w14:textId="77777777">
                  <w:pPr>
                    <w:pStyle w:val="Tabletext"/>
                    <w:keepNext/>
                    <w:jc w:val="center"/>
                  </w:pPr>
                </w:p>
              </w:tc>
              <w:tc>
                <w:tcPr>
                  <w:tcW w:w="284" w:type="dxa"/>
                  <w:tcBorders>
                    <w:right w:val="single" w:sz="4" w:space="0" w:color="auto"/>
                  </w:tcBorders>
                  <w:shd w:val="clear" w:color="auto" w:fill="CC99FF"/>
                </w:tcPr>
                <w:p w14:paraId="1931E37C" w14:textId="77777777">
                  <w:pPr>
                    <w:pStyle w:val="Tabletext"/>
                    <w:keepNext/>
                  </w:pPr>
                </w:p>
              </w:tc>
              <w:tc>
                <w:tcPr>
                  <w:tcW w:w="284" w:type="dxa"/>
                  <w:tcBorders>
                    <w:left w:val="single" w:sz="4" w:space="0" w:color="auto"/>
                    <w:right w:val="double" w:sz="4" w:space="0" w:color="auto"/>
                  </w:tcBorders>
                  <w:shd w:val="clear" w:color="auto" w:fill="CCFFCC"/>
                </w:tcPr>
                <w:p w14:paraId="29F0C9A4" w14:textId="77777777">
                  <w:pPr>
                    <w:pStyle w:val="Tabletext"/>
                    <w:keepNext/>
                  </w:pPr>
                </w:p>
              </w:tc>
              <w:tc>
                <w:tcPr>
                  <w:tcW w:w="284" w:type="dxa"/>
                  <w:tcBorders>
                    <w:left w:val="double" w:sz="4" w:space="0" w:color="auto"/>
                    <w:right w:val="double" w:sz="12" w:space="0" w:color="auto"/>
                  </w:tcBorders>
                  <w:shd w:val="clear" w:color="auto" w:fill="92D050"/>
                </w:tcPr>
                <w:p w14:paraId="157457E5" w14:textId="77777777">
                  <w:pPr>
                    <w:pStyle w:val="Tabletext"/>
                    <w:keepNext/>
                  </w:pPr>
                </w:p>
              </w:tc>
            </w:tr>
            <w:tr w14:paraId="31EEF875" w14:textId="77777777">
              <w:trPr>
                <w:trHeight w:hRule="exact" w:val="113"/>
                <w:jc w:val="center"/>
              </w:trPr>
              <w:tc>
                <w:tcPr>
                  <w:tcW w:w="284" w:type="dxa"/>
                  <w:tcBorders>
                    <w:left w:val="double" w:sz="12" w:space="0" w:color="auto"/>
                    <w:right w:val="double" w:sz="4" w:space="0" w:color="auto"/>
                  </w:tcBorders>
                  <w:shd w:val="clear" w:color="auto" w:fill="92D050"/>
                </w:tcPr>
                <w:p w14:paraId="1E31F498" w14:textId="77777777">
                  <w:pPr>
                    <w:pStyle w:val="Tabletext"/>
                    <w:keepNext/>
                  </w:pPr>
                </w:p>
              </w:tc>
              <w:tc>
                <w:tcPr>
                  <w:tcW w:w="284" w:type="dxa"/>
                  <w:tcBorders>
                    <w:left w:val="double" w:sz="4" w:space="0" w:color="auto"/>
                    <w:right w:val="single" w:sz="4" w:space="0" w:color="auto"/>
                  </w:tcBorders>
                  <w:shd w:val="clear" w:color="auto" w:fill="CCFFCC"/>
                </w:tcPr>
                <w:p w14:paraId="7D8127E8" w14:textId="77777777">
                  <w:pPr>
                    <w:pStyle w:val="Tabletext"/>
                    <w:keepNext/>
                  </w:pPr>
                </w:p>
              </w:tc>
              <w:tc>
                <w:tcPr>
                  <w:tcW w:w="3119" w:type="dxa"/>
                  <w:gridSpan w:val="2"/>
                  <w:tcBorders>
                    <w:left w:val="single" w:sz="4" w:space="0" w:color="auto"/>
                    <w:bottom w:val="single" w:sz="4" w:space="0" w:color="auto"/>
                  </w:tcBorders>
                  <w:shd w:val="clear" w:color="auto" w:fill="CC99FF"/>
                </w:tcPr>
                <w:p w14:paraId="5EE4F46D" w14:textId="77777777">
                  <w:pPr>
                    <w:pStyle w:val="Tabletext"/>
                    <w:keepNext/>
                  </w:pPr>
                </w:p>
              </w:tc>
              <w:tc>
                <w:tcPr>
                  <w:tcW w:w="1418" w:type="dxa"/>
                  <w:tcBorders>
                    <w:bottom w:val="single" w:sz="4" w:space="0" w:color="auto"/>
                  </w:tcBorders>
                  <w:shd w:val="clear" w:color="auto" w:fill="CC99FF"/>
                </w:tcPr>
                <w:p w14:paraId="1081F143" w14:textId="77777777">
                  <w:pPr>
                    <w:pStyle w:val="Tabletext"/>
                    <w:keepNext/>
                    <w:jc w:val="center"/>
                    <w:rPr>
                      <w:i/>
                      <w:iCs/>
                    </w:rPr>
                  </w:pPr>
                </w:p>
              </w:tc>
              <w:tc>
                <w:tcPr>
                  <w:tcW w:w="284" w:type="dxa"/>
                  <w:tcBorders>
                    <w:bottom w:val="single" w:sz="4" w:space="0" w:color="auto"/>
                  </w:tcBorders>
                  <w:shd w:val="clear" w:color="auto" w:fill="CC99FF"/>
                </w:tcPr>
                <w:p w14:paraId="64114DE3" w14:textId="77777777">
                  <w:pPr>
                    <w:pStyle w:val="Tabletext"/>
                    <w:keepNext/>
                    <w:jc w:val="center"/>
                  </w:pPr>
                </w:p>
              </w:tc>
              <w:tc>
                <w:tcPr>
                  <w:tcW w:w="284" w:type="dxa"/>
                  <w:tcBorders>
                    <w:bottom w:val="single" w:sz="4" w:space="0" w:color="auto"/>
                    <w:right w:val="single" w:sz="4" w:space="0" w:color="auto"/>
                  </w:tcBorders>
                  <w:shd w:val="clear" w:color="auto" w:fill="CC99FF"/>
                </w:tcPr>
                <w:p w14:paraId="06E5E04D" w14:textId="77777777">
                  <w:pPr>
                    <w:pStyle w:val="Tabletext"/>
                    <w:keepNext/>
                  </w:pPr>
                </w:p>
              </w:tc>
              <w:tc>
                <w:tcPr>
                  <w:tcW w:w="284" w:type="dxa"/>
                  <w:tcBorders>
                    <w:left w:val="single" w:sz="4" w:space="0" w:color="auto"/>
                    <w:right w:val="double" w:sz="4" w:space="0" w:color="auto"/>
                  </w:tcBorders>
                  <w:shd w:val="clear" w:color="auto" w:fill="CCFFCC"/>
                </w:tcPr>
                <w:p w14:paraId="3BDA8D7D" w14:textId="77777777">
                  <w:pPr>
                    <w:pStyle w:val="Tabletext"/>
                    <w:keepNext/>
                  </w:pPr>
                </w:p>
              </w:tc>
              <w:tc>
                <w:tcPr>
                  <w:tcW w:w="284" w:type="dxa"/>
                  <w:tcBorders>
                    <w:left w:val="double" w:sz="4" w:space="0" w:color="auto"/>
                    <w:right w:val="double" w:sz="12" w:space="0" w:color="auto"/>
                  </w:tcBorders>
                  <w:shd w:val="clear" w:color="auto" w:fill="92D050"/>
                </w:tcPr>
                <w:p w14:paraId="4A72D1FF" w14:textId="77777777">
                  <w:pPr>
                    <w:pStyle w:val="Tabletext"/>
                    <w:keepNext/>
                  </w:pPr>
                </w:p>
              </w:tc>
            </w:tr>
            <w:tr w14:paraId="148A2E5C" w14:textId="77777777">
              <w:trPr>
                <w:trHeight w:hRule="exact" w:val="284"/>
                <w:jc w:val="center"/>
              </w:trPr>
              <w:tc>
                <w:tcPr>
                  <w:tcW w:w="284" w:type="dxa"/>
                  <w:tcBorders>
                    <w:left w:val="double" w:sz="12" w:space="0" w:color="auto"/>
                    <w:right w:val="double" w:sz="4" w:space="0" w:color="auto"/>
                  </w:tcBorders>
                  <w:shd w:val="clear" w:color="auto" w:fill="92D050"/>
                </w:tcPr>
                <w:p w14:paraId="37BE6BA8" w14:textId="77777777">
                  <w:pPr>
                    <w:pStyle w:val="Tabletext"/>
                    <w:keepNext/>
                  </w:pPr>
                </w:p>
              </w:tc>
              <w:tc>
                <w:tcPr>
                  <w:tcW w:w="284" w:type="dxa"/>
                  <w:tcBorders>
                    <w:left w:val="double" w:sz="4" w:space="0" w:color="auto"/>
                    <w:bottom w:val="double" w:sz="4" w:space="0" w:color="auto"/>
                  </w:tcBorders>
                  <w:shd w:val="clear" w:color="auto" w:fill="CCFFCC"/>
                </w:tcPr>
                <w:p w14:paraId="1F34ECFE" w14:textId="77777777">
                  <w:pPr>
                    <w:pStyle w:val="Tabletext"/>
                    <w:keepNext/>
                  </w:pPr>
                </w:p>
              </w:tc>
              <w:tc>
                <w:tcPr>
                  <w:tcW w:w="284" w:type="dxa"/>
                  <w:tcBorders>
                    <w:top w:val="single" w:sz="4" w:space="0" w:color="auto"/>
                    <w:bottom w:val="double" w:sz="4" w:space="0" w:color="auto"/>
                  </w:tcBorders>
                  <w:shd w:val="clear" w:color="auto" w:fill="CCFFCC"/>
                </w:tcPr>
                <w:p w14:paraId="4C748166" w14:textId="77777777">
                  <w:pPr>
                    <w:pStyle w:val="Tabletext"/>
                    <w:keepNext/>
                  </w:pPr>
                </w:p>
              </w:tc>
              <w:tc>
                <w:tcPr>
                  <w:tcW w:w="2835" w:type="dxa"/>
                  <w:tcBorders>
                    <w:top w:val="single" w:sz="4" w:space="0" w:color="auto"/>
                    <w:bottom w:val="double" w:sz="4" w:space="0" w:color="auto"/>
                  </w:tcBorders>
                  <w:shd w:val="clear" w:color="auto" w:fill="CCFFCC"/>
                </w:tcPr>
                <w:p w14:paraId="2C94F794" w14:textId="77777777">
                  <w:pPr>
                    <w:pStyle w:val="Tabletext"/>
                    <w:keepNext/>
                  </w:pPr>
                </w:p>
              </w:tc>
              <w:tc>
                <w:tcPr>
                  <w:tcW w:w="1418" w:type="dxa"/>
                  <w:tcBorders>
                    <w:top w:val="single" w:sz="4" w:space="0" w:color="auto"/>
                    <w:bottom w:val="double" w:sz="4" w:space="0" w:color="auto"/>
                  </w:tcBorders>
                  <w:shd w:val="clear" w:color="auto" w:fill="CCFFCC"/>
                </w:tcPr>
                <w:p w14:paraId="69EAB437" w14:textId="77777777">
                  <w:pPr>
                    <w:pStyle w:val="Tabletext"/>
                    <w:keepNext/>
                    <w:jc w:val="center"/>
                  </w:pPr>
                </w:p>
              </w:tc>
              <w:tc>
                <w:tcPr>
                  <w:tcW w:w="284" w:type="dxa"/>
                  <w:tcBorders>
                    <w:top w:val="single" w:sz="4" w:space="0" w:color="auto"/>
                    <w:bottom w:val="double" w:sz="4" w:space="0" w:color="auto"/>
                  </w:tcBorders>
                  <w:shd w:val="clear" w:color="auto" w:fill="CCFFCC"/>
                </w:tcPr>
                <w:p w14:paraId="6C109ECF" w14:textId="77777777">
                  <w:pPr>
                    <w:pStyle w:val="Tabletext"/>
                    <w:keepNext/>
                    <w:jc w:val="center"/>
                  </w:pPr>
                </w:p>
              </w:tc>
              <w:tc>
                <w:tcPr>
                  <w:tcW w:w="284" w:type="dxa"/>
                  <w:tcBorders>
                    <w:top w:val="single" w:sz="4" w:space="0" w:color="auto"/>
                    <w:bottom w:val="double" w:sz="4" w:space="0" w:color="auto"/>
                  </w:tcBorders>
                  <w:shd w:val="clear" w:color="auto" w:fill="CCFFCC"/>
                </w:tcPr>
                <w:p w14:paraId="54A95C91" w14:textId="77777777">
                  <w:pPr>
                    <w:pStyle w:val="Tabletext"/>
                    <w:keepNext/>
                  </w:pPr>
                </w:p>
              </w:tc>
              <w:tc>
                <w:tcPr>
                  <w:tcW w:w="284" w:type="dxa"/>
                  <w:tcBorders>
                    <w:bottom w:val="double" w:sz="4" w:space="0" w:color="auto"/>
                    <w:right w:val="double" w:sz="4" w:space="0" w:color="auto"/>
                  </w:tcBorders>
                  <w:shd w:val="clear" w:color="auto" w:fill="CCFFCC"/>
                </w:tcPr>
                <w:p w14:paraId="0050F9C7" w14:textId="77777777">
                  <w:pPr>
                    <w:pStyle w:val="Tabletext"/>
                    <w:keepNext/>
                  </w:pPr>
                </w:p>
              </w:tc>
              <w:tc>
                <w:tcPr>
                  <w:tcW w:w="284" w:type="dxa"/>
                  <w:tcBorders>
                    <w:left w:val="double" w:sz="4" w:space="0" w:color="auto"/>
                    <w:right w:val="double" w:sz="12" w:space="0" w:color="auto"/>
                  </w:tcBorders>
                  <w:shd w:val="clear" w:color="auto" w:fill="92D050"/>
                </w:tcPr>
                <w:p w14:paraId="3D8AE544" w14:textId="77777777">
                  <w:pPr>
                    <w:pStyle w:val="Tabletext"/>
                    <w:keepNext/>
                  </w:pPr>
                </w:p>
              </w:tc>
            </w:tr>
            <w:tr w14:paraId="28F1B1EB" w14:textId="77777777">
              <w:trPr>
                <w:trHeight w:hRule="exact" w:val="284"/>
                <w:jc w:val="center"/>
              </w:trPr>
              <w:tc>
                <w:tcPr>
                  <w:tcW w:w="284" w:type="dxa"/>
                  <w:tcBorders>
                    <w:left w:val="double" w:sz="12" w:space="0" w:color="auto"/>
                    <w:bottom w:val="double" w:sz="12" w:space="0" w:color="auto"/>
                  </w:tcBorders>
                  <w:shd w:val="clear" w:color="auto" w:fill="92D050"/>
                </w:tcPr>
                <w:p w14:paraId="14213A52" w14:textId="77777777">
                  <w:pPr>
                    <w:pStyle w:val="Tabletext"/>
                  </w:pPr>
                </w:p>
              </w:tc>
              <w:tc>
                <w:tcPr>
                  <w:tcW w:w="284" w:type="dxa"/>
                  <w:tcBorders>
                    <w:top w:val="double" w:sz="4" w:space="0" w:color="auto"/>
                    <w:bottom w:val="double" w:sz="12" w:space="0" w:color="auto"/>
                  </w:tcBorders>
                  <w:shd w:val="clear" w:color="auto" w:fill="92D050"/>
                </w:tcPr>
                <w:p w14:paraId="59C7066C" w14:textId="77777777">
                  <w:pPr>
                    <w:pStyle w:val="Tabletext"/>
                  </w:pPr>
                </w:p>
              </w:tc>
              <w:tc>
                <w:tcPr>
                  <w:tcW w:w="284" w:type="dxa"/>
                  <w:tcBorders>
                    <w:top w:val="double" w:sz="4" w:space="0" w:color="auto"/>
                    <w:bottom w:val="double" w:sz="12" w:space="0" w:color="auto"/>
                  </w:tcBorders>
                  <w:shd w:val="clear" w:color="auto" w:fill="92D050"/>
                </w:tcPr>
                <w:p w14:paraId="434E44A3" w14:textId="77777777">
                  <w:pPr>
                    <w:pStyle w:val="Tabletext"/>
                  </w:pPr>
                </w:p>
              </w:tc>
              <w:tc>
                <w:tcPr>
                  <w:tcW w:w="2835" w:type="dxa"/>
                  <w:tcBorders>
                    <w:top w:val="double" w:sz="4" w:space="0" w:color="auto"/>
                    <w:bottom w:val="double" w:sz="12" w:space="0" w:color="auto"/>
                  </w:tcBorders>
                  <w:shd w:val="clear" w:color="auto" w:fill="92D050"/>
                </w:tcPr>
                <w:p w14:paraId="2CABEE2B" w14:textId="77777777">
                  <w:pPr>
                    <w:pStyle w:val="Tabletext"/>
                  </w:pPr>
                </w:p>
              </w:tc>
              <w:tc>
                <w:tcPr>
                  <w:tcW w:w="1418" w:type="dxa"/>
                  <w:tcBorders>
                    <w:top w:val="double" w:sz="4" w:space="0" w:color="auto"/>
                    <w:bottom w:val="double" w:sz="12" w:space="0" w:color="auto"/>
                  </w:tcBorders>
                  <w:shd w:val="clear" w:color="auto" w:fill="92D050"/>
                </w:tcPr>
                <w:p w14:paraId="5ADCB000" w14:textId="77777777">
                  <w:pPr>
                    <w:pStyle w:val="Tabletext"/>
                    <w:jc w:val="center"/>
                  </w:pPr>
                </w:p>
              </w:tc>
              <w:tc>
                <w:tcPr>
                  <w:tcW w:w="284" w:type="dxa"/>
                  <w:tcBorders>
                    <w:top w:val="double" w:sz="4" w:space="0" w:color="auto"/>
                    <w:bottom w:val="double" w:sz="12" w:space="0" w:color="auto"/>
                  </w:tcBorders>
                  <w:shd w:val="clear" w:color="auto" w:fill="92D050"/>
                </w:tcPr>
                <w:p w14:paraId="5F58DBAC" w14:textId="77777777">
                  <w:pPr>
                    <w:pStyle w:val="Tabletext"/>
                    <w:jc w:val="center"/>
                  </w:pPr>
                </w:p>
              </w:tc>
              <w:tc>
                <w:tcPr>
                  <w:tcW w:w="284" w:type="dxa"/>
                  <w:tcBorders>
                    <w:top w:val="double" w:sz="4" w:space="0" w:color="auto"/>
                    <w:bottom w:val="double" w:sz="12" w:space="0" w:color="auto"/>
                  </w:tcBorders>
                  <w:shd w:val="clear" w:color="auto" w:fill="92D050"/>
                </w:tcPr>
                <w:p w14:paraId="6EF02FFF" w14:textId="77777777">
                  <w:pPr>
                    <w:pStyle w:val="Tabletext"/>
                  </w:pPr>
                </w:p>
              </w:tc>
              <w:tc>
                <w:tcPr>
                  <w:tcW w:w="284" w:type="dxa"/>
                  <w:tcBorders>
                    <w:top w:val="double" w:sz="4" w:space="0" w:color="auto"/>
                    <w:bottom w:val="double" w:sz="12" w:space="0" w:color="auto"/>
                  </w:tcBorders>
                  <w:shd w:val="clear" w:color="auto" w:fill="92D050"/>
                </w:tcPr>
                <w:p w14:paraId="0F6E33AA" w14:textId="77777777">
                  <w:pPr>
                    <w:pStyle w:val="Tabletext"/>
                  </w:pPr>
                </w:p>
              </w:tc>
              <w:tc>
                <w:tcPr>
                  <w:tcW w:w="284" w:type="dxa"/>
                  <w:tcBorders>
                    <w:bottom w:val="double" w:sz="12" w:space="0" w:color="auto"/>
                    <w:right w:val="double" w:sz="12" w:space="0" w:color="auto"/>
                  </w:tcBorders>
                  <w:shd w:val="clear" w:color="auto" w:fill="92D050"/>
                </w:tcPr>
                <w:p w14:paraId="11C0B523" w14:textId="77777777">
                  <w:pPr>
                    <w:pStyle w:val="Tabletext"/>
                  </w:pPr>
                </w:p>
              </w:tc>
            </w:tr>
          </w:tbl>
          <w:p w14:paraId="5B4352AB" w14:textId="77777777"/>
        </w:tc>
      </w:tr>
    </w:tbl>
    <w:p w14:paraId="3C35B01C" w14:textId="77777777"/>
    <w:p w14:paraId="72B2036D" w14:textId="230E4317">
      <w:r>
        <w:t>Within a TEI document, the entirety of the source text is contained within the edition division (§</w:t>
      </w:r>
      <w:r>
        <w:fldChar w:fldCharType="begin"/>
      </w:r>
      <w:r>
        <w:instrText xml:space="preserve"> REF _Ref224739111 \r \h </w:instrText>
      </w:r>
      <w:r>
        <w:fldChar w:fldCharType="separate"/>
      </w:r>
      <w:r>
        <w:t>2.2.3</w:t>
      </w:r>
      <w:r>
        <w:fldChar w:fldCharType="end"/>
      </w:r>
      <w:r>
        <w:t>), which thus also contains the entire hierarchy of intrinsic structure. Within the edition division, all of the text in an EpiDoc edition must be wrapped in block-level (§</w:t>
      </w:r>
      <w:r>
        <w:fldChar w:fldCharType="begin"/>
      </w:r>
      <w:r>
        <w:instrText xml:space="preserve"> REF _Ref224893557 \r \h </w:instrText>
      </w:r>
      <w:r>
        <w:fldChar w:fldCharType="separate"/>
      </w:r>
      <w:r>
        <w:t>2.1.2</w:t>
      </w:r>
      <w:r>
        <w:fldChar w:fldCharType="end"/>
      </w:r>
      <w:r>
        <w:t xml:space="preserve">) container elements representing units of intrinsic structure, namely “paragraphs” or “anonymous blocks” in prose </w:t>
      </w:r>
      <w:r>
        <w:rPr>
          <w:noProof/>
        </w:rPr>
        <w:t>(</w:t>
      </w:r>
      <w:r>
        <w:t>§</w:t>
      </w:r>
      <w:r>
        <w:fldChar w:fldCharType="begin"/>
      </w:r>
      <w:r>
        <w:instrText xml:space="preserve"> REF _Ref225321156 \r \h </w:instrText>
      </w:r>
      <w:r>
        <w:fldChar w:fldCharType="separate"/>
      </w:r>
      <w:r>
        <w:t>3.1.1</w:t>
      </w:r>
      <w:r>
        <w:fldChar w:fldCharType="end"/>
      </w:r>
      <w:r>
        <w:t xml:space="preserve">), and “stanzas” in verse </w:t>
      </w:r>
      <w:r>
        <w:rPr>
          <w:noProof/>
        </w:rPr>
        <w:t>(</w:t>
      </w:r>
      <w:r>
        <w:t>§</w:t>
      </w:r>
      <w:r>
        <w:fldChar w:fldCharType="begin"/>
      </w:r>
      <w:r>
        <w:instrText xml:space="preserve"> REF _Ref224740501 \r \h </w:instrText>
      </w:r>
      <w:r>
        <w:fldChar w:fldCharType="separate"/>
      </w:r>
      <w:r>
        <w:t>3.2.2</w:t>
      </w:r>
      <w:r>
        <w:fldChar w:fldCharType="end"/>
      </w:r>
      <w:r>
        <w:t>). In the simplest of cases, an edition can contain just a single block-level element, which in turn contains the entire text. Otherwise, the edition may contain a series of block-level elements, each of which contains part of the text.</w:t>
      </w:r>
    </w:p>
    <w:p w14:paraId="323A63F6" w14:textId="77777777">
      <w:pPr>
        <w:pStyle w:val="Normlbehzs"/>
      </w:pPr>
      <w:r>
        <w:t xml:space="preserve">Any number of these basic containers may be used in any sequence as called for by the nature of the text, but to keep the encoding structure simple, in our practice these containers shall never be nested in one </w:t>
      </w:r>
      <w:r>
        <w:lastRenderedPageBreak/>
        <w:t xml:space="preserve">another, only follow one another in a simple linear sequence. That is to say, paragraphs, anonymous blocks and stanzas always occupy the same level of the hierarchy in DHARMA encoding. The containers must </w:t>
      </w:r>
      <w:r>
        <w:rPr>
          <w:rStyle w:val="Foreign"/>
        </w:rPr>
        <w:t>tessellate</w:t>
      </w:r>
      <w:r>
        <w:t>, meaning that they must seamlessly cover the entire edition in the manner of tiles. Thus, there can usually be no text in the edition which is not also contained within a paragraph, anonymous block or stanza.</w:t>
      </w:r>
    </w:p>
    <w:p w14:paraId="0519957C" w14:textId="561CCB9C">
      <w:pPr>
        <w:pStyle w:val="Normlbehzs"/>
      </w:pPr>
      <w:r>
        <w:t>The hierarchy presented above can be extended by one additional step in either direction. In the downward direction, applicable only to verse, the lines of a stanza must be individually wrapped in a lower-level container in addition to the stanza container wrapping all lines as a unit. In the upward direction, higher-level blocks called textpart divisions can be used to subdivide the text into cohesive parts, each of which can contain a number of basic containers. Tessellation is a requirement applicable to all levels of this hierarchy. Thus, if verse is present, then the entire text of each stanza must be contained within one line or another, and never directly within the stanza. Conversely, if textpart divisions are present, then all of the basic containers must be within one division or another, and never directly within the edition division.</w:t>
      </w:r>
    </w:p>
    <w:p w14:paraId="4188639A" w14:textId="19494715">
      <w:pPr>
        <w:pStyle w:val="Normlbehzs"/>
      </w:pPr>
      <w:r>
        <w:t>Because our documentary editions are usually concerned with short to moderate-length texts which, unlike the quintessential book, rarely involve multiple hierarchical tiers, in our practice we restrict the use of textpart divisions to a small number of cases where a major semantic boundary (in the intrinsic structure of the text as work) coincides with a salient physical boundary (in the extrinsic structure of the text as document). Textpart divisions will therefore be introduced under extrinsic structure in §</w:t>
      </w:r>
      <w:r>
        <w:fldChar w:fldCharType="begin"/>
      </w:r>
      <w:r>
        <w:instrText xml:space="preserve"> REF _Ref225778181 \r \h </w:instrText>
      </w:r>
      <w:r>
        <w:fldChar w:fldCharType="separate"/>
      </w:r>
      <w:r>
        <w:t>4.2</w:t>
      </w:r>
      <w:r>
        <w:fldChar w:fldCharType="end"/>
      </w:r>
      <w:r>
        <w:t>, and the specific cases where they are needed will be discussed in §</w:t>
      </w:r>
      <w:r>
        <w:fldChar w:fldCharType="begin"/>
      </w:r>
      <w:r>
        <w:instrText xml:space="preserve"> REF _Ref225759775 \r \h </w:instrText>
      </w:r>
      <w:r>
        <w:fldChar w:fldCharType="separate"/>
      </w:r>
      <w:r>
        <w:t>4.7.3</w:t>
      </w:r>
      <w:r>
        <w:fldChar w:fldCharType="end"/>
      </w:r>
      <w:r>
        <w:t>. Consequently, our documentary editions do not recognise intrinsic units superordinate to prose and verse blocks on a purely semantic basis.</w:t>
      </w:r>
    </w:p>
    <w:p w14:paraId="2861F592" w14:textId="3960E47A">
      <w:pPr>
        <w:pStyle w:val="Normlbehzs"/>
      </w:pPr>
      <w:r>
        <w:t>In some cases, which occur only rarely in our practice, this simple hierarchy of intrinsic structure can be complicated in either of two additional ways. First, prose paragraphs may occasionally contain lists (§</w:t>
      </w:r>
      <w:r>
        <w:fldChar w:fldCharType="begin"/>
      </w:r>
      <w:r>
        <w:instrText xml:space="preserve"> REF _Ref168563127 \r \h </w:instrText>
      </w:r>
      <w:r>
        <w:fldChar w:fldCharType="separate"/>
      </w:r>
      <w:r>
        <w:t>3.2.1.3</w:t>
      </w:r>
      <w:r>
        <w:fldChar w:fldCharType="end"/>
      </w:r>
      <w:r>
        <w:t>), which in turn contain list items, thus adding two further hierarchical levels below that of the paragraph.</w:t>
      </w:r>
      <w:r>
        <w:rPr>
          <w:rStyle w:val="Lbjegyzet-hivatkozs"/>
        </w:rPr>
        <w:footnoteReference w:id="8"/>
      </w:r>
      <w:r>
        <w:t xml:space="preserve"> Tessellation is required for items within a list, but not for lists themselves. Second, forme work (§</w:t>
      </w:r>
      <w:r>
        <w:fldChar w:fldCharType="begin"/>
      </w:r>
      <w:r>
        <w:instrText xml:space="preserve"> REF _Ref43984607 \r \h </w:instrText>
      </w:r>
      <w:r>
        <w:fldChar w:fldCharType="separate"/>
      </w:r>
      <w:r>
        <w:t>4.7.2</w:t>
      </w:r>
      <w:r>
        <w:fldChar w:fldCharType="end"/>
      </w:r>
      <w:r>
        <w:t>) — basically meaning page or folio numbering in a document — is detached from the text’s intrinsic structure but has to be positioned one way or another in the XML structure of the encoded document. Because of its unusual nature, the XML element representing forme work may, in exceptional cases, appear outside the basic block-level containers (as a direct child of a division); otherwise, it is placed within a container and thus adds another hierarchical level to the XML structure.</w:t>
      </w:r>
    </w:p>
    <w:p w14:paraId="5116A7B9" w14:textId="77777777">
      <w:pPr>
        <w:pStyle w:val="Cmsor3"/>
      </w:pPr>
      <w:bookmarkStart w:id="59" w:name="_Ref225331879"/>
      <w:bookmarkStart w:id="60" w:name="_Ref224740240"/>
      <w:bookmarkStart w:id="61" w:name="_Ref225244409"/>
      <w:bookmarkStart w:id="62" w:name="_Ref225153899"/>
      <w:bookmarkStart w:id="63" w:name="_Ref225321156"/>
      <w:bookmarkStart w:id="64" w:name="_Toc242889449"/>
      <w:r>
        <w:t>Numeration for reference</w:t>
      </w:r>
      <w:bookmarkEnd w:id="59"/>
      <w:bookmarkEnd w:id="64"/>
    </w:p>
    <w:p w14:paraId="6D2D3B32" w14:textId="7326871C">
      <w:r>
        <w:rPr>
          <w:lang w:eastAsia="en-US" w:bidi="ar-SA"/>
        </w:rPr>
        <w:t xml:space="preserve">All TEI elements can be provided with arbitrary numeration using the attribute </w:t>
      </w:r>
      <w:r>
        <w:rPr>
          <w:rStyle w:val="Codeattribute"/>
        </w:rPr>
        <w:t>@n</w:t>
      </w:r>
      <w:r>
        <w:rPr>
          <w:lang w:eastAsia="en-US" w:bidi="ar-SA"/>
        </w:rPr>
        <w:t xml:space="preserve">, primarily to be used as reference by human end users. Another </w:t>
      </w:r>
      <w:r>
        <w:t xml:space="preserve">attribute, </w:t>
      </w:r>
      <w:r>
        <w:rPr>
          <w:rStyle w:val="Codeattribute"/>
        </w:rPr>
        <w:t>@xml:id</w:t>
      </w:r>
      <w:r>
        <w:t xml:space="preserve"> </w:t>
      </w:r>
      <w:r>
        <w:rPr>
          <w:noProof/>
        </w:rPr>
        <w:t>(</w:t>
      </w:r>
      <w:r>
        <w:t>§</w:t>
      </w:r>
      <w:r>
        <w:fldChar w:fldCharType="begin"/>
      </w:r>
      <w:r>
        <w:instrText xml:space="preserve"> REF _Ref43988993 \w \h  \* MERGEFORMAT </w:instrText>
      </w:r>
      <w:r>
        <w:fldChar w:fldCharType="separate"/>
      </w:r>
      <w:r>
        <w:t>14.6.6</w:t>
      </w:r>
      <w:r>
        <w:fldChar w:fldCharType="end"/>
      </w:r>
      <w:r>
        <w:t xml:space="preserve">), is employed for the rigorous, machine-readable referencing of elements. For the purpose of referring to units of intrinsic structure, </w:t>
      </w:r>
      <w:r>
        <w:rPr>
          <w:lang w:eastAsia="en-US" w:bidi="ar-SA"/>
        </w:rPr>
        <w:t xml:space="preserve">DHARMA editions only use numeration </w:t>
      </w:r>
      <w:r>
        <w:t xml:space="preserve">involving </w:t>
      </w:r>
      <w:r>
        <w:rPr>
          <w:rStyle w:val="Codeattribute"/>
        </w:rPr>
        <w:t>@n</w:t>
      </w:r>
      <w:r>
        <w:t xml:space="preserve"> </w:t>
      </w:r>
      <w:r>
        <w:rPr>
          <w:lang w:eastAsia="en-US" w:bidi="ar-SA"/>
        </w:rPr>
        <w:t xml:space="preserve">on the containers for stanzas and verse lines (as well as for textpart divisions). </w:t>
      </w:r>
      <w:r>
        <w:t>The projectwide conventions introduced under §</w:t>
      </w:r>
      <w:r>
        <w:fldChar w:fldCharType="begin"/>
      </w:r>
      <w:r>
        <w:instrText xml:space="preserve"> REF _Ref224740501 \r \h </w:instrText>
      </w:r>
      <w:r>
        <w:fldChar w:fldCharType="separate"/>
      </w:r>
      <w:r>
        <w:t>3.2.2</w:t>
      </w:r>
      <w:r>
        <w:fldChar w:fldCharType="end"/>
      </w:r>
      <w:r>
        <w:t xml:space="preserve"> for numbering elements with </w:t>
      </w:r>
      <w:r>
        <w:rPr>
          <w:rStyle w:val="Codeattribute"/>
        </w:rPr>
        <w:t>@n</w:t>
      </w:r>
      <w:r>
        <w:t xml:space="preserve"> not only ensure consistency in our editions, but also facilitate conventional human-readable reference. For referring to text in prose, we see no advantage in numbering semantic units (as they vary greatly in size) and instead rely on the numeration of the units of extrinsic structure (§</w:t>
      </w:r>
      <w:r>
        <w:fldChar w:fldCharType="begin"/>
      </w:r>
      <w:r>
        <w:instrText xml:space="preserve"> REF _Ref225331491 \r \h </w:instrText>
      </w:r>
      <w:r>
        <w:fldChar w:fldCharType="separate"/>
      </w:r>
      <w:r>
        <w:t>4.1.1</w:t>
      </w:r>
      <w:r>
        <w:fldChar w:fldCharType="end"/>
      </w:r>
      <w:r>
        <w:t>).</w:t>
      </w:r>
    </w:p>
    <w:p w14:paraId="7B44E8F1" w14:textId="77777777">
      <w:pPr>
        <w:pStyle w:val="Cmsor2"/>
      </w:pPr>
      <w:bookmarkStart w:id="65" w:name="_Ref225500627"/>
      <w:bookmarkStart w:id="66" w:name="_Toc242889450"/>
      <w:r>
        <w:t>Encoding with block-level containers</w:t>
      </w:r>
      <w:bookmarkEnd w:id="65"/>
      <w:bookmarkEnd w:id="66"/>
    </w:p>
    <w:p w14:paraId="1DA96874" w14:textId="77777777">
      <w:pPr>
        <w:pStyle w:val="Cmsor3"/>
      </w:pPr>
      <w:bookmarkStart w:id="67" w:name="_Ref229058843"/>
      <w:bookmarkStart w:id="68" w:name="_Toc242889451"/>
      <w:bookmarkEnd w:id="60"/>
      <w:bookmarkEnd w:id="61"/>
      <w:bookmarkEnd w:id="62"/>
      <w:r>
        <w:t>Prose containers</w:t>
      </w:r>
      <w:bookmarkEnd w:id="54"/>
      <w:bookmarkEnd w:id="55"/>
      <w:bookmarkEnd w:id="63"/>
      <w:bookmarkEnd w:id="67"/>
      <w:bookmarkEnd w:id="68"/>
    </w:p>
    <w:p w14:paraId="0718EA35" w14:textId="77777777">
      <w:pPr>
        <w:pStyle w:val="Cmsor4"/>
      </w:pPr>
      <w:bookmarkStart w:id="69" w:name="_xcjk45g56cuw" w:colFirst="0" w:colLast="0"/>
      <w:bookmarkStart w:id="70" w:name="_Ref43991413"/>
      <w:bookmarkEnd w:id="69"/>
      <w:r>
        <w:t>Paragraphs</w:t>
      </w:r>
      <w:bookmarkEnd w:id="70"/>
    </w:p>
    <w:p w14:paraId="61DDB257" w14:textId="77777777">
      <w:r>
        <w:t xml:space="preserve">The default container element for prose text is the paragraph, </w:t>
      </w:r>
      <w:r>
        <w:rPr>
          <w:rStyle w:val="Code"/>
        </w:rPr>
        <w:t>&lt;p&gt;</w:t>
      </w:r>
      <w:r>
        <w:t xml:space="preserve">. Short prose inscriptions consisting of at least one complete sentence shall be wrapped in a single </w:t>
      </w:r>
      <w:r>
        <w:rPr>
          <w:rStyle w:val="Code"/>
        </w:rPr>
        <w:t>&lt;p&gt;</w:t>
      </w:r>
      <w:r>
        <w:t xml:space="preserve"> element, while longer prose passages shall be broken up into semantic paragraphs on the basis of their content. When representing original documents in TEI, the element </w:t>
      </w:r>
      <w:r>
        <w:rPr>
          <w:rStyle w:val="Code"/>
        </w:rPr>
        <w:t>&lt;p&gt;</w:t>
      </w:r>
      <w:r>
        <w:t xml:space="preserve"> is normally used for paragraphs visually demarcated as such in the original physical </w:t>
      </w:r>
      <w:r>
        <w:lastRenderedPageBreak/>
        <w:t xml:space="preserve">manifestation of a text </w:t>
      </w:r>
      <w:r>
        <w:rPr>
          <w:noProof/>
        </w:rPr>
        <w:t>(</w:t>
      </w:r>
      <w:r>
        <w:t xml:space="preserve">i.e. units that start in a new line and may begin with an indent). Our inscriptions seldom employ such visual paragraphs, yet often contain longer sections of prose that would, in a modern document, be segmented into paragraphs. In DHARMA, we therefore refer to cohesive passages within longer prose sections as semantic paragraphs and encode them with separate </w:t>
      </w:r>
      <w:r>
        <w:rPr>
          <w:rStyle w:val="Code"/>
        </w:rPr>
        <w:t>&lt;p&gt;</w:t>
      </w:r>
      <w:r>
        <w:t xml:space="preserve"> elements. This editorial segmentation is analogous to segmenting </w:t>
      </w:r>
      <w:r>
        <w:rPr>
          <w:rStyle w:val="Foreign"/>
        </w:rPr>
        <w:t>scriptio continua</w:t>
      </w:r>
      <w:r>
        <w:t xml:space="preserve"> with editorial spaces and will be likewise helpful in display and interpretation. Therefore, in our editions a new </w:t>
      </w:r>
      <w:r>
        <w:rPr>
          <w:rStyle w:val="Code"/>
        </w:rPr>
        <w:t>&lt;p&gt;</w:t>
      </w:r>
      <w:r>
        <w:t xml:space="preserve"> element shall be started at any point where you feel the topic changes sufficiently to comprise a new semantic unit. Splitting a continuously inscribed text into semantic paragraphs is arbitrary and somewhat subjective; when exercising your own judgement, it may help to imagine translating the text and to put paragraph breaks where you would start a new paragraph in your translation. </w:t>
      </w:r>
    </w:p>
    <w:p w14:paraId="110FB190" w14:textId="77777777">
      <w:pPr>
        <w:pStyle w:val="Lista"/>
      </w:pPr>
      <w:r>
        <w:rPr>
          <w:rStyle w:val="Code"/>
        </w:rPr>
        <w:t>&lt;p&gt;</w:t>
      </w:r>
      <w:r>
        <w:t xml:space="preserve"> elements usually carry no attributes in our editions</w:t>
      </w:r>
    </w:p>
    <w:p w14:paraId="221BA1C1" w14:textId="477901AF">
      <w:pPr>
        <w:pStyle w:val="Lista2"/>
      </w:pPr>
      <w:r>
        <w:t xml:space="preserve">the attribute </w:t>
      </w:r>
      <w:r>
        <w:rPr>
          <w:rStyle w:val="Codeattribute"/>
        </w:rPr>
        <w:t>@part</w:t>
      </w:r>
      <w:r>
        <w:t xml:space="preserve"> is added to incomplete paragraphs as per §</w:t>
      </w:r>
      <w:r>
        <w:fldChar w:fldCharType="begin"/>
      </w:r>
      <w:r>
        <w:instrText xml:space="preserve"> REF _Ref228980509 \r \h </w:instrText>
      </w:r>
      <w:r>
        <w:fldChar w:fldCharType="separate"/>
      </w:r>
      <w:r>
        <w:t>3.2.3.1</w:t>
      </w:r>
      <w:r>
        <w:fldChar w:fldCharType="end"/>
      </w:r>
      <w:r>
        <w:t xml:space="preserve"> </w:t>
      </w:r>
    </w:p>
    <w:p w14:paraId="191924AF" w14:textId="77777777">
      <w:pPr>
        <w:pStyle w:val="Cmsor4"/>
      </w:pPr>
      <w:bookmarkStart w:id="71" w:name="_28fdtwg1bdas" w:colFirst="0" w:colLast="0"/>
      <w:bookmarkStart w:id="72" w:name="_Ref43981028"/>
      <w:bookmarkEnd w:id="71"/>
      <w:r>
        <w:t>Anonymous blocks</w:t>
      </w:r>
      <w:bookmarkEnd w:id="72"/>
    </w:p>
    <w:p w14:paraId="74A1108F" w14:textId="799FD000">
      <w:r>
        <w:t xml:space="preserve">In general EpiDoc usage, the entire text of an inscription is wrapped in a single </w:t>
      </w:r>
      <w:r>
        <w:rPr>
          <w:rStyle w:val="Code"/>
        </w:rPr>
        <w:t>&lt;ab&gt;</w:t>
      </w:r>
      <w:r>
        <w:t xml:space="preserve"> element (for “anonymous block” or “arbitrary block”). In DHARMA practice, we prefer segmentation into semantic paragraphs as per §</w:t>
      </w:r>
      <w:r>
        <w:fldChar w:fldCharType="begin"/>
      </w:r>
      <w:r>
        <w:instrText xml:space="preserve"> REF _Ref43991413 \r \h </w:instrText>
      </w:r>
      <w:r>
        <w:fldChar w:fldCharType="separate"/>
      </w:r>
      <w:r>
        <w:t>3.2.1.1</w:t>
      </w:r>
      <w:r>
        <w:fldChar w:fldCharType="end"/>
      </w:r>
      <w:r>
        <w:t xml:space="preserve"> and do not employ a single container for the entirety of a text. However, we do optionally use </w:t>
      </w:r>
      <w:r>
        <w:rPr>
          <w:rStyle w:val="Code"/>
        </w:rPr>
        <w:t>&lt;ab&gt;</w:t>
      </w:r>
      <w:r>
        <w:t xml:space="preserve"> instead of </w:t>
      </w:r>
      <w:r>
        <w:rPr>
          <w:rStyle w:val="Code"/>
        </w:rPr>
        <w:t>&lt;p&gt;</w:t>
      </w:r>
      <w:r>
        <w:t xml:space="preserve"> for isolated chunks of text for which the designation “paragraph” seems semantically inappropriate, as in the following cases:</w:t>
      </w:r>
    </w:p>
    <w:p w14:paraId="6205269F" w14:textId="77777777">
      <w:pPr>
        <w:pStyle w:val="Lista"/>
      </w:pPr>
      <w:r>
        <w:t>if the entirety of your inscription constitutes less than a complete sentence due to its shortness or lack of syntax, e.g.</w:t>
      </w:r>
    </w:p>
    <w:p w14:paraId="7AA79885" w14:textId="77777777">
      <w:pPr>
        <w:pStyle w:val="Lista2"/>
      </w:pPr>
      <w:r>
        <w:t>a sealing with just a name</w:t>
      </w:r>
    </w:p>
    <w:p w14:paraId="0A9322B3" w14:textId="77777777">
      <w:pPr>
        <w:pStyle w:val="Lista2"/>
      </w:pPr>
      <w:r>
        <w:t>a label inscription on an image</w:t>
      </w:r>
    </w:p>
    <w:p w14:paraId="49A6F495" w14:textId="77777777">
      <w:pPr>
        <w:pStyle w:val="Lista2"/>
      </w:pPr>
      <w:r>
        <w:t>a graffito on a monument</w:t>
      </w:r>
    </w:p>
    <w:p w14:paraId="2501E3E1" w14:textId="092B1D61">
      <w:pPr>
        <w:pStyle w:val="Lista"/>
      </w:pPr>
      <w:r>
        <w:t>if the entirety of a textpart (§</w:t>
      </w:r>
      <w:r>
        <w:fldChar w:fldCharType="begin"/>
      </w:r>
      <w:r>
        <w:instrText xml:space="preserve"> REF _Ref225778181 \r \h </w:instrText>
      </w:r>
      <w:r>
        <w:fldChar w:fldCharType="separate"/>
      </w:r>
      <w:r>
        <w:t>4.2</w:t>
      </w:r>
      <w:r>
        <w:fldChar w:fldCharType="end"/>
      </w:r>
      <w:r>
        <w:t>) constitutes less than a complete sentence, e.g.</w:t>
      </w:r>
    </w:p>
    <w:p w14:paraId="548FE9DB" w14:textId="77777777">
      <w:pPr>
        <w:pStyle w:val="Lista2"/>
      </w:pPr>
      <w:r>
        <w:t xml:space="preserve">a copperplate seal with just a name </w:t>
      </w:r>
      <w:r>
        <w:rPr>
          <w:noProof/>
        </w:rPr>
        <w:t>(</w:t>
      </w:r>
      <w:r>
        <w:t>in the genitive, nominative, or without a case ending)</w:t>
      </w:r>
    </w:p>
    <w:p w14:paraId="300B5C76" w14:textId="77777777">
      <w:pPr>
        <w:pStyle w:val="Lista2"/>
      </w:pPr>
      <w:r>
        <w:t>an auspicious word or symbol in a field set off from the rest of the inscription</w:t>
      </w:r>
    </w:p>
    <w:p w14:paraId="3EE6F5E8" w14:textId="77777777">
      <w:pPr>
        <w:pStyle w:val="Lista"/>
      </w:pPr>
      <w:r>
        <w:t xml:space="preserve">if a segment of the text is physically contiguous with other text, but semantically or prosodically distinct from adjacent containers </w:t>
      </w:r>
      <w:r>
        <w:rPr>
          <w:noProof/>
        </w:rPr>
        <w:t>(</w:t>
      </w:r>
      <w:r>
        <w:rPr>
          <w:rStyle w:val="Code"/>
        </w:rPr>
        <w:t>&lt;p&gt;</w:t>
      </w:r>
      <w:r>
        <w:t xml:space="preserve"> or </w:t>
      </w:r>
      <w:r>
        <w:rPr>
          <w:rStyle w:val="Code"/>
        </w:rPr>
        <w:t>&lt;lg&gt;</w:t>
      </w:r>
      <w:r>
        <w:t>), and constitutes less than a complete sentence, e.g.</w:t>
      </w:r>
    </w:p>
    <w:p w14:paraId="3D74935B" w14:textId="77777777">
      <w:pPr>
        <w:pStyle w:val="Lista2"/>
      </w:pPr>
      <w:r>
        <w:t xml:space="preserve">an opening invocation consisting only of the word </w:t>
      </w:r>
      <w:r>
        <w:rPr>
          <w:rStyle w:val="Foreign"/>
        </w:rPr>
        <w:t>siddham</w:t>
      </w:r>
      <w:r>
        <w:t xml:space="preserve"> or an auspicious symbol</w:t>
      </w:r>
    </w:p>
    <w:p w14:paraId="3C45EE3D" w14:textId="77777777">
      <w:pPr>
        <w:pStyle w:val="Lista2"/>
      </w:pPr>
      <w:r>
        <w:t>a colophon not comprised of complete sentences</w:t>
      </w:r>
    </w:p>
    <w:p w14:paraId="61D16E61" w14:textId="77777777">
      <w:pPr>
        <w:pStyle w:val="Lista2"/>
      </w:pPr>
      <w:r>
        <w:t xml:space="preserve">a connective particle or phrase </w:t>
      </w:r>
      <w:r>
        <w:rPr>
          <w:noProof/>
        </w:rPr>
        <w:t>(</w:t>
      </w:r>
      <w:r>
        <w:t xml:space="preserve">e.g. </w:t>
      </w:r>
      <w:r>
        <w:rPr>
          <w:rStyle w:val="Foreign"/>
        </w:rPr>
        <w:t>iti</w:t>
      </w:r>
      <w:r>
        <w:t xml:space="preserve">, </w:t>
      </w:r>
      <w:r>
        <w:rPr>
          <w:rStyle w:val="Foreign"/>
        </w:rPr>
        <w:t>api ca</w:t>
      </w:r>
      <w:r>
        <w:t>) used to introduce, connect or conclude stanzas and not functioning as an integral part of the unit adjacent to the stanza</w:t>
      </w:r>
    </w:p>
    <w:p w14:paraId="3A845F5F" w14:textId="77777777">
      <w:pPr>
        <w:pStyle w:val="Lista"/>
      </w:pPr>
      <w:r>
        <w:t>if a section of text is so heavily damaged that you cannot determine whether it is in prose or verse</w:t>
      </w:r>
    </w:p>
    <w:p w14:paraId="034B9B14" w14:textId="77777777">
      <w:pPr>
        <w:pStyle w:val="Lista"/>
      </w:pPr>
      <w:r>
        <w:rPr>
          <w:rStyle w:val="Code"/>
        </w:rPr>
        <w:t>&lt;ab&gt;</w:t>
      </w:r>
      <w:r>
        <w:t xml:space="preserve"> elements usually carry no attributes in our editions</w:t>
      </w:r>
    </w:p>
    <w:p w14:paraId="06890066" w14:textId="2C0F256E">
      <w:pPr>
        <w:pStyle w:val="Lista2"/>
      </w:pPr>
      <w:r>
        <w:t xml:space="preserve">the attribute </w:t>
      </w:r>
      <w:r>
        <w:rPr>
          <w:rStyle w:val="Codeattribute"/>
        </w:rPr>
        <w:t>@part</w:t>
      </w:r>
      <w:r>
        <w:t xml:space="preserve"> is added to incomplete blocks as per §</w:t>
      </w:r>
      <w:r>
        <w:fldChar w:fldCharType="begin"/>
      </w:r>
      <w:r>
        <w:instrText xml:space="preserve"> REF _Ref228980509 \r \h </w:instrText>
      </w:r>
      <w:r>
        <w:fldChar w:fldCharType="separate"/>
      </w:r>
      <w:r>
        <w:t>3.2.3.1</w:t>
      </w:r>
      <w:r>
        <w:fldChar w:fldCharType="end"/>
      </w:r>
      <w:r>
        <w:t xml:space="preserve"> </w:t>
      </w:r>
    </w:p>
    <w:p w14:paraId="50E0EA06" w14:textId="77777777">
      <w:pPr>
        <w:pStyle w:val="Cmsor4"/>
      </w:pPr>
      <w:bookmarkStart w:id="73" w:name="_twhqkur5z3w2" w:colFirst="0" w:colLast="0"/>
      <w:bookmarkStart w:id="74" w:name="_Ref168563127"/>
      <w:bookmarkStart w:id="75" w:name="_Ref43978871"/>
      <w:bookmarkEnd w:id="73"/>
      <w:r>
        <w:t>Lists in the edition</w:t>
      </w:r>
      <w:bookmarkEnd w:id="74"/>
    </w:p>
    <w:p w14:paraId="5F7ED603" w14:textId="06119757">
      <w:r>
        <w:t>The encoding of lists is primarily applicable to sections in a modern language, such as the translation and the commentary, as discussed in §</w:t>
      </w:r>
      <w:r>
        <w:fldChar w:fldCharType="begin"/>
      </w:r>
      <w:r>
        <w:instrText xml:space="preserve"> REF _Ref233279232 \r \h </w:instrText>
      </w:r>
      <w:r>
        <w:fldChar w:fldCharType="separate"/>
      </w:r>
      <w:r>
        <w:t>14.3.3</w:t>
      </w:r>
      <w:r>
        <w:fldChar w:fldCharType="end"/>
      </w:r>
      <w:r>
        <w:t>. Structured lists may, at the encoder’s option, also be used in the edition, in the following manner.</w:t>
      </w:r>
    </w:p>
    <w:p w14:paraId="1FE52CF3" w14:textId="77777777">
      <w:pPr>
        <w:pStyle w:val="Lista"/>
      </w:pPr>
      <w:r>
        <w:t xml:space="preserve">to encode a list, create a </w:t>
      </w:r>
      <w:r>
        <w:rPr>
          <w:rStyle w:val="Code"/>
        </w:rPr>
        <w:t>&lt;list&gt;</w:t>
      </w:r>
      <w:r>
        <w:t xml:space="preserve"> element within an already existing </w:t>
      </w:r>
      <w:r>
        <w:rPr>
          <w:rStyle w:val="Code"/>
        </w:rPr>
        <w:t>&lt;p&gt;</w:t>
      </w:r>
      <w:r>
        <w:t xml:space="preserve"> element</w:t>
      </w:r>
    </w:p>
    <w:p w14:paraId="35FA236B" w14:textId="77777777">
      <w:pPr>
        <w:pStyle w:val="Lista2"/>
      </w:pPr>
      <w:r>
        <w:rPr>
          <w:rStyle w:val="Code"/>
        </w:rPr>
        <w:t>&lt;list&gt;</w:t>
      </w:r>
      <w:r>
        <w:t xml:space="preserve"> elements are not required to tessellate, so a </w:t>
      </w:r>
      <w:r>
        <w:rPr>
          <w:rStyle w:val="Code"/>
        </w:rPr>
        <w:t>&lt;p&gt;</w:t>
      </w:r>
      <w:r>
        <w:t xml:space="preserve"> element may contain text alongside (i.e. before and/or after) a list</w:t>
      </w:r>
    </w:p>
    <w:p w14:paraId="582DA21A" w14:textId="77777777">
      <w:pPr>
        <w:pStyle w:val="Lista"/>
      </w:pPr>
      <w:r>
        <w:t xml:space="preserve">within </w:t>
      </w:r>
      <w:r>
        <w:rPr>
          <w:rStyle w:val="Code"/>
        </w:rPr>
        <w:t>&lt;list&gt;</w:t>
      </w:r>
      <w:r>
        <w:t xml:space="preserve">, create an </w:t>
      </w:r>
      <w:r>
        <w:rPr>
          <w:rStyle w:val="Code"/>
        </w:rPr>
        <w:t>&lt;item&gt;</w:t>
      </w:r>
      <w:r>
        <w:t xml:space="preserve"> element as a container for each list item</w:t>
      </w:r>
    </w:p>
    <w:p w14:paraId="69B09E4D" w14:textId="77777777">
      <w:pPr>
        <w:pStyle w:val="Lista2"/>
      </w:pPr>
      <w:r>
        <w:rPr>
          <w:rStyle w:val="Code"/>
        </w:rPr>
        <w:t>&lt;item&gt;</w:t>
      </w:r>
      <w:r>
        <w:t xml:space="preserve"> elements are required to tessellate, so a </w:t>
      </w:r>
      <w:r>
        <w:rPr>
          <w:rStyle w:val="Code"/>
        </w:rPr>
        <w:t>&lt;list&gt;</w:t>
      </w:r>
      <w:r>
        <w:t xml:space="preserve"> cannot contain anything outside an </w:t>
      </w:r>
      <w:r>
        <w:rPr>
          <w:rStyle w:val="Code"/>
        </w:rPr>
        <w:t>&lt;item&gt;</w:t>
      </w:r>
    </w:p>
    <w:p w14:paraId="37B5EE87" w14:textId="2F604830">
      <w:pPr>
        <w:pStyle w:val="Lista"/>
      </w:pPr>
      <w:r>
        <w:t>the additional variations of list encoding introduced in §</w:t>
      </w:r>
      <w:r>
        <w:fldChar w:fldCharType="begin"/>
      </w:r>
      <w:r>
        <w:instrText xml:space="preserve"> REF _Ref233279232 \r \h </w:instrText>
      </w:r>
      <w:r>
        <w:fldChar w:fldCharType="separate"/>
      </w:r>
      <w:r>
        <w:t>14.3.3</w:t>
      </w:r>
      <w:r>
        <w:fldChar w:fldCharType="end"/>
      </w:r>
      <w:r>
        <w:t xml:space="preserve"> are not permitted in the edition</w:t>
      </w:r>
    </w:p>
    <w:p w14:paraId="598C82DD" w14:textId="77777777">
      <w:pPr>
        <w:pStyle w:val="Cmsor3"/>
      </w:pPr>
      <w:bookmarkStart w:id="76" w:name="_Ref224740501"/>
      <w:bookmarkStart w:id="77" w:name="_Toc242889452"/>
      <w:r>
        <w:t>Verse containers</w:t>
      </w:r>
      <w:bookmarkEnd w:id="75"/>
      <w:bookmarkEnd w:id="76"/>
      <w:bookmarkEnd w:id="77"/>
    </w:p>
    <w:p w14:paraId="7E853F9C" w14:textId="7E918960">
      <w:r>
        <w:t xml:space="preserve">Verse must always be marked up as distinct from prose. Although we segment prose into paragraphs on a semantic basis, verse will only be segmented on a metrical basis. It follows from this that we employ no </w:t>
      </w:r>
      <w:r>
        <w:lastRenderedPageBreak/>
        <w:t xml:space="preserve">special markup for stanzas comprising a semantic unit with preceding or following prose paragraphs or other stanzas. A general illustration of verse encoding is shown in </w:t>
      </w:r>
      <w:r>
        <w:fldChar w:fldCharType="begin"/>
      </w:r>
      <w:r>
        <w:instrText xml:space="preserve"> REF _Ref181625172 \h </w:instrText>
      </w:r>
      <w:r>
        <w:fldChar w:fldCharType="separate"/>
      </w:r>
      <w:r>
        <w:t xml:space="preserve">Exhibit </w:t>
      </w:r>
      <w:r>
        <w:rPr>
          <w:noProof/>
        </w:rPr>
        <w:t>3.2</w:t>
      </w:r>
      <w:r>
        <w:t>.</w:t>
      </w:r>
      <w:r>
        <w:rPr>
          <w:noProof/>
        </w:rPr>
        <w:t>A</w:t>
      </w:r>
      <w:r>
        <w:fldChar w:fldCharType="end"/>
      </w:r>
      <w:r>
        <w:t>, while other exhibits throughout this section illustrate the encoding of various features.</w:t>
      </w:r>
    </w:p>
    <w:p w14:paraId="58E63004" w14:textId="77777777">
      <w:pPr>
        <w:pStyle w:val="Normlbehzs"/>
        <w:rPr>
          <w:lang w:eastAsia="en-US" w:bidi="ar-SA"/>
        </w:rPr>
      </w:pPr>
      <w:r>
        <w:t xml:space="preserve">This section has been written primarily with Sanskrit syllabo-quantitative verse </w:t>
      </w:r>
      <w:r>
        <w:rPr>
          <w:noProof/>
        </w:rPr>
        <w:t>(</w:t>
      </w:r>
      <w:r>
        <w:rPr>
          <w:rStyle w:val="Foreign"/>
        </w:rPr>
        <w:t>varṇavr̥tta</w:t>
      </w:r>
      <w:r>
        <w:t>) in view, but it applies to all verse forms in all languages relevant to our project.</w:t>
      </w:r>
      <w:bookmarkStart w:id="78" w:name="_ddoyoa12vnxb" w:colFirst="0" w:colLast="0"/>
      <w:bookmarkStart w:id="79" w:name="_kb9xljnic52a" w:colFirst="0" w:colLast="0"/>
      <w:bookmarkEnd w:id="78"/>
      <w:bookmarkEnd w:id="79"/>
    </w:p>
    <w:tbl>
      <w:tblPr>
        <w:tblStyle w:val="CodeSampleTable"/>
        <w:tblpPr w:leftFromText="181" w:rightFromText="181" w:vertAnchor="text" w:horzAnchor="margin" w:tblpXSpec="right" w:tblpY="1"/>
        <w:tblOverlap w:val="never"/>
        <w:tblW w:w="4253" w:type="dxa"/>
        <w:tblLook w:val="04A0" w:firstRow="1" w:lastRow="0" w:firstColumn="1" w:lastColumn="0" w:noHBand="0" w:noVBand="1"/>
      </w:tblPr>
      <w:tblGrid>
        <w:gridCol w:w="4253"/>
      </w:tblGrid>
      <w:tr w14:paraId="7FFE5A7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1CCFC79" w14:textId="6A68F5B2">
            <w:pPr>
              <w:pStyle w:val="Kpalrs"/>
            </w:pPr>
            <w:bookmarkStart w:id="80" w:name="_Ref181625172"/>
            <w:bookmarkStart w:id="81" w:name="_Ref224721717"/>
            <w:r>
              <w:t xml:space="preserve">Exhibit </w:t>
            </w:r>
            <w:fldSimple w:instr=" STYLEREF 2 \s ">
              <w:r>
                <w:rPr>
                  <w:noProof/>
                </w:rPr>
                <w:t>3.2</w:t>
              </w:r>
            </w:fldSimple>
            <w:r>
              <w:t>.</w:t>
            </w:r>
            <w:fldSimple w:instr=" SEQ Exhibit \* ALPHABETIC \s 2 ">
              <w:r>
                <w:rPr>
                  <w:noProof/>
                </w:rPr>
                <w:t>A</w:t>
              </w:r>
            </w:fldSimple>
            <w:bookmarkEnd w:id="80"/>
            <w:r>
              <w:t>: basic markup for verse structure</w:t>
            </w:r>
            <w:bookmarkEnd w:id="81"/>
          </w:p>
        </w:tc>
      </w:tr>
      <w:tr w14:paraId="6FBA8844" w14:textId="77777777">
        <w:tc>
          <w:tcPr>
            <w:tcW w:w="5000" w:type="pct"/>
          </w:tcPr>
          <w:p w14:paraId="5BE15D06" w14:textId="77777777">
            <w:pPr>
              <w:pStyle w:val="CodeParagraph"/>
            </w:pPr>
            <w:r>
              <w:rPr>
                <w:rStyle w:val="Code"/>
              </w:rPr>
              <w:t xml:space="preserve">&lt;lg </w:t>
            </w:r>
            <w:r>
              <w:rPr>
                <w:rStyle w:val="Codeattribute"/>
              </w:rPr>
              <w:t>n</w:t>
            </w:r>
            <w:r>
              <w:rPr>
                <w:rStyle w:val="Code"/>
              </w:rPr>
              <w:t>=</w:t>
            </w:r>
            <w:r>
              <w:rPr>
                <w:rStyle w:val="Codevalue"/>
              </w:rPr>
              <w:t>"3"</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&gt;</w:t>
            </w:r>
            <w:r>
              <w:rPr>
                <w:rStyle w:val="Codetext"/>
              </w:rPr>
              <w:t>sva-dattāṁ para-dattāṁ vā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yo hareta vasundharāM</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&gt;</w:t>
            </w:r>
            <w:r>
              <w:rPr>
                <w:rStyle w:val="Codetext"/>
              </w:rPr>
              <w:t>ṣaṣṭiṁ varṣa-sahasrāṇi</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svargge modati bhūmi-daḥ</w:t>
            </w:r>
            <w:r>
              <w:rPr>
                <w:rStyle w:val="Code"/>
              </w:rPr>
              <w:t>&lt;/l&gt;</w:t>
            </w:r>
            <w:r>
              <w:rPr>
                <w:rStyle w:val="Codetext"/>
              </w:rPr>
              <w:br/>
            </w:r>
            <w:r>
              <w:rPr>
                <w:rStyle w:val="Code"/>
              </w:rPr>
              <w:t>&lt;/lg&gt;</w:t>
            </w:r>
          </w:p>
        </w:tc>
      </w:tr>
    </w:tbl>
    <w:p w14:paraId="620A97C8" w14:textId="77777777">
      <w:pPr>
        <w:pStyle w:val="Lista"/>
      </w:pPr>
      <w:r>
        <w:t xml:space="preserve">stanzas as a whole must be wrapped in the element </w:t>
      </w:r>
      <w:r>
        <w:rPr>
          <w:rStyle w:val="Code"/>
        </w:rPr>
        <w:t>&lt;lg&gt;</w:t>
      </w:r>
      <w:r>
        <w:t xml:space="preserve"> </w:t>
      </w:r>
      <w:r>
        <w:rPr>
          <w:noProof/>
        </w:rPr>
        <w:t>(</w:t>
      </w:r>
      <w:r>
        <w:t>for “line group”), with the following attributes</w:t>
      </w:r>
    </w:p>
    <w:p w14:paraId="4B6DAFE5" w14:textId="0CF36677">
      <w:pPr>
        <w:pStyle w:val="Lista2"/>
      </w:pPr>
      <w:r>
        <w:t xml:space="preserve">mandatorily, </w:t>
      </w:r>
      <w:r>
        <w:rPr>
          <w:rStyle w:val="Codeattribute"/>
        </w:rPr>
        <w:t>@n</w:t>
      </w:r>
      <w:r>
        <w:t xml:space="preserve"> to assign a number to the stanza </w:t>
      </w:r>
      <w:r>
        <w:rPr>
          <w:noProof/>
        </w:rPr>
        <w:t>as per</w:t>
      </w:r>
      <w:r>
        <w:t xml:space="preserve"> §</w:t>
      </w:r>
      <w:r>
        <w:fldChar w:fldCharType="begin"/>
      </w:r>
      <w:r>
        <w:instrText xml:space="preserve"> REF _Ref181609101 \r \h </w:instrText>
      </w:r>
      <w:r>
        <w:fldChar w:fldCharType="separate"/>
      </w:r>
      <w:r>
        <w:t>3.2.2.1</w:t>
      </w:r>
      <w:r>
        <w:fldChar w:fldCharType="end"/>
      </w:r>
    </w:p>
    <w:p w14:paraId="4A01AEAB" w14:textId="76CF78CA">
      <w:pPr>
        <w:pStyle w:val="Lista2"/>
      </w:pPr>
      <w:r>
        <w:t xml:space="preserve">mandatorily, </w:t>
      </w:r>
      <w:r>
        <w:rPr>
          <w:rStyle w:val="Codeattribute"/>
        </w:rPr>
        <w:t>@met</w:t>
      </w:r>
      <w:r>
        <w:t xml:space="preserve"> to identify the metre of the stanza by a conventional name </w:t>
      </w:r>
      <w:r>
        <w:rPr>
          <w:noProof/>
        </w:rPr>
        <w:t xml:space="preserve">as per </w:t>
      </w:r>
      <w:r>
        <w:t>§</w:t>
      </w:r>
      <w:r>
        <w:fldChar w:fldCharType="begin"/>
      </w:r>
      <w:r>
        <w:instrText xml:space="preserve"> REF _Ref225323884 \r \h </w:instrText>
      </w:r>
      <w:r>
        <w:fldChar w:fldCharType="separate"/>
      </w:r>
      <w:r>
        <w:t>3.3.1</w:t>
      </w:r>
      <w:r>
        <w:fldChar w:fldCharType="end"/>
      </w:r>
    </w:p>
    <w:p w14:paraId="3D96C517" w14:textId="63B04890">
      <w:pPr>
        <w:pStyle w:val="Lista2"/>
      </w:pPr>
      <w:r>
        <w:t xml:space="preserve">as applicable, </w:t>
      </w:r>
      <w:r>
        <w:rPr>
          <w:rStyle w:val="Codeattribute"/>
        </w:rPr>
        <w:t>@part</w:t>
      </w:r>
      <w:r>
        <w:t xml:space="preserve"> for incomplete stanzas as per §</w:t>
      </w:r>
      <w:r>
        <w:fldChar w:fldCharType="begin"/>
      </w:r>
      <w:r>
        <w:instrText xml:space="preserve"> REF _Ref228980509 \r \h </w:instrText>
      </w:r>
      <w:r>
        <w:fldChar w:fldCharType="separate"/>
      </w:r>
      <w:r>
        <w:t>3.2.3.1</w:t>
      </w:r>
      <w:r>
        <w:fldChar w:fldCharType="end"/>
      </w:r>
      <w:r>
        <w:t xml:space="preserve"> </w:t>
      </w:r>
    </w:p>
    <w:p w14:paraId="5C13DD91" w14:textId="77777777">
      <w:pPr>
        <w:pStyle w:val="Lista"/>
      </w:pPr>
      <w:r>
        <w:t xml:space="preserve">within a stanza, each individual line must be wrapped in </w:t>
      </w:r>
      <w:r>
        <w:rPr>
          <w:rStyle w:val="Code"/>
        </w:rPr>
        <w:t>&lt;l&gt;</w:t>
      </w:r>
      <w:r>
        <w:t xml:space="preserve"> </w:t>
      </w:r>
      <w:r>
        <w:rPr>
          <w:noProof/>
        </w:rPr>
        <w:t>(</w:t>
      </w:r>
      <w:r>
        <w:t>for “line”), with the following attributes</w:t>
      </w:r>
    </w:p>
    <w:p w14:paraId="0127F832" w14:textId="392ADD4B">
      <w:pPr>
        <w:pStyle w:val="Lista2"/>
      </w:pPr>
      <w:r>
        <w:t xml:space="preserve">mandatorily, </w:t>
      </w:r>
      <w:r>
        <w:rPr>
          <w:rStyle w:val="Codeattribute"/>
        </w:rPr>
        <w:t>@n</w:t>
      </w:r>
      <w:r>
        <w:t xml:space="preserve"> to assign a number to the line as per §</w:t>
      </w:r>
      <w:r>
        <w:fldChar w:fldCharType="begin"/>
      </w:r>
      <w:r>
        <w:instrText xml:space="preserve"> REF _Ref181706499 \r \h </w:instrText>
      </w:r>
      <w:r>
        <w:fldChar w:fldCharType="separate"/>
      </w:r>
      <w:r>
        <w:t>3.2.2.2</w:t>
      </w:r>
      <w:r>
        <w:fldChar w:fldCharType="end"/>
      </w:r>
    </w:p>
    <w:p w14:paraId="75693495" w14:textId="7CF96644">
      <w:pPr>
        <w:pStyle w:val="Lista2"/>
      </w:pPr>
      <w:r>
        <w:t xml:space="preserve">as applicable, </w:t>
      </w:r>
      <w:r>
        <w:rPr>
          <w:rStyle w:val="Codeattribute"/>
        </w:rPr>
        <w:t>@met</w:t>
      </w:r>
      <w:r>
        <w:t xml:space="preserve"> (§</w:t>
      </w:r>
      <w:r>
        <w:fldChar w:fldCharType="begin"/>
      </w:r>
      <w:r>
        <w:instrText xml:space="preserve"> REF _Ref225323861 \r \h </w:instrText>
      </w:r>
      <w:r>
        <w:fldChar w:fldCharType="separate"/>
      </w:r>
      <w:r>
        <w:t>3.3.1</w:t>
      </w:r>
      <w:r>
        <w:fldChar w:fldCharType="end"/>
      </w:r>
      <w:r>
        <w:t xml:space="preserve">) and/or </w:t>
      </w:r>
      <w:r>
        <w:rPr>
          <w:rStyle w:val="Codeattribute"/>
        </w:rPr>
        <w:t>@real</w:t>
      </w:r>
      <w:r>
        <w:t xml:space="preserve"> (§</w:t>
      </w:r>
      <w:r>
        <w:fldChar w:fldCharType="begin"/>
      </w:r>
      <w:r>
        <w:instrText xml:space="preserve"> REF _Ref181701741 \r \h </w:instrText>
      </w:r>
      <w:r>
        <w:fldChar w:fldCharType="separate"/>
      </w:r>
      <w:r>
        <w:t>3.3.2</w:t>
      </w:r>
      <w:r>
        <w:fldChar w:fldCharType="end"/>
      </w:r>
      <w:r>
        <w:t>) for lines that do not conform to the metrical template of the parent stanza, as called for in the subsections of §</w:t>
      </w:r>
      <w:r>
        <w:fldChar w:fldCharType="begin"/>
      </w:r>
      <w:r>
        <w:instrText xml:space="preserve"> REF _Ref225324441 \r \h </w:instrText>
      </w:r>
      <w:r>
        <w:fldChar w:fldCharType="separate"/>
      </w:r>
      <w:r>
        <w:t>3.3.3.1</w:t>
      </w:r>
      <w:r>
        <w:fldChar w:fldCharType="end"/>
      </w:r>
      <w:r>
        <w:t xml:space="preserve"> </w:t>
      </w:r>
    </w:p>
    <w:p w14:paraId="60132E97" w14:textId="3B151BE6">
      <w:pPr>
        <w:pStyle w:val="Lista2"/>
      </w:pPr>
      <w:r>
        <w:t xml:space="preserve">as applicable, </w:t>
      </w:r>
      <w:r>
        <w:rPr>
          <w:rStyle w:val="Codeattribute"/>
        </w:rPr>
        <w:t>@enjamb</w:t>
      </w:r>
      <w:r>
        <w:t xml:space="preserve"> (§</w:t>
      </w:r>
      <w:r>
        <w:fldChar w:fldCharType="begin"/>
      </w:r>
      <w:r>
        <w:instrText xml:space="preserve"> REF _Ref224901083 \r \h </w:instrText>
      </w:r>
      <w:r>
        <w:fldChar w:fldCharType="separate"/>
      </w:r>
      <w:r>
        <w:t>3.2.4.1</w:t>
      </w:r>
      <w:r>
        <w:fldChar w:fldCharType="end"/>
      </w:r>
      <w:r>
        <w:t xml:space="preserve">) with the value </w:t>
      </w:r>
      <w:r>
        <w:rPr>
          <w:rStyle w:val="Codevalue"/>
        </w:rPr>
        <w:t>"yes"</w:t>
      </w:r>
      <w:r>
        <w:t xml:space="preserve"> for lines which do not end at a word boundary</w:t>
      </w:r>
    </w:p>
    <w:p w14:paraId="5AEF42FA" w14:textId="1C13540D">
      <w:pPr>
        <w:pStyle w:val="Lista2"/>
      </w:pPr>
      <w:r>
        <w:t xml:space="preserve">as applicable, </w:t>
      </w:r>
      <w:r>
        <w:rPr>
          <w:rStyle w:val="Codeattribute"/>
        </w:rPr>
        <w:t>@part</w:t>
      </w:r>
      <w:r>
        <w:t xml:space="preserve"> for incomplete lines as per §</w:t>
      </w:r>
      <w:r>
        <w:fldChar w:fldCharType="begin"/>
      </w:r>
      <w:r>
        <w:instrText xml:space="preserve"> REF _Ref228980509 \r \h </w:instrText>
      </w:r>
      <w:r>
        <w:fldChar w:fldCharType="separate"/>
      </w:r>
      <w:r>
        <w:t>3.2.3.1</w:t>
      </w:r>
      <w:r>
        <w:fldChar w:fldCharType="end"/>
      </w:r>
      <w:r>
        <w:t xml:space="preserve"> </w:t>
      </w:r>
    </w:p>
    <w:p w14:paraId="27E94EC8" w14:textId="5AF20645">
      <w:pPr>
        <w:pStyle w:val="Lista"/>
      </w:pPr>
      <w:r>
        <w:t>editorial punctuation must never be supplied for the ends of hemistichs and stanzas</w:t>
      </w:r>
    </w:p>
    <w:p w14:paraId="3C801FF4" w14:textId="19FF03E6">
      <w:pPr>
        <w:pStyle w:val="Lista"/>
      </w:pPr>
      <w:r>
        <w:t>any original punctuation must be retained at its actual locus, following the usual method for encoding peripheral graphemes (§</w:t>
      </w:r>
      <w:r>
        <w:fldChar w:fldCharType="begin"/>
      </w:r>
      <w:r>
        <w:instrText xml:space="preserve"> REF _Ref226033363 \r \h </w:instrText>
      </w:r>
      <w:r>
        <w:fldChar w:fldCharType="separate"/>
      </w:r>
      <w:r>
        <w:t>5.4</w:t>
      </w:r>
      <w:r>
        <w:fldChar w:fldCharType="end"/>
      </w:r>
      <w:r>
        <w:t>)</w:t>
      </w:r>
    </w:p>
    <w:p w14:paraId="1A56B08E" w14:textId="77777777">
      <w:pPr>
        <w:pStyle w:val="Cmsor4"/>
      </w:pPr>
      <w:bookmarkStart w:id="82" w:name="_ean8zao6bcdz" w:colFirst="0" w:colLast="0"/>
      <w:bookmarkStart w:id="83" w:name="_Ref181609101"/>
      <w:bookmarkStart w:id="84" w:name="_Ref181699020"/>
      <w:bookmarkStart w:id="85" w:name="_Ref224900137"/>
      <w:bookmarkStart w:id="86" w:name="_Ref134018245"/>
      <w:bookmarkEnd w:id="82"/>
      <w:r>
        <w:t>Numbering</w:t>
      </w:r>
      <w:bookmarkEnd w:id="83"/>
      <w:r>
        <w:t xml:space="preserve"> stanzas</w:t>
      </w:r>
    </w:p>
    <w:p w14:paraId="0ABFF40F" w14:textId="77777777">
      <w:pPr>
        <w:pStyle w:val="Lista"/>
      </w:pPr>
      <w:r>
        <w:rPr>
          <w:b/>
          <w:bCs/>
        </w:rPr>
        <w:t>editorial numeration</w:t>
      </w:r>
      <w:r>
        <w:t xml:space="preserve"> must never be supplied in the text of stanzas</w:t>
      </w:r>
    </w:p>
    <w:p w14:paraId="010286F8" w14:textId="77777777">
      <w:pPr>
        <w:pStyle w:val="Lista"/>
      </w:pPr>
      <w:r>
        <w:t xml:space="preserve">instead, every stanza in your edition must have a number encoded in the </w:t>
      </w:r>
      <w:r>
        <w:rPr>
          <w:rStyle w:val="Codeattribute"/>
        </w:rPr>
        <w:t>@n</w:t>
      </w:r>
      <w:r>
        <w:t xml:space="preserve"> attribute of the corresponding </w:t>
      </w:r>
      <w:r>
        <w:rPr>
          <w:rStyle w:val="Code"/>
        </w:rPr>
        <w:t>&lt;lg&gt;</w:t>
      </w:r>
      <w:r>
        <w:t xml:space="preserve"> element</w:t>
      </w:r>
    </w:p>
    <w:p w14:paraId="59008F51" w14:textId="77777777">
      <w:pPr>
        <w:pStyle w:val="Lista"/>
      </w:pPr>
      <w:r>
        <w:t xml:space="preserve">the value of </w:t>
      </w:r>
      <w:r>
        <w:rPr>
          <w:rStyle w:val="Codeattribute"/>
        </w:rPr>
        <w:t>@n</w:t>
      </w:r>
      <w:r>
        <w:t xml:space="preserve"> must always be an Arabic numeral, as a rule starting from 1</w:t>
      </w:r>
    </w:p>
    <w:p w14:paraId="0586EB40" w14:textId="77777777">
      <w:pPr>
        <w:pStyle w:val="Lista2"/>
      </w:pPr>
      <w:r>
        <w:t>never start stanza numbers from 0</w:t>
      </w:r>
    </w:p>
    <w:p w14:paraId="23FBA682" w14:textId="77777777">
      <w:pPr>
        <w:pStyle w:val="Lista2"/>
      </w:pPr>
      <w:r>
        <w:t>the first stanza of a text may be numbered other than 1 if so dictated by circumstances (e.g. in a text whose beginning is lost, but the number of stanzas preceding the first extant one can be estimated)</w:t>
      </w:r>
    </w:p>
    <w:p w14:paraId="082F7BCF" w14:textId="127D8289">
      <w:pPr>
        <w:pStyle w:val="Lista"/>
      </w:pPr>
      <w:r>
        <w:t xml:space="preserve">by default, stanzas shall be numbered consecutively throughout an inscription, except when an inscription includes boxlike partitions </w:t>
      </w:r>
      <w:r>
        <w:rPr>
          <w:noProof/>
        </w:rPr>
        <w:t>(</w:t>
      </w:r>
      <w:r>
        <w:t>§</w:t>
      </w:r>
      <w:r>
        <w:fldChar w:fldCharType="begin"/>
      </w:r>
      <w:r>
        <w:instrText xml:space="preserve"> REF _Ref225778181 \r \h </w:instrText>
      </w:r>
      <w:r>
        <w:fldChar w:fldCharType="separate"/>
      </w:r>
      <w:r>
        <w:t>4.2</w:t>
      </w:r>
      <w:r>
        <w:fldChar w:fldCharType="end"/>
      </w:r>
      <w:r>
        <w:t>), in which case stanza numbering is normally restarted in each textpart division (§</w:t>
      </w:r>
      <w:r>
        <w:fldChar w:fldCharType="begin"/>
      </w:r>
      <w:r>
        <w:instrText xml:space="preserve"> REF _Ref225324541 \r \h </w:instrText>
      </w:r>
      <w:r>
        <w:fldChar w:fldCharType="separate"/>
      </w:r>
      <w:r>
        <w:t>4.2.1.4</w:t>
      </w:r>
      <w:r>
        <w:fldChar w:fldCharType="end"/>
      </w:r>
      <w:r>
        <w:t>)</w:t>
      </w:r>
    </w:p>
    <w:p w14:paraId="20AD589E" w14:textId="0F926D85">
      <w:pPr>
        <w:pStyle w:val="Lista2"/>
      </w:pPr>
      <w:r>
        <w:t xml:space="preserve">however, stanza numbering must never be reset after pagelike partitions </w:t>
      </w:r>
      <w:r>
        <w:rPr>
          <w:noProof/>
        </w:rPr>
        <w:t>(</w:t>
      </w:r>
      <w:r>
        <w:t>§</w:t>
      </w:r>
      <w:r>
        <w:fldChar w:fldCharType="begin"/>
      </w:r>
      <w:r>
        <w:instrText xml:space="preserve"> REF _Ref43986994 \r \h </w:instrText>
      </w:r>
      <w:r>
        <w:fldChar w:fldCharType="separate"/>
      </w:r>
      <w:r>
        <w:t>4.4.4</w:t>
      </w:r>
      <w:r>
        <w:fldChar w:fldCharType="end"/>
      </w:r>
      <w:r>
        <w:t>)</w:t>
      </w:r>
    </w:p>
    <w:p w14:paraId="352D6384" w14:textId="77777777">
      <w:pPr>
        <w:pStyle w:val="Lista"/>
      </w:pPr>
      <w:bookmarkStart w:id="87" w:name="_6q9v7bx41h3i" w:colFirst="0" w:colLast="0"/>
      <w:bookmarkStart w:id="88" w:name="_Ref43980265"/>
      <w:bookmarkEnd w:id="87"/>
      <w:r>
        <w:rPr>
          <w:b/>
          <w:bCs/>
        </w:rPr>
        <w:t>original stanza numbers</w:t>
      </w:r>
      <w:r>
        <w:t>, if present, must be treated as part of the text, i.e.</w:t>
      </w:r>
    </w:p>
    <w:p w14:paraId="294F88AF" w14:textId="77777777">
      <w:pPr>
        <w:pStyle w:val="Lista2"/>
      </w:pPr>
      <w:r>
        <w:t xml:space="preserve">placed at their actual locus within the </w:t>
      </w:r>
      <w:r>
        <w:rPr>
          <w:rStyle w:val="Code"/>
        </w:rPr>
        <w:t>&lt;l&gt;</w:t>
      </w:r>
      <w:r>
        <w:t xml:space="preserve"> element for the line in which they appear</w:t>
      </w:r>
    </w:p>
    <w:p w14:paraId="6B3B7138" w14:textId="2FAE408C">
      <w:pPr>
        <w:pStyle w:val="Lista2"/>
      </w:pPr>
      <w:r>
        <w:t xml:space="preserve">tagged as any other number in the text </w:t>
      </w:r>
      <w:r>
        <w:rPr>
          <w:noProof/>
        </w:rPr>
        <w:t>(</w:t>
      </w:r>
      <w:r>
        <w:t>see §</w:t>
      </w:r>
      <w:r>
        <w:fldChar w:fldCharType="begin"/>
      </w:r>
      <w:r>
        <w:instrText xml:space="preserve"> REF _Ref43980607 \r \h  \* MERGEFORMAT </w:instrText>
      </w:r>
      <w:r>
        <w:fldChar w:fldCharType="separate"/>
      </w:r>
      <w:r>
        <w:t>9.1</w:t>
      </w:r>
      <w:r>
        <w:fldChar w:fldCharType="end"/>
      </w:r>
      <w:r>
        <w:t xml:space="preserve"> about encoding the value of numerals, and §</w:t>
      </w:r>
      <w:r>
        <w:fldChar w:fldCharType="begin"/>
      </w:r>
      <w:r>
        <w:instrText xml:space="preserve"> REF _Ref182551676 \r \h </w:instrText>
      </w:r>
      <w:r>
        <w:fldChar w:fldCharType="separate"/>
      </w:r>
      <w:r>
        <w:t>5.4.5</w:t>
      </w:r>
      <w:r>
        <w:fldChar w:fldCharType="end"/>
      </w:r>
      <w:r>
        <w:t xml:space="preserve"> about numeric characters other than decimal digits)</w:t>
      </w:r>
    </w:p>
    <w:p w14:paraId="627374C4" w14:textId="77777777">
      <w:pPr>
        <w:pStyle w:val="Lista"/>
      </w:pPr>
      <w:r>
        <w:t>if a text includes original stanza numeration, editorial stanza numbering must still follow the rules stated above, even if this results in a discrepancy with the original numbering</w:t>
      </w:r>
    </w:p>
    <w:p w14:paraId="02537420" w14:textId="77777777">
      <w:pPr>
        <w:pStyle w:val="Cmsor4"/>
      </w:pPr>
      <w:bookmarkStart w:id="89" w:name="_Ref181706499"/>
      <w:bookmarkEnd w:id="88"/>
      <w:r>
        <w:t>Numbering</w:t>
      </w:r>
      <w:bookmarkEnd w:id="89"/>
      <w:r>
        <w:t xml:space="preserve"> verse lines</w:t>
      </w:r>
    </w:p>
    <w:p w14:paraId="569A98D6" w14:textId="77777777">
      <w:pPr>
        <w:pStyle w:val="Lista"/>
      </w:pPr>
      <w:r>
        <w:t xml:space="preserve">every verse line encoded as </w:t>
      </w:r>
      <w:r>
        <w:rPr>
          <w:rStyle w:val="Code"/>
        </w:rPr>
        <w:t>&lt;l&gt;</w:t>
      </w:r>
      <w:r>
        <w:t xml:space="preserve"> must be editorially numbered with </w:t>
      </w:r>
      <w:r>
        <w:rPr>
          <w:rStyle w:val="Codeattribute"/>
        </w:rPr>
        <w:t>@n</w:t>
      </w:r>
      <w:r>
        <w:t xml:space="preserve"> elements</w:t>
      </w:r>
    </w:p>
    <w:p w14:paraId="03E61FD7" w14:textId="77777777">
      <w:pPr>
        <w:pStyle w:val="Lista"/>
      </w:pPr>
      <w:r>
        <w:t xml:space="preserve">the value of </w:t>
      </w:r>
      <w:r>
        <w:rPr>
          <w:rStyle w:val="Codeattribute"/>
        </w:rPr>
        <w:t>@n</w:t>
      </w:r>
      <w:r>
        <w:t xml:space="preserve"> shall be as follows</w:t>
      </w:r>
    </w:p>
    <w:p w14:paraId="2E603A45" w14:textId="6D849650">
      <w:pPr>
        <w:pStyle w:val="Lista2"/>
      </w:pPr>
      <w:r>
        <w:t xml:space="preserve">use lowercase Latin letters </w:t>
      </w:r>
      <w:r>
        <w:rPr>
          <w:noProof/>
        </w:rPr>
        <w:t>(</w:t>
      </w:r>
      <w:r>
        <w:t xml:space="preserve">a, b, c, d; continued if necessary in exceptional cases) in general and by default, as in </w:t>
      </w:r>
      <w:r>
        <w:fldChar w:fldCharType="begin"/>
      </w:r>
      <w:r>
        <w:instrText xml:space="preserve"> REF _Ref181625172 \h </w:instrText>
      </w:r>
      <w:r>
        <w:fldChar w:fldCharType="separate"/>
      </w:r>
      <w:r>
        <w:t xml:space="preserve">Exhibit </w:t>
      </w:r>
      <w:r>
        <w:rPr>
          <w:noProof/>
        </w:rPr>
        <w:t>3.2</w:t>
      </w:r>
      <w:r>
        <w:t>.</w:t>
      </w:r>
      <w:r>
        <w:rPr>
          <w:noProof/>
        </w:rPr>
        <w:t>A</w:t>
      </w:r>
      <w:r>
        <w:fldChar w:fldCharType="end"/>
      </w:r>
    </w:p>
    <w:p w14:paraId="3CA847A0" w14:textId="4CAE9D35">
      <w:pPr>
        <w:pStyle w:val="Lista2"/>
      </w:pPr>
      <w:r>
        <w:t xml:space="preserve">use pairs of lowercase Latin letters </w:t>
      </w:r>
      <w:r>
        <w:rPr>
          <w:noProof/>
        </w:rPr>
        <w:t>(</w:t>
      </w:r>
      <w:r>
        <w:t xml:space="preserve">ab, cd; continued if necessary in exceptional cases) in Sanskritic moraic verse, where </w:t>
      </w:r>
      <w:r>
        <w:rPr>
          <w:rStyle w:val="Code"/>
        </w:rPr>
        <w:t>&lt;l&gt;</w:t>
      </w:r>
      <w:r>
        <w:t xml:space="preserve"> elements correspond to hemistichs by our convention, as in </w:t>
      </w:r>
      <w:r>
        <w:fldChar w:fldCharType="begin"/>
      </w:r>
      <w:r>
        <w:instrText xml:space="preserve"> REF _Ref181625483 \h </w:instrText>
      </w:r>
      <w:r>
        <w:fldChar w:fldCharType="separate"/>
      </w:r>
      <w:r>
        <w:t xml:space="preserve">Exhibit </w:t>
      </w:r>
      <w:r>
        <w:rPr>
          <w:noProof/>
        </w:rPr>
        <w:t>3.2</w:t>
      </w:r>
      <w:r>
        <w:t>.</w:t>
      </w:r>
      <w:r>
        <w:rPr>
          <w:noProof/>
        </w:rPr>
        <w:t>B</w:t>
      </w:r>
      <w:r>
        <w:fldChar w:fldCharType="end"/>
      </w:r>
    </w:p>
    <w:p w14:paraId="1ED0A7CF" w14:textId="77777777">
      <w:pPr>
        <w:pStyle w:val="Lista2"/>
      </w:pPr>
      <w:r>
        <w:t xml:space="preserve">use Arabic numerals </w:t>
      </w:r>
      <w:r>
        <w:rPr>
          <w:noProof/>
        </w:rPr>
        <w:t>(</w:t>
      </w:r>
      <w:r>
        <w:t>1, 2, 3, etc.) in verse where stanzas do not have a conventionally set number of lines, including</w:t>
      </w:r>
    </w:p>
    <w:p w14:paraId="45C26C24" w14:textId="5F6701DB">
      <w:pPr>
        <w:pStyle w:val="Lista3"/>
      </w:pPr>
      <w:r>
        <w:lastRenderedPageBreak/>
        <w:t xml:space="preserve">Tamil verse, as in </w:t>
      </w:r>
      <w:r>
        <w:fldChar w:fldCharType="begin"/>
      </w:r>
      <w:r>
        <w:instrText xml:space="preserve"> REF _Ref181698022 \h </w:instrText>
      </w:r>
      <w:r>
        <w:fldChar w:fldCharType="separate"/>
      </w:r>
      <w:r>
        <w:t xml:space="preserve">Exhibit </w:t>
      </w:r>
      <w:r>
        <w:rPr>
          <w:noProof/>
        </w:rPr>
        <w:t>3.2</w:t>
      </w:r>
      <w:r>
        <w:t>.</w:t>
      </w:r>
      <w:r>
        <w:rPr>
          <w:noProof/>
        </w:rPr>
        <w:t>C</w:t>
      </w:r>
      <w:r>
        <w:fldChar w:fldCharType="end"/>
      </w:r>
    </w:p>
    <w:p w14:paraId="4EBB86E8" w14:textId="77777777">
      <w:pPr>
        <w:pStyle w:val="Lista3"/>
      </w:pPr>
      <w:r>
        <w:t>free octosyllabic versification found in some Old Sundanese and Old Javanese works</w:t>
      </w:r>
    </w:p>
    <w:p w14:paraId="0B33465B" w14:textId="76A06C7B">
      <w:pPr>
        <w:pStyle w:val="Lista3"/>
      </w:pPr>
      <w:r>
        <w:t>free verse (§</w:t>
      </w:r>
      <w:r>
        <w:fldChar w:fldCharType="begin"/>
      </w:r>
      <w:r>
        <w:instrText xml:space="preserve"> REF _Ref224727363 \r \h </w:instrText>
      </w:r>
      <w:r>
        <w:fldChar w:fldCharType="separate"/>
      </w:r>
      <w:r>
        <w:t>3.3.3.4</w:t>
      </w:r>
      <w:r>
        <w:fldChar w:fldCharType="end"/>
      </w:r>
      <w:r>
        <w:t>)</w:t>
      </w:r>
    </w:p>
    <w:p w14:paraId="491EBCE4" w14:textId="68B60E57">
      <w:pPr>
        <w:pStyle w:val="Lista"/>
      </w:pPr>
      <w:bookmarkStart w:id="90" w:name="_7tlyzfn6s88r" w:colFirst="0" w:colLast="0"/>
      <w:bookmarkEnd w:id="90"/>
      <w:r>
        <w:t xml:space="preserve">for stanzas anomalously consisting of more or fewer than the expected number of lines, simply encode the actual number of lines, numbering them in sequence </w:t>
      </w:r>
      <w:r>
        <w:rPr>
          <w:noProof/>
        </w:rPr>
        <w:t xml:space="preserve">and </w:t>
      </w:r>
      <w:r>
        <w:t>extending the applicable numbering scheme as needed</w:t>
      </w:r>
    </w:p>
    <w:p w14:paraId="3B415AA2" w14:textId="77777777"/>
    <w:tbl>
      <w:tblPr>
        <w:tblStyle w:val="CodeSampleTable"/>
        <w:tblW w:w="5000" w:type="pct"/>
        <w:tblLook w:val="04A0" w:firstRow="1" w:lastRow="0" w:firstColumn="1" w:lastColumn="0" w:noHBand="0" w:noVBand="1"/>
      </w:tblPr>
      <w:tblGrid>
        <w:gridCol w:w="9628"/>
      </w:tblGrid>
      <w:tr w14:paraId="65D5259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53ED097" w14:textId="76374B98">
            <w:pPr>
              <w:pStyle w:val="Kpalrs"/>
            </w:pPr>
            <w:bookmarkStart w:id="91" w:name="_Ref181625483"/>
            <w:r>
              <w:t xml:space="preserve">Exhibit </w:t>
            </w:r>
            <w:fldSimple w:instr=" STYLEREF 2 \s ">
              <w:r>
                <w:rPr>
                  <w:noProof/>
                </w:rPr>
                <w:t>3.2</w:t>
              </w:r>
            </w:fldSimple>
            <w:r>
              <w:t>.</w:t>
            </w:r>
            <w:fldSimple w:instr=" SEQ Exhibit \* ALPHABETIC \s 2 ">
              <w:r>
                <w:rPr>
                  <w:noProof/>
                </w:rPr>
                <w:t>B</w:t>
              </w:r>
            </w:fldSimple>
            <w:bookmarkEnd w:id="91"/>
            <w:r>
              <w:t xml:space="preserve">: line numbering in </w:t>
            </w:r>
            <w:r>
              <w:rPr>
                <w:rStyle w:val="Foreign"/>
              </w:rPr>
              <w:t>moraic</w:t>
            </w:r>
            <w:r>
              <w:t xml:space="preserve"> verse</w:t>
            </w:r>
          </w:p>
        </w:tc>
      </w:tr>
      <w:tr w14:paraId="2C8BDB62" w14:textId="77777777">
        <w:tc>
          <w:tcPr>
            <w:tcW w:w="5000" w:type="pct"/>
          </w:tcPr>
          <w:p w14:paraId="3D1011E9" w14:textId="77777777">
            <w:pPr>
              <w:pStyle w:val="CodeParagraph"/>
              <w:keepNext/>
            </w:pPr>
            <w:r>
              <w:rPr>
                <w:rStyle w:val="Code"/>
              </w:rPr>
              <w:t xml:space="preserve">&lt;lg </w:t>
            </w:r>
            <w:r>
              <w:rPr>
                <w:rStyle w:val="Codeattribute"/>
              </w:rPr>
              <w:t>n</w:t>
            </w:r>
            <w:r>
              <w:rPr>
                <w:rStyle w:val="Code"/>
              </w:rPr>
              <w:t>=</w:t>
            </w:r>
            <w:r>
              <w:rPr>
                <w:rStyle w:val="Codevalue"/>
              </w:rPr>
              <w:t>"42"</w:t>
            </w:r>
            <w:r>
              <w:rPr>
                <w:rStyle w:val="Code"/>
              </w:rPr>
              <w:t xml:space="preserve"> </w:t>
            </w:r>
            <w:r>
              <w:rPr>
                <w:rStyle w:val="Codeattribute"/>
              </w:rPr>
              <w:t>met</w:t>
            </w:r>
            <w:r>
              <w:rPr>
                <w:rStyle w:val="Code"/>
              </w:rPr>
              <w:t>=</w:t>
            </w:r>
            <w:r>
              <w:rPr>
                <w:rStyle w:val="Codevalue"/>
              </w:rPr>
              <w:t>"āryā"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"ab"</w:t>
            </w:r>
            <w:r>
              <w:rPr>
                <w:rStyle w:val="Code"/>
              </w:rPr>
              <w:t>&gt;</w:t>
            </w:r>
            <w:r>
              <w:rPr>
                <w:rStyle w:val="Codetext"/>
              </w:rPr>
              <w:t>śaśineva nabho vimalaṁ kaustubha-maṇineva śārṅgiṇo vakṣaḥ|</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"cd"</w:t>
            </w:r>
            <w:r>
              <w:rPr>
                <w:rStyle w:val="Code"/>
              </w:rPr>
              <w:t>&gt;</w:t>
            </w:r>
            <w:r>
              <w:rPr>
                <w:rStyle w:val="Codetext"/>
              </w:rPr>
              <w:t>bhavana-vareṇa tathedaṁ puram akhilam alaṁkr̥tam udāraṁ||</w:t>
            </w:r>
            <w:r>
              <w:rPr>
                <w:rStyle w:val="Code"/>
              </w:rPr>
              <w:t>&lt;/l&gt;</w:t>
            </w:r>
            <w:r>
              <w:rPr>
                <w:rStyle w:val="Codetext"/>
              </w:rPr>
              <w:br/>
            </w:r>
            <w:r>
              <w:rPr>
                <w:rStyle w:val="Code"/>
              </w:rPr>
              <w:t>&lt;/lg&gt;</w:t>
            </w:r>
          </w:p>
        </w:tc>
      </w:tr>
    </w:tbl>
    <w:p w14:paraId="0C6BF9E0" w14:textId="77777777"/>
    <w:tbl>
      <w:tblPr>
        <w:tblStyle w:val="CodeSampleTable"/>
        <w:tblW w:w="5000" w:type="pct"/>
        <w:tblLook w:val="04A0" w:firstRow="1" w:lastRow="0" w:firstColumn="1" w:lastColumn="0" w:noHBand="0" w:noVBand="1"/>
      </w:tblPr>
      <w:tblGrid>
        <w:gridCol w:w="9628"/>
      </w:tblGrid>
      <w:tr w14:paraId="15D56735"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55DAD7D" w14:textId="2631CBE2">
            <w:pPr>
              <w:pStyle w:val="Kpalrs"/>
            </w:pPr>
            <w:bookmarkStart w:id="92" w:name="_Ref181698022"/>
            <w:r>
              <w:t xml:space="preserve">Exhibit </w:t>
            </w:r>
            <w:fldSimple w:instr=" STYLEREF 2 \s ">
              <w:r>
                <w:rPr>
                  <w:noProof/>
                </w:rPr>
                <w:t>3.2</w:t>
              </w:r>
            </w:fldSimple>
            <w:r>
              <w:t>.</w:t>
            </w:r>
            <w:fldSimple w:instr=" SEQ Exhibit \* ALPHABETIC \s 2 ">
              <w:r>
                <w:rPr>
                  <w:noProof/>
                </w:rPr>
                <w:t>C</w:t>
              </w:r>
            </w:fldSimple>
            <w:bookmarkEnd w:id="92"/>
            <w:r>
              <w:t>: line numbering in Tamil verse</w:t>
            </w:r>
          </w:p>
        </w:tc>
      </w:tr>
      <w:tr w14:paraId="6ADD750C" w14:textId="77777777">
        <w:tc>
          <w:tcPr>
            <w:tcW w:w="5000" w:type="pct"/>
          </w:tcPr>
          <w:p w14:paraId="36E52B14" w14:textId="77777777">
            <w:pPr>
              <w:pStyle w:val="CodeParagraph"/>
              <w:rPr>
                <w:rStyle w:val="Code"/>
              </w:rPr>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"āciriyappā"</w:t>
            </w:r>
            <w:r>
              <w:rPr>
                <w:rStyle w:val="Code"/>
              </w:rPr>
              <w:t>&gt;</w:t>
            </w:r>
            <w:r>
              <w:rPr>
                <w:rStyle w:val="Codetext"/>
              </w:rPr>
              <w:br/>
            </w:r>
            <w:r>
              <w:rPr>
                <w:rStyle w:val="Code"/>
              </w:rPr>
              <w:t xml:space="preserve">  &lt;l </w:t>
            </w:r>
            <w:r>
              <w:rPr>
                <w:rStyle w:val="Codeattribute"/>
              </w:rPr>
              <w:t>n=</w:t>
            </w:r>
            <w:r>
              <w:rPr>
                <w:rStyle w:val="Codevalue"/>
              </w:rPr>
              <w:t>"1"</w:t>
            </w:r>
            <w:r>
              <w:rPr>
                <w:rStyle w:val="Code"/>
              </w:rPr>
              <w:t>&gt;</w:t>
            </w:r>
            <w:r>
              <w:rPr>
                <w:rStyle w:val="Codetext"/>
              </w:rPr>
              <w:t>tiṅkaḷēr taru taṉ toṅkal veṇ-kuṭai-k kīḻ</w:t>
            </w:r>
            <w:r>
              <w:rPr>
                <w:rStyle w:val="Code"/>
              </w:rPr>
              <w:t>&lt;/l&gt;</w:t>
            </w:r>
          </w:p>
          <w:p w14:paraId="10B27B68" w14:textId="77777777">
            <w:pPr>
              <w:pStyle w:val="CodeParagraph"/>
              <w:rPr>
                <w:rStyle w:val="Code"/>
              </w:rPr>
            </w:pPr>
            <w:r>
              <w:rPr>
                <w:rStyle w:val="Code"/>
              </w:rPr>
              <w:t xml:space="preserve">  &lt;l </w:t>
            </w:r>
            <w:r>
              <w:rPr>
                <w:rStyle w:val="Codeattribute"/>
              </w:rPr>
              <w:t>n=</w:t>
            </w:r>
            <w:r>
              <w:rPr>
                <w:rStyle w:val="Codevalue"/>
              </w:rPr>
              <w:t>"2"</w:t>
            </w:r>
            <w:r>
              <w:rPr>
                <w:rStyle w:val="Code"/>
              </w:rPr>
              <w:t>&gt;</w:t>
            </w:r>
            <w:r>
              <w:rPr>
                <w:rStyle w:val="Codetext"/>
              </w:rPr>
              <w:t>nila-makaḷ nilava malar-makaṭ-p puṇara</w:t>
            </w:r>
            <w:r>
              <w:rPr>
                <w:rStyle w:val="Code"/>
              </w:rPr>
              <w:t>&lt;/l&gt;</w:t>
            </w:r>
          </w:p>
          <w:p w14:paraId="2A34EFCB" w14:textId="77777777">
            <w:pPr>
              <w:pStyle w:val="CodeParagraph"/>
              <w:rPr>
                <w:rStyle w:val="Code"/>
              </w:rPr>
            </w:pPr>
            <w:r>
              <w:rPr>
                <w:rStyle w:val="Code"/>
              </w:rPr>
              <w:t xml:space="preserve">  &lt;l </w:t>
            </w:r>
            <w:r>
              <w:rPr>
                <w:rStyle w:val="Codeattribute"/>
              </w:rPr>
              <w:t>n=</w:t>
            </w:r>
            <w:r>
              <w:rPr>
                <w:rStyle w:val="Codevalue"/>
              </w:rPr>
              <w:t>"3"</w:t>
            </w:r>
            <w:r>
              <w:rPr>
                <w:rStyle w:val="Code"/>
              </w:rPr>
              <w:t>&gt;</w:t>
            </w:r>
            <w:r>
              <w:rPr>
                <w:rStyle w:val="Codetext"/>
              </w:rPr>
              <w:t>ceṅkol ōcci-k karuṅ kali kaṭintuṭaṉ</w:t>
            </w:r>
            <w:r>
              <w:rPr>
                <w:rStyle w:val="Code"/>
              </w:rPr>
              <w:t>&lt;/l&gt;</w:t>
            </w:r>
          </w:p>
          <w:p w14:paraId="4BDFFC43" w14:textId="77777777">
            <w:pPr>
              <w:pStyle w:val="CodeParagraph"/>
            </w:pPr>
            <w:r>
              <w:rPr>
                <w:rStyle w:val="Codetext"/>
              </w:rPr>
              <w:t xml:space="preserve">  ...</w:t>
            </w:r>
            <w:r>
              <w:rPr>
                <w:rStyle w:val="Codetext"/>
              </w:rPr>
              <w:br/>
            </w:r>
            <w:r>
              <w:rPr>
                <w:rStyle w:val="Code"/>
              </w:rPr>
              <w:t>&lt;/lg&gt;</w:t>
            </w:r>
          </w:p>
        </w:tc>
      </w:tr>
    </w:tbl>
    <w:p w14:paraId="011C7F22" w14:textId="77777777">
      <w:pPr>
        <w:pStyle w:val="Cmsor3"/>
      </w:pPr>
      <w:bookmarkStart w:id="93" w:name="_Ref224901082"/>
      <w:bookmarkStart w:id="94" w:name="_Toc242889453"/>
      <w:r>
        <w:t>Interrupted container boundaries</w:t>
      </w:r>
      <w:bookmarkEnd w:id="94"/>
    </w:p>
    <w:p w14:paraId="3D45E4B6" w14:textId="77777777">
      <w:pPr>
        <w:pStyle w:val="Cmsor4"/>
      </w:pPr>
      <w:bookmarkStart w:id="95" w:name="_Ref228980509"/>
      <w:r>
        <w:t>Block-level containers split into parts</w:t>
      </w:r>
      <w:bookmarkEnd w:id="95"/>
    </w:p>
    <w:p w14:paraId="3D63FE26" w14:textId="77777777">
      <w:r>
        <w:t>Paragraphs and stanzas (sometimes along with verse lines) may be split into non-contiguous parts in a text, typically in one of three scenarios. First, when an inscription is fragmented, part of a unit may be lost or be located on a separate and unconnected fragment encoded as a textpart division. Second, the composer may deliberately break up a unit, as in drama or in a base text with commentary. Third, a unit may have been accidentally left incomplete, and then later completed at a physically different part of the document. TEI provides methods for linking container elements to indicate that they together represent an integral whole. DHARMA encoding practice does not employ linking in order to keep the complexity of the code down, but we do add a small amount of extra code to mark up split containers.</w:t>
      </w:r>
    </w:p>
    <w:p w14:paraId="4019C98D" w14:textId="77777777">
      <w:pPr>
        <w:pStyle w:val="Normlbehzs"/>
      </w:pPr>
      <w:r>
        <w:t>This applies only to cases where the complete unit was (at least presumably) written. If a unit was never complete, for example because the composer deliberately included only a partial stanza, or because the engraver left an inscription unfinished, then simply encode the container with the available text normally.</w:t>
      </w:r>
    </w:p>
    <w:p w14:paraId="38560695" w14:textId="77777777">
      <w:pPr>
        <w:pStyle w:val="Lista"/>
      </w:pPr>
      <w:r>
        <w:t xml:space="preserve">if a block-level container element contains only part of a semantic paragraph, part of a stanza, or part of a verse line, while the rest of that textual unit is written elsewhere or altogether lost, add the attribute </w:t>
      </w:r>
      <w:r>
        <w:rPr>
          <w:rStyle w:val="Codeattribute"/>
        </w:rPr>
        <w:t>@part</w:t>
      </w:r>
      <w:r>
        <w:t xml:space="preserve"> to each incomplete container with values as follows:</w:t>
      </w:r>
    </w:p>
    <w:p w14:paraId="57474C3B" w14:textId="77777777">
      <w:pPr>
        <w:pStyle w:val="Lista2"/>
      </w:pPr>
      <w:r>
        <w:rPr>
          <w:rStyle w:val="Codevalue"/>
        </w:rPr>
        <w:t>"I"</w:t>
      </w:r>
      <w:r>
        <w:t xml:space="preserve"> for the initial part of a container (the end of which is lost or elsewhere)</w:t>
      </w:r>
    </w:p>
    <w:p w14:paraId="654465EC" w14:textId="77777777">
      <w:pPr>
        <w:pStyle w:val="Lista2"/>
      </w:pPr>
      <w:r>
        <w:rPr>
          <w:rStyle w:val="Codevalue"/>
        </w:rPr>
        <w:t>"F"</w:t>
      </w:r>
      <w:r>
        <w:t xml:space="preserve"> for the final part of a container (the beginning of which lost or elsewhere)</w:t>
      </w:r>
    </w:p>
    <w:p w14:paraId="0C06FD8F" w14:textId="77777777">
      <w:pPr>
        <w:pStyle w:val="Lista2"/>
      </w:pPr>
      <w:r>
        <w:rPr>
          <w:rStyle w:val="Codevalue"/>
        </w:rPr>
        <w:t>"M"</w:t>
      </w:r>
      <w:r>
        <w:t xml:space="preserve"> for a medial part of a container (both the beginning and end of which are lost or elsewhere)</w:t>
      </w:r>
    </w:p>
    <w:p w14:paraId="0339FCDE" w14:textId="44CFF88B">
      <w:pPr>
        <w:pStyle w:val="Lista"/>
      </w:pPr>
      <w:r>
        <w:t>if a substantial portion of an inscription is lost, see §</w:t>
      </w:r>
      <w:r>
        <w:fldChar w:fldCharType="begin"/>
      </w:r>
      <w:r>
        <w:instrText xml:space="preserve"> REF _Ref43981711 \r \h </w:instrText>
      </w:r>
      <w:r>
        <w:fldChar w:fldCharType="separate"/>
      </w:r>
      <w:r>
        <w:t>6.5.4</w:t>
      </w:r>
      <w:r>
        <w:fldChar w:fldCharType="end"/>
      </w:r>
      <w:r>
        <w:t xml:space="preserve"> for further instructions and examples</w:t>
      </w:r>
    </w:p>
    <w:p w14:paraId="62A680AD" w14:textId="0FB1013C">
      <w:pPr>
        <w:pStyle w:val="Lista2"/>
      </w:pPr>
      <w:r>
        <w:t>however, smaller lacunae should instead be treated as per §</w:t>
      </w:r>
      <w:r>
        <w:fldChar w:fldCharType="begin"/>
      </w:r>
      <w:r>
        <w:instrText xml:space="preserve"> REF _Ref43988016 \r \h </w:instrText>
      </w:r>
      <w:r>
        <w:fldChar w:fldCharType="separate"/>
      </w:r>
      <w:r>
        <w:t>6.5.2</w:t>
      </w:r>
      <w:r>
        <w:fldChar w:fldCharType="end"/>
      </w:r>
    </w:p>
    <w:p w14:paraId="28A35740" w14:textId="6C5F3DC9">
      <w:pPr>
        <w:pStyle w:val="Lista"/>
      </w:pPr>
      <w:r>
        <w:t>if partial containers are found on two or more fragments, see also §</w:t>
      </w:r>
      <w:r>
        <w:fldChar w:fldCharType="begin"/>
      </w:r>
      <w:r>
        <w:instrText xml:space="preserve"> REF _Ref225346692 \r \h </w:instrText>
      </w:r>
      <w:r>
        <w:fldChar w:fldCharType="separate"/>
      </w:r>
      <w:r>
        <w:t>4.7.3.2</w:t>
      </w:r>
      <w:r>
        <w:fldChar w:fldCharType="end"/>
      </w:r>
      <w:r>
        <w:t xml:space="preserve"> about encoding fragments as textpart divisions</w:t>
      </w:r>
    </w:p>
    <w:p w14:paraId="1D56FA09" w14:textId="465270AF">
      <w:pPr>
        <w:pStyle w:val="Lista"/>
      </w:pPr>
      <w:r>
        <w:t>for a base text interspersed with glosses in another language, see §</w:t>
      </w:r>
      <w:r>
        <w:fldChar w:fldCharType="begin"/>
      </w:r>
      <w:r>
        <w:instrText xml:space="preserve"> REF _Ref232063409 \r \h </w:instrText>
      </w:r>
      <w:r>
        <w:fldChar w:fldCharType="separate"/>
      </w:r>
      <w:r>
        <w:t>8.1.2.4</w:t>
      </w:r>
      <w:r>
        <w:fldChar w:fldCharType="end"/>
      </w:r>
    </w:p>
    <w:p w14:paraId="2CC2DF32" w14:textId="77777777">
      <w:pPr>
        <w:pStyle w:val="Cmsor4"/>
      </w:pPr>
      <w:r>
        <w:t>Split containers or scribal addition?</w:t>
      </w:r>
    </w:p>
    <w:p w14:paraId="4AF95648" w14:textId="77777777">
      <w:r>
        <w:t>When split units are fully present in a document, but their parts are out of sequence and this is not deemed to be a deliberate compositional decision (as in drama or commented text), the following choice must be made at your discretion.</w:t>
      </w:r>
    </w:p>
    <w:p w14:paraId="5A6FEF2E" w14:textId="77777777">
      <w:pPr>
        <w:pStyle w:val="Lista"/>
      </w:pPr>
      <w:r>
        <w:t xml:space="preserve">either encode the items in their </w:t>
      </w:r>
      <w:r>
        <w:rPr>
          <w:b/>
          <w:bCs/>
        </w:rPr>
        <w:t>logical sequence, as scribal correction</w:t>
      </w:r>
      <w:r>
        <w:t xml:space="preserve"> by addition</w:t>
      </w:r>
    </w:p>
    <w:p w14:paraId="1337AE8D" w14:textId="77777777">
      <w:pPr>
        <w:pStyle w:val="Lista2"/>
      </w:pPr>
      <w:r>
        <w:t>this interpretation is preferable when the intended logical sequence of parts is clear, especially</w:t>
      </w:r>
    </w:p>
    <w:p w14:paraId="5A300DD8" w14:textId="77777777">
      <w:pPr>
        <w:pStyle w:val="Lista3"/>
      </w:pPr>
      <w:r>
        <w:lastRenderedPageBreak/>
        <w:t>if the part missing at its proper spot is inscribed outside the basic sequence of the text, e.g. between lines or in the margins</w:t>
      </w:r>
    </w:p>
    <w:p w14:paraId="00900146" w14:textId="77777777">
      <w:pPr>
        <w:pStyle w:val="Lista3"/>
      </w:pPr>
      <w:r>
        <w:t>if scribal marks are present to indicate where the missing and separately supplied part must be read</w:t>
      </w:r>
    </w:p>
    <w:p w14:paraId="2F8D79D3" w14:textId="6CC85F95">
      <w:pPr>
        <w:pStyle w:val="Lista2"/>
      </w:pPr>
      <w:r>
        <w:t xml:space="preserve">in such a case, proceed as in </w:t>
      </w:r>
      <w:r>
        <w:fldChar w:fldCharType="begin"/>
      </w:r>
      <w:r>
        <w:instrText xml:space="preserve"> REF _Ref54603376 \h </w:instrText>
      </w:r>
      <w:r>
        <w:fldChar w:fldCharType="separate"/>
      </w:r>
      <w:r>
        <w:t xml:space="preserve">Exhibit </w:t>
      </w:r>
      <w:r>
        <w:rPr>
          <w:noProof/>
        </w:rPr>
        <w:t>3.2</w:t>
      </w:r>
      <w:r>
        <w:t>.</w:t>
      </w:r>
      <w:r>
        <w:rPr>
          <w:noProof/>
        </w:rPr>
        <w:t>D</w:t>
      </w:r>
      <w:r>
        <w:fldChar w:fldCharType="end"/>
      </w:r>
      <w:r>
        <w:t>, namely:</w:t>
      </w:r>
    </w:p>
    <w:p w14:paraId="6187719D" w14:textId="77777777">
      <w:pPr>
        <w:pStyle w:val="Lista3"/>
      </w:pPr>
      <w:r>
        <w:t xml:space="preserve">include the out-of-sequence text at its </w:t>
      </w:r>
      <w:r>
        <w:rPr>
          <w:i/>
          <w:iCs/>
        </w:rPr>
        <w:t>logical</w:t>
      </w:r>
      <w:r>
        <w:t xml:space="preserve"> rather than its </w:t>
      </w:r>
      <w:r>
        <w:rPr>
          <w:i/>
          <w:iCs/>
        </w:rPr>
        <w:t>physical</w:t>
      </w:r>
      <w:r>
        <w:t xml:space="preserve"> place</w:t>
      </w:r>
    </w:p>
    <w:p w14:paraId="241E70D6" w14:textId="6DABCBE6">
      <w:pPr>
        <w:pStyle w:val="Lista3"/>
      </w:pPr>
      <w:r>
        <w:t>mark it up as an addition (§</w:t>
      </w:r>
      <w:r>
        <w:fldChar w:fldCharType="begin"/>
      </w:r>
      <w:r>
        <w:instrText xml:space="preserve"> REF _Ref43978471 \r \h </w:instrText>
      </w:r>
      <w:r>
        <w:fldChar w:fldCharType="separate"/>
      </w:r>
      <w:r>
        <w:t>5.6.2</w:t>
      </w:r>
      <w:r>
        <w:fldChar w:fldCharType="end"/>
      </w:r>
      <w:r>
        <w:t xml:space="preserve">) with a value of </w:t>
      </w:r>
      <w:r>
        <w:rPr>
          <w:rStyle w:val="Codeattribute"/>
        </w:rPr>
        <w:t>@place</w:t>
      </w:r>
      <w:r>
        <w:t xml:space="preserve"> that best approximates its physical location</w:t>
      </w:r>
    </w:p>
    <w:p w14:paraId="3EDB86FA" w14:textId="388DABAD">
      <w:pPr>
        <w:pStyle w:val="Lista4"/>
      </w:pPr>
      <w:r>
        <w:t>if such an addition takes up one or more entire physical lines, encode line beginnings (§</w:t>
      </w:r>
      <w:r>
        <w:fldChar w:fldCharType="begin"/>
      </w:r>
      <w:r>
        <w:instrText xml:space="preserve"> REF _Ref43980100 \r \h </w:instrText>
      </w:r>
      <w:r>
        <w:fldChar w:fldCharType="separate"/>
      </w:r>
      <w:r>
        <w:t>4.5.1</w:t>
      </w:r>
      <w:r>
        <w:fldChar w:fldCharType="end"/>
      </w:r>
      <w:r>
        <w:t xml:space="preserve">) within the </w:t>
      </w:r>
      <w:r>
        <w:rPr>
          <w:rStyle w:val="Code"/>
        </w:rPr>
        <w:t>&lt;add&gt;</w:t>
      </w:r>
      <w:r>
        <w:t xml:space="preserve"> tags as permitted under §</w:t>
      </w:r>
      <w:r>
        <w:fldChar w:fldCharType="begin"/>
      </w:r>
      <w:r>
        <w:instrText xml:space="preserve"> REF _Ref43978471 \r \h </w:instrText>
      </w:r>
      <w:r>
        <w:fldChar w:fldCharType="separate"/>
      </w:r>
      <w:r>
        <w:t>5.6.2</w:t>
      </w:r>
      <w:r>
        <w:fldChar w:fldCharType="end"/>
      </w:r>
    </w:p>
    <w:p w14:paraId="06D5F85F" w14:textId="77777777">
      <w:pPr>
        <w:pStyle w:val="Lista3"/>
      </w:pPr>
      <w:r>
        <w:t>the fact that the addition interrupts a different part of the text at such and such a point can be indicated in your annotation</w:t>
      </w:r>
    </w:p>
    <w:tbl>
      <w:tblPr>
        <w:tblStyle w:val="CodeSampleTable"/>
        <w:tblW w:w="5000" w:type="pct"/>
        <w:tblLook w:val="04A0" w:firstRow="1" w:lastRow="0" w:firstColumn="1" w:lastColumn="0" w:noHBand="0" w:noVBand="1"/>
      </w:tblPr>
      <w:tblGrid>
        <w:gridCol w:w="9628"/>
      </w:tblGrid>
      <w:tr w14:paraId="4ED885C0"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9A5F5EE" w14:textId="0D1D6D8A">
            <w:pPr>
              <w:pStyle w:val="Kpalrs"/>
            </w:pPr>
            <w:bookmarkStart w:id="96" w:name="_Ref54603376"/>
            <w:r>
              <w:t xml:space="preserve">Exhibit </w:t>
            </w:r>
            <w:fldSimple w:instr=" STYLEREF 2 \s ">
              <w:r>
                <w:rPr>
                  <w:noProof/>
                </w:rPr>
                <w:t>3.2</w:t>
              </w:r>
            </w:fldSimple>
            <w:r>
              <w:t>.</w:t>
            </w:r>
            <w:fldSimple w:instr=" SEQ Exhibit \* ALPHABETIC \s 2 ">
              <w:r>
                <w:rPr>
                  <w:noProof/>
                </w:rPr>
                <w:t>D</w:t>
              </w:r>
            </w:fldSimple>
            <w:bookmarkEnd w:id="96"/>
            <w:r>
              <w:t>: part of a stanza inscribed below the rest of the text</w:t>
            </w:r>
          </w:p>
        </w:tc>
      </w:tr>
      <w:tr w14:paraId="79116674" w14:textId="77777777">
        <w:tc>
          <w:tcPr>
            <w:tcW w:w="5000" w:type="pct"/>
          </w:tcPr>
          <w:p w14:paraId="638FEBDE" w14:textId="77777777">
            <w:pPr>
              <w:pStyle w:val="CodeParagraph"/>
              <w:keepNext/>
              <w:rPr>
                <w:rStyle w:val="Code"/>
              </w:rPr>
            </w:pPr>
            <w:r>
              <w:rPr>
                <w:rStyle w:val="Code"/>
              </w:rPr>
              <w:t xml:space="preserve">&lt;lg </w:t>
            </w:r>
            <w:r>
              <w:rPr>
                <w:rStyle w:val="Codeattribute"/>
              </w:rPr>
              <w:t>n</w:t>
            </w:r>
            <w:r>
              <w:rPr>
                <w:rStyle w:val="Codetext"/>
              </w:rPr>
              <w:t>=</w:t>
            </w:r>
            <w:r>
              <w:rPr>
                <w:rStyle w:val="Codevalue"/>
              </w:rPr>
              <w:t>"4"</w:t>
            </w:r>
            <w:r>
              <w:rPr>
                <w:rStyle w:val="Code"/>
              </w:rPr>
              <w:t xml:space="preserve"> </w:t>
            </w:r>
            <w:r>
              <w:rPr>
                <w:rStyle w:val="Codeattribute"/>
              </w:rPr>
              <w:t>met</w:t>
            </w:r>
            <w:r>
              <w:rPr>
                <w:rStyle w:val="Codetext"/>
              </w:rPr>
              <w:t>=</w:t>
            </w:r>
            <w:r>
              <w:rPr>
                <w:rStyle w:val="Codevalue"/>
              </w:rPr>
              <w:t>"anuṣṭubh"</w:t>
            </w:r>
            <w:r>
              <w:rPr>
                <w:rStyle w:val="Code"/>
              </w:rPr>
              <w:t>&gt;</w:t>
            </w:r>
          </w:p>
          <w:p w14:paraId="23588AAD" w14:textId="77777777">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&gt;&lt;lb </w:t>
            </w:r>
            <w:r>
              <w:rPr>
                <w:rStyle w:val="Codeattribute"/>
              </w:rPr>
              <w:t>n</w:t>
            </w:r>
            <w:r>
              <w:rPr>
                <w:rStyle w:val="Codetext"/>
              </w:rPr>
              <w:t>=</w:t>
            </w:r>
            <w:r>
              <w:rPr>
                <w:rStyle w:val="Codevalue"/>
              </w:rPr>
              <w:t>"7"</w:t>
            </w:r>
            <w:r>
              <w:rPr>
                <w:rStyle w:val="Code"/>
              </w:rPr>
              <w:t>/&gt;</w:t>
            </w:r>
            <w:r>
              <w:rPr>
                <w:rStyle w:val="Codetext"/>
              </w:rPr>
              <w:t>samanta-putras sthaviraḥ</w:t>
            </w:r>
            <w:r>
              <w:rPr>
                <w:rStyle w:val="Code"/>
              </w:rPr>
              <w:t>&lt;/l&gt;</w:t>
            </w:r>
          </w:p>
          <w:p w14:paraId="16CCDF53" w14:textId="77777777">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buddhanirvvāṇa-saṁjñakaḥ</w:t>
            </w:r>
            <w:r>
              <w:rPr>
                <w:rStyle w:val="Code"/>
              </w:rPr>
              <w:t>&lt;/l&gt;</w:t>
            </w:r>
          </w:p>
          <w:p w14:paraId="4CA029C6" w14:textId="77777777">
            <w:pPr>
              <w:pStyle w:val="CodeParagraph"/>
              <w:keepNext/>
              <w:rPr>
                <w:rStyle w:val="Code"/>
              </w:rPr>
            </w:pPr>
            <w:r>
              <w:rPr>
                <w:rStyle w:val="Code"/>
              </w:rPr>
              <w:t xml:space="preserve">  &lt;l </w:t>
            </w:r>
            <w:r>
              <w:rPr>
                <w:rStyle w:val="Codeattribute"/>
              </w:rPr>
              <w:t>n</w:t>
            </w:r>
            <w:r>
              <w:rPr>
                <w:rStyle w:val="Codetext"/>
              </w:rPr>
              <w:t>=</w:t>
            </w:r>
            <w:r>
              <w:rPr>
                <w:rStyle w:val="Codevalue"/>
              </w:rPr>
              <w:t>"c"</w:t>
            </w:r>
            <w:r>
              <w:rPr>
                <w:rStyle w:val="Code"/>
              </w:rPr>
              <w:t xml:space="preserve">&gt;&lt;add </w:t>
            </w:r>
            <w:r>
              <w:rPr>
                <w:rStyle w:val="Codeattribute"/>
              </w:rPr>
              <w:t>place</w:t>
            </w:r>
            <w:r>
              <w:rPr>
                <w:rStyle w:val="Codetext"/>
              </w:rPr>
              <w:t>=</w:t>
            </w:r>
            <w:r>
              <w:rPr>
                <w:rStyle w:val="Codevalue"/>
              </w:rPr>
              <w:t>"bottom"</w:t>
            </w:r>
            <w:r>
              <w:rPr>
                <w:rStyle w:val="Code"/>
              </w:rPr>
              <w:t xml:space="preserve"> </w:t>
            </w:r>
            <w:r>
              <w:rPr>
                <w:rStyle w:val="Codeattribute"/>
              </w:rPr>
              <w:t>rend</w:t>
            </w:r>
            <w:r>
              <w:rPr>
                <w:rStyle w:val="Codetext"/>
              </w:rPr>
              <w:t>=</w:t>
            </w:r>
            <w:r>
              <w:rPr>
                <w:rStyle w:val="Codevalue"/>
              </w:rPr>
              <w:t>"mark"</w:t>
            </w:r>
            <w:r>
              <w:rPr>
                <w:rStyle w:val="Code"/>
              </w:rPr>
              <w:t xml:space="preserve">&gt;&lt;lb </w:t>
            </w:r>
            <w:r>
              <w:rPr>
                <w:rStyle w:val="Codeattribute"/>
              </w:rPr>
              <w:t>n</w:t>
            </w:r>
            <w:r>
              <w:rPr>
                <w:rStyle w:val="Codetext"/>
              </w:rPr>
              <w:t>=</w:t>
            </w:r>
            <w:r>
              <w:rPr>
                <w:rStyle w:val="Codevalue"/>
              </w:rPr>
              <w:t>"15"</w:t>
            </w:r>
            <w:r>
              <w:rPr>
                <w:rStyle w:val="Code"/>
              </w:rPr>
              <w:t>/&gt;</w:t>
            </w:r>
            <w:r>
              <w:rPr>
                <w:rStyle w:val="Codetext"/>
              </w:rPr>
              <w:t>kāvyasya karaṇañ cakre</w:t>
            </w:r>
            <w:r>
              <w:rPr>
                <w:rStyle w:val="Code"/>
              </w:rPr>
              <w:t>&lt;/add&gt;&lt;/l&gt;</w:t>
            </w:r>
          </w:p>
          <w:p w14:paraId="376F7ABB" w14:textId="77777777">
            <w:pPr>
              <w:pStyle w:val="CodeParagraph"/>
              <w:keepNext/>
              <w:rPr>
                <w:rStyle w:val="Code"/>
              </w:rPr>
            </w:pPr>
            <w:r>
              <w:rPr>
                <w:rStyle w:val="Code"/>
              </w:rPr>
              <w:t xml:space="preserve">  &lt;l </w:t>
            </w:r>
            <w:r>
              <w:rPr>
                <w:rStyle w:val="Codeattribute"/>
              </w:rPr>
              <w:t>n</w:t>
            </w:r>
            <w:r>
              <w:rPr>
                <w:rStyle w:val="Codetext"/>
              </w:rPr>
              <w:t>=</w:t>
            </w:r>
            <w:r>
              <w:rPr>
                <w:rStyle w:val="Codevalue"/>
              </w:rPr>
              <w:t>"d"</w:t>
            </w:r>
            <w:r>
              <w:rPr>
                <w:rStyle w:val="Code"/>
              </w:rPr>
              <w:t xml:space="preserve">&gt;&lt;add </w:t>
            </w:r>
            <w:r>
              <w:rPr>
                <w:rStyle w:val="Codeattribute"/>
              </w:rPr>
              <w:t>place</w:t>
            </w:r>
            <w:r>
              <w:rPr>
                <w:rStyle w:val="Codetext"/>
              </w:rPr>
              <w:t>=</w:t>
            </w:r>
            <w:r>
              <w:rPr>
                <w:rStyle w:val="Codevalue"/>
              </w:rPr>
              <w:t>"bottom"</w:t>
            </w:r>
            <w:r>
              <w:rPr>
                <w:rStyle w:val="Code"/>
              </w:rPr>
              <w:t xml:space="preserve"> </w:t>
            </w:r>
            <w:r>
              <w:rPr>
                <w:rStyle w:val="Codeattribute"/>
              </w:rPr>
              <w:t>rend</w:t>
            </w:r>
            <w:r>
              <w:rPr>
                <w:rStyle w:val="Codetext"/>
              </w:rPr>
              <w:t>=</w:t>
            </w:r>
            <w:r>
              <w:rPr>
                <w:rStyle w:val="Codevalue"/>
              </w:rPr>
              <w:t>"mark"</w:t>
            </w:r>
            <w:r>
              <w:rPr>
                <w:rStyle w:val="Code"/>
              </w:rPr>
              <w:t xml:space="preserve">&gt;&lt;lb </w:t>
            </w:r>
            <w:r>
              <w:rPr>
                <w:rStyle w:val="Codeattribute"/>
              </w:rPr>
              <w:t>n</w:t>
            </w:r>
            <w:r>
              <w:rPr>
                <w:rStyle w:val="Codetext"/>
              </w:rPr>
              <w:t>=</w:t>
            </w:r>
            <w:r>
              <w:rPr>
                <w:rStyle w:val="Codevalue"/>
              </w:rPr>
              <w:t>"16"</w:t>
            </w:r>
            <w:r>
              <w:rPr>
                <w:rStyle w:val="Code"/>
              </w:rPr>
              <w:t>/&gt;</w:t>
            </w:r>
            <w:r>
              <w:rPr>
                <w:rStyle w:val="Codetext"/>
              </w:rPr>
              <w:t>jñātaye bhūtale nr̥ṇām·</w:t>
            </w:r>
            <w:r>
              <w:rPr>
                <w:rStyle w:val="Code"/>
              </w:rPr>
              <w:t xml:space="preserve">&lt;/add&gt;&lt;/l&gt; </w:t>
            </w:r>
          </w:p>
          <w:p w14:paraId="4AC41DB1" w14:textId="77777777">
            <w:pPr>
              <w:pStyle w:val="CodeParagraph"/>
              <w:keepNext/>
              <w:rPr>
                <w:rStyle w:val="Code"/>
              </w:rPr>
            </w:pPr>
            <w:r>
              <w:rPr>
                <w:rStyle w:val="Code"/>
              </w:rPr>
              <w:t>&lt;/lg&gt;</w:t>
            </w:r>
          </w:p>
          <w:p w14:paraId="60B3ED42" w14:textId="77777777">
            <w:pPr>
              <w:pStyle w:val="CodeParagraph"/>
              <w:keepNext/>
              <w:rPr>
                <w:rStyle w:val="Code"/>
              </w:rPr>
            </w:pPr>
            <w:r>
              <w:rPr>
                <w:rStyle w:val="Code"/>
              </w:rPr>
              <w:t xml:space="preserve">&lt;p </w:t>
            </w:r>
            <w:r>
              <w:rPr>
                <w:rStyle w:val="Codeattribute"/>
              </w:rPr>
              <w:t>xml:lang</w:t>
            </w:r>
            <w:r>
              <w:rPr>
                <w:rStyle w:val="Codetext"/>
              </w:rPr>
              <w:t>=</w:t>
            </w:r>
            <w:r>
              <w:rPr>
                <w:rStyle w:val="Codevalue"/>
              </w:rPr>
              <w:t>"ocm-Latn"&gt;</w:t>
            </w:r>
            <w:r>
              <w:rPr>
                <w:rStyle w:val="Code"/>
              </w:rPr>
              <w:t xml:space="preserve">&lt;lb </w:t>
            </w:r>
            <w:r>
              <w:rPr>
                <w:rStyle w:val="Codeattribute"/>
              </w:rPr>
              <w:t>n</w:t>
            </w:r>
            <w:r>
              <w:rPr>
                <w:rStyle w:val="Codetext"/>
              </w:rPr>
              <w:t>=</w:t>
            </w:r>
            <w:r>
              <w:rPr>
                <w:rStyle w:val="Codevalue"/>
              </w:rPr>
              <w:t>"8"</w:t>
            </w:r>
            <w:r>
              <w:rPr>
                <w:rStyle w:val="Code"/>
              </w:rPr>
              <w:t>/&gt;</w:t>
            </w:r>
            <w:r>
              <w:rPr>
                <w:rStyle w:val="Codetext"/>
              </w:rPr>
              <w:t>humā pralauṅ·</w:t>
            </w:r>
            <w:r>
              <w:rPr>
                <w:rStyle w:val="Code"/>
              </w:rPr>
              <w:t xml:space="preserve">&lt;g </w:t>
            </w:r>
            <w:r>
              <w:rPr>
                <w:rStyle w:val="Codeattribute"/>
              </w:rPr>
              <w:t>ref</w:t>
            </w:r>
            <w:r>
              <w:rPr>
                <w:rStyle w:val="Codetext"/>
              </w:rPr>
              <w:t>=</w:t>
            </w:r>
            <w:r>
              <w:rPr>
                <w:rStyle w:val="Codevalue"/>
              </w:rPr>
              <w:t>"sym:doubleBar"</w:t>
            </w:r>
            <w:r>
              <w:rPr>
                <w:rStyle w:val="Code"/>
              </w:rPr>
              <w:t>&gt;</w:t>
            </w:r>
            <w:r>
              <w:rPr>
                <w:rStyle w:val="Codetext"/>
              </w:rPr>
              <w:t>.</w:t>
            </w:r>
            <w:r>
              <w:rPr>
                <w:rStyle w:val="Code"/>
              </w:rPr>
              <w:t>&lt;/g&gt;</w:t>
            </w:r>
            <w:r>
              <w:rPr>
                <w:rStyle w:val="Codetext"/>
              </w:rPr>
              <w:t xml:space="preserve"> humā padaiṅ·</w:t>
            </w:r>
            <w:r>
              <w:rPr>
                <w:rStyle w:val="Code"/>
              </w:rPr>
              <w:t xml:space="preserve">&lt;g </w:t>
            </w:r>
            <w:r>
              <w:rPr>
                <w:rStyle w:val="Codeattribute"/>
              </w:rPr>
              <w:t>ref</w:t>
            </w:r>
            <w:r>
              <w:rPr>
                <w:rStyle w:val="Codetext"/>
              </w:rPr>
              <w:t>=</w:t>
            </w:r>
            <w:r>
              <w:rPr>
                <w:rStyle w:val="Codevalue"/>
              </w:rPr>
              <w:t>"sym:doubleBar"</w:t>
            </w:r>
            <w:r>
              <w:rPr>
                <w:rStyle w:val="Code"/>
              </w:rPr>
              <w:t>&gt;</w:t>
            </w:r>
            <w:r>
              <w:rPr>
                <w:rStyle w:val="Codetext"/>
              </w:rPr>
              <w:t>.</w:t>
            </w:r>
            <w:r>
              <w:rPr>
                <w:rStyle w:val="Code"/>
              </w:rPr>
              <w:t>&lt;/g&gt;</w:t>
            </w:r>
            <w:r>
              <w:rPr>
                <w:rStyle w:val="Codetext"/>
              </w:rPr>
              <w:t xml:space="preserve"> ney· śaka vanuḥ humā dvā nan·</w:t>
            </w:r>
          </w:p>
          <w:p w14:paraId="71A1F4A2" w14:textId="77777777">
            <w:pPr>
              <w:pStyle w:val="CodeParagraph"/>
              <w:keepNext/>
              <w:rPr>
                <w:rStyle w:val="Code"/>
              </w:rPr>
            </w:pPr>
            <w:r>
              <w:rPr>
                <w:rStyle w:val="Code"/>
              </w:rPr>
              <w:t xml:space="preserve">&lt;lb </w:t>
            </w:r>
            <w:r>
              <w:rPr>
                <w:rStyle w:val="Codeattribute"/>
              </w:rPr>
              <w:t>n</w:t>
            </w:r>
            <w:r>
              <w:rPr>
                <w:rStyle w:val="Codetext"/>
              </w:rPr>
              <w:t>=</w:t>
            </w:r>
            <w:r>
              <w:rPr>
                <w:rStyle w:val="Codevalue"/>
              </w:rPr>
              <w:t>"9"</w:t>
            </w:r>
            <w:r>
              <w:rPr>
                <w:rStyle w:val="Code"/>
              </w:rPr>
              <w:t>/&gt;</w:t>
            </w:r>
            <w:r>
              <w:rPr>
                <w:rStyle w:val="Codetext"/>
              </w:rPr>
              <w:t>...</w:t>
            </w:r>
          </w:p>
          <w:p w14:paraId="6D32EE20" w14:textId="77777777">
            <w:pPr>
              <w:pStyle w:val="CodeParagraph"/>
              <w:keepNext/>
              <w:rPr>
                <w:rStyle w:val="Code"/>
              </w:rPr>
            </w:pPr>
            <w:r>
              <w:rPr>
                <w:rStyle w:val="Codetext"/>
              </w:rPr>
              <w:t>...</w:t>
            </w:r>
          </w:p>
          <w:p w14:paraId="55E62474" w14:textId="77777777">
            <w:pPr>
              <w:pStyle w:val="CodeParagraph"/>
              <w:keepNext/>
            </w:pPr>
            <w:r>
              <w:rPr>
                <w:rStyle w:val="Code"/>
              </w:rPr>
              <w:t xml:space="preserve">&lt;lb </w:t>
            </w:r>
            <w:r>
              <w:rPr>
                <w:rStyle w:val="Codeattribute"/>
              </w:rPr>
              <w:t>n</w:t>
            </w:r>
            <w:r>
              <w:rPr>
                <w:rStyle w:val="Codetext"/>
              </w:rPr>
              <w:t>=</w:t>
            </w:r>
            <w:r>
              <w:rPr>
                <w:rStyle w:val="Codevalue"/>
              </w:rPr>
              <w:t>"14"</w:t>
            </w:r>
            <w:r>
              <w:rPr>
                <w:rStyle w:val="Code"/>
              </w:rPr>
              <w:t>/&gt;</w:t>
            </w:r>
            <w:r>
              <w:rPr>
                <w:rStyle w:val="Codetext"/>
              </w:rPr>
              <w:t>...</w:t>
            </w:r>
            <w:r>
              <w:rPr>
                <w:rStyle w:val="Code"/>
              </w:rPr>
              <w:t>&lt;/p&gt;</w:t>
            </w:r>
          </w:p>
        </w:tc>
      </w:tr>
      <w:tr w14:paraId="1F2E1C75" w14:textId="77777777">
        <w:tc>
          <w:tcPr>
            <w:tcW w:w="5000" w:type="pct"/>
          </w:tcPr>
          <w:p w14:paraId="2B947B0F" w14:textId="77777777">
            <w:pPr>
              <w:pStyle w:val="TableNote"/>
            </w:pPr>
            <w:r>
              <w:t>the first half of stanza 4 is inscribed as line 7 of the text, but the second hemistich was omitted there</w:t>
            </w:r>
          </w:p>
          <w:p w14:paraId="7A41BF4B" w14:textId="77777777">
            <w:pPr>
              <w:pStyle w:val="TableNote"/>
            </w:pPr>
            <w:r>
              <w:t>the text continues with (Old Cham) prose in lines 8 to 14</w:t>
            </w:r>
          </w:p>
          <w:p w14:paraId="4754A013" w14:textId="77777777">
            <w:pPr>
              <w:pStyle w:val="TableNote"/>
            </w:pPr>
            <w:r>
              <w:t>the omitted hemistich has been added at the bottom, as lines 15 and 16, but it is encoded at its logical place</w:t>
            </w:r>
          </w:p>
          <w:p w14:paraId="148DCE40" w14:textId="77777777">
            <w:pPr>
              <w:pStyle w:val="TableNote"/>
              <w:rPr>
                <w:rStyle w:val="Code"/>
                <w:rFonts w:ascii="Calibri" w:hAnsi="Calibri" w:cs="Arial Unicode MS"/>
                <w:noProof w:val="0"/>
                <w:color w:val="auto"/>
                <w:shd w:val="clear" w:color="auto" w:fill="auto"/>
              </w:rPr>
            </w:pPr>
            <w:r>
              <w:rPr>
                <w:rStyle w:val="Code"/>
                <w:rFonts w:ascii="Calibri" w:hAnsi="Calibri" w:cs="Arial Unicode MS"/>
                <w:noProof w:val="0"/>
                <w:color w:val="auto"/>
                <w:shd w:val="clear" w:color="auto" w:fill="auto"/>
              </w:rPr>
              <w:t xml:space="preserve">the tags for lines 15 and 16 are placed within the tags for </w:t>
            </w:r>
            <w:r>
              <w:t>addition</w:t>
            </w:r>
          </w:p>
        </w:tc>
      </w:tr>
    </w:tbl>
    <w:p w14:paraId="4706789D" w14:textId="77777777">
      <w:bookmarkStart w:id="97" w:name="_wdva3plgupk6" w:colFirst="0" w:colLast="0"/>
      <w:bookmarkEnd w:id="97"/>
    </w:p>
    <w:p w14:paraId="5E4DFD25" w14:textId="77777777">
      <w:pPr>
        <w:pStyle w:val="Lista"/>
      </w:pPr>
      <w:r>
        <w:t xml:space="preserve">alternatively, encode the items in their </w:t>
      </w:r>
      <w:r>
        <w:rPr>
          <w:b/>
          <w:bCs/>
        </w:rPr>
        <w:t>physical sequence, as split containers</w:t>
      </w:r>
    </w:p>
    <w:p w14:paraId="70F553AC" w14:textId="77777777">
      <w:pPr>
        <w:pStyle w:val="Lista2"/>
      </w:pPr>
      <w:r>
        <w:t>this interpretation is preferable</w:t>
      </w:r>
    </w:p>
    <w:p w14:paraId="0E97E885" w14:textId="77777777">
      <w:pPr>
        <w:pStyle w:val="Lista3"/>
      </w:pPr>
      <w:r>
        <w:t>if the intended logical sequence of parts cannot be confidently established (as in a seriously garbled text with several large chunks out of sequence)</w:t>
      </w:r>
    </w:p>
    <w:p w14:paraId="74BFF3AE" w14:textId="77777777">
      <w:pPr>
        <w:pStyle w:val="Lista3"/>
      </w:pPr>
      <w:r>
        <w:t>if the misplaced part of a unit is fully integrated into the physical sequence of the text at another place (written as part of the regular lines within the regular field, without scribal marks to indicate correction)</w:t>
      </w:r>
    </w:p>
    <w:p w14:paraId="02F4515A" w14:textId="4E3515EF">
      <w:pPr>
        <w:pStyle w:val="Lista3"/>
      </w:pPr>
      <w:r>
        <w:t>if a verse contains extrametrical additions (for which see also §</w:t>
      </w:r>
      <w:r>
        <w:fldChar w:fldCharType="begin"/>
      </w:r>
      <w:r>
        <w:instrText xml:space="preserve"> REF _Ref232089040 \r \h </w:instrText>
      </w:r>
      <w:r>
        <w:fldChar w:fldCharType="separate"/>
      </w:r>
      <w:r>
        <w:t>3.2.3.3</w:t>
      </w:r>
      <w:r>
        <w:fldChar w:fldCharType="end"/>
      </w:r>
      <w:r>
        <w:t xml:space="preserve">), such as </w:t>
      </w:r>
      <w:r>
        <w:rPr>
          <w:rStyle w:val="Foreign"/>
        </w:rPr>
        <w:t>śrī</w:t>
      </w:r>
      <w:r>
        <w:t xml:space="preserve"> tagged on to names, so that the prosody is correct without these additions and incorrect with them</w:t>
      </w:r>
    </w:p>
    <w:p w14:paraId="71E195FA" w14:textId="049A3A6E">
      <w:pPr>
        <w:pStyle w:val="Lista2"/>
      </w:pPr>
      <w:r>
        <w:t xml:space="preserve">in such a case, proceed as in </w:t>
      </w:r>
      <w:r>
        <w:fldChar w:fldCharType="begin"/>
      </w:r>
      <w:r>
        <w:instrText xml:space="preserve"> REF _Ref181707534 \h </w:instrText>
      </w:r>
      <w:r>
        <w:fldChar w:fldCharType="separate"/>
      </w:r>
      <w:r>
        <w:t xml:space="preserve">Exhibit </w:t>
      </w:r>
      <w:r>
        <w:rPr>
          <w:noProof/>
        </w:rPr>
        <w:t>3.2</w:t>
      </w:r>
      <w:r>
        <w:t>.</w:t>
      </w:r>
      <w:r>
        <w:rPr>
          <w:noProof/>
        </w:rPr>
        <w:t>E</w:t>
      </w:r>
      <w:r>
        <w:fldChar w:fldCharType="end"/>
      </w:r>
      <w:r>
        <w:t>, namely:</w:t>
      </w:r>
    </w:p>
    <w:p w14:paraId="76437F12" w14:textId="77777777">
      <w:pPr>
        <w:pStyle w:val="Lista3"/>
        <w:jc w:val="both"/>
      </w:pPr>
      <w:r>
        <w:t xml:space="preserve">include all text at its </w:t>
      </w:r>
      <w:r>
        <w:rPr>
          <w:i/>
          <w:iCs/>
        </w:rPr>
        <w:t>physical</w:t>
      </w:r>
      <w:r>
        <w:t xml:space="preserve"> place, creating prose and/or verse containers as applicable</w:t>
      </w:r>
    </w:p>
    <w:p w14:paraId="166ED1FF" w14:textId="77777777">
      <w:pPr>
        <w:pStyle w:val="Lista3"/>
        <w:jc w:val="both"/>
      </w:pPr>
      <w:r>
        <w:t xml:space="preserve">add </w:t>
      </w:r>
      <w:r>
        <w:rPr>
          <w:rStyle w:val="Codeattribute"/>
        </w:rPr>
        <w:t>@part</w:t>
      </w:r>
      <w:r>
        <w:t>, with values as applicable, to all incomplete containers</w:t>
      </w:r>
    </w:p>
    <w:p w14:paraId="347AF23D" w14:textId="77777777">
      <w:pPr>
        <w:pStyle w:val="Lista3"/>
      </w:pPr>
      <w:r>
        <w:t>if a stanza is split at a line boundary,</w:t>
      </w:r>
    </w:p>
    <w:p w14:paraId="6BABD664" w14:textId="77777777">
      <w:pPr>
        <w:pStyle w:val="Lista4"/>
      </w:pPr>
      <w:r>
        <w:t>use the same number (</w:t>
      </w:r>
      <w:r>
        <w:rPr>
          <w:rStyle w:val="Codeattribute"/>
        </w:rPr>
        <w:t>@n</w:t>
      </w:r>
      <w:r>
        <w:t xml:space="preserve">) for both (or all) incomplete </w:t>
      </w:r>
      <w:r>
        <w:rPr>
          <w:rStyle w:val="Code"/>
        </w:rPr>
        <w:t>&lt;lg&gt;</w:t>
      </w:r>
      <w:r>
        <w:t xml:space="preserve"> elements and number the lines consecutively in them</w:t>
      </w:r>
    </w:p>
    <w:p w14:paraId="3A4C9810" w14:textId="77777777">
      <w:pPr>
        <w:pStyle w:val="Lista3"/>
      </w:pPr>
      <w:r>
        <w:t>if a stanza is split within a verse line,</w:t>
      </w:r>
    </w:p>
    <w:p w14:paraId="277280A5" w14:textId="77777777">
      <w:pPr>
        <w:pStyle w:val="Lista4"/>
      </w:pPr>
      <w:r>
        <w:t xml:space="preserve">add </w:t>
      </w:r>
      <w:r>
        <w:rPr>
          <w:rStyle w:val="Codeattribute"/>
        </w:rPr>
        <w:t>@part</w:t>
      </w:r>
      <w:r>
        <w:t xml:space="preserve"> to the incomplete </w:t>
      </w:r>
      <w:r>
        <w:rPr>
          <w:rStyle w:val="Code"/>
        </w:rPr>
        <w:t>&lt;l&gt;</w:t>
      </w:r>
      <w:r>
        <w:t xml:space="preserve"> elements as well as to the </w:t>
      </w:r>
      <w:r>
        <w:rPr>
          <w:rStyle w:val="Code"/>
        </w:rPr>
        <w:t>&lt;lg&gt;</w:t>
      </w:r>
      <w:r>
        <w:t xml:space="preserve"> elements</w:t>
      </w:r>
    </w:p>
    <w:p w14:paraId="6EBE03D1" w14:textId="77777777">
      <w:pPr>
        <w:pStyle w:val="Lista4"/>
      </w:pPr>
      <w:r>
        <w:t>use the same number (</w:t>
      </w:r>
      <w:r>
        <w:rPr>
          <w:rStyle w:val="Codeattribute"/>
        </w:rPr>
        <w:t>@n</w:t>
      </w:r>
      <w:r>
        <w:t xml:space="preserve">) for both (or all) incomplete </w:t>
      </w:r>
      <w:r>
        <w:rPr>
          <w:rStyle w:val="Code"/>
        </w:rPr>
        <w:t>&lt;l&gt;</w:t>
      </w:r>
      <w:r>
        <w:t xml:space="preserve"> elements</w:t>
      </w:r>
    </w:p>
    <w:p w14:paraId="0AA56CE1" w14:textId="77777777">
      <w:pPr>
        <w:pStyle w:val="Lista2"/>
      </w:pPr>
      <w:r>
        <w:t>discuss the logical sequence in your annotation</w:t>
      </w:r>
    </w:p>
    <w:tbl>
      <w:tblPr>
        <w:tblStyle w:val="CodeSampleTable"/>
        <w:tblW w:w="5000" w:type="pct"/>
        <w:tblLook w:val="04A0" w:firstRow="1" w:lastRow="0" w:firstColumn="1" w:lastColumn="0" w:noHBand="0" w:noVBand="1"/>
      </w:tblPr>
      <w:tblGrid>
        <w:gridCol w:w="9628"/>
      </w:tblGrid>
      <w:tr w14:paraId="6EB4032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74EA246" w14:textId="4A15F133">
            <w:pPr>
              <w:pStyle w:val="Kpalrs"/>
            </w:pPr>
            <w:bookmarkStart w:id="98" w:name="_Ref181707534"/>
            <w:r>
              <w:lastRenderedPageBreak/>
              <w:t xml:space="preserve">Exhibit </w:t>
            </w:r>
            <w:fldSimple w:instr=" STYLEREF 2 \s ">
              <w:r>
                <w:rPr>
                  <w:noProof/>
                </w:rPr>
                <w:t>3.2</w:t>
              </w:r>
            </w:fldSimple>
            <w:r>
              <w:t>.</w:t>
            </w:r>
            <w:fldSimple w:instr=" SEQ Exhibit \* ALPHABETIC \s 2 ">
              <w:r>
                <w:rPr>
                  <w:noProof/>
                </w:rPr>
                <w:t>E</w:t>
              </w:r>
            </w:fldSimple>
            <w:bookmarkEnd w:id="98"/>
            <w:r>
              <w:t>: stanza interrupted by prose</w:t>
            </w:r>
          </w:p>
        </w:tc>
      </w:tr>
      <w:tr w14:paraId="45739278" w14:textId="77777777">
        <w:tc>
          <w:tcPr>
            <w:tcW w:w="5000" w:type="pct"/>
          </w:tcPr>
          <w:p w14:paraId="0AEB2547" w14:textId="77777777">
            <w:pPr>
              <w:pStyle w:val="CodeParagraph"/>
              <w:keepNext/>
              <w:rPr>
                <w:rStyle w:val="Code"/>
              </w:rPr>
            </w:pPr>
            <w:r>
              <w:rPr>
                <w:rStyle w:val="Code"/>
              </w:rPr>
              <w:t xml:space="preserve">&lt;lg </w:t>
            </w:r>
            <w:r>
              <w:rPr>
                <w:rStyle w:val="Codeattribute"/>
              </w:rPr>
              <w:t>n</w:t>
            </w:r>
            <w:r>
              <w:rPr>
                <w:rStyle w:val="Codetext"/>
              </w:rPr>
              <w:t>=</w:t>
            </w:r>
            <w:r>
              <w:rPr>
                <w:rStyle w:val="Codevalue"/>
              </w:rPr>
              <w:t>"1"</w:t>
            </w:r>
            <w:r>
              <w:rPr>
                <w:rStyle w:val="Code"/>
              </w:rPr>
              <w:t xml:space="preserve"> </w:t>
            </w:r>
            <w:r>
              <w:rPr>
                <w:rStyle w:val="Codeattribute"/>
              </w:rPr>
              <w:t>part</w:t>
            </w:r>
            <w:r>
              <w:rPr>
                <w:rStyle w:val="Codetext"/>
              </w:rPr>
              <w:t>=</w:t>
            </w:r>
            <w:r>
              <w:rPr>
                <w:rStyle w:val="Codevalue"/>
              </w:rPr>
              <w:t>"I"</w:t>
            </w:r>
            <w:r>
              <w:rPr>
                <w:rStyle w:val="Code"/>
              </w:rPr>
              <w:t xml:space="preserve"> </w:t>
            </w:r>
            <w:r>
              <w:rPr>
                <w:rStyle w:val="Codeattribute"/>
              </w:rPr>
              <w:t>met</w:t>
            </w:r>
            <w:r>
              <w:rPr>
                <w:rStyle w:val="Codetext"/>
              </w:rPr>
              <w:t>=</w:t>
            </w:r>
            <w:r>
              <w:rPr>
                <w:rStyle w:val="Codevalue"/>
              </w:rPr>
              <w:t>"anuṣṭubh"</w:t>
            </w:r>
            <w:r>
              <w:rPr>
                <w:rStyle w:val="Code"/>
              </w:rPr>
              <w:t>&gt;</w:t>
            </w:r>
          </w:p>
          <w:p w14:paraId="7A01CA5D" w14:textId="77777777">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&gt;&lt;lb </w:t>
            </w:r>
            <w:r>
              <w:rPr>
                <w:rStyle w:val="Codeattribute"/>
              </w:rPr>
              <w:t>n</w:t>
            </w:r>
            <w:r>
              <w:rPr>
                <w:rStyle w:val="Codetext"/>
              </w:rPr>
              <w:t>=</w:t>
            </w:r>
            <w:r>
              <w:rPr>
                <w:rStyle w:val="Codevalue"/>
              </w:rPr>
              <w:t>"12"</w:t>
            </w:r>
            <w:r>
              <w:rPr>
                <w:rStyle w:val="Code"/>
              </w:rPr>
              <w:t>/&gt;</w:t>
            </w:r>
            <w:r>
              <w:rPr>
                <w:rStyle w:val="Codetext"/>
              </w:rPr>
              <w:t>sva-dattāṁ para-dattām vā</w:t>
            </w:r>
            <w:r>
              <w:rPr>
                <w:rStyle w:val="Code"/>
              </w:rPr>
              <w:t>&lt;/l&gt;</w:t>
            </w:r>
          </w:p>
          <w:p w14:paraId="31BD4D1E" w14:textId="77777777">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yo hareta vasundharāṁ</w:t>
            </w:r>
            <w:r>
              <w:rPr>
                <w:rStyle w:val="Code"/>
              </w:rPr>
              <w:t>&lt;/l&gt;</w:t>
            </w:r>
          </w:p>
          <w:p w14:paraId="46445123" w14:textId="77777777">
            <w:pPr>
              <w:pStyle w:val="CodeParagraph"/>
              <w:keepNext/>
              <w:rPr>
                <w:rStyle w:val="Code"/>
              </w:rPr>
            </w:pPr>
            <w:r>
              <w:rPr>
                <w:rStyle w:val="Code"/>
              </w:rPr>
              <w:t>&lt;/lg&gt;</w:t>
            </w:r>
          </w:p>
          <w:p w14:paraId="45E9925E" w14:textId="77777777">
            <w:pPr>
              <w:pStyle w:val="CodeParagraph"/>
              <w:keepNext/>
              <w:rPr>
                <w:rStyle w:val="Code"/>
              </w:rPr>
            </w:pPr>
            <w:r>
              <w:rPr>
                <w:rStyle w:val="Code"/>
              </w:rPr>
              <w:t>&lt;p&gt;</w:t>
            </w:r>
            <w:r>
              <w:rPr>
                <w:rStyle w:val="Codetext"/>
              </w:rPr>
              <w:t>bhūmi-dāna-saṁbaddhāḥ ślokā bhavanti</w:t>
            </w:r>
            <w:r>
              <w:rPr>
                <w:rStyle w:val="Code"/>
              </w:rPr>
              <w:t>&lt;/p&gt;</w:t>
            </w:r>
          </w:p>
          <w:p w14:paraId="2CA0F425" w14:textId="77777777">
            <w:pPr>
              <w:pStyle w:val="CodeParagraph"/>
              <w:keepNext/>
              <w:rPr>
                <w:rStyle w:val="Code"/>
              </w:rPr>
            </w:pPr>
            <w:r>
              <w:rPr>
                <w:rStyle w:val="Code"/>
              </w:rPr>
              <w:t xml:space="preserve">&lt;lg </w:t>
            </w:r>
            <w:r>
              <w:rPr>
                <w:rStyle w:val="Codeattribute"/>
              </w:rPr>
              <w:t>n</w:t>
            </w:r>
            <w:r>
              <w:rPr>
                <w:rStyle w:val="Codetext"/>
              </w:rPr>
              <w:t>=</w:t>
            </w:r>
            <w:r>
              <w:rPr>
                <w:rStyle w:val="Codevalue"/>
              </w:rPr>
              <w:t>"1"</w:t>
            </w:r>
            <w:r>
              <w:rPr>
                <w:rStyle w:val="Code"/>
              </w:rPr>
              <w:t xml:space="preserve"> </w:t>
            </w:r>
            <w:r>
              <w:rPr>
                <w:rStyle w:val="Codeattribute"/>
              </w:rPr>
              <w:t>part</w:t>
            </w:r>
            <w:r>
              <w:rPr>
                <w:rStyle w:val="Codetext"/>
              </w:rPr>
              <w:t>=</w:t>
            </w:r>
            <w:r>
              <w:rPr>
                <w:rStyle w:val="Codevalue"/>
              </w:rPr>
              <w:t>"F"</w:t>
            </w:r>
            <w:r>
              <w:rPr>
                <w:rStyle w:val="Code"/>
              </w:rPr>
              <w:t xml:space="preserve"> </w:t>
            </w:r>
            <w:r>
              <w:rPr>
                <w:rStyle w:val="Codeattribute"/>
              </w:rPr>
              <w:t>met</w:t>
            </w:r>
            <w:r>
              <w:rPr>
                <w:rStyle w:val="Codetext"/>
              </w:rPr>
              <w:t>=</w:t>
            </w:r>
            <w:r>
              <w:rPr>
                <w:rStyle w:val="Codevalue"/>
              </w:rPr>
              <w:t>"anuṣṭubh"</w:t>
            </w:r>
            <w:r>
              <w:rPr>
                <w:rStyle w:val="Code"/>
              </w:rPr>
              <w:t>&gt;</w:t>
            </w:r>
          </w:p>
          <w:p w14:paraId="35C2FAAC" w14:textId="77777777">
            <w:pPr>
              <w:pStyle w:val="CodeParagraph"/>
              <w:keepNext/>
              <w:rPr>
                <w:rStyle w:val="Code"/>
              </w:rPr>
            </w:pPr>
            <w:r>
              <w:rPr>
                <w:rStyle w:val="Code"/>
              </w:rPr>
              <w:t xml:space="preserve">  &lt;l </w:t>
            </w:r>
            <w:r>
              <w:rPr>
                <w:rStyle w:val="Codeattribute"/>
              </w:rPr>
              <w:t>n</w:t>
            </w:r>
            <w:r>
              <w:rPr>
                <w:rStyle w:val="Codetext"/>
              </w:rPr>
              <w:t>=</w:t>
            </w:r>
            <w:r>
              <w:rPr>
                <w:rStyle w:val="Codevalue"/>
              </w:rPr>
              <w:t>"c"</w:t>
            </w:r>
            <w:r>
              <w:rPr>
                <w:rStyle w:val="Code"/>
              </w:rPr>
              <w:t xml:space="preserve">&gt;&lt;lb </w:t>
            </w:r>
            <w:r>
              <w:rPr>
                <w:rStyle w:val="Codeattribute"/>
              </w:rPr>
              <w:t>n</w:t>
            </w:r>
            <w:r>
              <w:rPr>
                <w:rStyle w:val="Codetext"/>
              </w:rPr>
              <w:t>=</w:t>
            </w:r>
            <w:r>
              <w:rPr>
                <w:rStyle w:val="Codevalue"/>
              </w:rPr>
              <w:t>"13"</w:t>
            </w:r>
            <w:r>
              <w:rPr>
                <w:rStyle w:val="Code"/>
              </w:rPr>
              <w:t>/&gt;</w:t>
            </w:r>
            <w:r>
              <w:rPr>
                <w:rStyle w:val="Codetext"/>
              </w:rPr>
              <w:t>sa viṣṭhāyāṁ kr̥mir bhūtvā</w:t>
            </w:r>
            <w:r>
              <w:rPr>
                <w:rStyle w:val="Code"/>
              </w:rPr>
              <w:t>&lt;/l&gt;</w:t>
            </w:r>
          </w:p>
          <w:p w14:paraId="14175A0D" w14:textId="77777777">
            <w:pPr>
              <w:pStyle w:val="CodeParagraph"/>
              <w:keepNext/>
              <w:rPr>
                <w:rStyle w:val="Code"/>
              </w:rPr>
            </w:pPr>
            <w:r>
              <w:rPr>
                <w:rStyle w:val="Code"/>
              </w:rPr>
              <w:t xml:space="preserve">  &lt;l </w:t>
            </w:r>
            <w:r>
              <w:rPr>
                <w:rStyle w:val="Codeattribute"/>
              </w:rPr>
              <w:t>n</w:t>
            </w:r>
            <w:r>
              <w:rPr>
                <w:rStyle w:val="Codetext"/>
              </w:rPr>
              <w:t>=</w:t>
            </w:r>
            <w:r>
              <w:rPr>
                <w:rStyle w:val="Codevalue"/>
              </w:rPr>
              <w:t>"d"</w:t>
            </w:r>
            <w:r>
              <w:rPr>
                <w:rStyle w:val="Code"/>
              </w:rPr>
              <w:t>&gt;</w:t>
            </w:r>
            <w:r>
              <w:rPr>
                <w:rStyle w:val="Codetext"/>
              </w:rPr>
              <w:t>pitr̥bhiḥ saha pacyate</w:t>
            </w:r>
            <w:r>
              <w:rPr>
                <w:rStyle w:val="Code"/>
              </w:rPr>
              <w:t>&lt;/l&gt;</w:t>
            </w:r>
          </w:p>
          <w:p w14:paraId="5EE655B9" w14:textId="77777777">
            <w:pPr>
              <w:pStyle w:val="CodeParagraph"/>
              <w:keepNext/>
            </w:pPr>
            <w:r>
              <w:rPr>
                <w:rStyle w:val="Code"/>
              </w:rPr>
              <w:t>&lt;/lg&gt;</w:t>
            </w:r>
          </w:p>
        </w:tc>
      </w:tr>
      <w:tr w14:paraId="1F13BA06" w14:textId="77777777">
        <w:tc>
          <w:tcPr>
            <w:tcW w:w="5000" w:type="pct"/>
          </w:tcPr>
          <w:p w14:paraId="7DC6CD85" w14:textId="77777777">
            <w:pPr>
              <w:pStyle w:val="TableNote"/>
              <w:rPr>
                <w:rFonts w:ascii="Arial" w:hAnsi="Arial" w:cs="Arial"/>
                <w:sz w:val="18"/>
                <w:szCs w:val="18"/>
              </w:rPr>
            </w:pPr>
            <w:r>
              <w:t>the first half of stanza 1 is inscribed in line 12</w:t>
            </w:r>
          </w:p>
          <w:p w14:paraId="4EC775E8" w14:textId="77777777">
            <w:pPr>
              <w:pStyle w:val="TableNote"/>
            </w:pPr>
            <w:r>
              <w:t>at this point the engraver apparently realised that he had forgotten to engrave the prose introducing the admonitory stanzas and engraved that right after the first hemistich</w:t>
            </w:r>
          </w:p>
          <w:p w14:paraId="5503123B" w14:textId="77777777">
            <w:pPr>
              <w:pStyle w:val="TableNote"/>
              <w:rPr>
                <w:rFonts w:ascii="Arial" w:hAnsi="Arial" w:cs="Arial"/>
                <w:sz w:val="18"/>
                <w:szCs w:val="18"/>
              </w:rPr>
            </w:pPr>
            <w:r>
              <w:t>then, at the beginning of line 13, he continued with the rest of the stanza</w:t>
            </w:r>
          </w:p>
          <w:p w14:paraId="71DF502D" w14:textId="77777777">
            <w:pPr>
              <w:pStyle w:val="TableNote"/>
            </w:pPr>
            <w:r>
              <w:t>since the out-of-sequence part is integrated into the physical sequence of the text without any indication that this is a correction, the text was encoded with a split container</w:t>
            </w:r>
          </w:p>
        </w:tc>
      </w:tr>
    </w:tbl>
    <w:p w14:paraId="52D42C67" w14:textId="77777777">
      <w:pPr>
        <w:pStyle w:val="Cmsor4"/>
      </w:pPr>
      <w:bookmarkStart w:id="99" w:name="_Ref232089040"/>
      <w:bookmarkStart w:id="100" w:name="_Ref225324784"/>
      <w:r>
        <w:t>Extrametrical additions to verse</w:t>
      </w:r>
      <w:bookmarkEnd w:id="99"/>
    </w:p>
    <w:p w14:paraId="30B85C69" w14:textId="5C741658">
      <w:r>
        <w:t xml:space="preserve">Stanzas occasionally come with extrametrical additions, such as an introductory connective phrase (e.g. </w:t>
      </w:r>
      <w:r>
        <w:rPr>
          <w:rStyle w:val="Foreign"/>
        </w:rPr>
        <w:t>api ca</w:t>
      </w:r>
      <w:r>
        <w:t xml:space="preserve">), an opening label denoting a verse passage (e.g. </w:t>
      </w:r>
      <w:r>
        <w:rPr>
          <w:rStyle w:val="Foreign"/>
        </w:rPr>
        <w:t>ślokāḥ</w:t>
      </w:r>
      <w:r>
        <w:t xml:space="preserve">), an honorific (e.g. </w:t>
      </w:r>
      <w:r>
        <w:rPr>
          <w:rStyle w:val="Foreign"/>
        </w:rPr>
        <w:t>śrī</w:t>
      </w:r>
      <w:r>
        <w:t xml:space="preserve">) tagged on to names, or a closing </w:t>
      </w:r>
      <w:r>
        <w:rPr>
          <w:rStyle w:val="Foreign"/>
        </w:rPr>
        <w:t>iti</w:t>
      </w:r>
      <w:r>
        <w:t xml:space="preserve"> added at the end. Such supplementary pieces of text must be encoded outside the stanza structure, thus:</w:t>
      </w:r>
    </w:p>
    <w:p w14:paraId="2BBDFEB0" w14:textId="77777777">
      <w:pPr>
        <w:pStyle w:val="Lista"/>
      </w:pPr>
      <w:r>
        <w:t>if the extrametrical addition is at the beginning or end of a stanza and can be conceived of as belonging to the previous or next container (i.e. when the adjacent container is prose and the addition is semantically contiguous with its content), then simply treat the addition as part of the adjacent container</w:t>
      </w:r>
    </w:p>
    <w:p w14:paraId="32E077E9" w14:textId="5225F613">
      <w:pPr>
        <w:pStyle w:val="Lista"/>
      </w:pPr>
      <w:r>
        <w:t xml:space="preserve">if the extrametrical addition is at the beginning or end of a stanza but cannot be conceived of as belonging to the previous or next container (i.e. when the adjacent container is verse or the addition is semantically separate from its content), then create a separate </w:t>
      </w:r>
      <w:r>
        <w:rPr>
          <w:rStyle w:val="Code"/>
        </w:rPr>
        <w:t>&lt;ab&gt;</w:t>
      </w:r>
      <w:r>
        <w:t xml:space="preserve"> container (§</w:t>
      </w:r>
      <w:r>
        <w:fldChar w:fldCharType="begin"/>
      </w:r>
      <w:r>
        <w:instrText xml:space="preserve"> REF _Ref43981028 \r \h </w:instrText>
      </w:r>
      <w:r>
        <w:fldChar w:fldCharType="separate"/>
      </w:r>
      <w:r>
        <w:t>3.2.1.2</w:t>
      </w:r>
      <w:r>
        <w:fldChar w:fldCharType="end"/>
      </w:r>
      <w:r>
        <w:t xml:space="preserve">) for the addition as in </w:t>
      </w:r>
      <w:r>
        <w:fldChar w:fldCharType="begin"/>
      </w:r>
      <w:r>
        <w:instrText xml:space="preserve"> REF _Ref137825293 \h </w:instrText>
      </w:r>
      <w:r>
        <w:fldChar w:fldCharType="separate"/>
      </w:r>
      <w:r>
        <w:t xml:space="preserve">Exhibit </w:t>
      </w:r>
      <w:r>
        <w:rPr>
          <w:noProof/>
        </w:rPr>
        <w:t>3.2</w:t>
      </w:r>
      <w:r>
        <w:t>.</w:t>
      </w:r>
      <w:r>
        <w:rPr>
          <w:noProof/>
        </w:rPr>
        <w:t>F</w:t>
      </w:r>
      <w:r>
        <w:fldChar w:fldCharType="end"/>
      </w:r>
    </w:p>
    <w:p w14:paraId="6864F48B" w14:textId="55CECE05">
      <w:pPr>
        <w:pStyle w:val="Lista"/>
      </w:pPr>
      <w:r>
        <w:t>if the extrametrical addition is within a stanza, then split up the stanza as per §</w:t>
      </w:r>
      <w:r>
        <w:fldChar w:fldCharType="begin"/>
      </w:r>
      <w:r>
        <w:instrText xml:space="preserve"> REF _Ref228980509 \r \h </w:instrText>
      </w:r>
      <w:r>
        <w:fldChar w:fldCharType="separate"/>
      </w:r>
      <w:r>
        <w:t>3.2.3.1</w:t>
      </w:r>
      <w:r>
        <w:fldChar w:fldCharType="end"/>
      </w:r>
      <w:r>
        <w:t xml:space="preserve"> and create a separate </w:t>
      </w:r>
      <w:r>
        <w:rPr>
          <w:rStyle w:val="Code"/>
        </w:rPr>
        <w:t>&lt;ab&gt;</w:t>
      </w:r>
      <w:r>
        <w:t xml:space="preserve"> container for the addition</w:t>
      </w:r>
    </w:p>
    <w:p w14:paraId="05E4872D" w14:textId="35E8B32F">
      <w:pPr>
        <w:pStyle w:val="Lista"/>
      </w:pPr>
      <w:r>
        <w:t>additional instructions for treating vowel fusion sandhi across container boundaries are given in §</w:t>
      </w:r>
      <w:r>
        <w:fldChar w:fldCharType="begin"/>
      </w:r>
      <w:r>
        <w:instrText xml:space="preserve"> REF _Ref225324953 \r \h </w:instrText>
      </w:r>
      <w:r>
        <w:fldChar w:fldCharType="separate"/>
      </w:r>
      <w:r>
        <w:t>3.2.4.4</w:t>
      </w:r>
      <w:r>
        <w:fldChar w:fldCharType="end"/>
      </w:r>
    </w:p>
    <w:p w14:paraId="04065C9B" w14:textId="77777777"/>
    <w:tbl>
      <w:tblPr>
        <w:tblStyle w:val="CodeSampleTable"/>
        <w:tblW w:w="5000" w:type="pct"/>
        <w:tblLook w:val="04A0" w:firstRow="1" w:lastRow="0" w:firstColumn="1" w:lastColumn="0" w:noHBand="0" w:noVBand="1"/>
      </w:tblPr>
      <w:tblGrid>
        <w:gridCol w:w="9628"/>
      </w:tblGrid>
      <w:tr w14:paraId="496D5B6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31B4D33" w14:textId="198EFBCC">
            <w:pPr>
              <w:pStyle w:val="Kpalrs"/>
            </w:pPr>
            <w:bookmarkStart w:id="101" w:name="_Ref137825293"/>
            <w:bookmarkStart w:id="102" w:name="_Ref137825286"/>
            <w:r>
              <w:t xml:space="preserve">Exhibit </w:t>
            </w:r>
            <w:fldSimple w:instr=" STYLEREF 2 \s ">
              <w:r>
                <w:rPr>
                  <w:noProof/>
                </w:rPr>
                <w:t>3.2</w:t>
              </w:r>
            </w:fldSimple>
            <w:r>
              <w:t>.</w:t>
            </w:r>
            <w:fldSimple w:instr=" SEQ Exhibit \* ALPHABETIC \s 2 ">
              <w:r>
                <w:rPr>
                  <w:noProof/>
                </w:rPr>
                <w:t>F</w:t>
              </w:r>
            </w:fldSimple>
            <w:bookmarkEnd w:id="101"/>
            <w:r>
              <w:t>: stanza with initial extrametrical addition</w:t>
            </w:r>
            <w:bookmarkEnd w:id="102"/>
          </w:p>
        </w:tc>
      </w:tr>
      <w:tr w14:paraId="51FC5D18" w14:textId="77777777">
        <w:tc>
          <w:tcPr>
            <w:tcW w:w="5000" w:type="pct"/>
          </w:tcPr>
          <w:p w14:paraId="0358F311" w14:textId="77777777">
            <w:pPr>
              <w:pStyle w:val="CodeParagraph"/>
              <w:rPr>
                <w:rStyle w:val="Code"/>
              </w:rPr>
            </w:pPr>
            <w:r>
              <w:rPr>
                <w:rStyle w:val="Code"/>
              </w:rPr>
              <w:t xml:space="preserve">&lt;ab&gt;&lt;lb </w:t>
            </w:r>
            <w:r>
              <w:rPr>
                <w:rStyle w:val="Codeattribute"/>
              </w:rPr>
              <w:t>n</w:t>
            </w:r>
            <w:r>
              <w:rPr>
                <w:rStyle w:val="Code"/>
              </w:rPr>
              <w:t>=</w:t>
            </w:r>
            <w:r>
              <w:rPr>
                <w:rStyle w:val="Codevalue"/>
              </w:rPr>
              <w:t>"2"</w:t>
            </w:r>
            <w:r>
              <w:rPr>
                <w:rStyle w:val="Code"/>
              </w:rPr>
              <w:t>/&gt;</w:t>
            </w:r>
            <w:r>
              <w:rPr>
                <w:rStyle w:val="Codetext"/>
              </w:rPr>
              <w:t>śrī</w:t>
            </w:r>
            <w:r>
              <w:rPr>
                <w:rStyle w:val="Code"/>
              </w:rPr>
              <w:t>&lt;/ab&gt;</w:t>
            </w:r>
          </w:p>
          <w:p w14:paraId="06717978" w14:textId="77777777">
            <w:pPr>
              <w:pStyle w:val="CodeParagraph"/>
              <w:rPr>
                <w:rStyle w:val="Code"/>
              </w:rPr>
            </w:pPr>
            <w:r>
              <w:rPr>
                <w:rStyle w:val="Code"/>
              </w:rPr>
              <w:t xml:space="preserve">&lt;lg </w:t>
            </w:r>
            <w:r>
              <w:rPr>
                <w:rStyle w:val="Codeattribute"/>
              </w:rPr>
              <w:t>n</w:t>
            </w:r>
            <w:r>
              <w:rPr>
                <w:rStyle w:val="Code"/>
              </w:rPr>
              <w:t>=</w:t>
            </w:r>
            <w:r>
              <w:rPr>
                <w:rStyle w:val="Codevalue"/>
              </w:rPr>
              <w:t>"2"</w:t>
            </w:r>
            <w:r>
              <w:rPr>
                <w:rStyle w:val="Code"/>
              </w:rPr>
              <w:t xml:space="preserve"> </w:t>
            </w:r>
            <w:r>
              <w:rPr>
                <w:rStyle w:val="Codeattribute"/>
              </w:rPr>
              <w:t>met</w:t>
            </w:r>
            <w:r>
              <w:rPr>
                <w:rStyle w:val="Code"/>
              </w:rPr>
              <w:t>=</w:t>
            </w:r>
            <w:r>
              <w:rPr>
                <w:rStyle w:val="Codevalue"/>
              </w:rPr>
              <w:t>"anuṣṭubh"</w:t>
            </w:r>
            <w:r>
              <w:rPr>
                <w:rStyle w:val="Code"/>
              </w:rPr>
              <w:t>&gt;</w:t>
            </w:r>
          </w:p>
          <w:p w14:paraId="4A4D9D1A" w14:textId="77777777">
            <w:pPr>
              <w:pStyle w:val="CodeParagraph"/>
              <w:rPr>
                <w:rStyle w:val="Code"/>
              </w:rPr>
            </w:pPr>
            <w:r>
              <w:rPr>
                <w:rStyle w:val="Code"/>
              </w:rPr>
              <w:t xml:space="preserve">  &lt;l </w:t>
            </w:r>
            <w:r>
              <w:rPr>
                <w:rStyle w:val="Codeattribute"/>
              </w:rPr>
              <w:t>n</w:t>
            </w:r>
            <w:r>
              <w:rPr>
                <w:rStyle w:val="Code"/>
              </w:rPr>
              <w:t>=</w:t>
            </w:r>
            <w:r>
              <w:rPr>
                <w:rStyle w:val="Codevalue"/>
              </w:rPr>
              <w:t>"a"</w:t>
            </w:r>
            <w:r>
              <w:rPr>
                <w:rStyle w:val="Code"/>
              </w:rPr>
              <w:t>&gt;</w:t>
            </w:r>
            <w:r>
              <w:rPr>
                <w:rStyle w:val="Codetext"/>
              </w:rPr>
              <w:t>prabhāsomeśvaraḥ śrīmān·</w:t>
            </w:r>
            <w:r>
              <w:rPr>
                <w:rStyle w:val="Code"/>
              </w:rPr>
              <w:t>&lt;/l&gt;</w:t>
            </w:r>
          </w:p>
          <w:p w14:paraId="1E90C43E" w14:textId="77777777">
            <w:pPr>
              <w:pStyle w:val="CodeParagraph"/>
              <w:rPr>
                <w:rStyle w:val="Codetext"/>
              </w:rPr>
            </w:pPr>
            <w:r>
              <w:rPr>
                <w:rStyle w:val="Codetext"/>
              </w:rPr>
              <w:t xml:space="preserve">  ...</w:t>
            </w:r>
          </w:p>
          <w:p w14:paraId="32C5312D" w14:textId="77777777">
            <w:pPr>
              <w:pStyle w:val="CodeParagraph"/>
            </w:pPr>
            <w:r>
              <w:rPr>
                <w:rStyle w:val="Code"/>
              </w:rPr>
              <w:t>&lt;/lg&gt;</w:t>
            </w:r>
          </w:p>
        </w:tc>
      </w:tr>
      <w:tr w14:paraId="6186DFA3" w14:textId="77777777">
        <w:tc>
          <w:tcPr>
            <w:tcW w:w="5000" w:type="pct"/>
          </w:tcPr>
          <w:p w14:paraId="598C4213" w14:textId="77777777">
            <w:pPr>
              <w:pStyle w:val="TableNote"/>
            </w:pPr>
            <w:r>
              <w:t xml:space="preserve">the composer or the engraver felt the need to add the honorific </w:t>
            </w:r>
            <w:r>
              <w:rPr>
                <w:rStyle w:val="Foreign"/>
              </w:rPr>
              <w:t>śrī</w:t>
            </w:r>
            <w:r>
              <w:t xml:space="preserve"> before the name of the deity, but the stanza’s metre would be disrupted by this addition</w:t>
            </w:r>
          </w:p>
          <w:p w14:paraId="74CFC35E" w14:textId="77777777">
            <w:pPr>
              <w:pStyle w:val="TableNote"/>
              <w:rPr>
                <w:rStyle w:val="Code"/>
                <w:rFonts w:ascii="Arial" w:hAnsi="Arial" w:cs="Arial"/>
                <w:noProof w:val="0"/>
                <w:color w:val="auto"/>
                <w:sz w:val="18"/>
                <w:szCs w:val="18"/>
                <w:shd w:val="clear" w:color="auto" w:fill="auto"/>
              </w:rPr>
            </w:pPr>
            <w:r>
              <w:rPr>
                <w:rStyle w:val="Foreign"/>
              </w:rPr>
              <w:t>śrī</w:t>
            </w:r>
            <w:r>
              <w:t xml:space="preserve"> is therefore encoded in a separate prose container before the stanza</w:t>
            </w:r>
          </w:p>
        </w:tc>
      </w:tr>
    </w:tbl>
    <w:p w14:paraId="0E3E5F0A" w14:textId="77777777">
      <w:pPr>
        <w:pStyle w:val="Cmsor3"/>
      </w:pPr>
      <w:bookmarkStart w:id="103" w:name="_Toc242889454"/>
      <w:r>
        <w:t xml:space="preserve">Container boundaries interrupting </w:t>
      </w:r>
      <w:bookmarkEnd w:id="100"/>
      <w:r>
        <w:t>the text</w:t>
      </w:r>
      <w:bookmarkEnd w:id="103"/>
    </w:p>
    <w:p w14:paraId="09D0A88D" w14:textId="78F5F545">
      <w:bookmarkStart w:id="104" w:name="_npo9c26uh9kc" w:colFirst="0" w:colLast="0"/>
      <w:bookmarkStart w:id="105" w:name="_jc4wva15vg6u" w:colFirst="0" w:colLast="0"/>
      <w:bookmarkStart w:id="106" w:name="_5nopgd94ub2w" w:colFirst="0" w:colLast="0"/>
      <w:bookmarkStart w:id="107" w:name="_9vbmy5wityl0" w:colFirst="0" w:colLast="0"/>
      <w:bookmarkEnd w:id="104"/>
      <w:bookmarkEnd w:id="105"/>
      <w:bookmarkEnd w:id="106"/>
      <w:bookmarkEnd w:id="107"/>
      <w:r>
        <w:t>Since the units of intrinsic structure are determined on a largely semantic basis, their boundaries will normally coincide with word boundaries. This section discusses situations where this is not, or not obviously, the case. Such problematic situations are relatively common in verse lines, which are metrically determined and need not be semantically complete. Exceptionally, the boundaries of other kinds of block-level elements can also interact with the segmentation of the text. As a general rule for this situations, block boundaries must always be established at morphological word boundaries or as close to them as feasible. However, in the case of verse, metrical considerations take precedence, so boundaries must first correspond to the applicable prosodic requirements.</w:t>
      </w:r>
    </w:p>
    <w:p w14:paraId="6B20C1E0" w14:textId="77777777">
      <w:pPr>
        <w:pStyle w:val="Cmsor4"/>
      </w:pPr>
      <w:bookmarkStart w:id="108" w:name="_Ref224901083"/>
      <w:bookmarkStart w:id="109" w:name="_Ref225328264"/>
      <w:bookmarkStart w:id="110" w:name="_Ref225326474"/>
      <w:r>
        <w:lastRenderedPageBreak/>
        <w:t>Enjambement</w:t>
      </w:r>
      <w:bookmarkEnd w:id="108"/>
    </w:p>
    <w:p w14:paraId="62BA9553" w14:textId="77777777">
      <w:r>
        <w:t xml:space="preserve">The ends of verse lines normally coincide with word boundaries. When they do not (which may be a poetic device, a compositional mistake, or a different interpretation of versification conventions on the part of the composer), we speak of </w:t>
      </w:r>
      <w:r>
        <w:rPr>
          <w:i/>
          <w:iCs/>
        </w:rPr>
        <w:t>enjambement</w:t>
      </w:r>
      <w:r>
        <w:t xml:space="preserve">. TEI represents enjambement by adding the attribute </w:t>
      </w:r>
      <w:r>
        <w:rPr>
          <w:rStyle w:val="Codeattribute"/>
        </w:rPr>
        <w:t>@enjamb=</w:t>
      </w:r>
      <w:r>
        <w:rPr>
          <w:rStyle w:val="Codevalue"/>
        </w:rPr>
        <w:t>"yes"</w:t>
      </w:r>
      <w:r>
        <w:t xml:space="preserve"> to the </w:t>
      </w:r>
      <w:r>
        <w:rPr>
          <w:rStyle w:val="Code"/>
        </w:rPr>
        <w:t>&lt;l&gt;</w:t>
      </w:r>
      <w:r>
        <w:t xml:space="preserve"> element which ends inside a word, i.e. the one containing the initial part of the broken word, not to the one containing the final part.</w:t>
      </w:r>
    </w:p>
    <w:p w14:paraId="2AFF812C" w14:textId="2DAA38B8">
      <w:pPr>
        <w:pStyle w:val="Normlbehzs"/>
      </w:pPr>
      <w:r>
        <w:t>In DHARMA practice, encoding enjambement is mandatory whenever a line boundary does not coincide with a word boundary. Instructions pertaining to the various ways in which line and word boundaries interact are given in the following subsections.</w:t>
      </w:r>
    </w:p>
    <w:p w14:paraId="24DED941" w14:textId="77777777">
      <w:pPr>
        <w:pStyle w:val="Cmsor4"/>
      </w:pPr>
      <w:r>
        <w:t xml:space="preserve">Interrupted </w:t>
      </w:r>
      <w:r>
        <w:rPr>
          <w:rStyle w:val="Foreign"/>
        </w:rPr>
        <w:t>akṣara</w:t>
      </w:r>
      <w:r>
        <w:rPr>
          <w:rStyle w:val="Foreign"/>
          <w:i w:val="0"/>
          <w:iCs w:val="0"/>
        </w:rPr>
        <w:t>s</w:t>
      </w:r>
      <w:bookmarkEnd w:id="109"/>
    </w:p>
    <w:p w14:paraId="144156A7" w14:textId="3BF8805B">
      <w:r>
        <w:t xml:space="preserve">All of our editions are in Romanised transliteration, which allows us to detach any two adjacent graphemes of the text, even if these graphemes belong to a single </w:t>
      </w:r>
      <w:r>
        <w:rPr>
          <w:rStyle w:val="Foreign"/>
        </w:rPr>
        <w:t>akṣara</w:t>
      </w:r>
      <w:r>
        <w:t xml:space="preserve"> in the source.</w:t>
      </w:r>
      <w:r>
        <w:rPr>
          <w:rStyle w:val="Lbjegyzet-hivatkozs"/>
        </w:rPr>
        <w:footnoteReference w:id="9"/>
      </w:r>
      <w:r>
        <w:t xml:space="preserve"> The boundaries of block-level elements must always be placed at word boundaries unless this is patently impossible, while </w:t>
      </w:r>
      <w:r>
        <w:rPr>
          <w:rStyle w:val="Foreign"/>
        </w:rPr>
        <w:t>akṣara</w:t>
      </w:r>
      <w:r>
        <w:t xml:space="preserve"> boundaries can and must be disregarded when applicable.</w:t>
      </w:r>
    </w:p>
    <w:p w14:paraId="29A5F573" w14:textId="77BA5B25">
      <w:pPr>
        <w:pStyle w:val="Lista"/>
      </w:pPr>
      <w:r>
        <w:t xml:space="preserve">if </w:t>
      </w:r>
      <w:r>
        <w:rPr>
          <w:b/>
          <w:bCs/>
        </w:rPr>
        <w:t>the end of a verse line</w:t>
      </w:r>
      <w:r>
        <w:t xml:space="preserve"> falls at a segmentable point inside an </w:t>
      </w:r>
      <w:r>
        <w:rPr>
          <w:rStyle w:val="Foreign"/>
        </w:rPr>
        <w:t>akṣara</w:t>
      </w:r>
      <w:r>
        <w:t xml:space="preserve">, as in </w:t>
      </w:r>
      <w:r>
        <w:fldChar w:fldCharType="begin"/>
      </w:r>
      <w:r>
        <w:instrText xml:space="preserve"> REF _Ref181626270 \h </w:instrText>
      </w:r>
      <w:r>
        <w:fldChar w:fldCharType="separate"/>
      </w:r>
      <w:r>
        <w:t xml:space="preserve">Exhibit </w:t>
      </w:r>
      <w:r>
        <w:rPr>
          <w:noProof/>
        </w:rPr>
        <w:t>3.2</w:t>
      </w:r>
      <w:r>
        <w:t>.</w:t>
      </w:r>
      <w:r>
        <w:rPr>
          <w:noProof/>
        </w:rPr>
        <w:t>G</w:t>
      </w:r>
      <w:r>
        <w:fldChar w:fldCharType="end"/>
      </w:r>
    </w:p>
    <w:p w14:paraId="5EC5F9C4" w14:textId="77777777">
      <w:pPr>
        <w:pStyle w:val="Lista2"/>
      </w:pPr>
      <w:r>
        <w:t xml:space="preserve">ignore the </w:t>
      </w:r>
      <w:r>
        <w:rPr>
          <w:rStyle w:val="Foreign"/>
        </w:rPr>
        <w:t>akṣara</w:t>
      </w:r>
      <w:r>
        <w:t xml:space="preserve"> boundary and mark up the block boundary in its proper place</w:t>
      </w:r>
    </w:p>
    <w:p w14:paraId="6C0BCEDC" w14:textId="2AAE9897">
      <w:pPr>
        <w:pStyle w:val="Lista2"/>
      </w:pPr>
      <w:r>
        <w:t>enjambement (§</w:t>
      </w:r>
      <w:r>
        <w:fldChar w:fldCharType="begin"/>
      </w:r>
      <w:r>
        <w:instrText xml:space="preserve"> REF _Ref224901083 \r \h </w:instrText>
      </w:r>
      <w:r>
        <w:fldChar w:fldCharType="separate"/>
      </w:r>
      <w:r>
        <w:t>3.2.4.1</w:t>
      </w:r>
      <w:r>
        <w:fldChar w:fldCharType="end"/>
      </w:r>
      <w:r>
        <w:t>) is not present</w:t>
      </w:r>
    </w:p>
    <w:p w14:paraId="1C0BB507" w14:textId="2C86738A">
      <w:pPr>
        <w:pStyle w:val="Lista"/>
      </w:pPr>
      <w:r>
        <w:t xml:space="preserve">this applies no less to cases where sandhi reduces a final vowel to a semivowel, as in </w:t>
      </w:r>
      <w:r>
        <w:fldChar w:fldCharType="begin"/>
      </w:r>
      <w:r>
        <w:instrText xml:space="preserve"> REF _Ref224916154 \h </w:instrText>
      </w:r>
      <w:r>
        <w:fldChar w:fldCharType="separate"/>
      </w:r>
      <w:r>
        <w:t xml:space="preserve">Exhibit </w:t>
      </w:r>
      <w:r>
        <w:rPr>
          <w:noProof/>
        </w:rPr>
        <w:t>3.2</w:t>
      </w:r>
      <w:r>
        <w:t>.</w:t>
      </w:r>
      <w:r>
        <w:rPr>
          <w:noProof/>
        </w:rPr>
        <w:t>H</w:t>
      </w:r>
      <w:r>
        <w:fldChar w:fldCharType="end"/>
      </w:r>
    </w:p>
    <w:p w14:paraId="082C7EA0" w14:textId="77777777">
      <w:pPr>
        <w:pStyle w:val="Lista2"/>
      </w:pPr>
      <w:r>
        <w:t>the block boundary can still be marked up at the original word boundary</w:t>
      </w:r>
    </w:p>
    <w:p w14:paraId="2E0272A1" w14:textId="77777777">
      <w:pPr>
        <w:pStyle w:val="Lista"/>
      </w:pPr>
      <w:r>
        <w:t xml:space="preserve">if the original document employs a space or a symbol for indicating the block boundary, but this indication does not exactly coincide with the boundary because of the presence of a merged </w:t>
      </w:r>
      <w:r>
        <w:rPr>
          <w:rStyle w:val="Foreign"/>
        </w:rPr>
        <w:t>akṣara</w:t>
      </w:r>
      <w:r>
        <w:t xml:space="preserve"> (e.g. </w:t>
      </w:r>
      <w:r>
        <w:rPr>
          <w:rStyle w:val="Foreign"/>
        </w:rPr>
        <w:t>paṁcaviṁśati|ntat-putro</w:t>
      </w:r>
      <w:r>
        <w:t>)</w:t>
      </w:r>
    </w:p>
    <w:p w14:paraId="2EF44E4D" w14:textId="77777777">
      <w:pPr>
        <w:pStyle w:val="Lista2"/>
      </w:pPr>
      <w:r>
        <w:t>encode the space or symbol at its true location</w:t>
      </w:r>
    </w:p>
    <w:p w14:paraId="6D6CA235" w14:textId="18A576FC">
      <w:pPr>
        <w:pStyle w:val="Lista2"/>
      </w:pPr>
      <w:r>
        <w:t>optionally flag the locus as non-standard and/or normalise it as per §</w:t>
      </w:r>
      <w:r>
        <w:fldChar w:fldCharType="begin"/>
      </w:r>
      <w:r>
        <w:instrText xml:space="preserve"> REF _Ref227836867 \r \h </w:instrText>
      </w:r>
      <w:r>
        <w:fldChar w:fldCharType="separate"/>
      </w:r>
      <w:r>
        <w:t>5.4.6</w:t>
      </w:r>
      <w:r>
        <w:fldChar w:fldCharType="end"/>
      </w:r>
      <w:r>
        <w:t xml:space="preserve"> (for symbols) and §</w:t>
      </w:r>
      <w:r>
        <w:fldChar w:fldCharType="begin"/>
      </w:r>
      <w:r>
        <w:instrText xml:space="preserve"> REF _Ref227836913 \r \h </w:instrText>
      </w:r>
      <w:r>
        <w:fldChar w:fldCharType="separate"/>
      </w:r>
      <w:r>
        <w:t>5.5.4</w:t>
      </w:r>
      <w:r>
        <w:fldChar w:fldCharType="end"/>
      </w:r>
      <w:r>
        <w:t xml:space="preserve"> (for spaces)</w:t>
      </w:r>
    </w:p>
    <w:p w14:paraId="7B97BAF8" w14:textId="77777777"/>
    <w:tbl>
      <w:tblPr>
        <w:tblStyle w:val="CodeSampleTable"/>
        <w:tblW w:w="5000" w:type="pct"/>
        <w:tblLook w:val="04A0" w:firstRow="1" w:lastRow="0" w:firstColumn="1" w:lastColumn="0" w:noHBand="0" w:noVBand="1"/>
      </w:tblPr>
      <w:tblGrid>
        <w:gridCol w:w="6231"/>
        <w:gridCol w:w="3397"/>
      </w:tblGrid>
      <w:tr w14:paraId="42038CBD"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06ECB5B5" w14:textId="56981DDA">
            <w:pPr>
              <w:pStyle w:val="Kpalrs"/>
            </w:pPr>
            <w:bookmarkStart w:id="111" w:name="_Ref181626270"/>
            <w:r>
              <w:t xml:space="preserve">Exhibit </w:t>
            </w:r>
            <w:fldSimple w:instr=" STYLEREF 2 \s ">
              <w:r>
                <w:rPr>
                  <w:noProof/>
                </w:rPr>
                <w:t>3.2</w:t>
              </w:r>
            </w:fldSimple>
            <w:r>
              <w:t>.</w:t>
            </w:r>
            <w:fldSimple w:instr=" SEQ Exhibit \* ALPHABETIC \s 2 ">
              <w:r>
                <w:rPr>
                  <w:noProof/>
                </w:rPr>
                <w:t>G</w:t>
              </w:r>
            </w:fldSimple>
            <w:bookmarkEnd w:id="111"/>
            <w:r>
              <w:t xml:space="preserve">: </w:t>
            </w:r>
            <w:r>
              <w:rPr>
                <w:rStyle w:val="Foreign"/>
              </w:rPr>
              <w:t>akṣara</w:t>
            </w:r>
            <w:r>
              <w:t xml:space="preserve"> overlapping metrical boundary</w:t>
            </w:r>
          </w:p>
        </w:tc>
      </w:tr>
      <w:tr w14:paraId="7928628F" w14:textId="77777777">
        <w:tc>
          <w:tcPr>
            <w:tcW w:w="3236" w:type="pct"/>
          </w:tcPr>
          <w:p w14:paraId="1D3AFA0A" w14:textId="77777777">
            <w:pPr>
              <w:pStyle w:val="CodeParagraph"/>
              <w:keepNext/>
            </w:pPr>
            <w:r>
              <w:rPr>
                <w:rStyle w:val="Code"/>
              </w:rPr>
              <w:t xml:space="preserve">&lt;lg </w:t>
            </w:r>
            <w:r>
              <w:rPr>
                <w:rStyle w:val="Codeattribute"/>
              </w:rPr>
              <w:t>n</w:t>
            </w:r>
            <w:r>
              <w:rPr>
                <w:rStyle w:val="Code"/>
              </w:rPr>
              <w:t>=</w:t>
            </w:r>
            <w:r>
              <w:rPr>
                <w:rStyle w:val="Codevalue"/>
              </w:rPr>
              <w:t>"20"</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&gt;</w:t>
            </w:r>
            <w:r>
              <w:rPr>
                <w:rStyle w:val="Codetext"/>
              </w:rPr>
              <w:t>bahubhir vvasudhā dattā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bahubhiś cānupālitā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&gt;</w:t>
            </w:r>
            <w:r>
              <w:rPr>
                <w:rStyle w:val="Codetext"/>
              </w:rPr>
              <w:t>yasya yasya yadā bhūmis</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tasya tasya tadā phalaṁ</w:t>
            </w:r>
            <w:r>
              <w:rPr>
                <w:rStyle w:val="Code"/>
              </w:rPr>
              <w:t>&lt;/l&gt;</w:t>
            </w:r>
            <w:r>
              <w:rPr>
                <w:rStyle w:val="Codetext"/>
              </w:rPr>
              <w:br/>
            </w:r>
            <w:r>
              <w:rPr>
                <w:rStyle w:val="Code"/>
              </w:rPr>
              <w:t>&lt;/lg&gt;</w:t>
            </w:r>
          </w:p>
        </w:tc>
        <w:tc>
          <w:tcPr>
            <w:tcW w:w="1764" w:type="pct"/>
          </w:tcPr>
          <w:p w14:paraId="7A972121" w14:textId="77777777">
            <w:pPr>
              <w:pStyle w:val="Tabletext"/>
              <w:rPr>
                <w:rStyle w:val="ForeignDevanagariScript0"/>
                <w:sz w:val="24"/>
                <w:szCs w:val="24"/>
              </w:rPr>
            </w:pPr>
            <w:r>
              <w:rPr>
                <w:rStyle w:val="ForeignDevanagariScript0"/>
                <w:sz w:val="24"/>
                <w:szCs w:val="24"/>
                <w:cs/>
              </w:rPr>
              <w:t>बहुभिर्व्वसुधा दत्ता</w:t>
            </w:r>
          </w:p>
          <w:p w14:paraId="12DEE47B" w14:textId="77777777">
            <w:pPr>
              <w:pStyle w:val="Tabletext"/>
              <w:rPr>
                <w:rStyle w:val="ForeignDevanagariScript0"/>
                <w:sz w:val="24"/>
                <w:szCs w:val="24"/>
              </w:rPr>
            </w:pPr>
            <w:r>
              <w:rPr>
                <w:rStyle w:val="ForeignDevanagariScript0"/>
                <w:sz w:val="24"/>
                <w:szCs w:val="24"/>
                <w:cs/>
              </w:rPr>
              <w:t>बहुभिश्चानुपालिता</w:t>
            </w:r>
          </w:p>
          <w:p w14:paraId="0BEFEEF8" w14:textId="77777777">
            <w:pPr>
              <w:pStyle w:val="Tabletext"/>
              <w:rPr>
                <w:rStyle w:val="ForeignDevanagariScript0"/>
                <w:sz w:val="24"/>
                <w:szCs w:val="24"/>
              </w:rPr>
            </w:pPr>
            <w:r>
              <w:rPr>
                <w:rStyle w:val="ForeignDevanagariScript0"/>
                <w:sz w:val="24"/>
                <w:szCs w:val="24"/>
                <w:cs/>
              </w:rPr>
              <w:t xml:space="preserve">यस्य यस्य यदा </w:t>
            </w:r>
            <w:r>
              <w:rPr>
                <w:rStyle w:val="ForeignDevanagariScript0"/>
                <w:color w:val="EE0000"/>
                <w:sz w:val="24"/>
                <w:szCs w:val="24"/>
                <w:cs/>
              </w:rPr>
              <w:t>भूमि</w:t>
            </w:r>
          </w:p>
          <w:p w14:paraId="0EAF60FC" w14:textId="77777777">
            <w:pPr>
              <w:pStyle w:val="Tabletext"/>
            </w:pPr>
            <w:r>
              <w:rPr>
                <w:rStyle w:val="ForeignDevanagariScript0"/>
                <w:color w:val="EE0000"/>
                <w:sz w:val="24"/>
                <w:szCs w:val="24"/>
                <w:cs/>
              </w:rPr>
              <w:t>स्तस्य</w:t>
            </w:r>
            <w:r>
              <w:rPr>
                <w:rStyle w:val="ForeignDevanagariScript0"/>
                <w:sz w:val="24"/>
                <w:szCs w:val="24"/>
                <w:cs/>
              </w:rPr>
              <w:t xml:space="preserve"> तस्य तदा फलं</w:t>
            </w:r>
          </w:p>
        </w:tc>
      </w:tr>
      <w:tr w14:paraId="209601C0" w14:textId="77777777">
        <w:tc>
          <w:tcPr>
            <w:tcW w:w="5000" w:type="pct"/>
            <w:gridSpan w:val="2"/>
          </w:tcPr>
          <w:p w14:paraId="1D59FEF0" w14:textId="7BB5133E">
            <w:pPr>
              <w:pStyle w:val="TableNote"/>
              <w:keepNext/>
            </w:pPr>
            <w:r>
              <w:t xml:space="preserve">the end of line c can and must be marked up after </w:t>
            </w:r>
            <w:r>
              <w:rPr>
                <w:rStyle w:val="Foreign"/>
              </w:rPr>
              <w:t>bhūmis</w:t>
            </w:r>
            <w:r>
              <w:t xml:space="preserve">, even though the </w:t>
            </w:r>
            <w:r>
              <w:rPr>
                <w:rStyle w:val="Foreign"/>
              </w:rPr>
              <w:t>s</w:t>
            </w:r>
            <w:r>
              <w:t xml:space="preserve"> at the end of this word is part of the </w:t>
            </w:r>
            <w:r>
              <w:rPr>
                <w:rStyle w:val="Foreign"/>
              </w:rPr>
              <w:t>akṣara</w:t>
            </w:r>
            <w:r>
              <w:t xml:space="preserve"> </w:t>
            </w:r>
            <w:r>
              <w:rPr>
                <w:rStyle w:val="Foreign"/>
              </w:rPr>
              <w:t>sta</w:t>
            </w:r>
            <w:r>
              <w:t xml:space="preserve"> in Indic script and is routinely shown in the next line in Indic typography</w:t>
            </w:r>
          </w:p>
        </w:tc>
      </w:tr>
    </w:tbl>
    <w:p w14:paraId="35CDDDF2" w14:textId="77777777"/>
    <w:tbl>
      <w:tblPr>
        <w:tblStyle w:val="CodeSampleTable"/>
        <w:tblW w:w="5000" w:type="pct"/>
        <w:tblLook w:val="04A0" w:firstRow="1" w:lastRow="0" w:firstColumn="1" w:lastColumn="0" w:noHBand="0" w:noVBand="1"/>
      </w:tblPr>
      <w:tblGrid>
        <w:gridCol w:w="6231"/>
        <w:gridCol w:w="3397"/>
      </w:tblGrid>
      <w:tr w14:paraId="61352D26"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35C8536C" w14:textId="3561083E">
            <w:pPr>
              <w:pStyle w:val="Kpalrs"/>
            </w:pPr>
            <w:bookmarkStart w:id="112" w:name="_Ref224916154"/>
            <w:r>
              <w:t xml:space="preserve">Exhibit </w:t>
            </w:r>
            <w:fldSimple w:instr=" STYLEREF 2 \s ">
              <w:r>
                <w:rPr>
                  <w:noProof/>
                </w:rPr>
                <w:t>3.2</w:t>
              </w:r>
            </w:fldSimple>
            <w:r>
              <w:t>.</w:t>
            </w:r>
            <w:fldSimple w:instr=" SEQ Exhibit \* ALPHABETIC \s 2 ">
              <w:r>
                <w:rPr>
                  <w:noProof/>
                </w:rPr>
                <w:t>H</w:t>
              </w:r>
            </w:fldSimple>
            <w:bookmarkEnd w:id="112"/>
            <w:r>
              <w:t>: vowel reduction at</w:t>
            </w:r>
            <w:r>
              <w:rPr>
                <w:rStyle w:val="Foreign"/>
              </w:rPr>
              <w:t xml:space="preserve"> </w:t>
            </w:r>
            <w:r>
              <w:t>metrical boundary</w:t>
            </w:r>
          </w:p>
        </w:tc>
      </w:tr>
      <w:tr w14:paraId="633D393E" w14:textId="77777777">
        <w:tc>
          <w:tcPr>
            <w:tcW w:w="3236" w:type="pct"/>
          </w:tcPr>
          <w:p w14:paraId="5011FF9E" w14:textId="77777777">
            <w:pPr>
              <w:pStyle w:val="CodeParagraph"/>
              <w:keepNext/>
            </w:pPr>
            <w:r>
              <w:rPr>
                <w:rStyle w:val="Code"/>
              </w:rPr>
              <w:t xml:space="preserve">&lt;lg </w:t>
            </w:r>
            <w:r>
              <w:rPr>
                <w:rStyle w:val="Codeattribute"/>
              </w:rPr>
              <w:t>n</w:t>
            </w:r>
            <w:r>
              <w:rPr>
                <w:rStyle w:val="Code"/>
              </w:rPr>
              <w:t>=</w:t>
            </w:r>
            <w:r>
              <w:rPr>
                <w:rStyle w:val="Codevalue"/>
              </w:rPr>
              <w:t>"8"</w:t>
            </w:r>
            <w:r>
              <w:rPr>
                <w:rStyle w:val="Code"/>
              </w:rPr>
              <w:t xml:space="preserve"> </w:t>
            </w:r>
            <w:r>
              <w:rPr>
                <w:rStyle w:val="Codeattribute"/>
              </w:rPr>
              <w:t>met</w:t>
            </w:r>
            <w:r>
              <w:rPr>
                <w:rStyle w:val="Code"/>
              </w:rPr>
              <w:t>=</w:t>
            </w:r>
            <w:r>
              <w:rPr>
                <w:rStyle w:val="Codevalue"/>
              </w:rPr>
              <w:t>"vasantatilakā"</w:t>
            </w:r>
            <w:r>
              <w:rPr>
                <w:rStyle w:val="Code"/>
              </w:rPr>
              <w:t>&gt;</w:t>
            </w:r>
            <w:r>
              <w:rPr>
                <w:rStyle w:val="Codetext"/>
              </w:rPr>
              <w:br/>
              <w:t xml:space="preserve">  ...</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&gt;</w:t>
            </w:r>
            <w:r>
              <w:rPr>
                <w:rStyle w:val="Codetext"/>
              </w:rPr>
              <w:t>dānārṇṇavāmma-nr̥payoḥ khalu paṁcaviṁśaty</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abdān arakṣad avanī-talam ammarājaḥ</w:t>
            </w:r>
            <w:r>
              <w:rPr>
                <w:rStyle w:val="Code"/>
              </w:rPr>
              <w:t>&lt;/l&gt;</w:t>
            </w:r>
            <w:r>
              <w:rPr>
                <w:rStyle w:val="Codetext"/>
              </w:rPr>
              <w:br/>
            </w:r>
            <w:r>
              <w:rPr>
                <w:rStyle w:val="Code"/>
              </w:rPr>
              <w:t>&lt;/lg&gt;</w:t>
            </w:r>
          </w:p>
        </w:tc>
        <w:tc>
          <w:tcPr>
            <w:tcW w:w="1764" w:type="pct"/>
          </w:tcPr>
          <w:p w14:paraId="5D88310E" w14:textId="77777777">
            <w:pPr>
              <w:pStyle w:val="Tabletext"/>
              <w:rPr>
                <w:rStyle w:val="ForeignDevanagariScript0"/>
                <w:sz w:val="24"/>
                <w:szCs w:val="24"/>
              </w:rPr>
            </w:pPr>
            <w:r>
              <w:rPr>
                <w:rStyle w:val="ForeignDevanagariScript0"/>
                <w:sz w:val="24"/>
                <w:szCs w:val="24"/>
                <w:cs/>
              </w:rPr>
              <w:t xml:space="preserve">दानार्ण्णवाम्मनृपयोः खलु </w:t>
            </w:r>
            <w:r>
              <w:rPr>
                <w:rStyle w:val="ForeignDevanagariScript0"/>
                <w:color w:val="EE0000"/>
                <w:sz w:val="24"/>
                <w:szCs w:val="24"/>
                <w:cs/>
              </w:rPr>
              <w:t>पंचविंश</w:t>
            </w:r>
          </w:p>
          <w:p w14:paraId="4CCECC10" w14:textId="77777777">
            <w:pPr>
              <w:pStyle w:val="Tabletext"/>
            </w:pPr>
            <w:r>
              <w:rPr>
                <w:rStyle w:val="ForeignDevanagariScript0"/>
                <w:color w:val="EE0000"/>
                <w:sz w:val="24"/>
                <w:szCs w:val="24"/>
                <w:cs/>
              </w:rPr>
              <w:t>त्य</w:t>
            </w:r>
            <w:r>
              <w:rPr>
                <w:rStyle w:val="ForeignDevanagariScript0"/>
                <w:sz w:val="24"/>
                <w:szCs w:val="24"/>
                <w:cs/>
              </w:rPr>
              <w:t>ब्दानरक्षदवनीतलमम्मराजः</w:t>
            </w:r>
          </w:p>
          <w:p w14:paraId="347763D2" w14:textId="77777777">
            <w:pPr>
              <w:pStyle w:val="Tabletext"/>
            </w:pPr>
          </w:p>
        </w:tc>
      </w:tr>
      <w:tr w14:paraId="623FA3F6" w14:textId="77777777">
        <w:tc>
          <w:tcPr>
            <w:tcW w:w="5000" w:type="pct"/>
            <w:gridSpan w:val="2"/>
          </w:tcPr>
          <w:p w14:paraId="3EC9E414" w14:textId="77777777">
            <w:pPr>
              <w:pStyle w:val="TableNote"/>
              <w:keepNext/>
            </w:pPr>
            <w:r>
              <w:t xml:space="preserve">the end of line c can and must be marked up after </w:t>
            </w:r>
            <w:r>
              <w:rPr>
                <w:rStyle w:val="Foreign"/>
              </w:rPr>
              <w:t>paṁcaviṁśaty</w:t>
            </w:r>
            <w:r>
              <w:t xml:space="preserve">, even though the end of this word is part of the </w:t>
            </w:r>
            <w:r>
              <w:rPr>
                <w:rStyle w:val="Foreign"/>
              </w:rPr>
              <w:t>akṣara</w:t>
            </w:r>
            <w:r>
              <w:t xml:space="preserve"> </w:t>
            </w:r>
            <w:r>
              <w:rPr>
                <w:rStyle w:val="Foreign"/>
              </w:rPr>
              <w:t>tya</w:t>
            </w:r>
            <w:r>
              <w:t xml:space="preserve"> in Indic script and even though </w:t>
            </w:r>
            <w:r>
              <w:rPr>
                <w:rStyle w:val="Foreign"/>
              </w:rPr>
              <w:t>paṁcaviṁśaty</w:t>
            </w:r>
            <w:r>
              <w:t xml:space="preserve"> is not really pronounceable in isolation</w:t>
            </w:r>
          </w:p>
        </w:tc>
      </w:tr>
    </w:tbl>
    <w:p w14:paraId="3E820642" w14:textId="77777777"/>
    <w:p w14:paraId="1D36EF6A" w14:textId="38596C1E">
      <w:pPr>
        <w:pStyle w:val="Lista"/>
      </w:pPr>
      <w:r>
        <w:t xml:space="preserve">the </w:t>
      </w:r>
      <w:r>
        <w:rPr>
          <w:b/>
          <w:bCs/>
        </w:rPr>
        <w:t>end of a prose block</w:t>
      </w:r>
      <w:r>
        <w:t xml:space="preserve"> may also fall inside an </w:t>
      </w:r>
      <w:r>
        <w:rPr>
          <w:rStyle w:val="Foreign"/>
        </w:rPr>
        <w:t>akṣara</w:t>
      </w:r>
      <w:r>
        <w:t xml:space="preserve"> if the editor feels that a semantic boundary is present, but the writer of the source document did not choose to represent that boundary with a hiatus in writing, as in </w:t>
      </w:r>
      <w:r>
        <w:fldChar w:fldCharType="begin"/>
      </w:r>
      <w:r>
        <w:instrText xml:space="preserve"> REF _Ref181371522 \h </w:instrText>
      </w:r>
      <w:r>
        <w:fldChar w:fldCharType="separate"/>
      </w:r>
      <w:r>
        <w:t xml:space="preserve">Exhibit </w:t>
      </w:r>
      <w:r>
        <w:rPr>
          <w:noProof/>
        </w:rPr>
        <w:t>3.2</w:t>
      </w:r>
      <w:r>
        <w:t>.</w:t>
      </w:r>
      <w:r>
        <w:rPr>
          <w:noProof/>
        </w:rPr>
        <w:t>I</w:t>
      </w:r>
      <w:r>
        <w:fldChar w:fldCharType="end"/>
      </w:r>
    </w:p>
    <w:p w14:paraId="5F8B7C63" w14:textId="77777777">
      <w:pPr>
        <w:pStyle w:val="Lista2"/>
      </w:pPr>
      <w:r>
        <w:t>in such cases, too, encode the block boundary at the word boundary if it is segmentable in transliteration</w:t>
      </w:r>
    </w:p>
    <w:p w14:paraId="052FDBBA" w14:textId="150B9EB4">
      <w:pPr>
        <w:pStyle w:val="Lista2"/>
      </w:pPr>
      <w:r>
        <w:lastRenderedPageBreak/>
        <w:t>additionally, you may optionally either flag (§</w:t>
      </w:r>
      <w:r>
        <w:fldChar w:fldCharType="begin"/>
      </w:r>
      <w:r>
        <w:instrText xml:space="preserve"> REF _Ref228886903 \r \h </w:instrText>
      </w:r>
      <w:r>
        <w:fldChar w:fldCharType="separate"/>
      </w:r>
      <w:r>
        <w:t>7.4.2</w:t>
      </w:r>
      <w:r>
        <w:fldChar w:fldCharType="end"/>
      </w:r>
      <w:r>
        <w:t>) or normalise (§</w:t>
      </w:r>
      <w:r>
        <w:fldChar w:fldCharType="begin"/>
      </w:r>
      <w:r>
        <w:instrText xml:space="preserve"> REF _Ref228885848 \r \h </w:instrText>
      </w:r>
      <w:r>
        <w:fldChar w:fldCharType="separate"/>
      </w:r>
      <w:r>
        <w:t>7.5.1.2</w:t>
      </w:r>
      <w:r>
        <w:fldChar w:fldCharType="end"/>
      </w:r>
      <w:r>
        <w:t>) non-standard usage on both sides of the break</w:t>
      </w:r>
    </w:p>
    <w:p w14:paraId="180D286B" w14:textId="0E9EC2D8">
      <w:pPr>
        <w:pStyle w:val="Lista3"/>
      </w:pPr>
      <w:r>
        <w:t xml:space="preserve">thus, each of the methods shown in </w:t>
      </w:r>
      <w:r>
        <w:fldChar w:fldCharType="begin"/>
      </w:r>
      <w:r>
        <w:instrText xml:space="preserve"> REF _Ref181371522 \h </w:instrText>
      </w:r>
      <w:r>
        <w:fldChar w:fldCharType="separate"/>
      </w:r>
      <w:r>
        <w:t xml:space="preserve">Exhibit </w:t>
      </w:r>
      <w:r>
        <w:rPr>
          <w:noProof/>
        </w:rPr>
        <w:t>3.2</w:t>
      </w:r>
      <w:r>
        <w:t>.</w:t>
      </w:r>
      <w:r>
        <w:rPr>
          <w:noProof/>
        </w:rPr>
        <w:t>I</w:t>
      </w:r>
      <w:r>
        <w:fldChar w:fldCharType="end"/>
      </w:r>
      <w:r>
        <w:t xml:space="preserve"> is acceptable, depending on your judgement</w:t>
      </w:r>
    </w:p>
    <w:p w14:paraId="4BD44D0A" w14:textId="77777777"/>
    <w:tbl>
      <w:tblPr>
        <w:tblStyle w:val="CodeSampleTable"/>
        <w:tblW w:w="5000" w:type="pct"/>
        <w:tblLook w:val="04A0" w:firstRow="1" w:lastRow="0" w:firstColumn="1" w:lastColumn="0" w:noHBand="0" w:noVBand="1"/>
      </w:tblPr>
      <w:tblGrid>
        <w:gridCol w:w="9628"/>
      </w:tblGrid>
      <w:tr w14:paraId="4942E71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A9C4D01" w14:textId="5DCEA226">
            <w:pPr>
              <w:pStyle w:val="Kpalrs"/>
            </w:pPr>
            <w:bookmarkStart w:id="113" w:name="_Ref181371522"/>
            <w:r>
              <w:t xml:space="preserve">Exhibit </w:t>
            </w:r>
            <w:fldSimple w:instr=" STYLEREF 2 \s ">
              <w:r>
                <w:rPr>
                  <w:noProof/>
                </w:rPr>
                <w:t>3.2</w:t>
              </w:r>
            </w:fldSimple>
            <w:r>
              <w:t>.</w:t>
            </w:r>
            <w:fldSimple w:instr=" SEQ Exhibit \* ALPHABETIC \s 2 ">
              <w:r>
                <w:rPr>
                  <w:noProof/>
                </w:rPr>
                <w:t>I</w:t>
              </w:r>
            </w:fldSimple>
            <w:bookmarkEnd w:id="113"/>
            <w:r>
              <w:t>: prose boundary obscured by non-fusion sandhi</w:t>
            </w:r>
          </w:p>
        </w:tc>
      </w:tr>
      <w:tr w14:paraId="4EE4E88C" w14:textId="77777777">
        <w:tc>
          <w:tcPr>
            <w:tcW w:w="5000" w:type="pct"/>
          </w:tcPr>
          <w:p w14:paraId="26A770DC" w14:textId="77777777">
            <w:pPr>
              <w:pStyle w:val="CodeParagraph"/>
              <w:keepNext/>
              <w:rPr>
                <w:rStyle w:val="Code"/>
              </w:rPr>
            </w:pPr>
            <w:r>
              <w:rPr>
                <w:rStyle w:val="Code"/>
              </w:rPr>
              <w:t>&lt;p&gt;</w:t>
            </w:r>
            <w:r>
              <w:rPr>
                <w:rStyle w:val="Codetext"/>
              </w:rPr>
              <w:t xml:space="preserve"> ... ājñāpayaty</w:t>
            </w:r>
            <w:r>
              <w:rPr>
                <w:rStyle w:val="Code"/>
              </w:rPr>
              <w:t>&lt;/p&gt;</w:t>
            </w:r>
          </w:p>
          <w:p w14:paraId="00A1812A" w14:textId="77777777">
            <w:pPr>
              <w:pStyle w:val="CodeParagraph"/>
              <w:keepNext/>
              <w:rPr>
                <w:color w:val="000080"/>
                <w:shd w:val="clear" w:color="auto" w:fill="F8F8F8"/>
              </w:rPr>
            </w:pPr>
            <w:r>
              <w:rPr>
                <w:rStyle w:val="Code"/>
              </w:rPr>
              <w:t>&lt;p&gt;</w:t>
            </w:r>
            <w:r>
              <w:rPr>
                <w:rStyle w:val="Codetext"/>
              </w:rPr>
              <w:t xml:space="preserve">astu vo viditam ... </w:t>
            </w:r>
            <w:r>
              <w:rPr>
                <w:rStyle w:val="Code"/>
              </w:rPr>
              <w:t>&lt;/p&gt;</w:t>
            </w:r>
          </w:p>
        </w:tc>
      </w:tr>
      <w:tr w14:paraId="040BA641" w14:textId="77777777">
        <w:tc>
          <w:tcPr>
            <w:tcW w:w="5000" w:type="pct"/>
          </w:tcPr>
          <w:p w14:paraId="3EBA16DB" w14:textId="77777777">
            <w:pPr>
              <w:pStyle w:val="TableNote"/>
              <w:keepNext/>
            </w:pPr>
            <w:r>
              <w:t xml:space="preserve">a container boundary is marked up within an </w:t>
            </w:r>
            <w:r>
              <w:rPr>
                <w:rStyle w:val="Foreign"/>
              </w:rPr>
              <w:t>akṣara</w:t>
            </w:r>
            <w:r>
              <w:t xml:space="preserve"> of the original script</w:t>
            </w:r>
          </w:p>
        </w:tc>
      </w:tr>
      <w:tr w14:paraId="634C1213" w14:textId="77777777">
        <w:tc>
          <w:tcPr>
            <w:tcW w:w="5000" w:type="pct"/>
          </w:tcPr>
          <w:p w14:paraId="4DF5C528" w14:textId="77777777">
            <w:pPr>
              <w:pStyle w:val="CodeParagraph"/>
              <w:keepNext/>
              <w:rPr>
                <w:rStyle w:val="Code"/>
              </w:rPr>
            </w:pPr>
            <w:bookmarkStart w:id="114" w:name="_Ref149921101"/>
            <w:r>
              <w:rPr>
                <w:rStyle w:val="Code"/>
              </w:rPr>
              <w:t>&lt;p&gt;</w:t>
            </w:r>
            <w:r>
              <w:rPr>
                <w:rStyle w:val="Codetext"/>
              </w:rPr>
              <w:t xml:space="preserve"> ... ājñāpayat</w:t>
            </w:r>
            <w:r>
              <w:rPr>
                <w:rStyle w:val="Code"/>
              </w:rPr>
              <w:t>&lt;orig&gt;</w:t>
            </w:r>
            <w:r>
              <w:rPr>
                <w:rStyle w:val="Codetext"/>
              </w:rPr>
              <w:t>y</w:t>
            </w:r>
            <w:r>
              <w:rPr>
                <w:rStyle w:val="Code"/>
              </w:rPr>
              <w:t>&lt;/orig&gt;&lt;/p&gt;</w:t>
            </w:r>
          </w:p>
          <w:p w14:paraId="68997C8D" w14:textId="77777777">
            <w:pPr>
              <w:pStyle w:val="CodeParagraph"/>
              <w:keepNext/>
              <w:rPr>
                <w:color w:val="000080"/>
                <w:shd w:val="clear" w:color="auto" w:fill="F8F8F8"/>
              </w:rPr>
            </w:pPr>
            <w:r>
              <w:rPr>
                <w:rStyle w:val="Code"/>
              </w:rPr>
              <w:t>&lt;p&gt;&lt;orig&gt;</w:t>
            </w:r>
            <w:r>
              <w:rPr>
                <w:rStyle w:val="Codetext"/>
              </w:rPr>
              <w:t>a</w:t>
            </w:r>
            <w:r>
              <w:rPr>
                <w:rStyle w:val="Code"/>
              </w:rPr>
              <w:t>&lt;/orig&gt;</w:t>
            </w:r>
            <w:r>
              <w:rPr>
                <w:rStyle w:val="Codetext"/>
              </w:rPr>
              <w:t xml:space="preserve">stu vo viditam ... </w:t>
            </w:r>
            <w:r>
              <w:rPr>
                <w:rStyle w:val="Code"/>
              </w:rPr>
              <w:t>&lt;/p&gt;</w:t>
            </w:r>
          </w:p>
        </w:tc>
      </w:tr>
      <w:tr w14:paraId="551BB65D" w14:textId="77777777">
        <w:tc>
          <w:tcPr>
            <w:tcW w:w="5000" w:type="pct"/>
          </w:tcPr>
          <w:p w14:paraId="785E4F78" w14:textId="77777777">
            <w:pPr>
              <w:pStyle w:val="TableNote"/>
              <w:keepNext/>
            </w:pPr>
            <w:r>
              <w:t xml:space="preserve">a container boundary within an </w:t>
            </w:r>
            <w:r>
              <w:rPr>
                <w:rStyle w:val="Foreign"/>
              </w:rPr>
              <w:t>akṣara</w:t>
            </w:r>
            <w:r>
              <w:t xml:space="preserve"> of the original script is flagged as non-standard usage</w:t>
            </w:r>
          </w:p>
        </w:tc>
      </w:tr>
      <w:tr w14:paraId="00992E02" w14:textId="77777777">
        <w:tc>
          <w:tcPr>
            <w:tcW w:w="5000" w:type="pct"/>
          </w:tcPr>
          <w:p w14:paraId="232FECB9" w14:textId="77777777">
            <w:pPr>
              <w:pStyle w:val="CodeParagraph"/>
              <w:keepNext/>
              <w:rPr>
                <w:color w:val="000080"/>
                <w:shd w:val="clear" w:color="auto" w:fill="F8F8F8"/>
              </w:rPr>
            </w:pPr>
            <w:r>
              <w:rPr>
                <w:rStyle w:val="Code"/>
              </w:rPr>
              <w:t>&lt;p&gt;</w:t>
            </w:r>
            <w:r>
              <w:rPr>
                <w:rStyle w:val="Codetext"/>
              </w:rPr>
              <w:t xml:space="preserve"> ... ājñāpayat</w:t>
            </w:r>
            <w:r>
              <w:rPr>
                <w:rStyle w:val="Code"/>
              </w:rPr>
              <w:t>&lt;choice&gt;&lt;orig&gt;</w:t>
            </w:r>
            <w:r>
              <w:rPr>
                <w:rStyle w:val="Codetext"/>
              </w:rPr>
              <w:t>y</w:t>
            </w:r>
            <w:r>
              <w:rPr>
                <w:rStyle w:val="Code"/>
              </w:rPr>
              <w:t>&lt;/orig&gt;&lt;reg&gt;</w:t>
            </w:r>
            <w:r>
              <w:rPr>
                <w:rStyle w:val="Codetext"/>
              </w:rPr>
              <w:t>i</w:t>
            </w:r>
            <w:r>
              <w:rPr>
                <w:rStyle w:val="Code"/>
              </w:rPr>
              <w:t>&lt;/reg&gt;&lt;/choice&gt;&lt;/p&gt;</w:t>
            </w:r>
            <w:r>
              <w:rPr>
                <w:rStyle w:val="Codetext"/>
              </w:rPr>
              <w:t xml:space="preserve"> </w:t>
            </w:r>
            <w:r>
              <w:rPr>
                <w:rStyle w:val="Code"/>
              </w:rPr>
              <w:t>&lt;p&gt;&lt;choice&gt;&lt;orig&gt;</w:t>
            </w:r>
            <w:r>
              <w:rPr>
                <w:rStyle w:val="Codetext"/>
              </w:rPr>
              <w:t>a</w:t>
            </w:r>
            <w:r>
              <w:rPr>
                <w:rStyle w:val="Code"/>
              </w:rPr>
              <w:t>&lt;/orig&gt;&lt;reg&gt;</w:t>
            </w:r>
            <w:r>
              <w:rPr>
                <w:rStyle w:val="Codetext"/>
              </w:rPr>
              <w:t>A</w:t>
            </w:r>
            <w:r>
              <w:rPr>
                <w:rStyle w:val="Code"/>
              </w:rPr>
              <w:t>&lt;/reg&gt;&lt;/choice&gt;</w:t>
            </w:r>
            <w:r>
              <w:rPr>
                <w:rStyle w:val="Codetext"/>
              </w:rPr>
              <w:t xml:space="preserve">stu vo viditam ... </w:t>
            </w:r>
            <w:r>
              <w:rPr>
                <w:rStyle w:val="Code"/>
              </w:rPr>
              <w:t>&lt;/p&gt;</w:t>
            </w:r>
          </w:p>
        </w:tc>
      </w:tr>
      <w:tr w14:paraId="3C370F84" w14:textId="77777777">
        <w:tc>
          <w:tcPr>
            <w:tcW w:w="5000" w:type="pct"/>
          </w:tcPr>
          <w:p w14:paraId="0F86AA11" w14:textId="77777777">
            <w:pPr>
              <w:pStyle w:val="TableNote"/>
              <w:keepNext/>
            </w:pPr>
            <w:r>
              <w:t xml:space="preserve">a container boundary within an </w:t>
            </w:r>
            <w:r>
              <w:rPr>
                <w:rStyle w:val="Foreign"/>
              </w:rPr>
              <w:t>akṣara</w:t>
            </w:r>
            <w:r>
              <w:t xml:space="preserve"> of the original script is normalised</w:t>
            </w:r>
          </w:p>
        </w:tc>
      </w:tr>
    </w:tbl>
    <w:bookmarkEnd w:id="114"/>
    <w:p w14:paraId="275B08EB" w14:textId="77777777">
      <w:pPr>
        <w:pStyle w:val="Cmsor4"/>
      </w:pPr>
      <w:r>
        <w:t>Interrupted compounds</w:t>
      </w:r>
      <w:bookmarkEnd w:id="110"/>
    </w:p>
    <w:p w14:paraId="2E8F9F87" w14:textId="1741A83F">
      <w:r>
        <w:t xml:space="preserve">Semantic prose blocks are never expected to end within a compound word, but exceptionally, an editor may choose to encode a long </w:t>
      </w:r>
      <w:r>
        <w:rPr>
          <w:rStyle w:val="Foreign"/>
        </w:rPr>
        <w:t>dvandva</w:t>
      </w:r>
      <w:r>
        <w:t xml:space="preserve"> compound as a list (§</w:t>
      </w:r>
      <w:r>
        <w:fldChar w:fldCharType="begin"/>
      </w:r>
      <w:r>
        <w:instrText xml:space="preserve"> REF _Ref168563127 \r \h </w:instrText>
      </w:r>
      <w:r>
        <w:fldChar w:fldCharType="separate"/>
      </w:r>
      <w:r>
        <w:t>3.2.1.3</w:t>
      </w:r>
      <w:r>
        <w:fldChar w:fldCharType="end"/>
      </w:r>
      <w:r>
        <w:t>), with the compound members as items. In verse, compounds not uncommonly transgress the boundary of lines belonging to the same hemistich and, rarely, can also transgress the boundary between hemistichs. If the end of a block-level container falls inside a compound, proceed as follows</w:t>
      </w:r>
    </w:p>
    <w:p w14:paraId="56E7C85F" w14:textId="77777777">
      <w:pPr>
        <w:pStyle w:val="Lista"/>
      </w:pPr>
      <w:r>
        <w:t>encode the container boundary between compound members</w:t>
      </w:r>
    </w:p>
    <w:p w14:paraId="14FEC58C" w14:textId="50EA283F">
      <w:pPr>
        <w:pStyle w:val="Lista2"/>
      </w:pPr>
      <w:r>
        <w:t xml:space="preserve">disregard </w:t>
      </w:r>
      <w:r>
        <w:rPr>
          <w:rStyle w:val="Foreign"/>
        </w:rPr>
        <w:t>akṣara</w:t>
      </w:r>
      <w:r>
        <w:t xml:space="preserve"> boundaries just as in §</w:t>
      </w:r>
      <w:r>
        <w:fldChar w:fldCharType="begin"/>
      </w:r>
      <w:r>
        <w:instrText xml:space="preserve"> REF _Ref225328264 \r \h </w:instrText>
      </w:r>
      <w:r>
        <w:fldChar w:fldCharType="separate"/>
      </w:r>
      <w:r>
        <w:t>3.2.4.1</w:t>
      </w:r>
      <w:r>
        <w:fldChar w:fldCharType="end"/>
      </w:r>
      <w:r>
        <w:t xml:space="preserve"> above</w:t>
      </w:r>
    </w:p>
    <w:p w14:paraId="0CED47F5" w14:textId="77777777">
      <w:pPr>
        <w:pStyle w:val="Lista"/>
      </w:pPr>
      <w:r>
        <w:t xml:space="preserve">if you use editorial hyphens for compound analysis (TG §7.3.4), place your hyphen at the beginning of the latter block-level element </w:t>
      </w:r>
    </w:p>
    <w:p w14:paraId="05EE290C" w14:textId="02C122AD">
      <w:pPr>
        <w:pStyle w:val="Lista"/>
      </w:pPr>
      <w:r>
        <w:t>if this takes place at a verse line boundary, encode enjambement on the former line (§</w:t>
      </w:r>
      <w:r>
        <w:fldChar w:fldCharType="begin"/>
      </w:r>
      <w:r>
        <w:instrText xml:space="preserve"> REF _Ref224901083 \r \h </w:instrText>
      </w:r>
      <w:r>
        <w:fldChar w:fldCharType="separate"/>
      </w:r>
      <w:r>
        <w:t>3.2.4.1</w:t>
      </w:r>
      <w:r>
        <w:fldChar w:fldCharType="end"/>
      </w:r>
      <w:r>
        <w:t>)</w:t>
      </w:r>
    </w:p>
    <w:p w14:paraId="1CA956D3" w14:textId="77777777">
      <w:pPr>
        <w:pStyle w:val="Lista2"/>
        <w:rPr>
          <w:rStyle w:val="Codetext"/>
          <w:rFonts w:ascii="Gentium" w:hAnsi="Gentium" w:cs="Tiro Devanagari Sanskrit"/>
          <w:noProof w:val="0"/>
          <w:color w:val="auto"/>
          <w:shd w:val="clear" w:color="auto" w:fill="auto"/>
        </w:rPr>
      </w:pPr>
      <w:r>
        <w:t xml:space="preserve">e.g. </w:t>
      </w:r>
      <w:r>
        <w:rPr>
          <w:rStyle w:val="Code"/>
        </w:rPr>
        <w:t xml:space="preserve">&lt;l </w:t>
      </w:r>
      <w:r>
        <w:rPr>
          <w:rStyle w:val="Codeattribute"/>
        </w:rPr>
        <w:t>enjamb</w:t>
      </w:r>
      <w:r>
        <w:rPr>
          <w:rStyle w:val="Codetext"/>
        </w:rPr>
        <w:t>=</w:t>
      </w:r>
      <w:r>
        <w:rPr>
          <w:rStyle w:val="Codevalue"/>
        </w:rPr>
        <w:t>"yes"</w:t>
      </w:r>
      <w:r>
        <w:rPr>
          <w:rStyle w:val="Code"/>
        </w:rPr>
        <w:t>&gt;</w:t>
      </w:r>
      <w:r>
        <w:rPr>
          <w:rStyle w:val="Codetext"/>
        </w:rPr>
        <w:t>... maṇḍalānta</w:t>
      </w:r>
      <w:r>
        <w:rPr>
          <w:rStyle w:val="Code"/>
        </w:rPr>
        <w:t>&lt;/l&gt;&lt;l&gt;</w:t>
      </w:r>
      <w:r>
        <w:rPr>
          <w:rStyle w:val="Codetext"/>
        </w:rPr>
        <w:t>-vyakta-bhrū-bhaṅga...</w:t>
      </w:r>
    </w:p>
    <w:p w14:paraId="2774AF9A" w14:textId="51DE7DE5">
      <w:pPr>
        <w:pStyle w:val="Lista"/>
      </w:pPr>
      <w:r>
        <w:t xml:space="preserve">see </w:t>
      </w:r>
      <w:r>
        <w:fldChar w:fldCharType="begin"/>
      </w:r>
      <w:r>
        <w:instrText xml:space="preserve"> REF _Ref44077259 \h </w:instrText>
      </w:r>
      <w:r>
        <w:fldChar w:fldCharType="separate"/>
      </w:r>
      <w:r>
        <w:t xml:space="preserve">Exhibit </w:t>
      </w:r>
      <w:r>
        <w:rPr>
          <w:noProof/>
        </w:rPr>
        <w:t>3.3</w:t>
      </w:r>
      <w:r>
        <w:t>.</w:t>
      </w:r>
      <w:r>
        <w:rPr>
          <w:noProof/>
        </w:rPr>
        <w:t>G</w:t>
      </w:r>
      <w:r>
        <w:fldChar w:fldCharType="end"/>
      </w:r>
      <w:r>
        <w:t xml:space="preserve"> and </w:t>
      </w:r>
      <w:r>
        <w:fldChar w:fldCharType="begin"/>
      </w:r>
      <w:r>
        <w:instrText xml:space="preserve"> REF _Ref44077336 \h </w:instrText>
      </w:r>
      <w:r>
        <w:fldChar w:fldCharType="separate"/>
      </w:r>
      <w:r>
        <w:t xml:space="preserve">Exhibit </w:t>
      </w:r>
      <w:r>
        <w:rPr>
          <w:noProof/>
        </w:rPr>
        <w:t>3.3</w:t>
      </w:r>
      <w:r>
        <w:t>.</w:t>
      </w:r>
      <w:r>
        <w:rPr>
          <w:noProof/>
        </w:rPr>
        <w:t>H</w:t>
      </w:r>
      <w:r>
        <w:fldChar w:fldCharType="end"/>
      </w:r>
      <w:r>
        <w:t xml:space="preserve"> above for full encoding examples</w:t>
      </w:r>
    </w:p>
    <w:p w14:paraId="42815D58" w14:textId="77777777">
      <w:pPr>
        <w:pStyle w:val="Cmsor4"/>
      </w:pPr>
      <w:bookmarkStart w:id="115" w:name="_Ref225324953"/>
      <w:r>
        <w:t>Word boundaries fused in sandhi</w:t>
      </w:r>
      <w:bookmarkEnd w:id="115"/>
    </w:p>
    <w:p w14:paraId="77E6CDDC" w14:textId="7786BF63">
      <w:r>
        <w:t xml:space="preserve">Boundaries between units of intrinsic structure falling at word boundaries may occasionally be obscured by vowel fusion sandhi. In this case, a single grapheme of the written source belongs to both of the adjacent morphemes, so it is impossible even in transliteration to encode the block boundary at a word boundary. This is not uncommon between verse lines (as in </w:t>
      </w:r>
      <w:r>
        <w:fldChar w:fldCharType="begin"/>
      </w:r>
      <w:r>
        <w:instrText xml:space="preserve"> REF _Ref181628185 \h </w:instrText>
      </w:r>
      <w:r>
        <w:fldChar w:fldCharType="separate"/>
      </w:r>
      <w:r>
        <w:t xml:space="preserve">Exhibit </w:t>
      </w:r>
      <w:r>
        <w:rPr>
          <w:noProof/>
        </w:rPr>
        <w:t>3.2</w:t>
      </w:r>
      <w:r>
        <w:t>.</w:t>
      </w:r>
      <w:r>
        <w:rPr>
          <w:noProof/>
        </w:rPr>
        <w:t>J</w:t>
      </w:r>
      <w:r>
        <w:fldChar w:fldCharType="end"/>
      </w:r>
      <w:r>
        <w:t>), but may on rare occasions happen at a transition from verse to prose (</w:t>
      </w:r>
      <w:r>
        <w:fldChar w:fldCharType="begin"/>
      </w:r>
      <w:r>
        <w:instrText xml:space="preserve"> REF _Ref43995893 \h </w:instrText>
      </w:r>
      <w:r>
        <w:fldChar w:fldCharType="separate"/>
      </w:r>
      <w:r>
        <w:t xml:space="preserve">Exhibit </w:t>
      </w:r>
      <w:r>
        <w:rPr>
          <w:noProof/>
        </w:rPr>
        <w:t>3.2</w:t>
      </w:r>
      <w:r>
        <w:t>.</w:t>
      </w:r>
      <w:r>
        <w:rPr>
          <w:noProof/>
        </w:rPr>
        <w:t>K</w:t>
      </w:r>
      <w:r>
        <w:fldChar w:fldCharType="end"/>
      </w:r>
      <w:r>
        <w:t>) or between prose blocks (</w:t>
      </w:r>
      <w:r>
        <w:fldChar w:fldCharType="begin"/>
      </w:r>
      <w:r>
        <w:instrText xml:space="preserve"> REF _Ref43996267 \h </w:instrText>
      </w:r>
      <w:r>
        <w:fldChar w:fldCharType="separate"/>
      </w:r>
      <w:r>
        <w:t xml:space="preserve">Exhibit </w:t>
      </w:r>
      <w:r>
        <w:rPr>
          <w:noProof/>
        </w:rPr>
        <w:t>3.2</w:t>
      </w:r>
      <w:r>
        <w:t>.</w:t>
      </w:r>
      <w:r>
        <w:rPr>
          <w:noProof/>
        </w:rPr>
        <w:t>L</w:t>
      </w:r>
      <w:r>
        <w:fldChar w:fldCharType="end"/>
      </w:r>
      <w:r>
        <w:t>).</w:t>
      </w:r>
    </w:p>
    <w:p w14:paraId="6C746967" w14:textId="77777777">
      <w:pPr>
        <w:pStyle w:val="Lista"/>
      </w:pPr>
      <w:r>
        <w:t>establish block boundaries at your own discretion based on the following considerations</w:t>
      </w:r>
    </w:p>
    <w:p w14:paraId="48FC979E" w14:textId="77777777">
      <w:pPr>
        <w:pStyle w:val="Lista2"/>
      </w:pPr>
      <w:r>
        <w:t>if a metrical passage is involved, the boundary must always respect the metre</w:t>
      </w:r>
    </w:p>
    <w:p w14:paraId="1D516457" w14:textId="77777777">
      <w:pPr>
        <w:pStyle w:val="Lista2"/>
      </w:pPr>
      <w:r>
        <w:t>as far as the metre allows, the boundary shall be placed as close to a word boundary as possible</w:t>
      </w:r>
    </w:p>
    <w:p w14:paraId="56830C36" w14:textId="7BE6DE12">
      <w:pPr>
        <w:pStyle w:val="Lista2"/>
      </w:pPr>
      <w:r>
        <w:t>if two word boundaries are equally close to where the block boundary would be ideally placed, choose the word boundary that is semantically more appropriate</w:t>
      </w:r>
    </w:p>
    <w:p w14:paraId="7C784CB4" w14:textId="77777777">
      <w:pPr>
        <w:pStyle w:val="Lista2"/>
      </w:pPr>
      <w:r>
        <w:t>all other considerations being equal, place the block boundary after the fused vowel</w:t>
      </w:r>
    </w:p>
    <w:p w14:paraId="2E239478" w14:textId="68EB8D93">
      <w:pPr>
        <w:pStyle w:val="Lista"/>
      </w:pPr>
      <w:r>
        <w:t>if this takes place at a verse line boundary, encode enjambement on the former line (§</w:t>
      </w:r>
      <w:r>
        <w:fldChar w:fldCharType="begin"/>
      </w:r>
      <w:r>
        <w:instrText xml:space="preserve"> REF _Ref224901083 \r \h </w:instrText>
      </w:r>
      <w:r>
        <w:fldChar w:fldCharType="separate"/>
      </w:r>
      <w:r>
        <w:t>3.2.4.1</w:t>
      </w:r>
      <w:r>
        <w:fldChar w:fldCharType="end"/>
      </w:r>
      <w:r>
        <w:t>)</w:t>
      </w:r>
    </w:p>
    <w:p w14:paraId="26039BD5" w14:textId="23B8FA14">
      <w:pPr>
        <w:pStyle w:val="Lista"/>
      </w:pPr>
      <w:r>
        <w:t>editorial intervention (§</w:t>
      </w:r>
      <w:r>
        <w:fldChar w:fldCharType="begin"/>
      </w:r>
      <w:r>
        <w:instrText xml:space="preserve"> REF _Ref229054270 \r \h </w:instrText>
      </w:r>
      <w:r>
        <w:fldChar w:fldCharType="separate"/>
      </w:r>
      <w:r>
        <w:t>7.2</w:t>
      </w:r>
      <w:r>
        <w:fldChar w:fldCharType="end"/>
      </w:r>
      <w:r>
        <w:t>) may be encoded, keeping the following in mind</w:t>
      </w:r>
    </w:p>
    <w:p w14:paraId="737E04DB" w14:textId="77777777">
      <w:pPr>
        <w:pStyle w:val="Lista2"/>
      </w:pPr>
      <w:r>
        <w:t>between verse lines</w:t>
      </w:r>
    </w:p>
    <w:p w14:paraId="448D3487" w14:textId="77777777">
      <w:pPr>
        <w:pStyle w:val="Lista3"/>
      </w:pPr>
      <w:r>
        <w:t>if the metre is correct in the received text, editorial intervention must be avoided</w:t>
      </w:r>
    </w:p>
    <w:p w14:paraId="7824F954" w14:textId="6B197086">
      <w:pPr>
        <w:pStyle w:val="Lista3"/>
      </w:pPr>
      <w:r>
        <w:t>if the metre is incorrect in the received text and can be corrected by resolving the fusion sandhi, editorial intervention must be encoded as correction (§</w:t>
      </w:r>
      <w:r>
        <w:fldChar w:fldCharType="begin"/>
      </w:r>
      <w:r>
        <w:instrText xml:space="preserve"> REF _Ref232089210 \r \h </w:instrText>
      </w:r>
      <w:r>
        <w:fldChar w:fldCharType="separate"/>
      </w:r>
      <w:r>
        <w:t>7.7.4</w:t>
      </w:r>
      <w:r>
        <w:fldChar w:fldCharType="end"/>
      </w:r>
      <w:r>
        <w:t>)</w:t>
      </w:r>
    </w:p>
    <w:p w14:paraId="3D7E06FF" w14:textId="77777777">
      <w:pPr>
        <w:pStyle w:val="Lista2"/>
      </w:pPr>
      <w:r>
        <w:t>between prose blocks and at transitions from verse to prose</w:t>
      </w:r>
    </w:p>
    <w:p w14:paraId="26DF4BAA" w14:textId="6B96B285">
      <w:pPr>
        <w:pStyle w:val="Lista3"/>
      </w:pPr>
      <w:r>
        <w:t xml:space="preserve">encode editorial normalisation (not correction) separately before and after the boundary (as in </w:t>
      </w:r>
      <w:r>
        <w:fldChar w:fldCharType="begin"/>
      </w:r>
      <w:r>
        <w:instrText xml:space="preserve"> REF _Ref43995893 \h </w:instrText>
      </w:r>
      <w:r>
        <w:fldChar w:fldCharType="separate"/>
      </w:r>
      <w:r>
        <w:t xml:space="preserve">Exhibit </w:t>
      </w:r>
      <w:r>
        <w:rPr>
          <w:noProof/>
        </w:rPr>
        <w:t>3.2</w:t>
      </w:r>
      <w:r>
        <w:t>.</w:t>
      </w:r>
      <w:r>
        <w:rPr>
          <w:noProof/>
        </w:rPr>
        <w:t>K</w:t>
      </w:r>
      <w:r>
        <w:fldChar w:fldCharType="end"/>
      </w:r>
      <w:r>
        <w:t xml:space="preserve"> and </w:t>
      </w:r>
      <w:r>
        <w:fldChar w:fldCharType="begin"/>
      </w:r>
      <w:r>
        <w:instrText xml:space="preserve"> REF _Ref43996267 \h </w:instrText>
      </w:r>
      <w:r>
        <w:fldChar w:fldCharType="separate"/>
      </w:r>
      <w:r>
        <w:t xml:space="preserve">Exhibit </w:t>
      </w:r>
      <w:r>
        <w:rPr>
          <w:noProof/>
        </w:rPr>
        <w:t>3.2</w:t>
      </w:r>
      <w:r>
        <w:t>.</w:t>
      </w:r>
      <w:r>
        <w:rPr>
          <w:noProof/>
        </w:rPr>
        <w:t>L</w:t>
      </w:r>
      <w:r>
        <w:fldChar w:fldCharType="end"/>
      </w:r>
      <w:r>
        <w:t>), provided that it does not disrupt the metre of a verse block</w:t>
      </w:r>
    </w:p>
    <w:p w14:paraId="5F66893B" w14:textId="77777777">
      <w:pPr>
        <w:pStyle w:val="Lista4"/>
      </w:pPr>
      <w:r>
        <w:t>one at the end of the earlier block (normalising the fused vowel to the one expected at the end of the former word)</w:t>
      </w:r>
    </w:p>
    <w:p w14:paraId="7BAB796B" w14:textId="77777777">
      <w:pPr>
        <w:pStyle w:val="Lista4"/>
      </w:pPr>
      <w:r>
        <w:lastRenderedPageBreak/>
        <w:t>and one at the beginning of the later block (restoring the vowel expected at the beginning of the latter word)</w:t>
      </w:r>
    </w:p>
    <w:p w14:paraId="7C5DE7AB" w14:textId="7097CCE5">
      <w:pPr>
        <w:pStyle w:val="Lista3"/>
      </w:pPr>
      <w:r>
        <w:t xml:space="preserve">you will need to resort to this in the occasional cases where the particle </w:t>
      </w:r>
      <w:r>
        <w:rPr>
          <w:rStyle w:val="Foreign"/>
        </w:rPr>
        <w:t>iti</w:t>
      </w:r>
      <w:r>
        <w:t xml:space="preserve"> is fused in sandhi to the end of a stanza ending in </w:t>
      </w:r>
      <w:r>
        <w:rPr>
          <w:rStyle w:val="Foreign"/>
        </w:rPr>
        <w:t>-i</w:t>
      </w:r>
      <w:r>
        <w:t xml:space="preserve">, as in </w:t>
      </w:r>
      <w:r>
        <w:fldChar w:fldCharType="begin"/>
      </w:r>
      <w:r>
        <w:instrText xml:space="preserve"> REF _Ref43995893 \h  \* MERGEFORMAT </w:instrText>
      </w:r>
      <w:r>
        <w:fldChar w:fldCharType="separate"/>
      </w:r>
      <w:r>
        <w:t xml:space="preserve">Exhibit </w:t>
      </w:r>
      <w:r>
        <w:rPr>
          <w:noProof/>
        </w:rPr>
        <w:t>3.2.K</w:t>
      </w:r>
      <w:r>
        <w:fldChar w:fldCharType="end"/>
      </w:r>
    </w:p>
    <w:p w14:paraId="398D773E" w14:textId="77777777">
      <w:pPr>
        <w:pStyle w:val="Lista4"/>
      </w:pPr>
      <w:r>
        <w:t xml:space="preserve">if </w:t>
      </w:r>
      <w:r>
        <w:rPr>
          <w:rStyle w:val="Foreign"/>
        </w:rPr>
        <w:t>iti</w:t>
      </w:r>
      <w:r>
        <w:t xml:space="preserve"> is fused in this way to the end of a stanza, and it is not semantically a part of the following paragraph of text (i.e. not translatable as e.g. “therefore” or “having said so,” but appears simply in the function of a closing quotation mark), then create a separate </w:t>
      </w:r>
      <w:r>
        <w:rPr>
          <w:rStyle w:val="Code"/>
        </w:rPr>
        <w:t>&lt;ab&gt;</w:t>
      </w:r>
      <w:r>
        <w:t xml:space="preserve"> container for this word between the preceding </w:t>
      </w:r>
      <w:r>
        <w:rPr>
          <w:rStyle w:val="Code"/>
        </w:rPr>
        <w:t>&lt;lg&gt;</w:t>
      </w:r>
      <w:r>
        <w:t xml:space="preserve"> and the following </w:t>
      </w:r>
      <w:r>
        <w:rPr>
          <w:rStyle w:val="Code"/>
        </w:rPr>
        <w:t>&lt;p&gt;</w:t>
      </w:r>
    </w:p>
    <w:p w14:paraId="03246390" w14:textId="77777777"/>
    <w:tbl>
      <w:tblPr>
        <w:tblStyle w:val="CodeSampleTable"/>
        <w:tblW w:w="5000" w:type="pct"/>
        <w:tblLook w:val="04A0" w:firstRow="1" w:lastRow="0" w:firstColumn="1" w:lastColumn="0" w:noHBand="0" w:noVBand="1"/>
      </w:tblPr>
      <w:tblGrid>
        <w:gridCol w:w="9628"/>
      </w:tblGrid>
      <w:tr w14:paraId="3E953FC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60C3D37" w14:textId="0D6DC59D">
            <w:pPr>
              <w:pStyle w:val="Kpalrs"/>
            </w:pPr>
            <w:bookmarkStart w:id="116" w:name="_Ref181628185"/>
            <w:bookmarkStart w:id="117" w:name="_Ref224918638"/>
            <w:r>
              <w:t xml:space="preserve">Exhibit </w:t>
            </w:r>
            <w:fldSimple w:instr=" STYLEREF 2 \s ">
              <w:r>
                <w:rPr>
                  <w:noProof/>
                </w:rPr>
                <w:t>3.2</w:t>
              </w:r>
            </w:fldSimple>
            <w:r>
              <w:t>.</w:t>
            </w:r>
            <w:fldSimple w:instr=" SEQ Exhibit \* ALPHABETIC \s 2 ">
              <w:r>
                <w:rPr>
                  <w:noProof/>
                </w:rPr>
                <w:t>J</w:t>
              </w:r>
            </w:fldSimple>
            <w:bookmarkEnd w:id="116"/>
            <w:r>
              <w:t xml:space="preserve">: end of verse line obscured by vowel fusion </w:t>
            </w:r>
            <w:r>
              <w:rPr>
                <w:rStyle w:val="Foreign"/>
              </w:rPr>
              <w:t>sandhi</w:t>
            </w:r>
            <w:bookmarkEnd w:id="117"/>
          </w:p>
        </w:tc>
      </w:tr>
      <w:tr w14:paraId="30491704" w14:textId="77777777">
        <w:tc>
          <w:tcPr>
            <w:tcW w:w="5000" w:type="pct"/>
          </w:tcPr>
          <w:p w14:paraId="7EBC62C5" w14:textId="77777777">
            <w:pPr>
              <w:pStyle w:val="CodeParagraph"/>
              <w:keepNext/>
              <w:rPr>
                <w:rStyle w:val="Code"/>
              </w:rPr>
            </w:pPr>
            <w:r>
              <w:rPr>
                <w:rStyle w:val="Code"/>
              </w:rPr>
              <w:t xml:space="preserve">&lt;lg </w:t>
            </w:r>
            <w:r>
              <w:rPr>
                <w:rStyle w:val="Codeattribute"/>
              </w:rPr>
              <w:t>n=</w:t>
            </w:r>
            <w:r>
              <w:rPr>
                <w:rStyle w:val="Codevalue"/>
              </w:rPr>
              <w:t>"32"</w:t>
            </w:r>
            <w:r>
              <w:rPr>
                <w:rStyle w:val="Code"/>
              </w:rPr>
              <w:t xml:space="preserve"> </w:t>
            </w:r>
            <w:r>
              <w:rPr>
                <w:rStyle w:val="Codeattribute"/>
              </w:rPr>
              <w:t>met=</w:t>
            </w:r>
            <w:r>
              <w:rPr>
                <w:rStyle w:val="Codevalue"/>
              </w:rPr>
              <w:t>"vaṁśastha"</w:t>
            </w:r>
            <w:r>
              <w:rPr>
                <w:rStyle w:val="Code"/>
              </w:rPr>
              <w:t>&gt;</w:t>
            </w:r>
          </w:p>
          <w:p w14:paraId="1C262996" w14:textId="77777777">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 </w:t>
            </w:r>
            <w:r>
              <w:rPr>
                <w:rStyle w:val="Codeattribute"/>
              </w:rPr>
              <w:t>enjamb</w:t>
            </w:r>
            <w:r>
              <w:rPr>
                <w:rStyle w:val="Codetext"/>
              </w:rPr>
              <w:t>=</w:t>
            </w:r>
            <w:r>
              <w:rPr>
                <w:rStyle w:val="Codevalue"/>
              </w:rPr>
              <w:t>"yes"</w:t>
            </w:r>
            <w:r>
              <w:rPr>
                <w:rStyle w:val="Code"/>
              </w:rPr>
              <w:t>&gt;</w:t>
            </w:r>
            <w:r>
              <w:rPr>
                <w:rStyle w:val="Codetext"/>
              </w:rPr>
              <w:t>sadā sva-vācā manasā ca karmmaṇā</w:t>
            </w:r>
            <w:r>
              <w:rPr>
                <w:rStyle w:val="Code"/>
              </w:rPr>
              <w:t>&lt;/l&gt;</w:t>
            </w:r>
          </w:p>
          <w:p w14:paraId="7F162971" w14:textId="77777777">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nvakāri yenādhiguṇena kuṇḍinaḥ</w:t>
            </w:r>
            <w:r>
              <w:rPr>
                <w:rStyle w:val="Code"/>
              </w:rPr>
              <w:t>&lt;/l&gt;</w:t>
            </w:r>
          </w:p>
          <w:p w14:paraId="1040DEF9" w14:textId="77777777">
            <w:pPr>
              <w:pStyle w:val="CodeParagraph"/>
              <w:keepNext/>
              <w:rPr>
                <w:rStyle w:val="Code"/>
              </w:rPr>
            </w:pPr>
            <w:r>
              <w:rPr>
                <w:rStyle w:val="Code"/>
              </w:rPr>
              <w:t xml:space="preserve">  ...</w:t>
            </w:r>
          </w:p>
          <w:p w14:paraId="23B6A0F2" w14:textId="77777777">
            <w:pPr>
              <w:pStyle w:val="CodeParagraph"/>
              <w:keepNext/>
            </w:pPr>
            <w:r>
              <w:rPr>
                <w:rStyle w:val="Code"/>
              </w:rPr>
              <w:t>&lt;/lg&gt;</w:t>
            </w:r>
          </w:p>
        </w:tc>
      </w:tr>
      <w:tr w14:paraId="51C56E91" w14:textId="77777777">
        <w:tc>
          <w:tcPr>
            <w:tcW w:w="5000" w:type="pct"/>
          </w:tcPr>
          <w:p w14:paraId="7F04C9A5" w14:textId="77777777">
            <w:pPr>
              <w:pStyle w:val="TableNote"/>
              <w:keepNext/>
            </w:pPr>
            <w:r>
              <w:t xml:space="preserve">the word </w:t>
            </w:r>
            <w:r>
              <w:rPr>
                <w:rStyle w:val="Foreign"/>
              </w:rPr>
              <w:t>anvakāri</w:t>
            </w:r>
            <w:r>
              <w:t xml:space="preserve"> is split between lines (its initial vowel being merged into the final </w:t>
            </w:r>
            <w:r>
              <w:rPr>
                <w:rStyle w:val="Foreign"/>
              </w:rPr>
              <w:t>ā</w:t>
            </w:r>
            <w:r>
              <w:t xml:space="preserve"> of the preceding word)</w:t>
            </w:r>
          </w:p>
          <w:p w14:paraId="75B8ACEF" w14:textId="77777777">
            <w:pPr>
              <w:pStyle w:val="TableNote"/>
              <w:keepNext/>
            </w:pPr>
            <w:r>
              <w:t xml:space="preserve">splitting into </w:t>
            </w:r>
            <w:r>
              <w:rPr>
                <w:rStyle w:val="Codetext"/>
              </w:rPr>
              <w:t>karmmaṇā</w:t>
            </w:r>
            <w:r>
              <w:rPr>
                <w:rStyle w:val="Code"/>
              </w:rPr>
              <w:t>&lt;/l&gt;&lt;l&gt;</w:t>
            </w:r>
            <w:r>
              <w:rPr>
                <w:rStyle w:val="Codetext"/>
              </w:rPr>
              <w:t>nvakāri</w:t>
            </w:r>
            <w:r>
              <w:t xml:space="preserve"> puts the metrical boundary at an </w:t>
            </w:r>
            <w:r>
              <w:rPr>
                <w:rStyle w:val="Foreign"/>
              </w:rPr>
              <w:t>akṣara</w:t>
            </w:r>
            <w:r>
              <w:t xml:space="preserve"> boundary</w:t>
            </w:r>
          </w:p>
          <w:p w14:paraId="48CF3F8A" w14:textId="77777777">
            <w:pPr>
              <w:pStyle w:val="TableNote"/>
              <w:keepNext/>
            </w:pPr>
            <w:r>
              <w:t xml:space="preserve">but the primary reason for splitting at this point was that it is closer to a word boundary than </w:t>
            </w:r>
            <w:r>
              <w:rPr>
                <w:rStyle w:val="Codetext"/>
              </w:rPr>
              <w:t>karmmaṇānv</w:t>
            </w:r>
            <w:r>
              <w:rPr>
                <w:rStyle w:val="Code"/>
              </w:rPr>
              <w:t>&lt;/l&gt;&lt;l&gt;</w:t>
            </w:r>
            <w:r>
              <w:rPr>
                <w:rStyle w:val="Codetext"/>
              </w:rPr>
              <w:t>akāri</w:t>
            </w:r>
            <w:r>
              <w:t xml:space="preserve"> would be (which is at the boundary of a prefix)</w:t>
            </w:r>
          </w:p>
        </w:tc>
      </w:tr>
      <w:tr w14:paraId="2245D1FA" w14:textId="77777777">
        <w:tc>
          <w:tcPr>
            <w:tcW w:w="5000" w:type="pct"/>
          </w:tcPr>
          <w:p w14:paraId="1E2F9DEC" w14:textId="77777777">
            <w:pPr>
              <w:pStyle w:val="CodeParagraph"/>
              <w:keepNext/>
              <w:rPr>
                <w:rStyle w:val="Code"/>
              </w:rPr>
            </w:pPr>
            <w:r>
              <w:rPr>
                <w:rStyle w:val="Code"/>
              </w:rPr>
              <w:t xml:space="preserve">&lt;lg </w:t>
            </w:r>
            <w:r>
              <w:rPr>
                <w:rStyle w:val="Codeattribute"/>
              </w:rPr>
              <w:t>n=</w:t>
            </w:r>
            <w:r>
              <w:rPr>
                <w:rStyle w:val="Codevalue"/>
              </w:rPr>
              <w:t>"6"</w:t>
            </w:r>
            <w:r>
              <w:rPr>
                <w:rStyle w:val="Code"/>
              </w:rPr>
              <w:t xml:space="preserve"> </w:t>
            </w:r>
            <w:r>
              <w:rPr>
                <w:rStyle w:val="Codeattribute"/>
              </w:rPr>
              <w:t>met=</w:t>
            </w:r>
            <w:r>
              <w:rPr>
                <w:rStyle w:val="Codevalue"/>
              </w:rPr>
              <w:t>"anuṣṭubh"</w:t>
            </w:r>
            <w:r>
              <w:rPr>
                <w:rStyle w:val="Code"/>
              </w:rPr>
              <w:t>&gt;</w:t>
            </w:r>
          </w:p>
          <w:p w14:paraId="23CA3A22" w14:textId="77777777">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 </w:t>
            </w:r>
            <w:r>
              <w:rPr>
                <w:rStyle w:val="Codeattribute"/>
              </w:rPr>
              <w:t>enjamb</w:t>
            </w:r>
            <w:r>
              <w:rPr>
                <w:rStyle w:val="Codetext"/>
              </w:rPr>
              <w:t>=</w:t>
            </w:r>
            <w:r>
              <w:rPr>
                <w:rStyle w:val="Codevalue"/>
              </w:rPr>
              <w:t>"yes"</w:t>
            </w:r>
            <w:r>
              <w:rPr>
                <w:rStyle w:val="Code"/>
              </w:rPr>
              <w:t xml:space="preserve"> </w:t>
            </w:r>
            <w:r>
              <w:rPr>
                <w:rStyle w:val="Codeattribute"/>
              </w:rPr>
              <w:t>met</w:t>
            </w:r>
            <w:r>
              <w:rPr>
                <w:rStyle w:val="Codetext"/>
              </w:rPr>
              <w:t>=</w:t>
            </w:r>
            <w:r>
              <w:rPr>
                <w:rStyle w:val="Codevalue"/>
              </w:rPr>
              <w:t>"na-vipulā"</w:t>
            </w:r>
            <w:r>
              <w:rPr>
                <w:rStyle w:val="Code"/>
              </w:rPr>
              <w:t xml:space="preserve"> </w:t>
            </w:r>
            <w:r>
              <w:rPr>
                <w:rStyle w:val="Codeattribute"/>
              </w:rPr>
              <w:t>real</w:t>
            </w:r>
            <w:r>
              <w:rPr>
                <w:rStyle w:val="Codetext"/>
              </w:rPr>
              <w:t>=</w:t>
            </w:r>
            <w:r>
              <w:rPr>
                <w:rStyle w:val="Codevalue"/>
              </w:rPr>
              <w:t>"+-++---+"</w:t>
            </w:r>
            <w:r>
              <w:rPr>
                <w:rStyle w:val="Code"/>
              </w:rPr>
              <w:t>&gt;</w:t>
            </w:r>
            <w:r>
              <w:rPr>
                <w:rStyle w:val="Codetext"/>
              </w:rPr>
              <w:t>viṣṇurājas tad-anujasy</w:t>
            </w:r>
            <w:r>
              <w:rPr>
                <w:rStyle w:val="Code"/>
              </w:rPr>
              <w:t>&lt;/l&gt;</w:t>
            </w:r>
          </w:p>
          <w:p w14:paraId="2024E433" w14:textId="77777777">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endrarājasya nandanaḥ</w:t>
            </w:r>
            <w:r>
              <w:rPr>
                <w:rStyle w:val="Code"/>
              </w:rPr>
              <w:t>&lt;/l&gt;</w:t>
            </w:r>
          </w:p>
          <w:p w14:paraId="425334B2" w14:textId="77777777">
            <w:pPr>
              <w:pStyle w:val="CodeParagraph"/>
              <w:keepNext/>
              <w:rPr>
                <w:rStyle w:val="Code"/>
              </w:rPr>
            </w:pPr>
            <w:r>
              <w:rPr>
                <w:rStyle w:val="Code"/>
              </w:rPr>
              <w:t xml:space="preserve">  ...</w:t>
            </w:r>
          </w:p>
          <w:p w14:paraId="0D196509" w14:textId="77777777">
            <w:pPr>
              <w:pStyle w:val="CodeParagraph"/>
              <w:keepNext/>
            </w:pPr>
            <w:r>
              <w:rPr>
                <w:rStyle w:val="Code"/>
              </w:rPr>
              <w:t>&lt;/lg&gt;</w:t>
            </w:r>
          </w:p>
        </w:tc>
      </w:tr>
      <w:tr w14:paraId="1037DD76" w14:textId="77777777">
        <w:tc>
          <w:tcPr>
            <w:tcW w:w="5000" w:type="pct"/>
          </w:tcPr>
          <w:p w14:paraId="6B953723" w14:textId="77777777">
            <w:pPr>
              <w:pStyle w:val="TableNote"/>
              <w:keepNext/>
            </w:pPr>
            <w:r>
              <w:t xml:space="preserve">the word </w:t>
            </w:r>
            <w:r>
              <w:rPr>
                <w:rStyle w:val="Foreign"/>
              </w:rPr>
              <w:t>anujasya</w:t>
            </w:r>
            <w:r>
              <w:t xml:space="preserve"> is split between lines (its final vowel being merged into the initial vowel of the following </w:t>
            </w:r>
            <w:r>
              <w:rPr>
                <w:rStyle w:val="Foreign"/>
              </w:rPr>
              <w:t>indrarājasya</w:t>
            </w:r>
            <w:r>
              <w:t>)</w:t>
            </w:r>
          </w:p>
          <w:p w14:paraId="56713951" w14:textId="77777777">
            <w:pPr>
              <w:pStyle w:val="TableNote"/>
              <w:keepNext/>
            </w:pPr>
            <w:r>
              <w:t xml:space="preserve">splitting into </w:t>
            </w:r>
            <w:r>
              <w:rPr>
                <w:rStyle w:val="Codetext"/>
              </w:rPr>
              <w:t>tad-anuja</w:t>
            </w:r>
            <w:r>
              <w:rPr>
                <w:rStyle w:val="Code"/>
              </w:rPr>
              <w:t>&lt;/l&gt;&lt;l&gt;</w:t>
            </w:r>
            <w:r>
              <w:rPr>
                <w:rStyle w:val="Codetext"/>
              </w:rPr>
              <w:t>syendrarājasya</w:t>
            </w:r>
            <w:r>
              <w:t xml:space="preserve"> would place the split further away from the word boundary, which is not desirable</w:t>
            </w:r>
          </w:p>
          <w:p w14:paraId="50B0BF27" w14:textId="77777777">
            <w:pPr>
              <w:pStyle w:val="TableNote"/>
              <w:keepNext/>
            </w:pPr>
            <w:r>
              <w:t xml:space="preserve">the preferred splitting does not, in this case, coincide with an </w:t>
            </w:r>
            <w:r>
              <w:rPr>
                <w:rStyle w:val="Foreign"/>
              </w:rPr>
              <w:t>akṣara</w:t>
            </w:r>
            <w:r>
              <w:t xml:space="preserve"> boundary</w:t>
            </w:r>
          </w:p>
          <w:p w14:paraId="27A21622" w14:textId="2A85B6D3">
            <w:pPr>
              <w:pStyle w:val="TableNote"/>
              <w:keepNext/>
            </w:pPr>
            <w:r>
              <w:t xml:space="preserve">the </w:t>
            </w:r>
            <w:r>
              <w:rPr>
                <w:rStyle w:val="Foreign"/>
              </w:rPr>
              <w:t>vipulā</w:t>
            </w:r>
            <w:r>
              <w:t xml:space="preserve"> metre, incidental to this illustration, is encoded as per §</w:t>
            </w:r>
            <w:r>
              <w:fldChar w:fldCharType="begin"/>
            </w:r>
            <w:r>
              <w:instrText xml:space="preserve"> REF _Ref224725166 \r \h </w:instrText>
            </w:r>
            <w:r>
              <w:fldChar w:fldCharType="separate"/>
            </w:r>
            <w:r>
              <w:t>3.3.4.1</w:t>
            </w:r>
            <w:r>
              <w:fldChar w:fldCharType="end"/>
            </w:r>
          </w:p>
        </w:tc>
      </w:tr>
      <w:tr w14:paraId="57A2A66A" w14:textId="77777777">
        <w:tc>
          <w:tcPr>
            <w:tcW w:w="5000" w:type="pct"/>
          </w:tcPr>
          <w:p w14:paraId="4A37B9CE" w14:textId="77777777">
            <w:pPr>
              <w:pStyle w:val="CodeParagraph"/>
              <w:keepNext/>
              <w:rPr>
                <w:rStyle w:val="Code"/>
              </w:rPr>
            </w:pPr>
            <w:r>
              <w:rPr>
                <w:rStyle w:val="Code"/>
              </w:rPr>
              <w:t xml:space="preserve">&lt;lg </w:t>
            </w:r>
            <w:r>
              <w:rPr>
                <w:rStyle w:val="Codeattribute"/>
              </w:rPr>
              <w:t>n=</w:t>
            </w:r>
            <w:r>
              <w:rPr>
                <w:rStyle w:val="Codevalue"/>
              </w:rPr>
              <w:t>"2"</w:t>
            </w:r>
            <w:r>
              <w:rPr>
                <w:rStyle w:val="Code"/>
              </w:rPr>
              <w:t xml:space="preserve"> </w:t>
            </w:r>
            <w:r>
              <w:rPr>
                <w:rStyle w:val="Codeattribute"/>
              </w:rPr>
              <w:t>met=</w:t>
            </w:r>
            <w:r>
              <w:rPr>
                <w:rStyle w:val="Codevalue"/>
              </w:rPr>
              <w:t>"sragdharā"</w:t>
            </w:r>
            <w:r>
              <w:rPr>
                <w:rStyle w:val="Code"/>
              </w:rPr>
              <w:t>&gt;</w:t>
            </w:r>
          </w:p>
          <w:p w14:paraId="56DFE7AE" w14:textId="77777777">
            <w:pPr>
              <w:pStyle w:val="CodeParagraph"/>
              <w:keepNext/>
              <w:rPr>
                <w:rStyle w:val="Code"/>
              </w:rPr>
            </w:pPr>
            <w:r>
              <w:rPr>
                <w:rStyle w:val="Code"/>
              </w:rPr>
              <w:t xml:space="preserve">  ...</w:t>
            </w:r>
          </w:p>
          <w:p w14:paraId="66C7E1DD" w14:textId="77777777">
            <w:pPr>
              <w:pStyle w:val="CodeParagraph"/>
              <w:keepNext/>
              <w:rPr>
                <w:rStyle w:val="Code"/>
              </w:rPr>
            </w:pPr>
            <w:r>
              <w:rPr>
                <w:rStyle w:val="Code"/>
              </w:rPr>
              <w:t xml:space="preserve">  &lt;l </w:t>
            </w:r>
            <w:r>
              <w:rPr>
                <w:rStyle w:val="Codeattribute"/>
              </w:rPr>
              <w:t>n</w:t>
            </w:r>
            <w:r>
              <w:rPr>
                <w:rStyle w:val="Codetext"/>
              </w:rPr>
              <w:t>=</w:t>
            </w:r>
            <w:r>
              <w:rPr>
                <w:rStyle w:val="Codevalue"/>
              </w:rPr>
              <w:t>"c"</w:t>
            </w:r>
            <w:r>
              <w:rPr>
                <w:rStyle w:val="Code"/>
              </w:rPr>
              <w:t xml:space="preserve"> </w:t>
            </w:r>
            <w:r>
              <w:rPr>
                <w:rStyle w:val="Codeattribute"/>
              </w:rPr>
              <w:t>enjamb</w:t>
            </w:r>
            <w:r>
              <w:rPr>
                <w:rStyle w:val="Codetext"/>
              </w:rPr>
              <w:t>=</w:t>
            </w:r>
            <w:r>
              <w:rPr>
                <w:rStyle w:val="Codevalue"/>
              </w:rPr>
              <w:t>"yes"</w:t>
            </w:r>
            <w:r>
              <w:rPr>
                <w:rStyle w:val="Code"/>
              </w:rPr>
              <w:t>&gt;</w:t>
            </w:r>
            <w:r>
              <w:rPr>
                <w:rStyle w:val="Codetext"/>
              </w:rPr>
              <w:t>lokeśas sthāpito ’pīśvara-guṇa-nipuṇo vismayo nāpy akāryy atr</w:t>
            </w:r>
            <w:r>
              <w:rPr>
                <w:rStyle w:val="Code"/>
              </w:rPr>
              <w:t>&lt;/l&gt;</w:t>
            </w:r>
          </w:p>
          <w:p w14:paraId="1D30CB75" w14:textId="77777777">
            <w:pPr>
              <w:pStyle w:val="CodeParagraph"/>
              <w:keepNext/>
              <w:rPr>
                <w:rStyle w:val="Code"/>
              </w:rPr>
            </w:pPr>
            <w:r>
              <w:rPr>
                <w:rStyle w:val="Code"/>
              </w:rPr>
              <w:t xml:space="preserve">  &lt;l </w:t>
            </w:r>
            <w:r>
              <w:rPr>
                <w:rStyle w:val="Codeattribute"/>
              </w:rPr>
              <w:t>n</w:t>
            </w:r>
            <w:r>
              <w:rPr>
                <w:rStyle w:val="Codetext"/>
              </w:rPr>
              <w:t>=</w:t>
            </w:r>
            <w:r>
              <w:rPr>
                <w:rStyle w:val="Codevalue"/>
              </w:rPr>
              <w:t>"d"</w:t>
            </w:r>
            <w:r>
              <w:rPr>
                <w:rStyle w:val="Code"/>
              </w:rPr>
              <w:t>&gt;</w:t>
            </w:r>
            <w:r>
              <w:rPr>
                <w:rStyle w:val="Codetext"/>
              </w:rPr>
              <w:t>āsevīhājñayānāvinamita-matinā duṣṭa-vākyañ ca dharmme</w:t>
            </w:r>
            <w:r>
              <w:rPr>
                <w:rStyle w:val="Code"/>
              </w:rPr>
              <w:t>&lt;/l&gt;</w:t>
            </w:r>
          </w:p>
          <w:p w14:paraId="73F9F7C1" w14:textId="77777777">
            <w:pPr>
              <w:pStyle w:val="CodeParagraph"/>
              <w:keepNext/>
            </w:pPr>
            <w:r>
              <w:rPr>
                <w:rStyle w:val="Code"/>
              </w:rPr>
              <w:t>&lt;/lg&gt;</w:t>
            </w:r>
          </w:p>
        </w:tc>
      </w:tr>
      <w:tr w14:paraId="7BD2B6AC" w14:textId="77777777">
        <w:tc>
          <w:tcPr>
            <w:tcW w:w="5000" w:type="pct"/>
          </w:tcPr>
          <w:p w14:paraId="15D721BA" w14:textId="77777777">
            <w:pPr>
              <w:pStyle w:val="TableNote"/>
            </w:pPr>
            <w:r>
              <w:t xml:space="preserve">the word </w:t>
            </w:r>
            <w:r>
              <w:rPr>
                <w:rStyle w:val="Foreign"/>
              </w:rPr>
              <w:t>atra</w:t>
            </w:r>
            <w:r>
              <w:t xml:space="preserve"> is split between lines (its final vowel being merged into the initial vowel of the following </w:t>
            </w:r>
            <w:r>
              <w:rPr>
                <w:rStyle w:val="Foreign"/>
              </w:rPr>
              <w:t>asevi</w:t>
            </w:r>
            <w:r>
              <w:t>)</w:t>
            </w:r>
          </w:p>
          <w:p w14:paraId="7935A1A7" w14:textId="77777777">
            <w:pPr>
              <w:pStyle w:val="TableNote"/>
            </w:pPr>
            <w:r>
              <w:t xml:space="preserve">splitting into </w:t>
            </w:r>
            <w:r>
              <w:rPr>
                <w:rStyle w:val="Codetext"/>
              </w:rPr>
              <w:t>akāryy a</w:t>
            </w:r>
            <w:r>
              <w:rPr>
                <w:rStyle w:val="Code"/>
              </w:rPr>
              <w:t>&lt;/l&gt;&lt;l&gt;</w:t>
            </w:r>
            <w:r>
              <w:rPr>
                <w:rStyle w:val="Codetext"/>
              </w:rPr>
              <w:t>trāsevī°</w:t>
            </w:r>
            <w:r>
              <w:t xml:space="preserve"> would be equally acceptable on the basis of proximity to a word boundary</w:t>
            </w:r>
          </w:p>
          <w:p w14:paraId="19876FA4" w14:textId="77777777">
            <w:pPr>
              <w:pStyle w:val="TableNote"/>
            </w:pPr>
            <w:r>
              <w:t xml:space="preserve">but semantically, </w:t>
            </w:r>
            <w:r>
              <w:rPr>
                <w:rStyle w:val="Foreign"/>
              </w:rPr>
              <w:t>atra</w:t>
            </w:r>
            <w:r>
              <w:t xml:space="preserve"> belongs to the former line, so putting most of this word into that line is preferable to keeping the </w:t>
            </w:r>
            <w:r>
              <w:rPr>
                <w:rStyle w:val="Foreign"/>
              </w:rPr>
              <w:t>akṣara</w:t>
            </w:r>
            <w:r>
              <w:t xml:space="preserve"> boundary intact</w:t>
            </w:r>
          </w:p>
        </w:tc>
      </w:tr>
    </w:tbl>
    <w:p w14:paraId="5DB6EB5B" w14:textId="77777777"/>
    <w:tbl>
      <w:tblPr>
        <w:tblStyle w:val="CodeSampleTable"/>
        <w:tblW w:w="5000" w:type="pct"/>
        <w:tblLook w:val="04A0" w:firstRow="1" w:lastRow="0" w:firstColumn="1" w:lastColumn="0" w:noHBand="0" w:noVBand="1"/>
      </w:tblPr>
      <w:tblGrid>
        <w:gridCol w:w="9628"/>
      </w:tblGrid>
      <w:tr w14:paraId="570EDB5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D6FDA19" w14:textId="34408218">
            <w:pPr>
              <w:pStyle w:val="Kpalrs"/>
            </w:pPr>
            <w:bookmarkStart w:id="118" w:name="_Ref43995893"/>
            <w:r>
              <w:t xml:space="preserve">Exhibit </w:t>
            </w:r>
            <w:fldSimple w:instr=" STYLEREF 2 \s ">
              <w:r>
                <w:rPr>
                  <w:noProof/>
                </w:rPr>
                <w:t>3.2</w:t>
              </w:r>
            </w:fldSimple>
            <w:r>
              <w:t>.</w:t>
            </w:r>
            <w:fldSimple w:instr=" SEQ Exhibit \* ALPHABETIC \s 4 ">
              <w:r>
                <w:rPr>
                  <w:noProof/>
                </w:rPr>
                <w:t>K</w:t>
              </w:r>
            </w:fldSimple>
            <w:bookmarkEnd w:id="118"/>
            <w:r>
              <w:t>: extraneous text fused to the end of a stanza</w:t>
            </w:r>
          </w:p>
        </w:tc>
      </w:tr>
      <w:tr w14:paraId="7492B239" w14:textId="77777777">
        <w:tc>
          <w:tcPr>
            <w:tcW w:w="5000" w:type="pct"/>
          </w:tcPr>
          <w:p w14:paraId="70011515" w14:textId="77777777">
            <w:pPr>
              <w:pStyle w:val="CodeParagraph"/>
              <w:keepNext/>
              <w:rPr>
                <w:color w:val="000080"/>
                <w:shd w:val="clear" w:color="auto" w:fill="F8F8F8"/>
              </w:rPr>
            </w:pPr>
            <w:r>
              <w:rPr>
                <w:rStyle w:val="Code"/>
              </w:rPr>
              <w:t>&lt;lg&gt;</w:t>
            </w:r>
            <w:r>
              <w:rPr>
                <w:rStyle w:val="Codetext"/>
              </w:rPr>
              <w:br/>
              <w:t xml:space="preserve">  ...</w:t>
            </w:r>
            <w:r>
              <w:rPr>
                <w:rStyle w:val="Codetext"/>
              </w:rPr>
              <w:br/>
            </w:r>
            <w:r>
              <w:rPr>
                <w:rStyle w:val="Code"/>
              </w:rPr>
              <w:t xml:space="preserve">  &lt;l </w:t>
            </w:r>
            <w:r>
              <w:rPr>
                <w:rStyle w:val="Codeattribute"/>
              </w:rPr>
              <w:t>n</w:t>
            </w:r>
            <w:r>
              <w:rPr>
                <w:rStyle w:val="Code"/>
              </w:rPr>
              <w:t>=</w:t>
            </w:r>
            <w:r>
              <w:rPr>
                <w:rStyle w:val="Codevalue"/>
              </w:rPr>
              <w:t>"d"</w:t>
            </w:r>
            <w:r>
              <w:rPr>
                <w:rStyle w:val="Code"/>
              </w:rPr>
              <w:t>&gt;</w:t>
            </w:r>
            <w:r>
              <w:rPr>
                <w:rStyle w:val="Codetext"/>
              </w:rPr>
              <w:t>pitr̥bhiḥ saha majjat</w:t>
            </w:r>
            <w:r>
              <w:rPr>
                <w:rStyle w:val="Code"/>
              </w:rPr>
              <w:t>&lt;choice&gt;&lt;orig&gt;</w:t>
            </w:r>
            <w:r>
              <w:rPr>
                <w:rStyle w:val="Codetext"/>
              </w:rPr>
              <w:t>ī</w:t>
            </w:r>
            <w:r>
              <w:rPr>
                <w:rStyle w:val="Code"/>
              </w:rPr>
              <w:t>&lt;/orig&gt;&lt;reg&gt;</w:t>
            </w:r>
            <w:r>
              <w:rPr>
                <w:rStyle w:val="Codetext"/>
              </w:rPr>
              <w:t>i</w:t>
            </w:r>
            <w:r>
              <w:rPr>
                <w:rStyle w:val="Code"/>
              </w:rPr>
              <w:t>&lt;/reg&gt;&lt;/choice&gt;&lt;/l&gt;</w:t>
            </w:r>
            <w:r>
              <w:rPr>
                <w:rStyle w:val="Codetext"/>
              </w:rPr>
              <w:br/>
            </w:r>
            <w:r>
              <w:rPr>
                <w:rStyle w:val="Code"/>
              </w:rPr>
              <w:t>&lt;/lg&gt;</w:t>
            </w:r>
            <w:r>
              <w:rPr>
                <w:rStyle w:val="Codetext"/>
              </w:rPr>
              <w:br/>
            </w:r>
            <w:r>
              <w:rPr>
                <w:rStyle w:val="Code"/>
              </w:rPr>
              <w:t>&lt;ab&gt;&lt;choice&gt;&lt;orig&gt;</w:t>
            </w:r>
            <w:r>
              <w:rPr>
                <w:rStyle w:val="Codetext"/>
              </w:rPr>
              <w:t>ti</w:t>
            </w:r>
            <w:r>
              <w:rPr>
                <w:rStyle w:val="Code"/>
              </w:rPr>
              <w:t>&lt;/orig&gt;&lt;reg&gt;</w:t>
            </w:r>
            <w:r>
              <w:rPr>
                <w:rStyle w:val="Codetext"/>
              </w:rPr>
              <w:t>Iti</w:t>
            </w:r>
            <w:r>
              <w:rPr>
                <w:rStyle w:val="Code"/>
              </w:rPr>
              <w:t>&lt;/reg&gt;&lt;/choice&gt;&lt;/ab&gt;</w:t>
            </w:r>
            <w:r>
              <w:rPr>
                <w:rStyle w:val="Codetext"/>
              </w:rPr>
              <w:br/>
            </w:r>
            <w:r>
              <w:rPr>
                <w:rStyle w:val="Code"/>
              </w:rPr>
              <w:t>&lt;p&gt;</w:t>
            </w:r>
            <w:r>
              <w:rPr>
                <w:rStyle w:val="Codetext"/>
              </w:rPr>
              <w:t xml:space="preserve">saṁvatsara-śate ... </w:t>
            </w:r>
            <w:r>
              <w:rPr>
                <w:rStyle w:val="Code"/>
              </w:rPr>
              <w:t>&lt;/p&gt;</w:t>
            </w:r>
          </w:p>
        </w:tc>
      </w:tr>
      <w:tr w14:paraId="1AF93DDF" w14:textId="77777777">
        <w:tc>
          <w:tcPr>
            <w:tcW w:w="5000" w:type="pct"/>
          </w:tcPr>
          <w:p w14:paraId="3ACC2E9E" w14:textId="77777777">
            <w:pPr>
              <w:pStyle w:val="TableNote"/>
            </w:pPr>
            <w:r>
              <w:t xml:space="preserve">the string </w:t>
            </w:r>
            <w:r>
              <w:rPr>
                <w:rStyle w:val="Foreign"/>
              </w:rPr>
              <w:t>majjatīti</w:t>
            </w:r>
            <w:r>
              <w:t xml:space="preserve"> is resolved into </w:t>
            </w:r>
            <w:r>
              <w:rPr>
                <w:rStyle w:val="Foreign"/>
              </w:rPr>
              <w:t>majjati Iti</w:t>
            </w:r>
            <w:r>
              <w:t xml:space="preserve"> to allow a container break between these words</w:t>
            </w:r>
          </w:p>
          <w:p w14:paraId="46252B41" w14:textId="77777777">
            <w:pPr>
              <w:pStyle w:val="TableNote"/>
            </w:pPr>
            <w:r>
              <w:t xml:space="preserve">since </w:t>
            </w:r>
            <w:r>
              <w:rPr>
                <w:rStyle w:val="Foreign"/>
              </w:rPr>
              <w:t>iti</w:t>
            </w:r>
            <w:r>
              <w:t xml:space="preserve"> does not belong semantically to the paragraph after the stanza </w:t>
            </w:r>
            <w:r>
              <w:rPr>
                <w:noProof/>
              </w:rPr>
              <w:t>(</w:t>
            </w:r>
            <w:r>
              <w:t xml:space="preserve">being used simply as an end-quote mark), a separate </w:t>
            </w:r>
            <w:r>
              <w:rPr>
                <w:rStyle w:val="Code"/>
              </w:rPr>
              <w:t>&lt;ab&gt;</w:t>
            </w:r>
            <w:r>
              <w:t xml:space="preserve"> container is created for </w:t>
            </w:r>
            <w:r>
              <w:rPr>
                <w:rStyle w:val="Foreign"/>
              </w:rPr>
              <w:t>iti</w:t>
            </w:r>
            <w:r>
              <w:t xml:space="preserve"> between the preceding </w:t>
            </w:r>
            <w:r>
              <w:rPr>
                <w:rStyle w:val="Code"/>
              </w:rPr>
              <w:t>&lt;lg&gt;</w:t>
            </w:r>
            <w:r>
              <w:t xml:space="preserve"> and the following </w:t>
            </w:r>
            <w:r>
              <w:rPr>
                <w:rStyle w:val="Code"/>
              </w:rPr>
              <w:t>&lt;p&gt;</w:t>
            </w:r>
          </w:p>
        </w:tc>
      </w:tr>
    </w:tbl>
    <w:p w14:paraId="66C76502" w14:textId="77777777"/>
    <w:tbl>
      <w:tblPr>
        <w:tblStyle w:val="CodeSampleTable"/>
        <w:tblW w:w="5000" w:type="pct"/>
        <w:tblLook w:val="04A0" w:firstRow="1" w:lastRow="0" w:firstColumn="1" w:lastColumn="0" w:noHBand="0" w:noVBand="1"/>
      </w:tblPr>
      <w:tblGrid>
        <w:gridCol w:w="9628"/>
      </w:tblGrid>
      <w:tr w14:paraId="27B4EFF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A7AE522" w14:textId="498C8852">
            <w:pPr>
              <w:pStyle w:val="Kpalrs"/>
            </w:pPr>
            <w:bookmarkStart w:id="119" w:name="_Ref43996267"/>
            <w:r>
              <w:t xml:space="preserve">Exhibit </w:t>
            </w:r>
            <w:fldSimple w:instr=" STYLEREF 2 \s ">
              <w:r>
                <w:rPr>
                  <w:noProof/>
                </w:rPr>
                <w:t>3.2</w:t>
              </w:r>
            </w:fldSimple>
            <w:r>
              <w:t>.</w:t>
            </w:r>
            <w:fldSimple w:instr=" SEQ Exhibit \* ALPHABETIC \s 4 ">
              <w:r>
                <w:rPr>
                  <w:noProof/>
                </w:rPr>
                <w:t>L</w:t>
              </w:r>
            </w:fldSimple>
            <w:bookmarkEnd w:id="119"/>
            <w:r>
              <w:t>: paragraph boundary fused in sandhi</w:t>
            </w:r>
          </w:p>
        </w:tc>
      </w:tr>
      <w:tr w14:paraId="50746E22" w14:textId="77777777">
        <w:tc>
          <w:tcPr>
            <w:tcW w:w="5000" w:type="pct"/>
          </w:tcPr>
          <w:p w14:paraId="6365B8EE" w14:textId="77777777">
            <w:pPr>
              <w:pStyle w:val="CodeParagraph"/>
              <w:keepNext/>
            </w:pPr>
            <w:r>
              <w:rPr>
                <w:rStyle w:val="Code"/>
              </w:rPr>
              <w:t>&lt;p&gt;</w:t>
            </w:r>
            <w:r>
              <w:rPr>
                <w:rStyle w:val="Codetext"/>
              </w:rPr>
              <w:t xml:space="preserve"> ... puṇye tithau muhūrtte c</w:t>
            </w:r>
            <w:r>
              <w:rPr>
                <w:rStyle w:val="Code"/>
              </w:rPr>
              <w:t>&lt;choice&gt;&lt;orig&gt;</w:t>
            </w:r>
            <w:r>
              <w:rPr>
                <w:rStyle w:val="Codetext"/>
              </w:rPr>
              <w:t>ā</w:t>
            </w:r>
            <w:r>
              <w:rPr>
                <w:rStyle w:val="Code"/>
              </w:rPr>
              <w:t>&lt;/orig&gt;&lt;reg&gt;</w:t>
            </w:r>
            <w:r>
              <w:rPr>
                <w:rStyle w:val="Codetext"/>
              </w:rPr>
              <w:t>a</w:t>
            </w:r>
            <w:r>
              <w:rPr>
                <w:rStyle w:val="Code"/>
              </w:rPr>
              <w:t>&lt;/reg&gt;&lt;/choice&gt;&lt;/p&gt;</w:t>
            </w:r>
            <w:r>
              <w:rPr>
                <w:rStyle w:val="Codetext"/>
              </w:rPr>
              <w:br/>
            </w:r>
            <w:r>
              <w:rPr>
                <w:rStyle w:val="Code"/>
              </w:rPr>
              <w:t>&lt;p&gt;&lt;choice&gt;&lt;orig&gt;</w:t>
            </w:r>
            <w:r>
              <w:rPr>
                <w:rStyle w:val="Codetext"/>
              </w:rPr>
              <w:t>smin</w:t>
            </w:r>
            <w:r>
              <w:rPr>
                <w:rStyle w:val="Code"/>
              </w:rPr>
              <w:t>&lt;/orig&gt;&lt;reg&gt;</w:t>
            </w:r>
            <w:r>
              <w:rPr>
                <w:rStyle w:val="Codetext"/>
              </w:rPr>
              <w:t>Asmin</w:t>
            </w:r>
            <w:r>
              <w:rPr>
                <w:rStyle w:val="Code"/>
              </w:rPr>
              <w:t>&lt;/reg&gt;&lt;/choice&gt;</w:t>
            </w:r>
            <w:r>
              <w:rPr>
                <w:rStyle w:val="Codetext"/>
              </w:rPr>
              <w:t xml:space="preserve"> divasa-māsa-samvatsare ... </w:t>
            </w:r>
            <w:r>
              <w:rPr>
                <w:rStyle w:val="Code"/>
              </w:rPr>
              <w:t>&lt;/p&gt;</w:t>
            </w:r>
          </w:p>
        </w:tc>
      </w:tr>
      <w:tr w14:paraId="4D3F504F" w14:textId="77777777">
        <w:tc>
          <w:tcPr>
            <w:tcW w:w="5000" w:type="pct"/>
          </w:tcPr>
          <w:p w14:paraId="1DB1E8DE" w14:textId="77777777">
            <w:pPr>
              <w:pStyle w:val="TableNote"/>
            </w:pPr>
            <w:r>
              <w:t xml:space="preserve">the string </w:t>
            </w:r>
            <w:r>
              <w:rPr>
                <w:rStyle w:val="Foreign"/>
              </w:rPr>
              <w:t>cāsmin</w:t>
            </w:r>
            <w:r>
              <w:t xml:space="preserve"> is normalised to </w:t>
            </w:r>
            <w:r>
              <w:rPr>
                <w:rStyle w:val="Foreign"/>
              </w:rPr>
              <w:t>ca Asmin</w:t>
            </w:r>
            <w:r>
              <w:t xml:space="preserve"> to allow a paragraph break between these words</w:t>
            </w:r>
          </w:p>
        </w:tc>
      </w:tr>
    </w:tbl>
    <w:p w14:paraId="10F8C15E" w14:textId="77777777">
      <w:pPr>
        <w:pStyle w:val="Cmsor4"/>
      </w:pPr>
      <w:r>
        <w:lastRenderedPageBreak/>
        <w:t>Interrupted words</w:t>
      </w:r>
    </w:p>
    <w:p w14:paraId="321EDE62" w14:textId="000EC8F8">
      <w:pPr>
        <w:rPr>
          <w:lang w:eastAsia="en-US" w:bidi="ar-SA"/>
        </w:rPr>
      </w:pPr>
      <w:r>
        <w:rPr>
          <w:lang w:eastAsia="en-US" w:bidi="ar-SA"/>
        </w:rPr>
        <w:t xml:space="preserve">Prose blocks must never be created in such a way that they end within an integral word. However, verse lines may occasionally end in such a position. If this happens, the usual reason is that a boundary between compound members is in fact present, but it is not segmented in our edition because the compound is a proper name (and vowel fusion may also apply, as in </w:t>
      </w:r>
      <w:r>
        <w:rPr>
          <w:lang w:eastAsia="en-US" w:bidi="ar-SA"/>
        </w:rPr>
        <w:fldChar w:fldCharType="begin"/>
      </w:r>
      <w:r>
        <w:rPr>
          <w:lang w:eastAsia="en-US" w:bidi="ar-SA"/>
        </w:rPr>
        <w:instrText xml:space="preserve"> REF _Ref181627544 \h </w:instrText>
      </w:r>
      <w:r>
        <w:rPr>
          <w:lang w:eastAsia="en-US" w:bidi="ar-SA"/>
        </w:rPr>
      </w:r>
      <w:r>
        <w:rPr>
          <w:lang w:eastAsia="en-US" w:bidi="ar-SA"/>
        </w:rPr>
        <w:fldChar w:fldCharType="separate"/>
      </w:r>
      <w:r>
        <w:t xml:space="preserve">Exhibit </w:t>
      </w:r>
      <w:r>
        <w:rPr>
          <w:noProof/>
        </w:rPr>
        <w:t>3.2</w:t>
      </w:r>
      <w:r>
        <w:t>.</w:t>
      </w:r>
      <w:r>
        <w:rPr>
          <w:noProof/>
        </w:rPr>
        <w:t>M</w:t>
      </w:r>
      <w:r>
        <w:rPr>
          <w:lang w:eastAsia="en-US" w:bidi="ar-SA"/>
        </w:rPr>
        <w:fldChar w:fldCharType="end"/>
      </w:r>
      <w:r>
        <w:rPr>
          <w:lang w:eastAsia="en-US" w:bidi="ar-SA"/>
        </w:rPr>
        <w:t xml:space="preserve">). Rarely, a verse line may end between bound morphemes (e.g. between a prefix and a verbal stem) and even more rarely, the end may be inside an atomic morpheme (as in </w:t>
      </w:r>
      <w:r>
        <w:rPr>
          <w:lang w:eastAsia="en-US" w:bidi="ar-SA"/>
        </w:rPr>
        <w:fldChar w:fldCharType="begin"/>
      </w:r>
      <w:r>
        <w:rPr>
          <w:lang w:eastAsia="en-US" w:bidi="ar-SA"/>
        </w:rPr>
        <w:instrText xml:space="preserve"> REF _Ref224920202 \h </w:instrText>
      </w:r>
      <w:r>
        <w:rPr>
          <w:lang w:eastAsia="en-US" w:bidi="ar-SA"/>
        </w:rPr>
      </w:r>
      <w:r>
        <w:rPr>
          <w:lang w:eastAsia="en-US" w:bidi="ar-SA"/>
        </w:rPr>
        <w:fldChar w:fldCharType="separate"/>
      </w:r>
      <w:r>
        <w:t xml:space="preserve">Exhibit </w:t>
      </w:r>
      <w:r>
        <w:rPr>
          <w:noProof/>
        </w:rPr>
        <w:t>3.2</w:t>
      </w:r>
      <w:r>
        <w:t>.</w:t>
      </w:r>
      <w:r>
        <w:rPr>
          <w:noProof/>
        </w:rPr>
        <w:t>N</w:t>
      </w:r>
      <w:r>
        <w:rPr>
          <w:lang w:eastAsia="en-US" w:bidi="ar-SA"/>
        </w:rPr>
        <w:fldChar w:fldCharType="end"/>
      </w:r>
      <w:r>
        <w:rPr>
          <w:lang w:eastAsia="en-US" w:bidi="ar-SA"/>
        </w:rPr>
        <w:t>). The former is generally frowned upon by traditional authorities on versification, while the latter is usually considered a grave error on the part of the poet.</w:t>
      </w:r>
    </w:p>
    <w:p w14:paraId="65462805" w14:textId="77777777">
      <w:pPr>
        <w:pStyle w:val="Lista"/>
        <w:rPr>
          <w:lang w:eastAsia="en-US" w:bidi="ar-SA"/>
        </w:rPr>
      </w:pPr>
      <w:r>
        <w:rPr>
          <w:lang w:eastAsia="en-US" w:bidi="ar-SA"/>
        </w:rPr>
        <w:t>in all such cases, provided that the metre of the verse is correct</w:t>
      </w:r>
    </w:p>
    <w:p w14:paraId="4F7A4086" w14:textId="77777777">
      <w:pPr>
        <w:pStyle w:val="Lista2"/>
        <w:rPr>
          <w:lang w:eastAsia="en-US" w:bidi="ar-SA"/>
        </w:rPr>
      </w:pPr>
      <w:r>
        <w:rPr>
          <w:lang w:eastAsia="en-US" w:bidi="ar-SA"/>
        </w:rPr>
        <w:t>encode the boundary at the point that makes sense to you</w:t>
      </w:r>
    </w:p>
    <w:p w14:paraId="200A466C" w14:textId="77777777">
      <w:pPr>
        <w:pStyle w:val="Lista3"/>
        <w:rPr>
          <w:lang w:eastAsia="en-US" w:bidi="ar-SA"/>
        </w:rPr>
      </w:pPr>
      <w:r>
        <w:rPr>
          <w:lang w:eastAsia="en-US" w:bidi="ar-SA"/>
        </w:rPr>
        <w:t>making sure that the lines on both sides of the boundary have the required number of syllables</w:t>
      </w:r>
    </w:p>
    <w:p w14:paraId="453C6CBC" w14:textId="1250ACB2">
      <w:pPr>
        <w:pStyle w:val="Lista2"/>
        <w:rPr>
          <w:lang w:eastAsia="en-US" w:bidi="ar-SA"/>
        </w:rPr>
      </w:pPr>
      <w:r>
        <w:t>encode enjambement on the former line (§</w:t>
      </w:r>
      <w:r>
        <w:fldChar w:fldCharType="begin"/>
      </w:r>
      <w:r>
        <w:instrText xml:space="preserve"> REF _Ref224901083 \r \h </w:instrText>
      </w:r>
      <w:r>
        <w:fldChar w:fldCharType="separate"/>
      </w:r>
      <w:r>
        <w:t>3.2.4.1</w:t>
      </w:r>
      <w:r>
        <w:fldChar w:fldCharType="end"/>
      </w:r>
      <w:r>
        <w:t>)</w:t>
      </w:r>
    </w:p>
    <w:tbl>
      <w:tblPr>
        <w:tblStyle w:val="CodeSampleTable"/>
        <w:tblW w:w="5000" w:type="pct"/>
        <w:tblLook w:val="04A0" w:firstRow="1" w:lastRow="0" w:firstColumn="1" w:lastColumn="0" w:noHBand="0" w:noVBand="1"/>
      </w:tblPr>
      <w:tblGrid>
        <w:gridCol w:w="9628"/>
      </w:tblGrid>
      <w:tr w14:paraId="1A6EFCE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A24376C" w14:textId="0583EA75">
            <w:pPr>
              <w:pStyle w:val="Kpalrs"/>
            </w:pPr>
            <w:bookmarkStart w:id="120" w:name="_Ref181627544"/>
            <w:r>
              <w:t xml:space="preserve">Exhibit </w:t>
            </w:r>
            <w:fldSimple w:instr=" STYLEREF 2 \s ">
              <w:r>
                <w:rPr>
                  <w:noProof/>
                </w:rPr>
                <w:t>3.2</w:t>
              </w:r>
            </w:fldSimple>
            <w:r>
              <w:t>.</w:t>
            </w:r>
            <w:fldSimple w:instr=" SEQ Exhibit \* ALPHABETIC \s 2 ">
              <w:r>
                <w:rPr>
                  <w:noProof/>
                </w:rPr>
                <w:t>M</w:t>
              </w:r>
            </w:fldSimple>
            <w:bookmarkEnd w:id="120"/>
            <w:r>
              <w:t>: verse line ending inside a compound not segmented in the edition</w:t>
            </w:r>
          </w:p>
        </w:tc>
      </w:tr>
      <w:tr w14:paraId="0E10CF47" w14:textId="77777777">
        <w:tc>
          <w:tcPr>
            <w:tcW w:w="5000" w:type="pct"/>
          </w:tcPr>
          <w:p w14:paraId="2EE82AFE" w14:textId="77777777">
            <w:pPr>
              <w:pStyle w:val="CodeParagraph"/>
              <w:keepNext/>
              <w:rPr>
                <w:rStyle w:val="Code"/>
              </w:rPr>
            </w:pPr>
            <w:r>
              <w:rPr>
                <w:rStyle w:val="Code"/>
              </w:rPr>
              <w:t xml:space="preserve">&lt;lg </w:t>
            </w:r>
            <w:r>
              <w:rPr>
                <w:rStyle w:val="Codeattribute"/>
              </w:rPr>
              <w:t>n=</w:t>
            </w:r>
            <w:r>
              <w:rPr>
                <w:rStyle w:val="Codevalue"/>
              </w:rPr>
              <w:t>"11"</w:t>
            </w:r>
            <w:r>
              <w:rPr>
                <w:rStyle w:val="Code"/>
              </w:rPr>
              <w:t xml:space="preserve"> </w:t>
            </w:r>
            <w:r>
              <w:rPr>
                <w:rStyle w:val="Codeattribute"/>
              </w:rPr>
              <w:t>met=</w:t>
            </w:r>
            <w:r>
              <w:rPr>
                <w:rStyle w:val="Codevalue"/>
              </w:rPr>
              <w:t>"anuṣṭubh"</w:t>
            </w:r>
            <w:r>
              <w:rPr>
                <w:rStyle w:val="Code"/>
              </w:rPr>
              <w:t>&gt;</w:t>
            </w:r>
          </w:p>
          <w:p w14:paraId="1BC6114A" w14:textId="77777777">
            <w:pPr>
              <w:pStyle w:val="CodeParagraph"/>
              <w:keepNext/>
              <w:rPr>
                <w:rStyle w:val="Code"/>
              </w:rPr>
            </w:pPr>
            <w:r>
              <w:rPr>
                <w:rStyle w:val="Code"/>
              </w:rPr>
              <w:t xml:space="preserve">  &lt;l </w:t>
            </w:r>
            <w:r>
              <w:rPr>
                <w:rStyle w:val="Codeattribute"/>
              </w:rPr>
              <w:t>n=</w:t>
            </w:r>
            <w:r>
              <w:rPr>
                <w:rStyle w:val="Codevalue"/>
              </w:rPr>
              <w:t>"a"</w:t>
            </w:r>
            <w:r>
              <w:rPr>
                <w:rStyle w:val="Code"/>
              </w:rPr>
              <w:t xml:space="preserve"> </w:t>
            </w:r>
            <w:r>
              <w:rPr>
                <w:rStyle w:val="Codeattribute"/>
              </w:rPr>
              <w:t>enjamb=</w:t>
            </w:r>
            <w:r>
              <w:rPr>
                <w:rStyle w:val="Codevalue"/>
              </w:rPr>
              <w:t>"yes"</w:t>
            </w:r>
            <w:r>
              <w:rPr>
                <w:rStyle w:val="Code"/>
              </w:rPr>
              <w:t xml:space="preserve"> </w:t>
            </w:r>
            <w:r>
              <w:rPr>
                <w:rStyle w:val="Codeattribute"/>
              </w:rPr>
              <w:t>met=</w:t>
            </w:r>
            <w:r>
              <w:rPr>
                <w:rStyle w:val="Codevalue"/>
              </w:rPr>
              <w:t>"bha-vipulā"</w:t>
            </w:r>
            <w:r>
              <w:rPr>
                <w:rStyle w:val="Code"/>
              </w:rPr>
              <w:t xml:space="preserve"> </w:t>
            </w:r>
            <w:r>
              <w:rPr>
                <w:rStyle w:val="Codeattribute"/>
              </w:rPr>
              <w:t>real=</w:t>
            </w:r>
            <w:r>
              <w:rPr>
                <w:rStyle w:val="Codevalue"/>
              </w:rPr>
              <w:t>"++-++--+"</w:t>
            </w:r>
            <w:r>
              <w:rPr>
                <w:rStyle w:val="Code"/>
              </w:rPr>
              <w:t>&gt;</w:t>
            </w:r>
            <w:r>
              <w:rPr>
                <w:rStyle w:val="Codetext"/>
              </w:rPr>
              <w:t>sūnus tadīyo vijayā</w:t>
            </w:r>
            <w:r>
              <w:rPr>
                <w:rStyle w:val="Code"/>
              </w:rPr>
              <w:t>&lt;/l&gt;</w:t>
            </w:r>
          </w:p>
          <w:p w14:paraId="18921482" w14:textId="77777777">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ditya-nāmā mahīpatiḥ</w:t>
            </w:r>
            <w:r>
              <w:rPr>
                <w:rStyle w:val="Code"/>
              </w:rPr>
              <w:t>&lt;/l&gt;</w:t>
            </w:r>
          </w:p>
          <w:p w14:paraId="372983C9" w14:textId="77777777">
            <w:pPr>
              <w:pStyle w:val="CodeParagraph"/>
              <w:keepNext/>
              <w:rPr>
                <w:rStyle w:val="Code"/>
              </w:rPr>
            </w:pPr>
            <w:r>
              <w:rPr>
                <w:rStyle w:val="Code"/>
              </w:rPr>
              <w:t xml:space="preserve">  ...</w:t>
            </w:r>
          </w:p>
          <w:p w14:paraId="4EB19793" w14:textId="77777777">
            <w:pPr>
              <w:pStyle w:val="CodeParagraph"/>
              <w:keepNext/>
            </w:pPr>
            <w:r>
              <w:rPr>
                <w:rStyle w:val="Code"/>
              </w:rPr>
              <w:t>&lt;/lg&gt;</w:t>
            </w:r>
          </w:p>
        </w:tc>
      </w:tr>
      <w:tr w14:paraId="32B224A4" w14:textId="77777777">
        <w:tc>
          <w:tcPr>
            <w:tcW w:w="5000" w:type="pct"/>
          </w:tcPr>
          <w:p w14:paraId="35EC8759" w14:textId="77777777">
            <w:pPr>
              <w:pStyle w:val="TableNote"/>
            </w:pPr>
            <w:r>
              <w:t xml:space="preserve">the name </w:t>
            </w:r>
            <w:r>
              <w:rPr>
                <w:rStyle w:val="Foreign"/>
              </w:rPr>
              <w:t>vijayāditya</w:t>
            </w:r>
            <w:r>
              <w:t xml:space="preserve"> is split across verse lines, so enjambement is present</w:t>
            </w:r>
          </w:p>
          <w:p w14:paraId="4E112FC8" w14:textId="163AD402">
            <w:pPr>
              <w:pStyle w:val="TableNote"/>
            </w:pPr>
            <w:r>
              <w:t>vowel fusion sandhi is present, so §</w:t>
            </w:r>
            <w:r>
              <w:fldChar w:fldCharType="begin"/>
            </w:r>
            <w:r>
              <w:instrText xml:space="preserve"> REF _Ref225324953 \r \h </w:instrText>
            </w:r>
            <w:r>
              <w:fldChar w:fldCharType="separate"/>
            </w:r>
            <w:r>
              <w:t>3.2.4.4</w:t>
            </w:r>
            <w:r>
              <w:fldChar w:fldCharType="end"/>
            </w:r>
            <w:r>
              <w:t xml:space="preserve"> also applies</w:t>
            </w:r>
          </w:p>
          <w:p w14:paraId="0462EC51" w14:textId="77777777">
            <w:pPr>
              <w:pStyle w:val="TableNote"/>
            </w:pPr>
            <w:r>
              <w:t>but the compound would not be segmented anyway in DHARMA editorial practice</w:t>
            </w:r>
          </w:p>
          <w:p w14:paraId="62109F0A" w14:textId="6FC65F6B">
            <w:pPr>
              <w:pStyle w:val="TableNote"/>
            </w:pPr>
            <w:r>
              <w:t xml:space="preserve">the </w:t>
            </w:r>
            <w:r>
              <w:rPr>
                <w:rStyle w:val="Foreign"/>
              </w:rPr>
              <w:t>vipulā</w:t>
            </w:r>
            <w:r>
              <w:t xml:space="preserve"> metre, incidental to this illustration, is encoded as per §</w:t>
            </w:r>
            <w:r>
              <w:fldChar w:fldCharType="begin"/>
            </w:r>
            <w:r>
              <w:instrText xml:space="preserve"> REF _Ref224725166 \r \h </w:instrText>
            </w:r>
            <w:r>
              <w:fldChar w:fldCharType="separate"/>
            </w:r>
            <w:r>
              <w:t>3.3.4.1</w:t>
            </w:r>
            <w:r>
              <w:fldChar w:fldCharType="end"/>
            </w:r>
          </w:p>
        </w:tc>
      </w:tr>
    </w:tbl>
    <w:p w14:paraId="77347188" w14:textId="77777777">
      <w:pPr>
        <w:rPr>
          <w:lang w:eastAsia="en-US" w:bidi="ar-SA"/>
        </w:rPr>
      </w:pPr>
    </w:p>
    <w:tbl>
      <w:tblPr>
        <w:tblStyle w:val="CodeSampleTable"/>
        <w:tblW w:w="5000" w:type="pct"/>
        <w:tblLook w:val="04A0" w:firstRow="1" w:lastRow="0" w:firstColumn="1" w:lastColumn="0" w:noHBand="0" w:noVBand="1"/>
      </w:tblPr>
      <w:tblGrid>
        <w:gridCol w:w="9628"/>
      </w:tblGrid>
      <w:tr w14:paraId="051F783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1F452F6" w14:textId="14A323A0">
            <w:pPr>
              <w:pStyle w:val="Kpalrs"/>
            </w:pPr>
            <w:bookmarkStart w:id="121" w:name="_Ref224920202"/>
            <w:r>
              <w:t xml:space="preserve">Exhibit </w:t>
            </w:r>
            <w:fldSimple w:instr=" STYLEREF 2 \s ">
              <w:r>
                <w:rPr>
                  <w:noProof/>
                </w:rPr>
                <w:t>3.2</w:t>
              </w:r>
            </w:fldSimple>
            <w:r>
              <w:t>.</w:t>
            </w:r>
            <w:fldSimple w:instr=" SEQ Exhibit \* ALPHABETIC \s 2 ">
              <w:r>
                <w:rPr>
                  <w:noProof/>
                </w:rPr>
                <w:t>N</w:t>
              </w:r>
            </w:fldSimple>
            <w:bookmarkEnd w:id="121"/>
            <w:r>
              <w:t>: verse line ending within atomic morpheme</w:t>
            </w:r>
          </w:p>
        </w:tc>
      </w:tr>
      <w:tr w14:paraId="6FB383C1" w14:textId="77777777">
        <w:tc>
          <w:tcPr>
            <w:tcW w:w="5000" w:type="pct"/>
          </w:tcPr>
          <w:p w14:paraId="2353AF72" w14:textId="77777777">
            <w:pPr>
              <w:pStyle w:val="CodeParagraph"/>
              <w:keepNext/>
              <w:rPr>
                <w:rStyle w:val="Code"/>
              </w:rPr>
            </w:pPr>
            <w:r>
              <w:rPr>
                <w:rStyle w:val="Code"/>
              </w:rPr>
              <w:t xml:space="preserve">&lt;lg </w:t>
            </w:r>
            <w:r>
              <w:rPr>
                <w:rStyle w:val="Codeattribute"/>
              </w:rPr>
              <w:t>n=</w:t>
            </w:r>
            <w:r>
              <w:rPr>
                <w:rStyle w:val="Codevalue"/>
              </w:rPr>
              <w:t>"2"</w:t>
            </w:r>
            <w:r>
              <w:rPr>
                <w:rStyle w:val="Code"/>
              </w:rPr>
              <w:t xml:space="preserve"> </w:t>
            </w:r>
            <w:r>
              <w:rPr>
                <w:rStyle w:val="Codeattribute"/>
              </w:rPr>
              <w:t>met=</w:t>
            </w:r>
            <w:r>
              <w:rPr>
                <w:rStyle w:val="Codevalue"/>
              </w:rPr>
              <w:t>"śikhariṇī"</w:t>
            </w:r>
            <w:r>
              <w:rPr>
                <w:rStyle w:val="Code"/>
              </w:rPr>
              <w:t>&gt;</w:t>
            </w:r>
          </w:p>
          <w:p w14:paraId="5C7E7D9B" w14:textId="77777777">
            <w:pPr>
              <w:pStyle w:val="CodeParagraph"/>
              <w:keepNext/>
              <w:rPr>
                <w:rStyle w:val="Code"/>
              </w:rPr>
            </w:pPr>
            <w:r>
              <w:rPr>
                <w:rStyle w:val="Code"/>
              </w:rPr>
              <w:t xml:space="preserve">  &lt;l </w:t>
            </w:r>
            <w:r>
              <w:rPr>
                <w:rStyle w:val="Codeattribute"/>
              </w:rPr>
              <w:t>n=</w:t>
            </w:r>
            <w:r>
              <w:rPr>
                <w:rStyle w:val="Codevalue"/>
              </w:rPr>
              <w:t>"a"</w:t>
            </w:r>
            <w:r>
              <w:rPr>
                <w:rStyle w:val="Code"/>
              </w:rPr>
              <w:t xml:space="preserve"> </w:t>
            </w:r>
            <w:r>
              <w:rPr>
                <w:rStyle w:val="Codeattribute"/>
              </w:rPr>
              <w:t>enjamb=</w:t>
            </w:r>
            <w:r>
              <w:rPr>
                <w:rStyle w:val="Codevalue"/>
              </w:rPr>
              <w:t>"yes"</w:t>
            </w:r>
            <w:r>
              <w:rPr>
                <w:rStyle w:val="Code"/>
              </w:rPr>
              <w:t>&gt;</w:t>
            </w:r>
            <w:r>
              <w:rPr>
                <w:rStyle w:val="Codetext"/>
              </w:rPr>
              <w:t>sutas tasya jyeṣṭho guṇaga-vijayāditya-patir aṁ</w:t>
            </w:r>
            <w:r>
              <w:rPr>
                <w:rStyle w:val="Code"/>
              </w:rPr>
              <w:t>&lt;/l&gt;</w:t>
            </w:r>
          </w:p>
          <w:p w14:paraId="7BA5914D" w14:textId="77777777">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kakāras sākṣād vallabha-nr̥pa-samabhyarccita-bhujaḥ</w:t>
            </w:r>
            <w:r>
              <w:rPr>
                <w:rStyle w:val="Code"/>
              </w:rPr>
              <w:t>&lt;/l&gt;</w:t>
            </w:r>
          </w:p>
          <w:p w14:paraId="19C429B1" w14:textId="77777777">
            <w:pPr>
              <w:pStyle w:val="CodeParagraph"/>
              <w:keepNext/>
              <w:rPr>
                <w:rStyle w:val="Code"/>
              </w:rPr>
            </w:pPr>
            <w:r>
              <w:rPr>
                <w:rStyle w:val="Code"/>
              </w:rPr>
              <w:t xml:space="preserve">  ...</w:t>
            </w:r>
          </w:p>
          <w:p w14:paraId="15802260" w14:textId="77777777">
            <w:pPr>
              <w:pStyle w:val="CodeParagraph"/>
              <w:keepNext/>
            </w:pPr>
            <w:r>
              <w:rPr>
                <w:rStyle w:val="Code"/>
              </w:rPr>
              <w:t>&lt;/lg&gt;</w:t>
            </w:r>
          </w:p>
        </w:tc>
      </w:tr>
      <w:tr w14:paraId="5CDAC1BE" w14:textId="77777777">
        <w:tc>
          <w:tcPr>
            <w:tcW w:w="5000" w:type="pct"/>
          </w:tcPr>
          <w:p w14:paraId="54D27CDF" w14:textId="77777777">
            <w:pPr>
              <w:pStyle w:val="TableNote"/>
            </w:pPr>
            <w:r>
              <w:t xml:space="preserve">the monomorphemic word </w:t>
            </w:r>
            <w:r>
              <w:rPr>
                <w:rStyle w:val="Foreign"/>
              </w:rPr>
              <w:t>aṁka</w:t>
            </w:r>
            <w:r>
              <w:t xml:space="preserve"> is split across verse lines, so enjambement is present</w:t>
            </w:r>
          </w:p>
          <w:p w14:paraId="2A0D574C" w14:textId="77777777">
            <w:pPr>
              <w:pStyle w:val="TableNote"/>
            </w:pPr>
            <w:r>
              <w:t>the boundary is encoded at a convenient spot that leaves the metre intact</w:t>
            </w:r>
          </w:p>
        </w:tc>
      </w:tr>
    </w:tbl>
    <w:p w14:paraId="4F478CA2" w14:textId="77777777">
      <w:pPr>
        <w:pStyle w:val="Cmsor3"/>
      </w:pPr>
      <w:bookmarkStart w:id="122" w:name="_Toc242889455"/>
      <w:r>
        <w:t>Good encoding practice for block-level elements</w:t>
      </w:r>
      <w:bookmarkEnd w:id="122"/>
    </w:p>
    <w:p w14:paraId="06EB114D" w14:textId="0EE4A53B">
      <w:r>
        <w:t>The basic block-level containers are the direct children of a division (the edition division or, if applicable, of a textpart division) and must contain not only all the text in an edition, but also all the markup applied to the edition. The empty elements representing extrinsic structure (§</w:t>
      </w:r>
      <w:r>
        <w:fldChar w:fldCharType="begin"/>
      </w:r>
      <w:r>
        <w:instrText xml:space="preserve"> REF _Ref225327729 \r \h </w:instrText>
      </w:r>
      <w:r>
        <w:fldChar w:fldCharType="separate"/>
      </w:r>
      <w:r>
        <w:t>4.3</w:t>
      </w:r>
      <w:r>
        <w:fldChar w:fldCharType="end"/>
      </w:r>
      <w:r>
        <w:t>) must thus also be placed within the block-level text containers (§</w:t>
      </w:r>
      <w:r>
        <w:fldChar w:fldCharType="begin"/>
      </w:r>
      <w:r>
        <w:instrText xml:space="preserve"> REF _Ref225502994 \r \h </w:instrText>
      </w:r>
      <w:r>
        <w:fldChar w:fldCharType="separate"/>
      </w:r>
      <w:r>
        <w:t>4.3.3.1</w:t>
      </w:r>
      <w:r>
        <w:fldChar w:fldCharType="end"/>
      </w:r>
      <w:r>
        <w:t>). Since XML cannot represent overlapping hierarchies (§</w:t>
      </w:r>
      <w:r>
        <w:fldChar w:fldCharType="begin"/>
      </w:r>
      <w:r>
        <w:instrText xml:space="preserve"> REF _Ref224893456 \r \h </w:instrText>
      </w:r>
      <w:r>
        <w:fldChar w:fldCharType="separate"/>
      </w:r>
      <w:r>
        <w:t>2.1.4</w:t>
      </w:r>
      <w:r>
        <w:fldChar w:fldCharType="end"/>
      </w:r>
      <w:r>
        <w:t>), all phrase-level elements (§</w:t>
      </w:r>
      <w:r>
        <w:fldChar w:fldCharType="begin"/>
      </w:r>
      <w:r>
        <w:instrText xml:space="preserve"> REF _Ref224893557 \r \h </w:instrText>
      </w:r>
      <w:r>
        <w:fldChar w:fldCharType="separate"/>
      </w:r>
      <w:r>
        <w:t>2.1.2</w:t>
      </w:r>
      <w:r>
        <w:fldChar w:fldCharType="end"/>
      </w:r>
      <w:r>
        <w:t>) representing features extending across a block-level boundary must be split up, with one phrase-level element at the end of the former block-level element, and another phrase-level element of the same kind at the beginning of the latter block-level element. Further guidelines for the hierarchy of encoding, including exceptional cases where empty elements may appear in an edition outside one of these structural containers, are given in §</w:t>
      </w:r>
      <w:r>
        <w:fldChar w:fldCharType="begin"/>
      </w:r>
      <w:r>
        <w:instrText xml:space="preserve"> REF _Ref43978660 \r \h </w:instrText>
      </w:r>
      <w:r>
        <w:fldChar w:fldCharType="separate"/>
      </w:r>
      <w:r>
        <w:t>16.2</w:t>
      </w:r>
      <w:r>
        <w:fldChar w:fldCharType="end"/>
      </w:r>
      <w:r>
        <w:t>.</w:t>
      </w:r>
    </w:p>
    <w:p w14:paraId="03036069" w14:textId="77777777">
      <w:pPr>
        <w:pStyle w:val="Cmsor2"/>
      </w:pPr>
      <w:bookmarkStart w:id="123" w:name="_Toc242889456"/>
      <w:r>
        <w:lastRenderedPageBreak/>
        <w:t>Encoding metre in verse</w:t>
      </w:r>
      <w:bookmarkEnd w:id="123"/>
    </w:p>
    <w:p w14:paraId="339660C8" w14:textId="77777777">
      <w:pPr>
        <w:pStyle w:val="Cmsor3"/>
      </w:pPr>
      <w:bookmarkStart w:id="124" w:name="_Ref225323861"/>
      <w:bookmarkStart w:id="125" w:name="_Ref225323884"/>
      <w:bookmarkStart w:id="126" w:name="_Toc242889457"/>
      <w:r>
        <w:t xml:space="preserve">Encoding an abstract prosodic template with </w:t>
      </w:r>
      <w:r>
        <w:rPr>
          <w:rStyle w:val="Codeattribute"/>
        </w:rPr>
        <w:t>@met</w:t>
      </w:r>
      <w:bookmarkEnd w:id="84"/>
      <w:bookmarkEnd w:id="93"/>
      <w:bookmarkEnd w:id="124"/>
      <w:bookmarkEnd w:id="125"/>
      <w:bookmarkEnd w:id="126"/>
    </w:p>
    <w:p w14:paraId="2B0B9AD2" w14:textId="0FC842C3">
      <w:r>
        <w:t xml:space="preserve">Most of the verse in our texts conforms to conventional metrical templates associated with emic names recognised by authorities on poetics </w:t>
      </w:r>
      <w:r>
        <w:rPr>
          <w:noProof/>
        </w:rPr>
        <w:t>(</w:t>
      </w:r>
      <w:r>
        <w:t xml:space="preserve">e.g. </w:t>
      </w:r>
      <w:r>
        <w:rPr>
          <w:rStyle w:val="Foreign"/>
        </w:rPr>
        <w:t>upajāti</w:t>
      </w:r>
      <w:r>
        <w:t xml:space="preserve">, </w:t>
      </w:r>
      <w:r>
        <w:rPr>
          <w:rStyle w:val="Foreign"/>
        </w:rPr>
        <w:t>śārdūlavikrīḍita</w:t>
      </w:r>
      <w:r>
        <w:t>, etc.). We have catalogued these in the authority file “Prosodic Patterns.”</w:t>
      </w:r>
      <w:r>
        <w:rPr>
          <w:rStyle w:val="Lbjegyzet-hivatkozs"/>
        </w:rPr>
        <w:footnoteReference w:id="10"/>
      </w:r>
      <w:r>
        <w:t xml:space="preserve"> In addition to serving as canonical reference, this file can also help you with the identification of metres, for which the </w:t>
      </w:r>
      <w:r>
        <w:rPr>
          <w:highlight w:val="yellow"/>
        </w:rPr>
        <w:t>VG</w:t>
      </w:r>
      <w:r>
        <w:t xml:space="preserve"> contains some additional guidance.</w:t>
      </w:r>
    </w:p>
    <w:p w14:paraId="773F43AD" w14:textId="77777777">
      <w:pPr>
        <w:pStyle w:val="Lista"/>
      </w:pPr>
      <w:r>
        <w:t>when establishing the metre of a verse segment, you must disregard</w:t>
      </w:r>
    </w:p>
    <w:p w14:paraId="5114386F" w14:textId="3E2BD2F2">
      <w:pPr>
        <w:pStyle w:val="Lista2"/>
      </w:pPr>
      <w:r>
        <w:t xml:space="preserve">presumable scribal error </w:t>
      </w:r>
      <w:r>
        <w:rPr>
          <w:noProof/>
        </w:rPr>
        <w:t>(</w:t>
      </w:r>
      <w:r>
        <w:t xml:space="preserve">e.g. omission, dittography) or non-standard usage which you as editor have corrected </w:t>
      </w:r>
      <w:r>
        <w:rPr>
          <w:noProof/>
        </w:rPr>
        <w:t>(</w:t>
      </w:r>
      <w:r>
        <w:t>§</w:t>
      </w:r>
      <w:r>
        <w:fldChar w:fldCharType="begin"/>
      </w:r>
      <w:r>
        <w:instrText xml:space="preserve"> REF _Ref232089210 \r \h </w:instrText>
      </w:r>
      <w:r>
        <w:fldChar w:fldCharType="separate"/>
      </w:r>
      <w:r>
        <w:t>7.7.4</w:t>
      </w:r>
      <w:r>
        <w:fldChar w:fldCharType="end"/>
      </w:r>
      <w:r>
        <w:t>), thereby restoring the expected metre</w:t>
      </w:r>
    </w:p>
    <w:p w14:paraId="0FC5EC71" w14:textId="20A41310">
      <w:pPr>
        <w:pStyle w:val="Lista2"/>
      </w:pPr>
      <w:r>
        <w:t xml:space="preserve">the scribal quirk where the end of a verse is joined in sandhi to a closing </w:t>
      </w:r>
      <w:r>
        <w:rPr>
          <w:rStyle w:val="Foreign"/>
        </w:rPr>
        <w:t>iti</w:t>
      </w:r>
      <w:r>
        <w:t xml:space="preserve"> (for which see §</w:t>
      </w:r>
      <w:r>
        <w:fldChar w:fldCharType="begin"/>
      </w:r>
      <w:r>
        <w:instrText xml:space="preserve"> REF _Ref225324953 \r \h </w:instrText>
      </w:r>
      <w:r>
        <w:fldChar w:fldCharType="separate"/>
      </w:r>
      <w:r>
        <w:t>3.2.4.4</w:t>
      </w:r>
      <w:r>
        <w:fldChar w:fldCharType="end"/>
      </w:r>
      <w:r>
        <w:t>)</w:t>
      </w:r>
    </w:p>
    <w:p w14:paraId="370C7707" w14:textId="77777777">
      <w:pPr>
        <w:pStyle w:val="Lista"/>
      </w:pPr>
      <w:r>
        <w:t xml:space="preserve">the theoretical metre to which a verse segment conforms can be encoded in the attribute </w:t>
      </w:r>
      <w:r>
        <w:rPr>
          <w:rStyle w:val="Codeattribute"/>
        </w:rPr>
        <w:t>@met</w:t>
      </w:r>
    </w:p>
    <w:p w14:paraId="743F286C" w14:textId="77777777">
      <w:pPr>
        <w:pStyle w:val="Lista"/>
      </w:pPr>
      <w:r>
        <w:t xml:space="preserve">in DHARMA practice, </w:t>
      </w:r>
      <w:r>
        <w:rPr>
          <w:rStyle w:val="Codeattribute"/>
        </w:rPr>
        <w:t>@met</w:t>
      </w:r>
      <w:r>
        <w:t xml:space="preserve"> </w:t>
      </w:r>
    </w:p>
    <w:p w14:paraId="35FEB21E" w14:textId="77777777">
      <w:pPr>
        <w:pStyle w:val="Lista2"/>
      </w:pPr>
      <w:r>
        <w:t xml:space="preserve">must be mandatorily present on every </w:t>
      </w:r>
      <w:r>
        <w:rPr>
          <w:rStyle w:val="Code"/>
        </w:rPr>
        <w:t>&lt;lg&gt;</w:t>
      </w:r>
      <w:r>
        <w:t xml:space="preserve"> element</w:t>
      </w:r>
    </w:p>
    <w:p w14:paraId="0703FE8C" w14:textId="77777777">
      <w:pPr>
        <w:pStyle w:val="Lista2"/>
      </w:pPr>
      <w:r>
        <w:t xml:space="preserve">is normally not used on </w:t>
      </w:r>
      <w:r>
        <w:rPr>
          <w:rStyle w:val="Code"/>
        </w:rPr>
        <w:t>&lt;l&gt;</w:t>
      </w:r>
      <w:r>
        <w:t xml:space="preserve"> elements</w:t>
      </w:r>
    </w:p>
    <w:p w14:paraId="3F48E593" w14:textId="1CCDAC70">
      <w:pPr>
        <w:pStyle w:val="Lista3"/>
      </w:pPr>
      <w:r>
        <w:t>but is added to lines that deviate from the overall template of a stanza, as called for in some subsections of §</w:t>
      </w:r>
      <w:r>
        <w:fldChar w:fldCharType="begin"/>
      </w:r>
      <w:r>
        <w:instrText xml:space="preserve"> REF _Ref225325000 \r \h </w:instrText>
      </w:r>
      <w:r>
        <w:fldChar w:fldCharType="separate"/>
      </w:r>
      <w:r>
        <w:t>3.3.3.1</w:t>
      </w:r>
      <w:r>
        <w:fldChar w:fldCharType="end"/>
      </w:r>
      <w:r>
        <w:t xml:space="preserve"> </w:t>
      </w:r>
    </w:p>
    <w:p w14:paraId="6A9C1264" w14:textId="77777777">
      <w:pPr>
        <w:pStyle w:val="Lista"/>
      </w:pPr>
      <w:r>
        <w:t xml:space="preserve">typically, the value of </w:t>
      </w:r>
      <w:r>
        <w:rPr>
          <w:rStyle w:val="Codeattribute"/>
        </w:rPr>
        <w:t>@met</w:t>
      </w:r>
      <w:r>
        <w:t xml:space="preserve"> shall be one of the metre names listed in our authority file</w:t>
      </w:r>
    </w:p>
    <w:p w14:paraId="007A65F1" w14:textId="77777777">
      <w:pPr>
        <w:pStyle w:val="Lista2"/>
      </w:pPr>
      <w:r>
        <w:t>if you come across a metre to which you can put a name, but that name is not in the authority file,</w:t>
      </w:r>
    </w:p>
    <w:p w14:paraId="72A57955" w14:textId="77777777">
      <w:pPr>
        <w:pStyle w:val="Lista3"/>
      </w:pPr>
      <w:r>
        <w:t>use the name as a value</w:t>
      </w:r>
    </w:p>
    <w:p w14:paraId="512CA738" w14:textId="21966515">
      <w:pPr>
        <w:pStyle w:val="Lista3"/>
      </w:pPr>
      <w:r>
        <w:t>add the name to the authority file, following the instructions in the file itself</w:t>
      </w:r>
    </w:p>
    <w:p w14:paraId="3917DF98" w14:textId="77777777">
      <w:pPr>
        <w:pStyle w:val="Lista2"/>
      </w:pPr>
      <w:r>
        <w:t>if the authority file lists more than one name for a template, choose the name most appropriate to the language and/or region of your inscription</w:t>
      </w:r>
    </w:p>
    <w:p w14:paraId="63E9924C" w14:textId="77777777">
      <w:pPr>
        <w:pStyle w:val="Lista2"/>
      </w:pPr>
      <w:r>
        <w:t>special values, some of them applicable only to stanzas and some only to lines, are noted in the following subsections</w:t>
      </w:r>
    </w:p>
    <w:p w14:paraId="129E63C6" w14:textId="77777777">
      <w:pPr>
        <w:pStyle w:val="Cmsor3"/>
      </w:pPr>
      <w:bookmarkStart w:id="127" w:name="_Ref181701741"/>
      <w:bookmarkStart w:id="128" w:name="_Ref181630354"/>
      <w:bookmarkStart w:id="129" w:name="_Toc242889458"/>
      <w:r>
        <w:t xml:space="preserve">Encoding an actual prosodic realisation with </w:t>
      </w:r>
      <w:r>
        <w:rPr>
          <w:rStyle w:val="Codeattribute"/>
        </w:rPr>
        <w:t>@real</w:t>
      </w:r>
      <w:bookmarkEnd w:id="127"/>
      <w:bookmarkEnd w:id="129"/>
    </w:p>
    <w:p w14:paraId="61666790" w14:textId="77777777">
      <w:pPr>
        <w:pStyle w:val="Lista"/>
        <w:rPr>
          <w:rStyle w:val="Codeattribute"/>
          <w:rFonts w:ascii="Gentium Plus" w:hAnsi="Gentium Plus" w:cs="Arial Unicode MS"/>
          <w:noProof w:val="0"/>
          <w:color w:val="auto"/>
          <w:shd w:val="clear" w:color="auto" w:fill="auto"/>
        </w:rPr>
      </w:pPr>
      <w:r>
        <w:t xml:space="preserve">when the prosodic realisation of a segment deviates from what is expected on the basis of a metrical template encoded with </w:t>
      </w:r>
      <w:r>
        <w:rPr>
          <w:rStyle w:val="Codeattribute"/>
        </w:rPr>
        <w:t>@met</w:t>
      </w:r>
      <w:r>
        <w:t xml:space="preserve">, the actual prosody of the text can be encoded in the attribute </w:t>
      </w:r>
      <w:r>
        <w:rPr>
          <w:rStyle w:val="Codeattribute"/>
        </w:rPr>
        <w:t>@real</w:t>
      </w:r>
    </w:p>
    <w:p w14:paraId="309FE7D7" w14:textId="1FDFA6F7">
      <w:pPr>
        <w:pStyle w:val="Lista"/>
      </w:pPr>
      <w:r>
        <w:t xml:space="preserve">in DHARMA practice, </w:t>
      </w:r>
      <w:r>
        <w:rPr>
          <w:rStyle w:val="Codeattribute"/>
        </w:rPr>
        <w:t>@real</w:t>
      </w:r>
      <w:r>
        <w:t xml:space="preserve"> is only used on </w:t>
      </w:r>
      <w:r>
        <w:rPr>
          <w:rStyle w:val="Code"/>
        </w:rPr>
        <w:t>&lt;l&gt;</w:t>
      </w:r>
      <w:r>
        <w:t xml:space="preserve"> elements, and there only in the specific cases under §</w:t>
      </w:r>
      <w:r>
        <w:fldChar w:fldCharType="begin"/>
      </w:r>
      <w:r>
        <w:instrText xml:space="preserve"> REF _Ref225325358 \r \h </w:instrText>
      </w:r>
      <w:r>
        <w:fldChar w:fldCharType="separate"/>
      </w:r>
      <w:r>
        <w:t>3.3.4</w:t>
      </w:r>
      <w:r>
        <w:fldChar w:fldCharType="end"/>
      </w:r>
      <w:r>
        <w:t xml:space="preserve"> that call for this attribute</w:t>
      </w:r>
    </w:p>
    <w:p w14:paraId="018DE57F" w14:textId="77777777">
      <w:pPr>
        <w:pStyle w:val="Lista"/>
      </w:pPr>
      <w:r>
        <w:t>the value of this attribute must be the formula for the specific prosody of the text</w:t>
      </w:r>
    </w:p>
    <w:p w14:paraId="3BA9EA11" w14:textId="77777777">
      <w:pPr>
        <w:pStyle w:val="Lista2"/>
      </w:pPr>
      <w:r>
        <w:t>the formula must be recorded in plaintext notation</w:t>
      </w:r>
    </w:p>
    <w:p w14:paraId="16B83854" w14:textId="459694B9">
      <w:pPr>
        <w:pStyle w:val="Lista3"/>
      </w:pPr>
      <w:r>
        <w:t xml:space="preserve">using + for long syllables and - for short syllables (for further details, see </w:t>
      </w:r>
      <w:r>
        <w:rPr>
          <w:highlight w:val="yellow"/>
        </w:rPr>
        <w:t>VG</w:t>
      </w:r>
      <w:r>
        <w:t xml:space="preserve"> §#)</w:t>
      </w:r>
    </w:p>
    <w:p w14:paraId="3455A7FD" w14:textId="74E58E07">
      <w:pPr>
        <w:pStyle w:val="Lista4"/>
      </w:pPr>
      <w:r>
        <w:t>since we are concerned with actual realisation here, the = sign for “syllable of indeterminate length” may only be used when the length of a syllable cannot be determined due to legibility issues, but shall not be used for line-final syllables, which are usually understood to be long in prosodic templates, but whose actual length must in this case be recorded</w:t>
      </w:r>
    </w:p>
    <w:p w14:paraId="551A601A" w14:textId="5DAEBA51">
      <w:pPr>
        <w:pStyle w:val="Lista2"/>
      </w:pPr>
      <w:r>
        <w:t>if the text contains editorial correction (§</w:t>
      </w:r>
      <w:r>
        <w:fldChar w:fldCharType="begin"/>
      </w:r>
      <w:r>
        <w:instrText xml:space="preserve"> REF _Ref232089210 \r \h </w:instrText>
      </w:r>
      <w:r>
        <w:fldChar w:fldCharType="separate"/>
      </w:r>
      <w:r>
        <w:t>7.7.4</w:t>
      </w:r>
      <w:r>
        <w:fldChar w:fldCharType="end"/>
      </w:r>
      <w:r>
        <w:t xml:space="preserve">), then </w:t>
      </w:r>
      <w:r>
        <w:rPr>
          <w:rStyle w:val="Codeattribute"/>
        </w:rPr>
        <w:t>@real</w:t>
      </w:r>
      <w:r>
        <w:t xml:space="preserve"> must represent the prosody of the corrected text (assumed to be the intent of the verse’s composer) and not the pre-correction text (assumed to result from scribal error)</w:t>
      </w:r>
    </w:p>
    <w:p w14:paraId="6FE596B4" w14:textId="266C1CE3">
      <w:pPr>
        <w:pStyle w:val="Cmsor3"/>
      </w:pPr>
      <w:bookmarkStart w:id="130" w:name="_Toc242889459"/>
      <w:r>
        <w:t>Metres not associated with a clear name</w:t>
      </w:r>
      <w:bookmarkEnd w:id="130"/>
    </w:p>
    <w:p w14:paraId="55D36409" w14:textId="77777777">
      <w:pPr>
        <w:pStyle w:val="Cmsor4"/>
      </w:pPr>
      <w:bookmarkStart w:id="131" w:name="_Ref224726921"/>
      <w:bookmarkStart w:id="132" w:name="_Ref225324441"/>
      <w:bookmarkStart w:id="133" w:name="_Ref225325000"/>
      <w:r>
        <w:t>Nameless metres</w:t>
      </w:r>
      <w:bookmarkEnd w:id="131"/>
    </w:p>
    <w:p w14:paraId="29B195CC" w14:textId="77777777">
      <w:pPr>
        <w:pStyle w:val="Lista"/>
      </w:pPr>
      <w:r>
        <w:t>if a stanza follows a set metrical template, but you cannot put a name to the metre, then</w:t>
      </w:r>
    </w:p>
    <w:p w14:paraId="1CCC7580" w14:textId="5E7FD13E">
      <w:pPr>
        <w:pStyle w:val="Lista2"/>
      </w:pPr>
      <w:r>
        <w:lastRenderedPageBreak/>
        <w:t xml:space="preserve">establish the prosodic template and record it in ASCII notation </w:t>
      </w:r>
      <w:r>
        <w:rPr>
          <w:noProof/>
        </w:rPr>
        <w:t>(</w:t>
      </w:r>
      <w:r>
        <w:t xml:space="preserve">q.v. </w:t>
      </w:r>
      <w:r>
        <w:rPr>
          <w:highlight w:val="yellow"/>
        </w:rPr>
        <w:t>VG</w:t>
      </w:r>
      <w:r>
        <w:t xml:space="preserve"> §#) as the value of </w:t>
      </w:r>
      <w:r>
        <w:rPr>
          <w:rStyle w:val="Codeattribute"/>
        </w:rPr>
        <w:t>@met</w:t>
      </w:r>
      <w:r>
        <w:t xml:space="preserve">, as in </w:t>
      </w:r>
      <w:r>
        <w:fldChar w:fldCharType="begin"/>
      </w:r>
      <w:r>
        <w:instrText xml:space="preserve"> REF _Ref181699675 \h </w:instrText>
      </w:r>
      <w:r>
        <w:fldChar w:fldCharType="separate"/>
      </w:r>
      <w:r>
        <w:t xml:space="preserve">Exhibit </w:t>
      </w:r>
      <w:r>
        <w:rPr>
          <w:noProof/>
        </w:rPr>
        <w:t>3.3</w:t>
      </w:r>
      <w:r>
        <w:t>.</w:t>
      </w:r>
      <w:r>
        <w:rPr>
          <w:noProof/>
        </w:rPr>
        <w:t>A</w:t>
      </w:r>
      <w:r>
        <w:fldChar w:fldCharType="end"/>
      </w:r>
    </w:p>
    <w:p w14:paraId="6AC4606D" w14:textId="77777777">
      <w:pPr>
        <w:pStyle w:val="Lista"/>
      </w:pPr>
      <w:r>
        <w:t>if conformance to a syllabic template is not absolute, at your discretion</w:t>
      </w:r>
    </w:p>
    <w:p w14:paraId="0AB426E5" w14:textId="60452DBC">
      <w:pPr>
        <w:pStyle w:val="Lista2"/>
      </w:pPr>
      <w:r>
        <w:t>establish the template so that it accounts for all of the observed variation (with = for indeterminate syllables and numbers for moraic feet)</w:t>
      </w:r>
    </w:p>
    <w:p w14:paraId="3C44C4E2" w14:textId="3C87530A">
      <w:pPr>
        <w:pStyle w:val="Lista2"/>
      </w:pPr>
      <w:r>
        <w:t>establish the template (with or without indeterminate syllables and moraic feet) so that it accounts for what you deem to be the standard form of this metre, and encode the metre of deviant lines as per §</w:t>
      </w:r>
      <w:r>
        <w:fldChar w:fldCharType="begin"/>
      </w:r>
      <w:r>
        <w:instrText xml:space="preserve"> REF _Ref224726481 \r \h </w:instrText>
      </w:r>
      <w:r>
        <w:fldChar w:fldCharType="separate"/>
      </w:r>
      <w:r>
        <w:t>3.3.4.2</w:t>
      </w:r>
      <w:r>
        <w:fldChar w:fldCharType="end"/>
      </w:r>
      <w:r>
        <w:t xml:space="preserve"> </w:t>
      </w:r>
    </w:p>
    <w:p w14:paraId="3541D397" w14:textId="6D4EA567">
      <w:pPr>
        <w:pStyle w:val="Lista"/>
      </w:pPr>
      <w:r>
        <w:t>in the unlikely situation where the metre of a stanza is mixed (§</w:t>
      </w:r>
      <w:r>
        <w:fldChar w:fldCharType="begin"/>
      </w:r>
      <w:r>
        <w:instrText xml:space="preserve"> REF _Ref224912448 \r \h </w:instrText>
      </w:r>
      <w:r>
        <w:fldChar w:fldCharType="separate"/>
      </w:r>
      <w:r>
        <w:t>3.3.3.5</w:t>
      </w:r>
      <w:r>
        <w:fldChar w:fldCharType="end"/>
      </w:r>
      <w:r>
        <w:t xml:space="preserve">) and one or more of its lines are in a metre without a known name, this encoding may also be used in </w:t>
      </w:r>
      <w:r>
        <w:rPr>
          <w:rStyle w:val="Codeattribute"/>
        </w:rPr>
        <w:t>@met</w:t>
      </w:r>
      <w:r>
        <w:t xml:space="preserve"> on individual lines</w:t>
      </w:r>
    </w:p>
    <w:tbl>
      <w:tblPr>
        <w:tblStyle w:val="CodeSampleTable"/>
        <w:tblW w:w="5000" w:type="pct"/>
        <w:tblLook w:val="04A0" w:firstRow="1" w:lastRow="0" w:firstColumn="1" w:lastColumn="0" w:noHBand="0" w:noVBand="1"/>
      </w:tblPr>
      <w:tblGrid>
        <w:gridCol w:w="9628"/>
      </w:tblGrid>
      <w:tr w14:paraId="10324BA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95F1841" w14:textId="09ED4A01">
            <w:pPr>
              <w:pStyle w:val="Kpalrs"/>
            </w:pPr>
            <w:bookmarkStart w:id="134" w:name="_Ref181699675"/>
            <w:bookmarkStart w:id="135" w:name="_Ref181699674"/>
            <w:r>
              <w:t xml:space="preserve">Exhibit </w:t>
            </w:r>
            <w:fldSimple w:instr=" STYLEREF 2 \s ">
              <w:r>
                <w:rPr>
                  <w:noProof/>
                </w:rPr>
                <w:t>3.3</w:t>
              </w:r>
            </w:fldSimple>
            <w:r>
              <w:t>.</w:t>
            </w:r>
            <w:fldSimple w:instr=" SEQ Exhibit \* ALPHABETIC \s 2 ">
              <w:r>
                <w:rPr>
                  <w:noProof/>
                </w:rPr>
                <w:t>A</w:t>
              </w:r>
            </w:fldSimple>
            <w:bookmarkEnd w:id="134"/>
            <w:r>
              <w:t>: prosodic template encoded with plaintext notation</w:t>
            </w:r>
            <w:bookmarkEnd w:id="135"/>
          </w:p>
        </w:tc>
      </w:tr>
      <w:tr w14:paraId="1BB7B995" w14:textId="77777777">
        <w:tc>
          <w:tcPr>
            <w:tcW w:w="5000" w:type="pct"/>
          </w:tcPr>
          <w:p w14:paraId="748C4D68" w14:textId="77777777">
            <w:pPr>
              <w:pStyle w:val="CodeParagraph"/>
              <w:keepNext/>
              <w:rPr>
                <w:rStyle w:val="Code"/>
              </w:rPr>
            </w:pPr>
            <w:r>
              <w:rPr>
                <w:rStyle w:val="Code"/>
              </w:rPr>
              <w:t xml:space="preserve">&lt;lg </w:t>
            </w:r>
            <w:r>
              <w:rPr>
                <w:rStyle w:val="Codeattribute"/>
              </w:rPr>
              <w:t>n=</w:t>
            </w:r>
            <w:r>
              <w:rPr>
                <w:rStyle w:val="Codevalue"/>
              </w:rPr>
              <w:t>"6"</w:t>
            </w:r>
            <w:r>
              <w:rPr>
                <w:rStyle w:val="Code"/>
              </w:rPr>
              <w:t xml:space="preserve"> </w:t>
            </w:r>
            <w:r>
              <w:rPr>
                <w:rStyle w:val="Codeattribute"/>
              </w:rPr>
              <w:t>met=</w:t>
            </w:r>
            <w:r>
              <w:rPr>
                <w:rStyle w:val="Codevalue"/>
              </w:rPr>
              <w:t>"+---+---+---+---+---+---+"</w:t>
            </w:r>
            <w:r>
              <w:rPr>
                <w:rStyle w:val="Code"/>
              </w:rPr>
              <w:t>&gt;</w:t>
            </w:r>
          </w:p>
          <w:p w14:paraId="45827A87" w14:textId="77777777">
            <w:pPr>
              <w:pStyle w:val="CodeParagraph"/>
              <w:keepNext/>
              <w:rPr>
                <w:rStyle w:val="Code"/>
              </w:rPr>
            </w:pPr>
            <w:r>
              <w:rPr>
                <w:rStyle w:val="Code"/>
              </w:rPr>
              <w:t xml:space="preserve">  &lt;l </w:t>
            </w:r>
            <w:r>
              <w:rPr>
                <w:rStyle w:val="Codeattribute"/>
              </w:rPr>
              <w:t>n=</w:t>
            </w:r>
            <w:r>
              <w:rPr>
                <w:rStyle w:val="Codevalue"/>
              </w:rPr>
              <w:t>"a"</w:t>
            </w:r>
            <w:r>
              <w:rPr>
                <w:rStyle w:val="Code"/>
              </w:rPr>
              <w:t>&gt;</w:t>
            </w:r>
            <w:r>
              <w:rPr>
                <w:rStyle w:val="Codetext"/>
              </w:rPr>
              <w:t>satya-vacano yama-suro na sa surādhipa-bhayād bhavati satya-vacanaḥ</w:t>
            </w:r>
            <w:r>
              <w:rPr>
                <w:rStyle w:val="Code"/>
              </w:rPr>
              <w:t>&lt;/l&gt;</w:t>
            </w:r>
          </w:p>
          <w:p w14:paraId="39A36EAD" w14:textId="77777777">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śauryya-guṇavān mr̥gapatir nna sa viveka-matito bhavati śauryya-guṇavāN</w:t>
            </w:r>
            <w:r>
              <w:rPr>
                <w:rStyle w:val="Code"/>
              </w:rPr>
              <w:t>&lt;/l&gt;</w:t>
            </w:r>
          </w:p>
          <w:p w14:paraId="4DD9B053" w14:textId="77777777">
            <w:pPr>
              <w:pStyle w:val="CodeParagraph"/>
              <w:keepNext/>
              <w:rPr>
                <w:rStyle w:val="Code"/>
              </w:rPr>
            </w:pPr>
            <w:r>
              <w:rPr>
                <w:rStyle w:val="Code"/>
              </w:rPr>
              <w:t xml:space="preserve">  &lt;l </w:t>
            </w:r>
            <w:r>
              <w:rPr>
                <w:rStyle w:val="Codeattribute"/>
              </w:rPr>
              <w:t>n=</w:t>
            </w:r>
            <w:r>
              <w:rPr>
                <w:rStyle w:val="Codevalue"/>
              </w:rPr>
              <w:t>"c"</w:t>
            </w:r>
            <w:r>
              <w:rPr>
                <w:rStyle w:val="Code"/>
              </w:rPr>
              <w:t>&gt;</w:t>
            </w:r>
            <w:r>
              <w:rPr>
                <w:rStyle w:val="Codetext"/>
              </w:rPr>
              <w:t>dāna-vibhavo ravi-suto na sa pati-sva-balato bhavati dāna-vibhavaḥ</w:t>
            </w:r>
            <w:r>
              <w:rPr>
                <w:rStyle w:val="Code"/>
              </w:rPr>
              <w:t>&lt;/l&gt;</w:t>
            </w:r>
          </w:p>
          <w:p w14:paraId="334E32F3" w14:textId="77777777">
            <w:pPr>
              <w:pStyle w:val="CodeParagraph"/>
              <w:keepNext/>
            </w:pPr>
            <w:r>
              <w:rPr>
                <w:rStyle w:val="Code"/>
              </w:rPr>
              <w:t xml:space="preserve">  &lt;l </w:t>
            </w:r>
            <w:r>
              <w:rPr>
                <w:rStyle w:val="Codeattribute"/>
              </w:rPr>
              <w:t>n=</w:t>
            </w:r>
            <w:r>
              <w:rPr>
                <w:rStyle w:val="Codevalue"/>
              </w:rPr>
              <w:t>"d"</w:t>
            </w:r>
            <w:r>
              <w:rPr>
                <w:rStyle w:val="Code"/>
              </w:rPr>
              <w:t>&gt;</w:t>
            </w:r>
            <w:r>
              <w:rPr>
                <w:rStyle w:val="Codetext"/>
              </w:rPr>
              <w:t>satya-vara-śauryya-para-dāna-vibhavas tu nr̥pakāma-nr̥patiḥ prakr̥titaḥ</w:t>
            </w:r>
            <w:r>
              <w:rPr>
                <w:rStyle w:val="Code"/>
              </w:rPr>
              <w:t>&lt;/l&gt;</w:t>
            </w:r>
            <w:r>
              <w:t xml:space="preserve"> </w:t>
            </w:r>
          </w:p>
          <w:p w14:paraId="5A05631A" w14:textId="77777777">
            <w:pPr>
              <w:pStyle w:val="CodeParagraph"/>
              <w:keepNext/>
              <w:rPr>
                <w:rFonts w:ascii="Consolas" w:hAnsi="Consolas" w:cs="Consolas"/>
                <w:noProof/>
                <w:color w:val="002060"/>
                <w:shd w:val="clear" w:color="auto" w:fill="F2F2F2" w:themeFill="background1" w:themeFillShade="F2"/>
              </w:rPr>
            </w:pPr>
            <w:r>
              <w:rPr>
                <w:rStyle w:val="Code"/>
              </w:rPr>
              <w:t>&lt;/lg&gt;</w:t>
            </w:r>
          </w:p>
        </w:tc>
      </w:tr>
      <w:tr w14:paraId="22759C06" w14:textId="77777777">
        <w:tc>
          <w:tcPr>
            <w:tcW w:w="5000" w:type="pct"/>
          </w:tcPr>
          <w:p w14:paraId="72575A80" w14:textId="77777777">
            <w:pPr>
              <w:pStyle w:val="TableNote"/>
            </w:pPr>
            <w:r>
              <w:t>no conventional name could be associated with the consistent prosodic pattern followed in this stanza</w:t>
            </w:r>
          </w:p>
          <w:p w14:paraId="1C37C462" w14:textId="77777777">
            <w:pPr>
              <w:pStyle w:val="TableNote"/>
            </w:pPr>
            <w:r>
              <w:t xml:space="preserve">the </w:t>
            </w:r>
            <w:r>
              <w:rPr>
                <w:rStyle w:val="Codeattribute"/>
              </w:rPr>
              <w:t>@met</w:t>
            </w:r>
            <w:r>
              <w:t xml:space="preserve"> for the stanza is therefore recorded in prosodic notation</w:t>
            </w:r>
          </w:p>
        </w:tc>
      </w:tr>
    </w:tbl>
    <w:p w14:paraId="14EF6368" w14:textId="77777777">
      <w:pPr>
        <w:pStyle w:val="Cmsor4"/>
      </w:pPr>
      <w:r>
        <w:t>Uncertain metre identification</w:t>
      </w:r>
    </w:p>
    <w:p w14:paraId="3EC53C5C" w14:textId="49E8CB20">
      <w:pPr>
        <w:pStyle w:val="Lista"/>
      </w:pPr>
      <w:r>
        <w:t xml:space="preserve">if you can only establish a stanza’s metre tentatively because the text is damaged or prosodically </w:t>
      </w:r>
      <w:r>
        <w:rPr>
          <w:noProof/>
        </w:rPr>
        <w:t xml:space="preserve">incorrect, as </w:t>
      </w:r>
      <w:r>
        <w:t xml:space="preserve">in </w:t>
      </w:r>
      <w:r>
        <w:fldChar w:fldCharType="begin"/>
      </w:r>
      <w:r>
        <w:instrText xml:space="preserve"> REF _Ref181707151 \h </w:instrText>
      </w:r>
      <w:r>
        <w:fldChar w:fldCharType="separate"/>
      </w:r>
      <w:r>
        <w:t xml:space="preserve">Exhibit </w:t>
      </w:r>
      <w:r>
        <w:rPr>
          <w:noProof/>
        </w:rPr>
        <w:t>3.3</w:t>
      </w:r>
      <w:r>
        <w:t>.</w:t>
      </w:r>
      <w:r>
        <w:rPr>
          <w:noProof/>
        </w:rPr>
        <w:t>B</w:t>
      </w:r>
      <w:r>
        <w:fldChar w:fldCharType="end"/>
      </w:r>
      <w:r>
        <w:rPr>
          <w:noProof/>
        </w:rPr>
        <w:t>, then</w:t>
      </w:r>
    </w:p>
    <w:p w14:paraId="2FA97C60" w14:textId="77777777">
      <w:pPr>
        <w:pStyle w:val="Lista2"/>
      </w:pPr>
      <w:r>
        <w:t xml:space="preserve">add the element </w:t>
      </w:r>
      <w:r>
        <w:rPr>
          <w:rStyle w:val="Code"/>
        </w:rPr>
        <w:t xml:space="preserve">&lt;certainty </w:t>
      </w:r>
      <w:r>
        <w:rPr>
          <w:rStyle w:val="Codeattribute"/>
        </w:rPr>
        <w:t>match</w:t>
      </w:r>
      <w:r>
        <w:rPr>
          <w:rStyle w:val="Code"/>
        </w:rPr>
        <w:t>=</w:t>
      </w:r>
      <w:r>
        <w:rPr>
          <w:rStyle w:val="Codevalue"/>
        </w:rPr>
        <w:t xml:space="preserve">"../@met" </w:t>
      </w:r>
      <w:r>
        <w:rPr>
          <w:rStyle w:val="Codeattribute"/>
        </w:rPr>
        <w:t>locus</w:t>
      </w:r>
      <w:r>
        <w:rPr>
          <w:rStyle w:val="Code"/>
        </w:rPr>
        <w:t>=</w:t>
      </w:r>
      <w:r>
        <w:rPr>
          <w:rStyle w:val="Codevalue"/>
        </w:rPr>
        <w:t>"value"</w:t>
      </w:r>
      <w:r>
        <w:rPr>
          <w:rStyle w:val="Code"/>
        </w:rPr>
        <w:t>/&gt;</w:t>
      </w:r>
      <w:r>
        <w:t xml:space="preserve"> directly after the opening </w:t>
      </w:r>
      <w:r>
        <w:rPr>
          <w:rStyle w:val="Code"/>
        </w:rPr>
        <w:t>&lt;lg&gt;</w:t>
      </w:r>
      <w:r>
        <w:t xml:space="preserve"> tag </w:t>
      </w:r>
      <w:r>
        <w:rPr>
          <w:noProof/>
        </w:rPr>
        <w:t>(</w:t>
      </w:r>
      <w:r>
        <w:t xml:space="preserve">before the first </w:t>
      </w:r>
      <w:r>
        <w:rPr>
          <w:rStyle w:val="Code"/>
        </w:rPr>
        <w:t>&lt;l&gt;</w:t>
      </w:r>
      <w:r>
        <w:t xml:space="preserve"> element), where</w:t>
      </w:r>
    </w:p>
    <w:p w14:paraId="14153862" w14:textId="77777777">
      <w:pPr>
        <w:pStyle w:val="Lista3"/>
      </w:pPr>
      <w:r>
        <w:rPr>
          <w:rStyle w:val="Codeattribute"/>
        </w:rPr>
        <w:t>@match</w:t>
      </w:r>
      <w:r>
        <w:rPr>
          <w:rStyle w:val="Code"/>
        </w:rPr>
        <w:t>=</w:t>
      </w:r>
      <w:r>
        <w:rPr>
          <w:rStyle w:val="Codevalue"/>
        </w:rPr>
        <w:t>"../@met"</w:t>
      </w:r>
      <w:r>
        <w:t xml:space="preserve"> indicates that you are encoding uncertainty</w:t>
      </w:r>
      <w:r>
        <w:rPr>
          <w:rStyle w:val="Lbjegyzet-hivatkozs"/>
        </w:rPr>
        <w:footnoteReference w:id="11"/>
      </w:r>
      <w:r>
        <w:t xml:space="preserve"> regarding the </w:t>
      </w:r>
      <w:r>
        <w:rPr>
          <w:rStyle w:val="Codeattribute"/>
        </w:rPr>
        <w:t>@met</w:t>
      </w:r>
      <w:r>
        <w:t xml:space="preserve"> attribute of the parent element </w:t>
      </w:r>
      <w:r>
        <w:rPr>
          <w:noProof/>
        </w:rPr>
        <w:t>(</w:t>
      </w:r>
      <w:r>
        <w:t xml:space="preserve">i.e. </w:t>
      </w:r>
      <w:r>
        <w:rPr>
          <w:rStyle w:val="Code"/>
        </w:rPr>
        <w:t>&lt;lg&gt;</w:t>
      </w:r>
      <w:r>
        <w:t>), and</w:t>
      </w:r>
    </w:p>
    <w:p w14:paraId="0D20C259" w14:textId="77777777">
      <w:pPr>
        <w:pStyle w:val="Lista3"/>
      </w:pPr>
      <w:r>
        <w:rPr>
          <w:rStyle w:val="Codeattribute"/>
        </w:rPr>
        <w:t>@locus</w:t>
      </w:r>
      <w:r>
        <w:rPr>
          <w:rStyle w:val="Code"/>
        </w:rPr>
        <w:t>=</w:t>
      </w:r>
      <w:r>
        <w:rPr>
          <w:rStyle w:val="Codevalue"/>
        </w:rPr>
        <w:t>"value"</w:t>
      </w:r>
      <w:r>
        <w:t xml:space="preserve"> indicates that the uncertainty concerns the value of this attribute </w:t>
      </w:r>
      <w:r>
        <w:rPr>
          <w:noProof/>
        </w:rPr>
        <w:t>(</w:t>
      </w:r>
      <w:r>
        <w:t>i.e. the identification of the metre)</w:t>
      </w:r>
    </w:p>
    <w:tbl>
      <w:tblPr>
        <w:tblStyle w:val="CodeSampleTable"/>
        <w:tblW w:w="5000" w:type="pct"/>
        <w:tblLook w:val="04A0" w:firstRow="1" w:lastRow="0" w:firstColumn="1" w:lastColumn="0" w:noHBand="0" w:noVBand="1"/>
      </w:tblPr>
      <w:tblGrid>
        <w:gridCol w:w="9628"/>
      </w:tblGrid>
      <w:tr w14:paraId="0F3F52F9"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CCC9365" w14:textId="020C4331">
            <w:pPr>
              <w:pStyle w:val="Kpalrs"/>
              <w:keepLines/>
            </w:pPr>
            <w:bookmarkStart w:id="136" w:name="_Ref181707151"/>
            <w:bookmarkStart w:id="137" w:name="_Ref181707147"/>
            <w:r>
              <w:t xml:space="preserve">Exhibit </w:t>
            </w:r>
            <w:fldSimple w:instr=" STYLEREF 2 \s ">
              <w:r>
                <w:rPr>
                  <w:noProof/>
                </w:rPr>
                <w:t>3.3</w:t>
              </w:r>
            </w:fldSimple>
            <w:r>
              <w:t>.</w:t>
            </w:r>
            <w:fldSimple w:instr=" SEQ Exhibit \* ALPHABETIC \s 2 ">
              <w:r>
                <w:rPr>
                  <w:noProof/>
                </w:rPr>
                <w:t>B</w:t>
              </w:r>
            </w:fldSimple>
            <w:bookmarkEnd w:id="136"/>
            <w:r>
              <w:t>: tentative metre identification</w:t>
            </w:r>
            <w:bookmarkEnd w:id="137"/>
          </w:p>
        </w:tc>
      </w:tr>
      <w:tr w14:paraId="364B3797" w14:textId="77777777">
        <w:tc>
          <w:tcPr>
            <w:tcW w:w="5000" w:type="pct"/>
          </w:tcPr>
          <w:p w14:paraId="0B5EE6AA" w14:textId="77777777">
            <w:pPr>
              <w:pStyle w:val="CodeParagraph"/>
              <w:keepNext/>
              <w:keepLines/>
              <w:rPr>
                <w:rStyle w:val="Code"/>
              </w:rPr>
            </w:pPr>
            <w:r>
              <w:rPr>
                <w:rStyle w:val="Code"/>
              </w:rPr>
              <w:t xml:space="preserve">&lt;lg </w:t>
            </w:r>
            <w:r>
              <w:rPr>
                <w:rStyle w:val="Codeattribute"/>
              </w:rPr>
              <w:t>n=</w:t>
            </w:r>
            <w:r>
              <w:rPr>
                <w:rStyle w:val="Codevalue"/>
              </w:rPr>
              <w:t>"26"</w:t>
            </w:r>
            <w:r>
              <w:rPr>
                <w:rStyle w:val="Code"/>
              </w:rPr>
              <w:t xml:space="preserve"> </w:t>
            </w:r>
            <w:r>
              <w:rPr>
                <w:rStyle w:val="Codeattribute"/>
              </w:rPr>
              <w:t>met=</w:t>
            </w:r>
            <w:r>
              <w:rPr>
                <w:rStyle w:val="Codevalue"/>
              </w:rPr>
              <w:t>"gīti"</w:t>
            </w:r>
            <w:r>
              <w:rPr>
                <w:rStyle w:val="Code"/>
              </w:rPr>
              <w:t xml:space="preserve">&gt;&lt;certainty </w:t>
            </w:r>
            <w:r>
              <w:rPr>
                <w:rStyle w:val="Codeattribute"/>
              </w:rPr>
              <w:t>match=</w:t>
            </w:r>
            <w:r>
              <w:rPr>
                <w:rStyle w:val="Codevalue"/>
              </w:rPr>
              <w:t>"../@met" locus="value"</w:t>
            </w:r>
            <w:r>
              <w:rPr>
                <w:rStyle w:val="Code"/>
              </w:rPr>
              <w:t>/&gt;</w:t>
            </w:r>
          </w:p>
          <w:p w14:paraId="52C3B0D1" w14:textId="77777777">
            <w:pPr>
              <w:pStyle w:val="CodeParagraph"/>
              <w:keepNext/>
              <w:keepLines/>
              <w:rPr>
                <w:rStyle w:val="Code"/>
              </w:rPr>
            </w:pPr>
            <w:r>
              <w:rPr>
                <w:rStyle w:val="Code"/>
              </w:rPr>
              <w:t xml:space="preserve">  &lt;l </w:t>
            </w:r>
            <w:r>
              <w:rPr>
                <w:rStyle w:val="Codeattribute"/>
              </w:rPr>
              <w:t>n=</w:t>
            </w:r>
            <w:r>
              <w:rPr>
                <w:rStyle w:val="Codevalue"/>
              </w:rPr>
              <w:t>"ab"</w:t>
            </w:r>
            <w:r>
              <w:rPr>
                <w:rStyle w:val="Code"/>
              </w:rPr>
              <w:t>&gt;</w:t>
            </w:r>
            <w:r>
              <w:rPr>
                <w:rStyle w:val="Codetext"/>
              </w:rPr>
              <w:t xml:space="preserve">Atha vennamayya-nāmnas tasya </w:t>
            </w:r>
            <w:r>
              <w:rPr>
                <w:rStyle w:val="Code"/>
              </w:rPr>
              <w:t xml:space="preserve">&lt;seg </w:t>
            </w:r>
            <w:r>
              <w:rPr>
                <w:rStyle w:val="Codeattribute"/>
              </w:rPr>
              <w:t>met=</w:t>
            </w:r>
            <w:r>
              <w:rPr>
                <w:rStyle w:val="Codevalue"/>
              </w:rPr>
              <w:t>"-"</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"1"</w:t>
            </w:r>
            <w:r>
              <w:rPr>
                <w:rStyle w:val="Code"/>
              </w:rPr>
              <w:t xml:space="preserve"> </w:t>
            </w:r>
            <w:r>
              <w:rPr>
                <w:rStyle w:val="Codeattribute"/>
              </w:rPr>
              <w:t>unit=</w:t>
            </w:r>
            <w:r>
              <w:rPr>
                <w:rStyle w:val="Codevalue"/>
              </w:rPr>
              <w:t>"character"</w:t>
            </w:r>
            <w:r>
              <w:rPr>
                <w:rStyle w:val="Code"/>
              </w:rPr>
              <w:t>/&gt;&lt;/seg&gt;</w:t>
            </w:r>
            <w:r>
              <w:rPr>
                <w:rStyle w:val="Codetext"/>
              </w:rPr>
              <w:t xml:space="preserve">sā </w:t>
            </w:r>
            <w:r>
              <w:rPr>
                <w:rStyle w:val="Code"/>
              </w:rPr>
              <w:t xml:space="preserve">&lt;gap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/&gt;&lt;/l&gt;</w:t>
            </w:r>
          </w:p>
          <w:p w14:paraId="38633072" w14:textId="77777777">
            <w:pPr>
              <w:pStyle w:val="CodeParagraph"/>
              <w:keepNext/>
              <w:keepLines/>
              <w:rPr>
                <w:rStyle w:val="Code"/>
              </w:rPr>
            </w:pPr>
            <w:r>
              <w:rPr>
                <w:rStyle w:val="Code"/>
              </w:rPr>
              <w:t xml:space="preserve">  &lt;l </w:t>
            </w:r>
            <w:r>
              <w:rPr>
                <w:rStyle w:val="Codeattribute"/>
              </w:rPr>
              <w:t>n=</w:t>
            </w:r>
            <w:r>
              <w:rPr>
                <w:rStyle w:val="Codevalue"/>
              </w:rPr>
              <w:t>"cd"</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"2"</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/&gt;</w:t>
            </w:r>
            <w:r>
              <w:rPr>
                <w:rStyle w:val="Codetext"/>
              </w:rPr>
              <w:t>vir vvirājadevana Ity ajani dvija-kulottamas sūnuḥ</w:t>
            </w:r>
            <w:r>
              <w:rPr>
                <w:rStyle w:val="Code"/>
              </w:rPr>
              <w:t>&lt;/l&gt;</w:t>
            </w:r>
          </w:p>
          <w:p w14:paraId="50465C2E" w14:textId="77777777">
            <w:pPr>
              <w:pStyle w:val="CodeParagraph"/>
              <w:keepNext/>
              <w:keepLines/>
              <w:rPr>
                <w:rFonts w:ascii="Consolas" w:hAnsi="Consolas" w:cs="Consolas"/>
                <w:noProof/>
                <w:color w:val="002060"/>
                <w:shd w:val="clear" w:color="auto" w:fill="F2F2F2" w:themeFill="background1" w:themeFillShade="F2"/>
              </w:rPr>
            </w:pPr>
            <w:r>
              <w:rPr>
                <w:rStyle w:val="Code"/>
              </w:rPr>
              <w:t>&lt;/lg&gt;</w:t>
            </w:r>
          </w:p>
        </w:tc>
      </w:tr>
      <w:tr w14:paraId="034608E4" w14:textId="77777777">
        <w:tc>
          <w:tcPr>
            <w:tcW w:w="5000" w:type="pct"/>
          </w:tcPr>
          <w:p w14:paraId="7EA05E63" w14:textId="77777777">
            <w:pPr>
              <w:pStyle w:val="TableNote"/>
            </w:pPr>
            <w:r>
              <w:t xml:space="preserve">due to the extent of lacunae in this stanza, it can only tentatively be identified as a </w:t>
            </w:r>
            <w:r>
              <w:rPr>
                <w:rStyle w:val="Foreign"/>
              </w:rPr>
              <w:t>gīti</w:t>
            </w:r>
          </w:p>
          <w:p w14:paraId="6952078E" w14:textId="77777777">
            <w:pPr>
              <w:pStyle w:val="TableNote"/>
            </w:pPr>
            <w:r>
              <w:t xml:space="preserve">the uncertainty of this identification is indicated with the </w:t>
            </w:r>
            <w:r>
              <w:rPr>
                <w:rStyle w:val="Code"/>
              </w:rPr>
              <w:t>&lt;certainty&gt;</w:t>
            </w:r>
            <w:r>
              <w:t xml:space="preserve"> element</w:t>
            </w:r>
          </w:p>
          <w:p w14:paraId="0AF8BBB7" w14:textId="6B134ABC">
            <w:pPr>
              <w:pStyle w:val="TableNote"/>
            </w:pPr>
            <w:r>
              <w:t>for the encoding of lost text with known prosody see §</w:t>
            </w:r>
            <w:r>
              <w:fldChar w:fldCharType="begin"/>
            </w:r>
            <w:r>
              <w:instrText xml:space="preserve"> REF _Ref228275301 \r \h </w:instrText>
            </w:r>
            <w:r>
              <w:fldChar w:fldCharType="separate"/>
            </w:r>
            <w:r>
              <w:t>6.5.2.3</w:t>
            </w:r>
            <w:r>
              <w:fldChar w:fldCharType="end"/>
            </w:r>
          </w:p>
        </w:tc>
      </w:tr>
    </w:tbl>
    <w:p w14:paraId="30CFC927" w14:textId="77777777">
      <w:pPr>
        <w:pStyle w:val="Cmsor4"/>
      </w:pPr>
      <w:r>
        <w:t>Unidentifiable metre</w:t>
      </w:r>
    </w:p>
    <w:p w14:paraId="2E64AB19" w14:textId="77777777">
      <w:pPr>
        <w:pStyle w:val="Lista"/>
      </w:pPr>
      <w:r>
        <w:t>if a part of your text seems with reasonable certainty to be in verse, but it is too heavily damaged to identify the metre even tentatively, then</w:t>
      </w:r>
    </w:p>
    <w:p w14:paraId="6704A4F6" w14:textId="77777777">
      <w:pPr>
        <w:pStyle w:val="Lista2"/>
      </w:pPr>
      <w:r>
        <w:t xml:space="preserve">tag it as </w:t>
      </w:r>
      <w:r>
        <w:rPr>
          <w:rStyle w:val="Codeattribute"/>
        </w:rPr>
        <w:t>@met</w:t>
      </w:r>
      <w:r>
        <w:rPr>
          <w:rStyle w:val="Code"/>
        </w:rPr>
        <w:t>=</w:t>
      </w:r>
      <w:r>
        <w:rPr>
          <w:rStyle w:val="Codevalue"/>
        </w:rPr>
        <w:t>"uncertain"</w:t>
      </w:r>
    </w:p>
    <w:p w14:paraId="38396B20" w14:textId="18DD6A5A">
      <w:pPr>
        <w:pStyle w:val="Lista"/>
      </w:pPr>
      <w:r>
        <w:t xml:space="preserve">conversely, for heavily lacunose verse where the stanza structure itself cannot be established with any certainty, consider wrapping the text in an </w:t>
      </w:r>
      <w:r>
        <w:rPr>
          <w:rStyle w:val="Code"/>
        </w:rPr>
        <w:t>&lt;ab&gt;</w:t>
      </w:r>
      <w:r>
        <w:t xml:space="preserve"> element </w:t>
      </w:r>
      <w:r>
        <w:rPr>
          <w:noProof/>
        </w:rPr>
        <w:t>(</w:t>
      </w:r>
      <w:r>
        <w:t>§</w:t>
      </w:r>
      <w:r>
        <w:fldChar w:fldCharType="begin"/>
      </w:r>
      <w:r>
        <w:instrText xml:space="preserve"> REF _Ref43981028 \r \h  \* MERGEFORMAT </w:instrText>
      </w:r>
      <w:r>
        <w:fldChar w:fldCharType="separate"/>
      </w:r>
      <w:r>
        <w:t>3.2.1.2</w:t>
      </w:r>
      <w:r>
        <w:fldChar w:fldCharType="end"/>
      </w:r>
      <w:r>
        <w:t>) instead of marking it up as verse</w:t>
      </w:r>
    </w:p>
    <w:p w14:paraId="0DCF8AD6" w14:textId="77777777">
      <w:pPr>
        <w:pStyle w:val="Cmsor4"/>
      </w:pPr>
      <w:bookmarkStart w:id="138" w:name="_Ref224727363"/>
      <w:r>
        <w:lastRenderedPageBreak/>
        <w:t>Free metre</w:t>
      </w:r>
      <w:bookmarkEnd w:id="138"/>
    </w:p>
    <w:p w14:paraId="6E0DEFE8" w14:textId="20FEC966">
      <w:pPr>
        <w:pStyle w:val="Lista"/>
        <w:rPr>
          <w:lang w:eastAsia="en-US" w:bidi="ar-SA"/>
        </w:rPr>
      </w:pPr>
      <w:r>
        <w:rPr>
          <w:lang w:eastAsia="en-US" w:bidi="ar-SA"/>
        </w:rPr>
        <w:t>for text evidently structured as verse (as indicated by any combination of rhyme and assonance structures, metrical cadences or spatial arrangement) but without a consistent prosodic pattern,</w:t>
      </w:r>
    </w:p>
    <w:p w14:paraId="27B99204" w14:textId="77777777">
      <w:pPr>
        <w:pStyle w:val="Lista2"/>
      </w:pPr>
      <w:r>
        <w:t xml:space="preserve">use </w:t>
      </w:r>
      <w:r>
        <w:rPr>
          <w:rStyle w:val="Codeattribute"/>
        </w:rPr>
        <w:t>@met</w:t>
      </w:r>
      <w:r>
        <w:rPr>
          <w:rStyle w:val="Code"/>
        </w:rPr>
        <w:t>=</w:t>
      </w:r>
      <w:r>
        <w:rPr>
          <w:rStyle w:val="Codevalue"/>
        </w:rPr>
        <w:t>"free"</w:t>
      </w:r>
      <w:r>
        <w:t xml:space="preserve"> on the stanza</w:t>
      </w:r>
    </w:p>
    <w:p w14:paraId="15236B50" w14:textId="77777777">
      <w:pPr>
        <w:pStyle w:val="Lista2"/>
      </w:pPr>
      <w:r>
        <w:t xml:space="preserve">optionally add </w:t>
      </w:r>
      <w:r>
        <w:rPr>
          <w:rStyle w:val="Codeattribute"/>
        </w:rPr>
        <w:t>@real</w:t>
      </w:r>
      <w:r>
        <w:t xml:space="preserve"> to all of the lines</w:t>
      </w:r>
    </w:p>
    <w:p w14:paraId="0AD896F6" w14:textId="6A696CCD">
      <w:pPr>
        <w:pStyle w:val="Lista2"/>
      </w:pPr>
      <w:r>
        <w:t>the lines of free verse shall normally be numbered with Arabic numbers (§</w:t>
      </w:r>
      <w:r>
        <w:fldChar w:fldCharType="begin"/>
      </w:r>
      <w:r>
        <w:instrText xml:space="preserve"> REF _Ref181706499 \r \h </w:instrText>
      </w:r>
      <w:r>
        <w:fldChar w:fldCharType="separate"/>
      </w:r>
      <w:r>
        <w:t>3.2.2.2</w:t>
      </w:r>
      <w:r>
        <w:fldChar w:fldCharType="end"/>
      </w:r>
      <w:r>
        <w:t>)</w:t>
      </w:r>
    </w:p>
    <w:p w14:paraId="32240601" w14:textId="77777777">
      <w:pPr>
        <w:pStyle w:val="Cmsor4"/>
      </w:pPr>
      <w:bookmarkStart w:id="139" w:name="_Ref224725813"/>
      <w:bookmarkStart w:id="140" w:name="_Ref224912448"/>
      <w:bookmarkStart w:id="141" w:name="_Ref181609517"/>
      <w:r>
        <w:t>Mixed metre</w:t>
      </w:r>
      <w:bookmarkEnd w:id="139"/>
      <w:bookmarkEnd w:id="140"/>
    </w:p>
    <w:p w14:paraId="2B071567" w14:textId="09A54E1E">
      <w:pPr>
        <w:pStyle w:val="Lista"/>
      </w:pPr>
      <w:r>
        <w:t xml:space="preserve">if one or more lines of a stanza follow a different legitimate metrical template than the others, as in </w:t>
      </w:r>
      <w:r>
        <w:fldChar w:fldCharType="begin"/>
      </w:r>
      <w:r>
        <w:instrText xml:space="preserve"> REF _Ref44077218 \h </w:instrText>
      </w:r>
      <w:r>
        <w:fldChar w:fldCharType="separate"/>
      </w:r>
      <w:r>
        <w:t xml:space="preserve">Exhibit </w:t>
      </w:r>
      <w:r>
        <w:rPr>
          <w:noProof/>
        </w:rPr>
        <w:t>3.3</w:t>
      </w:r>
      <w:r>
        <w:t>.</w:t>
      </w:r>
      <w:r>
        <w:rPr>
          <w:noProof/>
        </w:rPr>
        <w:t>C</w:t>
      </w:r>
      <w:r>
        <w:fldChar w:fldCharType="end"/>
      </w:r>
      <w:r>
        <w:t>, then</w:t>
      </w:r>
    </w:p>
    <w:p w14:paraId="49CCDD5E" w14:textId="77777777">
      <w:pPr>
        <w:pStyle w:val="Lista2"/>
      </w:pPr>
      <w:r>
        <w:t xml:space="preserve">use </w:t>
      </w:r>
      <w:r>
        <w:rPr>
          <w:rStyle w:val="Codeattribute"/>
        </w:rPr>
        <w:t>@met</w:t>
      </w:r>
      <w:r>
        <w:rPr>
          <w:rStyle w:val="Code"/>
        </w:rPr>
        <w:t>=</w:t>
      </w:r>
      <w:r>
        <w:rPr>
          <w:rStyle w:val="Codevalue"/>
        </w:rPr>
        <w:t>"mixed"</w:t>
      </w:r>
      <w:r>
        <w:t xml:space="preserve"> on the stanza</w:t>
      </w:r>
    </w:p>
    <w:p w14:paraId="53554DE4" w14:textId="77777777">
      <w:pPr>
        <w:pStyle w:val="Lista2"/>
        <w:rPr>
          <w:rStyle w:val="Codeattribute"/>
          <w:rFonts w:ascii="Gentium" w:hAnsi="Gentium" w:cs="Tiro Devanagari Sanskrit"/>
          <w:noProof w:val="0"/>
          <w:color w:val="auto"/>
          <w:shd w:val="clear" w:color="auto" w:fill="auto"/>
        </w:rPr>
      </w:pPr>
      <w:r>
        <w:t xml:space="preserve">encode the prosodic template separately for each line of the stanza with </w:t>
      </w:r>
      <w:r>
        <w:rPr>
          <w:rStyle w:val="Codeattribute"/>
        </w:rPr>
        <w:t>@met</w:t>
      </w:r>
      <w:r>
        <w:t xml:space="preserve"> </w:t>
      </w:r>
    </w:p>
    <w:p w14:paraId="0A9A0F81" w14:textId="4C4F063F">
      <w:pPr>
        <w:pStyle w:val="Lista3"/>
      </w:pPr>
      <w:r>
        <w:t xml:space="preserve">if necessary, this can be combined with </w:t>
      </w:r>
      <w:r>
        <w:rPr>
          <w:rStyle w:val="Codeattribute"/>
        </w:rPr>
        <w:t>@real</w:t>
      </w:r>
      <w:r>
        <w:t xml:space="preserve"> for lines that were probably intended to match a legitimate template but do not (§</w:t>
      </w:r>
      <w:r>
        <w:fldChar w:fldCharType="begin"/>
      </w:r>
      <w:r>
        <w:instrText xml:space="preserve"> REF _Ref224726906 \r \h </w:instrText>
      </w:r>
      <w:r>
        <w:fldChar w:fldCharType="separate"/>
      </w:r>
      <w:r>
        <w:t>3.3.4.2</w:t>
      </w:r>
      <w:r>
        <w:fldChar w:fldCharType="end"/>
      </w:r>
      <w:r>
        <w:t>)</w:t>
      </w:r>
    </w:p>
    <w:p w14:paraId="53517C03" w14:textId="640A59B1">
      <w:pPr>
        <w:pStyle w:val="Lista"/>
      </w:pPr>
      <w:r>
        <w:t>note that some metres permit (or require) different prosodic templates for the odd and even lines of a stanza, or for any quarter of a quatrain</w:t>
      </w:r>
    </w:p>
    <w:p w14:paraId="780F691C" w14:textId="77777777">
      <w:pPr>
        <w:pStyle w:val="Lista2"/>
      </w:pPr>
      <w:r>
        <w:t xml:space="preserve">if such a metre has a conventional name recognised in our authority file (e.g. </w:t>
      </w:r>
      <w:r>
        <w:rPr>
          <w:rStyle w:val="Foreign"/>
        </w:rPr>
        <w:t>upajāti</w:t>
      </w:r>
      <w:r>
        <w:t xml:space="preserve">), then it is not a “mixed” metre, so simply encode the name of the metre on the </w:t>
      </w:r>
      <w:r>
        <w:rPr>
          <w:rStyle w:val="Codeattribute"/>
        </w:rPr>
        <w:t>@met</w:t>
      </w:r>
      <w:r>
        <w:t xml:space="preserve"> of the stanza</w:t>
      </w:r>
    </w:p>
    <w:p w14:paraId="02405834" w14:textId="77777777">
      <w:pPr>
        <w:pStyle w:val="Lista2"/>
      </w:pPr>
      <w:r>
        <w:t xml:space="preserve">whereas </w:t>
      </w:r>
      <w:r>
        <w:rPr>
          <w:rStyle w:val="Codeattribute"/>
        </w:rPr>
        <w:t>@met</w:t>
      </w:r>
      <w:r>
        <w:rPr>
          <w:rStyle w:val="Code"/>
        </w:rPr>
        <w:t>=</w:t>
      </w:r>
      <w:r>
        <w:rPr>
          <w:rStyle w:val="Codevalue"/>
        </w:rPr>
        <w:t>"mixed"</w:t>
      </w:r>
      <w:r>
        <w:t xml:space="preserve"> must be limited to the rare cases for which a stanza-level metre name cannot be identified</w:t>
      </w:r>
    </w:p>
    <w:tbl>
      <w:tblPr>
        <w:tblStyle w:val="CodeSampleTable"/>
        <w:tblW w:w="5000" w:type="pct"/>
        <w:tblLook w:val="04A0" w:firstRow="1" w:lastRow="0" w:firstColumn="1" w:lastColumn="0" w:noHBand="0" w:noVBand="1"/>
      </w:tblPr>
      <w:tblGrid>
        <w:gridCol w:w="9628"/>
      </w:tblGrid>
      <w:tr w14:paraId="688753C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9846E45" w14:textId="1902E366">
            <w:pPr>
              <w:pStyle w:val="Kpalrs"/>
            </w:pPr>
            <w:bookmarkStart w:id="142" w:name="_Ref44077218"/>
            <w:r>
              <w:t xml:space="preserve">Exhibit </w:t>
            </w:r>
            <w:fldSimple w:instr=" STYLEREF 2 \s ">
              <w:r>
                <w:rPr>
                  <w:noProof/>
                </w:rPr>
                <w:t>3.3</w:t>
              </w:r>
            </w:fldSimple>
            <w:r>
              <w:t>.</w:t>
            </w:r>
            <w:fldSimple w:instr=" SEQ Exhibit \* ALPHABETIC \s 2 ">
              <w:r>
                <w:rPr>
                  <w:noProof/>
                </w:rPr>
                <w:t>C</w:t>
              </w:r>
            </w:fldSimple>
            <w:bookmarkEnd w:id="142"/>
            <w:r>
              <w:t>: line with a prosodic template other than the rest of the stanza</w:t>
            </w:r>
          </w:p>
        </w:tc>
      </w:tr>
      <w:tr w14:paraId="74ACC2F2" w14:textId="77777777">
        <w:tc>
          <w:tcPr>
            <w:tcW w:w="5000" w:type="pct"/>
          </w:tcPr>
          <w:p w14:paraId="2AA64D91" w14:textId="77777777">
            <w:pPr>
              <w:pStyle w:val="CodeParagraph"/>
              <w:keepNext/>
              <w:rPr>
                <w:rStyle w:val="Code"/>
              </w:rPr>
            </w:pPr>
            <w:r>
              <w:rPr>
                <w:rStyle w:val="Code"/>
              </w:rPr>
              <w:t xml:space="preserve">&lt;lg </w:t>
            </w:r>
            <w:r>
              <w:rPr>
                <w:rStyle w:val="Codeattribute"/>
              </w:rPr>
              <w:t>n=</w:t>
            </w:r>
            <w:r>
              <w:rPr>
                <w:rStyle w:val="Codevalue"/>
              </w:rPr>
              <w:t>"9"</w:t>
            </w:r>
            <w:r>
              <w:rPr>
                <w:rStyle w:val="Code"/>
              </w:rPr>
              <w:t xml:space="preserve"> </w:t>
            </w:r>
            <w:r>
              <w:rPr>
                <w:rStyle w:val="Codeattribute"/>
              </w:rPr>
              <w:t>met=</w:t>
            </w:r>
            <w:r>
              <w:rPr>
                <w:rStyle w:val="Codevalue"/>
              </w:rPr>
              <w:t>"mixed"</w:t>
            </w:r>
            <w:r>
              <w:rPr>
                <w:rStyle w:val="Code"/>
              </w:rPr>
              <w:t>&gt;</w:t>
            </w:r>
          </w:p>
          <w:p w14:paraId="48FA7DB4" w14:textId="77777777">
            <w:pPr>
              <w:pStyle w:val="CodeParagraph"/>
              <w:keepNext/>
              <w:rPr>
                <w:rStyle w:val="Code"/>
              </w:rPr>
            </w:pPr>
            <w:r>
              <w:rPr>
                <w:rStyle w:val="Code"/>
              </w:rPr>
              <w:t xml:space="preserve">  &lt;l </w:t>
            </w:r>
            <w:r>
              <w:rPr>
                <w:rStyle w:val="Codeattribute"/>
              </w:rPr>
              <w:t>n=</w:t>
            </w:r>
            <w:r>
              <w:rPr>
                <w:rStyle w:val="Codevalue"/>
              </w:rPr>
              <w:t>"a"</w:t>
            </w:r>
            <w:r>
              <w:rPr>
                <w:rStyle w:val="Code"/>
              </w:rPr>
              <w:t xml:space="preserve"> </w:t>
            </w:r>
            <w:r>
              <w:rPr>
                <w:rStyle w:val="Codeattribute"/>
              </w:rPr>
              <w:t>met=</w:t>
            </w:r>
            <w:r>
              <w:rPr>
                <w:rStyle w:val="Codevalue"/>
              </w:rPr>
              <w:t>"vaṁśastha"</w:t>
            </w:r>
            <w:r>
              <w:rPr>
                <w:rStyle w:val="Code"/>
              </w:rPr>
              <w:t>&gt;</w:t>
            </w:r>
            <w:r>
              <w:rPr>
                <w:rStyle w:val="Codetext"/>
              </w:rPr>
              <w:t>yaśo-vikāśāya vikāśitā diśo</w:t>
            </w:r>
            <w:r>
              <w:rPr>
                <w:rStyle w:val="Code"/>
              </w:rPr>
              <w:t>&lt;/l&gt;</w:t>
            </w:r>
          </w:p>
          <w:p w14:paraId="4CB54DEA" w14:textId="77777777">
            <w:pPr>
              <w:pStyle w:val="CodeParagraph"/>
              <w:keepNext/>
              <w:rPr>
                <w:rStyle w:val="Code"/>
              </w:rPr>
            </w:pPr>
            <w:r>
              <w:rPr>
                <w:rStyle w:val="Code"/>
              </w:rPr>
              <w:t xml:space="preserve">  &lt;l </w:t>
            </w:r>
            <w:r>
              <w:rPr>
                <w:rStyle w:val="Codeattribute"/>
              </w:rPr>
              <w:t>n=</w:t>
            </w:r>
            <w:r>
              <w:rPr>
                <w:rStyle w:val="Codevalue"/>
              </w:rPr>
              <w:t>"b"</w:t>
            </w:r>
            <w:r>
              <w:rPr>
                <w:rStyle w:val="Code"/>
              </w:rPr>
              <w:t xml:space="preserve"> </w:t>
            </w:r>
            <w:r>
              <w:rPr>
                <w:rStyle w:val="Codeattribute"/>
              </w:rPr>
              <w:t>met=</w:t>
            </w:r>
            <w:r>
              <w:rPr>
                <w:rStyle w:val="Codevalue"/>
              </w:rPr>
              <w:t>"upendravajrā"</w:t>
            </w:r>
            <w:r>
              <w:rPr>
                <w:rStyle w:val="Code"/>
              </w:rPr>
              <w:t>&gt;</w:t>
            </w:r>
            <w:r>
              <w:rPr>
                <w:rStyle w:val="Codetext"/>
              </w:rPr>
              <w:t>daśāpi viśvasya pitāmahena</w:t>
            </w:r>
            <w:r>
              <w:rPr>
                <w:rStyle w:val="Code"/>
              </w:rPr>
              <w:t>&lt;/l&gt;</w:t>
            </w:r>
          </w:p>
          <w:p w14:paraId="627AD695" w14:textId="77777777">
            <w:pPr>
              <w:pStyle w:val="CodeParagraph"/>
              <w:keepNext/>
              <w:rPr>
                <w:rStyle w:val="Code"/>
              </w:rPr>
            </w:pPr>
            <w:r>
              <w:rPr>
                <w:rStyle w:val="Code"/>
              </w:rPr>
              <w:t xml:space="preserve">  &lt;l </w:t>
            </w:r>
            <w:r>
              <w:rPr>
                <w:rStyle w:val="Codeattribute"/>
              </w:rPr>
              <w:t>n=</w:t>
            </w:r>
            <w:r>
              <w:rPr>
                <w:rStyle w:val="Codevalue"/>
              </w:rPr>
              <w:t>"c"</w:t>
            </w:r>
            <w:r>
              <w:rPr>
                <w:rStyle w:val="Code"/>
              </w:rPr>
              <w:t xml:space="preserve"> </w:t>
            </w:r>
            <w:r>
              <w:rPr>
                <w:rStyle w:val="Codeattribute"/>
              </w:rPr>
              <w:t>met=</w:t>
            </w:r>
            <w:r>
              <w:rPr>
                <w:rStyle w:val="Codevalue"/>
              </w:rPr>
              <w:t>"upendravajrā"</w:t>
            </w:r>
            <w:r>
              <w:rPr>
                <w:rStyle w:val="Code"/>
              </w:rPr>
              <w:t>&gt;</w:t>
            </w:r>
            <w:r>
              <w:rPr>
                <w:rStyle w:val="Codetext"/>
              </w:rPr>
              <w:t>śriyan nidhāyorasi yasya viṣṇuḥ</w:t>
            </w:r>
            <w:r>
              <w:rPr>
                <w:rStyle w:val="Code"/>
              </w:rPr>
              <w:t>&lt;/l&gt;</w:t>
            </w:r>
          </w:p>
          <w:p w14:paraId="1D870466" w14:textId="77777777">
            <w:pPr>
              <w:pStyle w:val="CodeParagraph"/>
              <w:keepNext/>
            </w:pPr>
            <w:r>
              <w:rPr>
                <w:rStyle w:val="Code"/>
              </w:rPr>
              <w:t xml:space="preserve">  &lt;l </w:t>
            </w:r>
            <w:r>
              <w:rPr>
                <w:rStyle w:val="Codeattribute"/>
              </w:rPr>
              <w:t>n=</w:t>
            </w:r>
            <w:r>
              <w:rPr>
                <w:rStyle w:val="Codevalue"/>
              </w:rPr>
              <w:t>"d"</w:t>
            </w:r>
            <w:r>
              <w:rPr>
                <w:rStyle w:val="Code"/>
              </w:rPr>
              <w:t xml:space="preserve"> </w:t>
            </w:r>
            <w:r>
              <w:rPr>
                <w:rStyle w:val="Codeattribute"/>
              </w:rPr>
              <w:t>met=</w:t>
            </w:r>
            <w:r>
              <w:rPr>
                <w:rStyle w:val="Codevalue"/>
              </w:rPr>
              <w:t>"upendravajrā"</w:t>
            </w:r>
            <w:r>
              <w:rPr>
                <w:rStyle w:val="Code"/>
              </w:rPr>
              <w:t>&gt;</w:t>
            </w:r>
            <w:r>
              <w:rPr>
                <w:rStyle w:val="Codetext"/>
              </w:rPr>
              <w:t>sva-mūrttitāṁ svaṁ ca tapāṁsi tepe</w:t>
            </w:r>
            <w:r>
              <w:rPr>
                <w:rStyle w:val="Code"/>
              </w:rPr>
              <w:t>&lt;/l&gt;</w:t>
            </w:r>
            <w:r>
              <w:t xml:space="preserve"> </w:t>
            </w:r>
          </w:p>
          <w:p w14:paraId="5FC0709B" w14:textId="77777777">
            <w:pPr>
              <w:pStyle w:val="CodeParagraph"/>
              <w:keepNext/>
              <w:rPr>
                <w:rFonts w:ascii="Consolas" w:hAnsi="Consolas" w:cs="Consolas"/>
                <w:noProof/>
                <w:color w:val="002060"/>
                <w:shd w:val="clear" w:color="auto" w:fill="F2F2F2" w:themeFill="background1" w:themeFillShade="F2"/>
              </w:rPr>
            </w:pPr>
            <w:r>
              <w:rPr>
                <w:rStyle w:val="Code"/>
              </w:rPr>
              <w:t>&lt;/lg&gt;</w:t>
            </w:r>
          </w:p>
        </w:tc>
      </w:tr>
      <w:tr w14:paraId="555D7CD7" w14:textId="77777777">
        <w:tc>
          <w:tcPr>
            <w:tcW w:w="5000" w:type="pct"/>
          </w:tcPr>
          <w:p w14:paraId="22BFB98C" w14:textId="77777777">
            <w:pPr>
              <w:pStyle w:val="TableNote"/>
            </w:pPr>
            <w:r>
              <w:t xml:space="preserve">the first </w:t>
            </w:r>
            <w:r>
              <w:rPr>
                <w:rStyle w:val="Foreign"/>
              </w:rPr>
              <w:t>pāda</w:t>
            </w:r>
            <w:r>
              <w:t xml:space="preserve"> follows the </w:t>
            </w:r>
            <w:r>
              <w:rPr>
                <w:rStyle w:val="Foreign"/>
              </w:rPr>
              <w:t>vaṁśastha</w:t>
            </w:r>
            <w:r>
              <w:t xml:space="preserve"> template, while the rest of the lines conform to </w:t>
            </w:r>
            <w:r>
              <w:rPr>
                <w:rStyle w:val="Foreign"/>
              </w:rPr>
              <w:t>upendravajrā</w:t>
            </w:r>
          </w:p>
          <w:p w14:paraId="303DFE9C" w14:textId="77777777">
            <w:pPr>
              <w:pStyle w:val="TableNote"/>
            </w:pPr>
            <w:r>
              <w:t xml:space="preserve">the metre for the stanza is encoded as mixed, and </w:t>
            </w:r>
            <w:r>
              <w:rPr>
                <w:rStyle w:val="Codeattribute"/>
              </w:rPr>
              <w:t>@met</w:t>
            </w:r>
            <w:r>
              <w:t>, with a pattern name as its value, is added to each line</w:t>
            </w:r>
          </w:p>
        </w:tc>
      </w:tr>
    </w:tbl>
    <w:p w14:paraId="7E8B1998" w14:textId="77777777">
      <w:pPr>
        <w:pStyle w:val="Cmsor3"/>
      </w:pPr>
      <w:bookmarkStart w:id="143" w:name="_Ref225325358"/>
      <w:bookmarkStart w:id="144" w:name="_Toc242889460"/>
      <w:bookmarkEnd w:id="141"/>
      <w:r>
        <w:t>Metrical complications</w:t>
      </w:r>
      <w:bookmarkEnd w:id="132"/>
      <w:bookmarkEnd w:id="133"/>
      <w:bookmarkEnd w:id="143"/>
      <w:bookmarkEnd w:id="144"/>
    </w:p>
    <w:p w14:paraId="3961E616" w14:textId="77777777">
      <w:pPr>
        <w:pStyle w:val="Cmsor4"/>
      </w:pPr>
      <w:bookmarkStart w:id="145" w:name="_Ref224725166"/>
      <w:bookmarkStart w:id="146" w:name="_Ref224725159"/>
      <w:bookmarkStart w:id="147" w:name="_Ref43980303"/>
      <w:bookmarkEnd w:id="85"/>
      <w:bookmarkEnd w:id="86"/>
      <w:bookmarkEnd w:id="128"/>
      <w:r>
        <w:t>Legitimate metrical variation</w:t>
      </w:r>
      <w:bookmarkEnd w:id="145"/>
    </w:p>
    <w:p w14:paraId="7BC4BC38" w14:textId="4D8F435A">
      <w:pPr>
        <w:pStyle w:val="Lista"/>
      </w:pPr>
      <w:r>
        <w:t xml:space="preserve">when a line conforms to a legitimate variation on a basic stanza template, as in </w:t>
      </w:r>
      <w:r>
        <w:rPr>
          <w:rStyle w:val="Foreign"/>
        </w:rPr>
        <w:t>vipulā anuṣṭubh</w:t>
      </w:r>
      <w:r>
        <w:t xml:space="preserve"> (</w:t>
      </w:r>
      <w:r>
        <w:rPr>
          <w:highlight w:val="yellow"/>
        </w:rPr>
        <w:t>VG</w:t>
      </w:r>
      <w:r>
        <w:t xml:space="preserve"> §#), it is optional but recommended that you encode this as in </w:t>
      </w:r>
      <w:r>
        <w:fldChar w:fldCharType="begin"/>
      </w:r>
      <w:r>
        <w:instrText xml:space="preserve"> REF _Ref181707200 \h </w:instrText>
      </w:r>
      <w:r>
        <w:fldChar w:fldCharType="separate"/>
      </w:r>
      <w:r>
        <w:t xml:space="preserve">Exhibit </w:t>
      </w:r>
      <w:r>
        <w:rPr>
          <w:noProof/>
        </w:rPr>
        <w:t>3.3</w:t>
      </w:r>
      <w:r>
        <w:t>.</w:t>
      </w:r>
      <w:r>
        <w:rPr>
          <w:noProof/>
        </w:rPr>
        <w:t>D</w:t>
      </w:r>
      <w:r>
        <w:fldChar w:fldCharType="end"/>
      </w:r>
      <w:r>
        <w:t>, namely:</w:t>
      </w:r>
    </w:p>
    <w:p w14:paraId="4575B591" w14:textId="77777777">
      <w:pPr>
        <w:pStyle w:val="Lista2"/>
      </w:pPr>
      <w:r>
        <w:t xml:space="preserve">add </w:t>
      </w:r>
      <w:r>
        <w:rPr>
          <w:rStyle w:val="Codeattribute"/>
        </w:rPr>
        <w:t>@met</w:t>
      </w:r>
      <w:r>
        <w:t xml:space="preserve"> to the line concerned, for its value using the name of the </w:t>
      </w:r>
      <w:r>
        <w:rPr>
          <w:rStyle w:val="Foreign"/>
        </w:rPr>
        <w:t>vipulā</w:t>
      </w:r>
      <w:r>
        <w:t xml:space="preserve"> variant as listed in the authority file</w:t>
      </w:r>
    </w:p>
    <w:p w14:paraId="4FC35404" w14:textId="77777777">
      <w:pPr>
        <w:pStyle w:val="Lista2"/>
      </w:pPr>
      <w:r>
        <w:t xml:space="preserve">preferably also add </w:t>
      </w:r>
      <w:r>
        <w:rPr>
          <w:rStyle w:val="Codeattribute"/>
        </w:rPr>
        <w:t>@real</w:t>
      </w:r>
      <w:r>
        <w:t xml:space="preserve"> to the </w:t>
      </w:r>
      <w:r>
        <w:rPr>
          <w:rStyle w:val="Code"/>
        </w:rPr>
        <w:t>&lt;l&gt;</w:t>
      </w:r>
      <w:r>
        <w:t xml:space="preserve"> element concerned to record the accurate prosodic realisation of each syllable of the line</w:t>
      </w:r>
    </w:p>
    <w:p w14:paraId="137AFD37" w14:textId="0BD8FF94">
      <w:pPr>
        <w:pStyle w:val="Lista2"/>
      </w:pPr>
      <w:r>
        <w:t xml:space="preserve">further illustrations of </w:t>
      </w:r>
      <w:r>
        <w:rPr>
          <w:rStyle w:val="Foreign"/>
        </w:rPr>
        <w:t>vipulā anuṣṭubh</w:t>
      </w:r>
      <w:r>
        <w:t xml:space="preserve"> (with other complications) are found in </w:t>
      </w:r>
      <w:r>
        <w:fldChar w:fldCharType="begin"/>
      </w:r>
      <w:r>
        <w:instrText xml:space="preserve"> REF _Ref181628185 \h </w:instrText>
      </w:r>
      <w:r>
        <w:fldChar w:fldCharType="separate"/>
      </w:r>
      <w:r>
        <w:t xml:space="preserve">Exhibit </w:t>
      </w:r>
      <w:r>
        <w:rPr>
          <w:noProof/>
        </w:rPr>
        <w:t>3.2</w:t>
      </w:r>
      <w:r>
        <w:t>.</w:t>
      </w:r>
      <w:r>
        <w:rPr>
          <w:noProof/>
        </w:rPr>
        <w:t>J</w:t>
      </w:r>
      <w:r>
        <w:fldChar w:fldCharType="end"/>
      </w:r>
      <w:r>
        <w:t xml:space="preserve"> and </w:t>
      </w:r>
      <w:r>
        <w:rPr>
          <w:lang w:eastAsia="en-US" w:bidi="ar-SA"/>
        </w:rPr>
        <w:fldChar w:fldCharType="begin"/>
      </w:r>
      <w:r>
        <w:rPr>
          <w:lang w:eastAsia="en-US" w:bidi="ar-SA"/>
        </w:rPr>
        <w:instrText xml:space="preserve"> REF _Ref181627544 \h </w:instrText>
      </w:r>
      <w:r>
        <w:rPr>
          <w:lang w:eastAsia="en-US" w:bidi="ar-SA"/>
        </w:rPr>
      </w:r>
      <w:r>
        <w:rPr>
          <w:lang w:eastAsia="en-US" w:bidi="ar-SA"/>
        </w:rPr>
        <w:fldChar w:fldCharType="separate"/>
      </w:r>
      <w:r>
        <w:t xml:space="preserve">Exhibit </w:t>
      </w:r>
      <w:r>
        <w:rPr>
          <w:noProof/>
        </w:rPr>
        <w:t>3.2</w:t>
      </w:r>
      <w:r>
        <w:t>.</w:t>
      </w:r>
      <w:r>
        <w:rPr>
          <w:noProof/>
        </w:rPr>
        <w:t>M</w:t>
      </w:r>
      <w:r>
        <w:rPr>
          <w:lang w:eastAsia="en-US" w:bidi="ar-SA"/>
        </w:rPr>
        <w:fldChar w:fldCharType="end"/>
      </w:r>
    </w:p>
    <w:p w14:paraId="7050DFB3" w14:textId="5E9FFA39">
      <w:pPr>
        <w:pStyle w:val="Lista2"/>
      </w:pPr>
      <w:bookmarkStart w:id="148" w:name="_Ref181610917"/>
      <w:r>
        <w:t xml:space="preserve">note that the </w:t>
      </w:r>
      <w:r>
        <w:rPr>
          <w:rStyle w:val="Foreign"/>
        </w:rPr>
        <w:t>vipulā āryā</w:t>
      </w:r>
      <w:r>
        <w:t xml:space="preserve"> (</w:t>
      </w:r>
      <w:r>
        <w:rPr>
          <w:highlight w:val="yellow"/>
        </w:rPr>
        <w:t>VG</w:t>
      </w:r>
      <w:r>
        <w:t>) is not recognised as a distinct metre in our authority file, but may be optionally encoded with an unobserved caesura as per §</w:t>
      </w:r>
      <w:r>
        <w:fldChar w:fldCharType="begin"/>
      </w:r>
      <w:r>
        <w:instrText xml:space="preserve"> REF _Ref224730076 \r \h </w:instrText>
      </w:r>
      <w:r>
        <w:fldChar w:fldCharType="separate"/>
      </w:r>
      <w:r>
        <w:t>3.3.4.3</w:t>
      </w:r>
      <w:r>
        <w:fldChar w:fldCharType="end"/>
      </w:r>
      <w:r>
        <w:t xml:space="preserve"> and </w:t>
      </w:r>
      <w:r>
        <w:fldChar w:fldCharType="begin"/>
      </w:r>
      <w:r>
        <w:instrText xml:space="preserve"> REF _Ref44077259 \h </w:instrText>
      </w:r>
      <w:r>
        <w:fldChar w:fldCharType="separate"/>
      </w:r>
      <w:r>
        <w:t xml:space="preserve">Exhibit </w:t>
      </w:r>
      <w:r>
        <w:rPr>
          <w:noProof/>
        </w:rPr>
        <w:t>3.3</w:t>
      </w:r>
      <w:r>
        <w:t>.</w:t>
      </w:r>
      <w:r>
        <w:rPr>
          <w:noProof/>
        </w:rPr>
        <w:t>G</w:t>
      </w:r>
      <w:r>
        <w:fldChar w:fldCharType="end"/>
      </w:r>
    </w:p>
    <w:p w14:paraId="69A2C31F" w14:textId="77777777">
      <w:pPr>
        <w:pStyle w:val="Lista"/>
      </w:pPr>
      <w:r>
        <w:t>when the stanza template is only loosely constrained, as in pre-classical trimeter (</w:t>
      </w:r>
      <w:r>
        <w:rPr>
          <w:highlight w:val="yellow"/>
        </w:rPr>
        <w:t>Appendix B</w:t>
      </w:r>
      <w:r>
        <w:t>)</w:t>
      </w:r>
    </w:p>
    <w:p w14:paraId="24246816" w14:textId="77777777">
      <w:pPr>
        <w:pStyle w:val="Lista2"/>
      </w:pPr>
      <w:r>
        <w:t xml:space="preserve">optionally add </w:t>
      </w:r>
      <w:r>
        <w:rPr>
          <w:rStyle w:val="Codeattribute"/>
        </w:rPr>
        <w:t>@real</w:t>
      </w:r>
      <w:r>
        <w:t xml:space="preserve"> to all </w:t>
      </w:r>
      <w:r>
        <w:rPr>
          <w:rStyle w:val="Code"/>
        </w:rPr>
        <w:t>&lt;l&gt;</w:t>
      </w:r>
      <w:r>
        <w:t xml:space="preserve"> elements to record the accurate prosodic realisation</w:t>
      </w:r>
    </w:p>
    <w:p w14:paraId="23B9D615" w14:textId="0E442EAF">
      <w:pPr>
        <w:pStyle w:val="Lista"/>
      </w:pPr>
      <w:r>
        <w:t xml:space="preserve">conformance to a recognised constraint on a lenient stanza template, as in </w:t>
      </w:r>
      <w:r>
        <w:rPr>
          <w:rStyle w:val="Foreign"/>
        </w:rPr>
        <w:t>capalā āryā</w:t>
      </w:r>
      <w:r>
        <w:t xml:space="preserve"> (</w:t>
      </w:r>
      <w:r>
        <w:rPr>
          <w:highlight w:val="yellow"/>
        </w:rPr>
        <w:t>Appendix B</w:t>
      </w:r>
      <w:r>
        <w:t>) may be optionally marked up as follows</w:t>
      </w:r>
    </w:p>
    <w:p w14:paraId="2B569F0C" w14:textId="77777777">
      <w:pPr>
        <w:pStyle w:val="Lista2"/>
      </w:pPr>
      <w:r>
        <w:t xml:space="preserve">add </w:t>
      </w:r>
      <w:r>
        <w:rPr>
          <w:rStyle w:val="Codeattribute"/>
        </w:rPr>
        <w:t>@real</w:t>
      </w:r>
      <w:r>
        <w:t xml:space="preserve"> to the </w:t>
      </w:r>
      <w:r>
        <w:rPr>
          <w:rStyle w:val="Code"/>
        </w:rPr>
        <w:t>&lt;l&gt;</w:t>
      </w:r>
      <w:r>
        <w:t xml:space="preserve"> element concerned to describe its prosodic realisation accurately</w:t>
      </w:r>
    </w:p>
    <w:p w14:paraId="35206AC6" w14:textId="77777777">
      <w:pPr>
        <w:pStyle w:val="Lista2"/>
      </w:pPr>
      <w:r>
        <w:t xml:space="preserve">because recognising </w:t>
      </w:r>
      <w:r>
        <w:rPr>
          <w:rStyle w:val="Foreign"/>
        </w:rPr>
        <w:t>capalā āryā</w:t>
      </w:r>
      <w:r>
        <w:t xml:space="preserve"> forms requires practice most of us lack, we have chosen not to distinguish them in our authority file, so </w:t>
      </w:r>
      <w:r>
        <w:rPr>
          <w:rStyle w:val="Codeattribute"/>
        </w:rPr>
        <w:t>@met</w:t>
      </w:r>
      <w:r>
        <w:t xml:space="preserve"> shall not be used on </w:t>
      </w:r>
      <w:r>
        <w:rPr>
          <w:rStyle w:val="Foreign"/>
        </w:rPr>
        <w:t>capalā</w:t>
      </w:r>
      <w:r>
        <w:t xml:space="preserve"> lines</w:t>
      </w:r>
    </w:p>
    <w:tbl>
      <w:tblPr>
        <w:tblStyle w:val="CodeSampleTable"/>
        <w:tblW w:w="5000" w:type="pct"/>
        <w:tblLook w:val="04A0" w:firstRow="1" w:lastRow="0" w:firstColumn="1" w:lastColumn="0" w:noHBand="0" w:noVBand="1"/>
      </w:tblPr>
      <w:tblGrid>
        <w:gridCol w:w="9628"/>
      </w:tblGrid>
      <w:tr w14:paraId="01C57CA0"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7ACF87C" w14:textId="0A0C28B9">
            <w:pPr>
              <w:pStyle w:val="Kpalrs"/>
            </w:pPr>
            <w:bookmarkStart w:id="149" w:name="_Ref181707200"/>
            <w:r>
              <w:lastRenderedPageBreak/>
              <w:t xml:space="preserve">Exhibit </w:t>
            </w:r>
            <w:fldSimple w:instr=" STYLEREF 2 \s ">
              <w:r>
                <w:rPr>
                  <w:noProof/>
                </w:rPr>
                <w:t>3.3</w:t>
              </w:r>
            </w:fldSimple>
            <w:r>
              <w:t>.</w:t>
            </w:r>
            <w:fldSimple w:instr=" SEQ Exhibit \* ALPHABETIC \s 2 ">
              <w:r>
                <w:rPr>
                  <w:noProof/>
                </w:rPr>
                <w:t>D</w:t>
              </w:r>
            </w:fldSimple>
            <w:bookmarkEnd w:id="149"/>
            <w:r>
              <w:t xml:space="preserve">: </w:t>
            </w:r>
            <w:r>
              <w:rPr>
                <w:rStyle w:val="Foreign"/>
              </w:rPr>
              <w:t>vipulā anuṣṭubh</w:t>
            </w:r>
          </w:p>
        </w:tc>
      </w:tr>
      <w:tr w14:paraId="1D2F6117" w14:textId="77777777">
        <w:tc>
          <w:tcPr>
            <w:tcW w:w="5000" w:type="pct"/>
          </w:tcPr>
          <w:p w14:paraId="104AB5DC" w14:textId="77777777">
            <w:pPr>
              <w:pStyle w:val="CodeParagraph"/>
            </w:pPr>
            <w:r>
              <w:rPr>
                <w:rStyle w:val="Code"/>
              </w:rPr>
              <w:t xml:space="preserve">&lt;lg </w:t>
            </w:r>
            <w:r>
              <w:rPr>
                <w:rStyle w:val="Codeattribute"/>
              </w:rPr>
              <w:t>n</w:t>
            </w:r>
            <w:r>
              <w:rPr>
                <w:rStyle w:val="Code"/>
              </w:rPr>
              <w:t>=</w:t>
            </w:r>
            <w:r>
              <w:rPr>
                <w:rStyle w:val="Codevalue"/>
              </w:rPr>
              <w:t>"9"</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 xml:space="preserve">"a" </w:t>
            </w:r>
            <w:r>
              <w:rPr>
                <w:rStyle w:val="Codeattribute"/>
              </w:rPr>
              <w:t>met</w:t>
            </w:r>
            <w:r>
              <w:rPr>
                <w:rStyle w:val="Code"/>
              </w:rPr>
              <w:t>=</w:t>
            </w:r>
            <w:r>
              <w:rPr>
                <w:rStyle w:val="Codevalue"/>
              </w:rPr>
              <w:t>"na-vipulā"</w:t>
            </w:r>
            <w:r>
              <w:rPr>
                <w:rStyle w:val="Code"/>
              </w:rPr>
              <w:t xml:space="preserve"> </w:t>
            </w:r>
            <w:r>
              <w:rPr>
                <w:rStyle w:val="Codeattribute"/>
              </w:rPr>
              <w:t>real</w:t>
            </w:r>
            <w:r>
              <w:rPr>
                <w:rStyle w:val="Code"/>
              </w:rPr>
              <w:t>=</w:t>
            </w:r>
            <w:r>
              <w:rPr>
                <w:rStyle w:val="Codevalue"/>
              </w:rPr>
              <w:t>"+-++---+"</w:t>
            </w:r>
            <w:r>
              <w:rPr>
                <w:rStyle w:val="Code"/>
              </w:rPr>
              <w:t>&gt;</w:t>
            </w:r>
            <w:r>
              <w:rPr>
                <w:rStyle w:val="Codetext"/>
              </w:rPr>
              <w:t>śaurya-satya-vrata-dharo</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yaḥ prayāga-gato dhanī</w:t>
            </w:r>
            <w:r>
              <w:rPr>
                <w:rStyle w:val="Code"/>
              </w:rPr>
              <w:t>&lt;/l&gt;</w:t>
            </w:r>
            <w:r>
              <w:rPr>
                <w:rStyle w:val="Codetext"/>
              </w:rPr>
              <w:br/>
              <w:t xml:space="preserve">  ...</w:t>
            </w:r>
            <w:r>
              <w:rPr>
                <w:rStyle w:val="Codetext"/>
              </w:rPr>
              <w:br/>
            </w:r>
            <w:r>
              <w:rPr>
                <w:rStyle w:val="Code"/>
              </w:rPr>
              <w:t>&lt;/lg&gt;</w:t>
            </w:r>
          </w:p>
        </w:tc>
      </w:tr>
    </w:tbl>
    <w:p w14:paraId="3DAC6142" w14:textId="77777777">
      <w:pPr>
        <w:pStyle w:val="Cmsor4"/>
      </w:pPr>
      <w:bookmarkStart w:id="150" w:name="_Ref224726481"/>
      <w:bookmarkStart w:id="151" w:name="_Ref224726906"/>
      <w:bookmarkEnd w:id="148"/>
      <w:r>
        <w:t>Deviant verse lines</w:t>
      </w:r>
      <w:bookmarkEnd w:id="146"/>
      <w:bookmarkEnd w:id="150"/>
      <w:bookmarkEnd w:id="151"/>
    </w:p>
    <w:p w14:paraId="191BF9C5" w14:textId="77777777">
      <w:pPr>
        <w:pStyle w:val="Lista"/>
      </w:pPr>
      <w:r>
        <w:t xml:space="preserve">when a line deviates idiosyncratically from the metre of the rest of the stanza without conforming to a different recognised metre, it is optional but recommended that you add </w:t>
      </w:r>
      <w:r>
        <w:rPr>
          <w:rStyle w:val="Codeattribute"/>
        </w:rPr>
        <w:t>@real</w:t>
      </w:r>
      <w:r>
        <w:t xml:space="preserve"> to the line with unexpected metre</w:t>
      </w:r>
    </w:p>
    <w:p w14:paraId="6149B768" w14:textId="77777777">
      <w:pPr>
        <w:pStyle w:val="Lista2"/>
      </w:pPr>
      <w:r>
        <w:t>this encoding is applicable regardless of whether the deviation is deemed to be a deliberate poetic device or a compositional mistake, including the following cases:</w:t>
      </w:r>
    </w:p>
    <w:p w14:paraId="640DFD80" w14:textId="08902C67">
      <w:pPr>
        <w:pStyle w:val="Lista3"/>
      </w:pPr>
      <w:r>
        <w:t xml:space="preserve">lines with anomalous metre, including hypermetrical and hypometrical lines, as in </w:t>
      </w:r>
      <w:r>
        <w:fldChar w:fldCharType="begin"/>
      </w:r>
      <w:r>
        <w:instrText xml:space="preserve"> REF _Ref44077220 \h </w:instrText>
      </w:r>
      <w:r>
        <w:fldChar w:fldCharType="separate"/>
      </w:r>
      <w:r>
        <w:t xml:space="preserve">Exhibit </w:t>
      </w:r>
      <w:r>
        <w:rPr>
          <w:noProof/>
        </w:rPr>
        <w:t>3.3</w:t>
      </w:r>
      <w:r>
        <w:t>.</w:t>
      </w:r>
      <w:r>
        <w:rPr>
          <w:noProof/>
        </w:rPr>
        <w:t>E</w:t>
      </w:r>
      <w:r>
        <w:fldChar w:fldCharType="end"/>
      </w:r>
    </w:p>
    <w:p w14:paraId="07C306D9" w14:textId="6EE481ED">
      <w:pPr>
        <w:pStyle w:val="Lista3"/>
      </w:pPr>
      <w:r>
        <w:t xml:space="preserve">presumable poetic licence, such as treating a short vowel followed by a stop and a semivowel as a short syllable </w:t>
      </w:r>
      <w:r>
        <w:rPr>
          <w:noProof/>
        </w:rPr>
        <w:t>(</w:t>
      </w:r>
      <w:r>
        <w:rPr>
          <w:rStyle w:val="Foreign"/>
        </w:rPr>
        <w:t>muta cum liquida</w:t>
      </w:r>
      <w:r>
        <w:t xml:space="preserve"> in classical European prosody), as in </w:t>
      </w:r>
      <w:r>
        <w:fldChar w:fldCharType="begin"/>
      </w:r>
      <w:r>
        <w:instrText xml:space="preserve"> REF _Ref44077213 \h </w:instrText>
      </w:r>
      <w:r>
        <w:fldChar w:fldCharType="separate"/>
      </w:r>
      <w:r>
        <w:t xml:space="preserve">Exhibit </w:t>
      </w:r>
      <w:r>
        <w:rPr>
          <w:noProof/>
        </w:rPr>
        <w:t>3.3</w:t>
      </w:r>
      <w:r>
        <w:t>.</w:t>
      </w:r>
      <w:r>
        <w:rPr>
          <w:noProof/>
        </w:rPr>
        <w:t>F</w:t>
      </w:r>
      <w:r>
        <w:fldChar w:fldCharType="end"/>
      </w:r>
    </w:p>
    <w:p w14:paraId="5FEA6329" w14:textId="3360F3DC">
      <w:pPr>
        <w:pStyle w:val="Lista2"/>
      </w:pPr>
      <w:r>
        <w:t>however, if the anomaly results from scribal error which you as editor correct and thereby restore the metre to what the composer had presumably intended, this does not count as a deviant line (§</w:t>
      </w:r>
      <w:r>
        <w:fldChar w:fldCharType="begin"/>
      </w:r>
      <w:r>
        <w:instrText xml:space="preserve"> REF _Ref225323861 \r \h </w:instrText>
      </w:r>
      <w:r>
        <w:fldChar w:fldCharType="separate"/>
      </w:r>
      <w:r>
        <w:t>3.3.1</w:t>
      </w:r>
      <w:r>
        <w:fldChar w:fldCharType="end"/>
      </w:r>
      <w:r>
        <w:t>)</w:t>
      </w:r>
    </w:p>
    <w:tbl>
      <w:tblPr>
        <w:tblStyle w:val="CodeSampleTable"/>
        <w:tblW w:w="5000" w:type="pct"/>
        <w:tblLook w:val="04A0" w:firstRow="1" w:lastRow="0" w:firstColumn="1" w:lastColumn="0" w:noHBand="0" w:noVBand="1"/>
      </w:tblPr>
      <w:tblGrid>
        <w:gridCol w:w="9628"/>
      </w:tblGrid>
      <w:tr w14:paraId="7ACAD47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DEAFBCE" w14:textId="709A72A6">
            <w:pPr>
              <w:pStyle w:val="Kpalrs"/>
            </w:pPr>
            <w:bookmarkStart w:id="152" w:name="_Ref44077220"/>
            <w:r>
              <w:t xml:space="preserve">Exhibit </w:t>
            </w:r>
            <w:fldSimple w:instr=" STYLEREF 2 \s ">
              <w:r>
                <w:rPr>
                  <w:noProof/>
                </w:rPr>
                <w:t>3.3</w:t>
              </w:r>
            </w:fldSimple>
            <w:r>
              <w:t>.</w:t>
            </w:r>
            <w:fldSimple w:instr=" SEQ Exhibit \* ALPHABETIC \s 2 ">
              <w:r>
                <w:rPr>
                  <w:noProof/>
                </w:rPr>
                <w:t>E</w:t>
              </w:r>
            </w:fldSimple>
            <w:bookmarkEnd w:id="152"/>
            <w:r>
              <w:t>: anomalous metre</w:t>
            </w:r>
          </w:p>
        </w:tc>
      </w:tr>
      <w:tr w14:paraId="00D848DA" w14:textId="77777777">
        <w:tc>
          <w:tcPr>
            <w:tcW w:w="5000" w:type="pct"/>
          </w:tcPr>
          <w:p w14:paraId="5246CAA0" w14:textId="77777777">
            <w:pPr>
              <w:pStyle w:val="CodeParagraph"/>
              <w:keepNext/>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"āryā"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"ab"</w:t>
            </w:r>
            <w:r>
              <w:rPr>
                <w:rStyle w:val="Code"/>
              </w:rPr>
              <w:t xml:space="preserve"> </w:t>
            </w:r>
            <w:r>
              <w:rPr>
                <w:rStyle w:val="Codeattribute"/>
              </w:rPr>
              <w:t>real</w:t>
            </w:r>
            <w:r>
              <w:rPr>
                <w:rStyle w:val="Code"/>
              </w:rPr>
              <w:t>=</w:t>
            </w:r>
            <w:r>
              <w:rPr>
                <w:rStyle w:val="Codevalue"/>
              </w:rPr>
              <w:t>"----+-+-+--+--------+++"</w:t>
            </w:r>
            <w:r>
              <w:rPr>
                <w:rStyle w:val="Code"/>
              </w:rPr>
              <w:t>&gt;</w:t>
            </w:r>
            <w:r>
              <w:rPr>
                <w:rStyle w:val="Codetext"/>
              </w:rPr>
              <w:t>jayati vibhuś catur-bhujaś catur-arṇṇava-vipula-salila-paryyaṅkaḥ</w:t>
            </w:r>
            <w:r>
              <w:rPr>
                <w:rStyle w:val="Code"/>
              </w:rPr>
              <w:t>&lt;/l&gt;</w:t>
            </w:r>
            <w:r>
              <w:rPr>
                <w:rStyle w:val="Codetext"/>
              </w:rPr>
              <w:br/>
              <w:t xml:space="preserve">  ...</w:t>
            </w:r>
            <w:r>
              <w:rPr>
                <w:rStyle w:val="Codetext"/>
              </w:rPr>
              <w:br/>
            </w:r>
            <w:r>
              <w:rPr>
                <w:rStyle w:val="Code"/>
              </w:rPr>
              <w:t>&lt;/lg&gt;</w:t>
            </w:r>
          </w:p>
        </w:tc>
      </w:tr>
      <w:tr w14:paraId="38FBCD85" w14:textId="77777777">
        <w:tc>
          <w:tcPr>
            <w:tcW w:w="5000" w:type="pct"/>
          </w:tcPr>
          <w:p w14:paraId="046F75D1" w14:textId="77777777">
            <w:pPr>
              <w:pStyle w:val="TableNote"/>
            </w:pPr>
            <w:r>
              <w:t xml:space="preserve">there is syncopation from the second to the third foot: the foot boundary ought to be halfway through the long syllable </w:t>
            </w:r>
            <w:r>
              <w:rPr>
                <w:rStyle w:val="Foreign"/>
              </w:rPr>
              <w:t>tu</w:t>
            </w:r>
          </w:p>
          <w:p w14:paraId="43078341" w14:textId="77777777">
            <w:pPr>
              <w:pStyle w:val="TableNote"/>
            </w:pPr>
            <w:r>
              <w:t xml:space="preserve">mentally, the author’s pronunciation may have been </w:t>
            </w:r>
            <w:r>
              <w:rPr>
                <w:rStyle w:val="Foreign"/>
              </w:rPr>
              <w:t>caturabhujaś</w:t>
            </w:r>
            <w:r>
              <w:t xml:space="preserve">, which would scan correctly: should be </w:t>
            </w:r>
            <w:r>
              <w:rPr>
                <w:rStyle w:val="Foreign"/>
              </w:rPr>
              <w:t>jayati vi|bhuś catu|ra-bhujaś…</w:t>
            </w:r>
          </w:p>
          <w:p w14:paraId="12434005" w14:textId="77777777">
            <w:pPr>
              <w:pStyle w:val="TableNote"/>
            </w:pPr>
            <w:r>
              <w:t xml:space="preserve">deviation from the expected pattern has been recorded in </w:t>
            </w:r>
            <w:r>
              <w:rPr>
                <w:rStyle w:val="Codeattribute"/>
              </w:rPr>
              <w:t>@real</w:t>
            </w:r>
          </w:p>
        </w:tc>
      </w:tr>
    </w:tbl>
    <w:p w14:paraId="2F0828A8" w14:textId="77777777"/>
    <w:tbl>
      <w:tblPr>
        <w:tblStyle w:val="CodeSampleTable"/>
        <w:tblW w:w="5000" w:type="pct"/>
        <w:tblLook w:val="04A0" w:firstRow="1" w:lastRow="0" w:firstColumn="1" w:lastColumn="0" w:noHBand="0" w:noVBand="1"/>
      </w:tblPr>
      <w:tblGrid>
        <w:gridCol w:w="9628"/>
      </w:tblGrid>
      <w:tr w14:paraId="6450FB0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70C777E" w14:textId="31345194">
            <w:pPr>
              <w:pStyle w:val="Kpalrs"/>
            </w:pPr>
            <w:bookmarkStart w:id="153" w:name="_Ref44077213"/>
            <w:bookmarkStart w:id="154" w:name="_Ref44077183"/>
            <w:r>
              <w:t xml:space="preserve">Exhibit </w:t>
            </w:r>
            <w:fldSimple w:instr=" STYLEREF 2 \s ">
              <w:r>
                <w:rPr>
                  <w:noProof/>
                </w:rPr>
                <w:t>3.3</w:t>
              </w:r>
            </w:fldSimple>
            <w:r>
              <w:t>.</w:t>
            </w:r>
            <w:fldSimple w:instr=" SEQ Exhibit \* ALPHABETIC \s 2 ">
              <w:r>
                <w:rPr>
                  <w:noProof/>
                </w:rPr>
                <w:t>F</w:t>
              </w:r>
            </w:fldSimple>
            <w:bookmarkEnd w:id="153"/>
            <w:r>
              <w:t xml:space="preserve">: </w:t>
            </w:r>
            <w:r>
              <w:rPr>
                <w:rStyle w:val="Foreign"/>
              </w:rPr>
              <w:t>muta cum liquida</w:t>
            </w:r>
            <w:r>
              <w:t xml:space="preserve"> licence</w:t>
            </w:r>
            <w:bookmarkEnd w:id="154"/>
          </w:p>
        </w:tc>
      </w:tr>
      <w:tr w14:paraId="59D57EB1" w14:textId="77777777">
        <w:tc>
          <w:tcPr>
            <w:tcW w:w="5000" w:type="pct"/>
          </w:tcPr>
          <w:p w14:paraId="11BB4F14" w14:textId="77777777">
            <w:pPr>
              <w:pStyle w:val="CodeParagraph"/>
              <w:keepNext/>
            </w:pPr>
            <w:r>
              <w:rPr>
                <w:rStyle w:val="Code"/>
              </w:rPr>
              <w:t xml:space="preserve">&lt;lg </w:t>
            </w:r>
            <w:r>
              <w:rPr>
                <w:rStyle w:val="Codeattribute"/>
              </w:rPr>
              <w:t>n</w:t>
            </w:r>
            <w:r>
              <w:rPr>
                <w:rStyle w:val="Code"/>
              </w:rPr>
              <w:t>=</w:t>
            </w:r>
            <w:r>
              <w:rPr>
                <w:rStyle w:val="Codevalue"/>
              </w:rPr>
              <w:t>"12"</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 xml:space="preserve"> </w:t>
            </w:r>
            <w:r>
              <w:rPr>
                <w:rStyle w:val="Codeattribute"/>
              </w:rPr>
              <w:t>real</w:t>
            </w:r>
            <w:r>
              <w:rPr>
                <w:rStyle w:val="Code"/>
              </w:rPr>
              <w:t>=</w:t>
            </w:r>
            <w:r>
              <w:rPr>
                <w:rStyle w:val="Codevalue"/>
              </w:rPr>
              <w:t>"+-+++++-"</w:t>
            </w:r>
            <w:r>
              <w:rPr>
                <w:rStyle w:val="Code"/>
              </w:rPr>
              <w:t>&gt;</w:t>
            </w:r>
            <w:r>
              <w:rPr>
                <w:rStyle w:val="Codetext"/>
              </w:rPr>
              <w:t>yasya vittaṁ ca prāṇāś ca</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deva-brāhmaṇasād gatāḥ</w:t>
            </w:r>
            <w:r>
              <w:rPr>
                <w:rStyle w:val="Code"/>
              </w:rPr>
              <w:t>&lt;/l&gt;</w:t>
            </w:r>
            <w:r>
              <w:rPr>
                <w:rStyle w:val="Codetext"/>
              </w:rPr>
              <w:br/>
            </w:r>
            <w:r>
              <w:rPr>
                <w:rStyle w:val="Code"/>
              </w:rPr>
              <w:t>&lt;/lg&gt;</w:t>
            </w:r>
          </w:p>
        </w:tc>
      </w:tr>
      <w:tr w14:paraId="5CB2FBFB" w14:textId="77777777">
        <w:tc>
          <w:tcPr>
            <w:tcW w:w="5000" w:type="pct"/>
          </w:tcPr>
          <w:p w14:paraId="6E6A30A1" w14:textId="77777777">
            <w:pPr>
              <w:pStyle w:val="TableNote"/>
            </w:pPr>
            <w:r>
              <w:t xml:space="preserve">the first </w:t>
            </w:r>
            <w:r>
              <w:rPr>
                <w:i/>
                <w:iCs/>
              </w:rPr>
              <w:t>ca</w:t>
            </w:r>
            <w:r>
              <w:t xml:space="preserve"> in </w:t>
            </w:r>
            <w:r>
              <w:rPr>
                <w:rStyle w:val="Foreign"/>
              </w:rPr>
              <w:t>pāda</w:t>
            </w:r>
            <w:r>
              <w:t xml:space="preserve"> </w:t>
            </w:r>
            <w:r>
              <w:rPr>
                <w:rStyle w:val="Foreign"/>
              </w:rPr>
              <w:t>c</w:t>
            </w:r>
            <w:r>
              <w:t xml:space="preserve"> is expected to be a short syllable, but by regular prosodic rules it is positionally long</w:t>
            </w:r>
          </w:p>
          <w:p w14:paraId="7AD872A4" w14:textId="77777777">
            <w:pPr>
              <w:pStyle w:val="TableNote"/>
            </w:pPr>
            <w:r>
              <w:t xml:space="preserve">deviation from the expected pattern has been recorded in </w:t>
            </w:r>
            <w:r>
              <w:rPr>
                <w:rStyle w:val="Codeattribute"/>
              </w:rPr>
              <w:t>@real</w:t>
            </w:r>
          </w:p>
        </w:tc>
      </w:tr>
    </w:tbl>
    <w:p w14:paraId="5979B681" w14:textId="77777777">
      <w:pPr>
        <w:pStyle w:val="Cmsor4"/>
      </w:pPr>
      <w:bookmarkStart w:id="155" w:name="_Ref224729838"/>
      <w:bookmarkStart w:id="156" w:name="_Ref224730076"/>
      <w:r>
        <w:t>Failure to observe the caesura</w:t>
      </w:r>
      <w:bookmarkEnd w:id="155"/>
      <w:bookmarkEnd w:id="156"/>
    </w:p>
    <w:p w14:paraId="2D5B6967" w14:textId="77777777">
      <w:r>
        <w:t xml:space="preserve">Caesuras </w:t>
      </w:r>
      <w:r>
        <w:rPr>
          <w:noProof/>
        </w:rPr>
        <w:t>(</w:t>
      </w:r>
      <w:r>
        <w:rPr>
          <w:rStyle w:val="Foreign"/>
        </w:rPr>
        <w:t>yati</w:t>
      </w:r>
      <w:r>
        <w:t>) shall not be marked up in quantitative verse.</w:t>
      </w:r>
      <w:r>
        <w:rPr>
          <w:rStyle w:val="Lbjegyzet-hivatkozs"/>
        </w:rPr>
        <w:footnoteReference w:id="12"/>
      </w:r>
      <w:r>
        <w:t xml:space="preserve"> However, if you notice a caesura that was disregarded by the composer or involves sandhi that blurs its location, you may optionally encode this as follows:</w:t>
      </w:r>
    </w:p>
    <w:p w14:paraId="26E75588" w14:textId="77777777">
      <w:pPr>
        <w:pStyle w:val="Lista"/>
        <w:rPr>
          <w:rStyle w:val="Code"/>
          <w:rFonts w:ascii="Gentium Plus" w:hAnsi="Gentium Plus" w:cs="Arial Unicode MS"/>
          <w:noProof w:val="0"/>
          <w:color w:val="auto"/>
          <w:shd w:val="clear" w:color="auto" w:fill="auto"/>
        </w:rPr>
      </w:pPr>
      <w:r>
        <w:rPr>
          <w:rStyle w:val="Code"/>
        </w:rPr>
        <w:t xml:space="preserve">&lt;milestone </w:t>
      </w:r>
      <w:r>
        <w:rPr>
          <w:rStyle w:val="Codeattribute"/>
        </w:rPr>
        <w:t>type</w:t>
      </w:r>
      <w:r>
        <w:rPr>
          <w:rStyle w:val="Code"/>
        </w:rPr>
        <w:t>=</w:t>
      </w:r>
      <w:r>
        <w:rPr>
          <w:rStyle w:val="Codevalue"/>
        </w:rPr>
        <w:t>"yati"</w:t>
      </w:r>
      <w:r>
        <w:rPr>
          <w:rStyle w:val="Code"/>
        </w:rPr>
        <w:t xml:space="preserve"> </w:t>
      </w:r>
      <w:r>
        <w:rPr>
          <w:rStyle w:val="Codeattribute"/>
        </w:rPr>
        <w:t>break</w:t>
      </w:r>
      <w:r>
        <w:rPr>
          <w:rStyle w:val="Code"/>
        </w:rPr>
        <w:t>=</w:t>
      </w:r>
      <w:r>
        <w:rPr>
          <w:rStyle w:val="Codevalue"/>
        </w:rPr>
        <w:t>"no"</w:t>
      </w:r>
      <w:r>
        <w:rPr>
          <w:rStyle w:val="Code"/>
        </w:rPr>
        <w:t>&gt;</w:t>
      </w:r>
    </w:p>
    <w:p w14:paraId="13C91654" w14:textId="6D2680C5">
      <w:pPr>
        <w:pStyle w:val="Lista"/>
      </w:pPr>
      <w:r>
        <w:t xml:space="preserve">illustrated in </w:t>
      </w:r>
      <w:r>
        <w:fldChar w:fldCharType="begin"/>
      </w:r>
      <w:r>
        <w:instrText xml:space="preserve"> REF _Ref44077259 \h </w:instrText>
      </w:r>
      <w:r>
        <w:fldChar w:fldCharType="separate"/>
      </w:r>
      <w:r>
        <w:t xml:space="preserve">Exhibit </w:t>
      </w:r>
      <w:r>
        <w:rPr>
          <w:noProof/>
        </w:rPr>
        <w:t>3.3</w:t>
      </w:r>
      <w:r>
        <w:t>.</w:t>
      </w:r>
      <w:r>
        <w:rPr>
          <w:noProof/>
        </w:rPr>
        <w:t>G</w:t>
      </w:r>
      <w:r>
        <w:fldChar w:fldCharType="end"/>
      </w:r>
      <w:r>
        <w:t xml:space="preserve"> and </w:t>
      </w:r>
      <w:r>
        <w:fldChar w:fldCharType="begin"/>
      </w:r>
      <w:r>
        <w:instrText xml:space="preserve"> REF _Ref44077336 \h </w:instrText>
      </w:r>
      <w:r>
        <w:fldChar w:fldCharType="separate"/>
      </w:r>
      <w:r>
        <w:t xml:space="preserve">Exhibit </w:t>
      </w:r>
      <w:r>
        <w:rPr>
          <w:noProof/>
        </w:rPr>
        <w:t>3.3</w:t>
      </w:r>
      <w:r>
        <w:t>.</w:t>
      </w:r>
      <w:r>
        <w:rPr>
          <w:noProof/>
        </w:rPr>
        <w:t>H</w:t>
      </w:r>
      <w:r>
        <w:fldChar w:fldCharType="end"/>
      </w:r>
    </w:p>
    <w:p w14:paraId="246A58C7" w14:textId="77777777">
      <w:bookmarkStart w:id="157" w:name="_l3elgprsa6k8" w:colFirst="0" w:colLast="0"/>
      <w:bookmarkEnd w:id="147"/>
      <w:bookmarkEnd w:id="157"/>
    </w:p>
    <w:tbl>
      <w:tblPr>
        <w:tblStyle w:val="CodeSampleTable"/>
        <w:tblW w:w="5000" w:type="pct"/>
        <w:tblLook w:val="04A0" w:firstRow="1" w:lastRow="0" w:firstColumn="1" w:lastColumn="0" w:noHBand="0" w:noVBand="1"/>
      </w:tblPr>
      <w:tblGrid>
        <w:gridCol w:w="9628"/>
      </w:tblGrid>
      <w:tr w14:paraId="0E8C40D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EDC8FFB" w14:textId="21FD624F">
            <w:pPr>
              <w:pStyle w:val="Kpalrs"/>
            </w:pPr>
            <w:bookmarkStart w:id="158" w:name="_Ref44077259"/>
            <w:r>
              <w:lastRenderedPageBreak/>
              <w:t xml:space="preserve">Exhibit </w:t>
            </w:r>
            <w:fldSimple w:instr=" STYLEREF 2 \s ">
              <w:r>
                <w:rPr>
                  <w:noProof/>
                </w:rPr>
                <w:t>3.3</w:t>
              </w:r>
            </w:fldSimple>
            <w:r>
              <w:t>.</w:t>
            </w:r>
            <w:fldSimple w:instr=" SEQ Exhibit \* ALPHABETIC \s 2 ">
              <w:r>
                <w:rPr>
                  <w:noProof/>
                </w:rPr>
                <w:t>G</w:t>
              </w:r>
            </w:fldSimple>
            <w:bookmarkEnd w:id="158"/>
            <w:r>
              <w:t xml:space="preserve">: moraic verse </w:t>
            </w:r>
            <w:r>
              <w:rPr>
                <w:noProof/>
              </w:rPr>
              <w:t>(</w:t>
            </w:r>
            <w:r>
              <w:rPr>
                <w:rStyle w:val="Foreign"/>
              </w:rPr>
              <w:t>vipulā āryā</w:t>
            </w:r>
            <w:r>
              <w:t>) with unobserved caesura and enjambement</w:t>
            </w:r>
          </w:p>
        </w:tc>
      </w:tr>
      <w:tr w14:paraId="398CB9B9" w14:textId="77777777">
        <w:tc>
          <w:tcPr>
            <w:tcW w:w="5000" w:type="pct"/>
          </w:tcPr>
          <w:p w14:paraId="359F40FB" w14:textId="77777777">
            <w:pPr>
              <w:pStyle w:val="CodeParagraph"/>
              <w:keepNext/>
            </w:pPr>
            <w:r>
              <w:rPr>
                <w:rStyle w:val="Code"/>
              </w:rPr>
              <w:t xml:space="preserve">&lt;lg </w:t>
            </w:r>
            <w:r>
              <w:rPr>
                <w:rStyle w:val="Codeattribute"/>
              </w:rPr>
              <w:t>n</w:t>
            </w:r>
            <w:r>
              <w:rPr>
                <w:rStyle w:val="Code"/>
              </w:rPr>
              <w:t>=</w:t>
            </w:r>
            <w:r>
              <w:rPr>
                <w:rStyle w:val="Codevalue"/>
              </w:rPr>
              <w:t>"33"</w:t>
            </w:r>
            <w:r>
              <w:rPr>
                <w:rStyle w:val="Code"/>
              </w:rPr>
              <w:t xml:space="preserve"> </w:t>
            </w:r>
            <w:r>
              <w:rPr>
                <w:rStyle w:val="Codeattribute"/>
              </w:rPr>
              <w:t>met</w:t>
            </w:r>
            <w:r>
              <w:rPr>
                <w:rStyle w:val="Code"/>
              </w:rPr>
              <w:t>=</w:t>
            </w:r>
            <w:r>
              <w:rPr>
                <w:rStyle w:val="Codevalue"/>
              </w:rPr>
              <w:t>"āryā"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"ab"</w:t>
            </w:r>
            <w:r>
              <w:rPr>
                <w:rStyle w:val="Code"/>
              </w:rPr>
              <w:t xml:space="preserve"> </w:t>
            </w:r>
            <w:r>
              <w:rPr>
                <w:rStyle w:val="Codeattribute"/>
              </w:rPr>
              <w:t>enjamb</w:t>
            </w:r>
            <w:r>
              <w:rPr>
                <w:rStyle w:val="Code"/>
              </w:rPr>
              <w:t>=</w:t>
            </w:r>
            <w:r>
              <w:rPr>
                <w:rStyle w:val="Codevalue"/>
              </w:rPr>
              <w:t>"yes"</w:t>
            </w:r>
            <w:r>
              <w:rPr>
                <w:rStyle w:val="Code"/>
              </w:rPr>
              <w:t>&gt;</w:t>
            </w:r>
            <w:r>
              <w:rPr>
                <w:rStyle w:val="Codetext"/>
              </w:rPr>
              <w:t>smara-vaśaga-taruṇa-jana-va</w:t>
            </w:r>
            <w:r>
              <w:rPr>
                <w:rStyle w:val="Code"/>
              </w:rPr>
              <w:t xml:space="preserve">&lt;milestone </w:t>
            </w:r>
            <w:r>
              <w:rPr>
                <w:rStyle w:val="Codeattribute"/>
              </w:rPr>
              <w:t>type</w:t>
            </w:r>
            <w:r>
              <w:rPr>
                <w:rStyle w:val="Code"/>
              </w:rPr>
              <w:t>=</w:t>
            </w:r>
            <w:r>
              <w:rPr>
                <w:rStyle w:val="Codevalue"/>
              </w:rPr>
              <w:t>"yati"</w:t>
            </w:r>
            <w:r>
              <w:rPr>
                <w:rStyle w:val="Code"/>
              </w:rPr>
              <w:t xml:space="preserve"> </w:t>
            </w:r>
            <w:r>
              <w:rPr>
                <w:rStyle w:val="Codeattribute"/>
              </w:rPr>
              <w:t>break</w:t>
            </w:r>
            <w:r>
              <w:rPr>
                <w:rStyle w:val="Code"/>
              </w:rPr>
              <w:t>=</w:t>
            </w:r>
            <w:r>
              <w:rPr>
                <w:rStyle w:val="Codevalue"/>
              </w:rPr>
              <w:t>"no"</w:t>
            </w:r>
            <w:r>
              <w:rPr>
                <w:rStyle w:val="Code"/>
              </w:rPr>
              <w:t>&gt;</w:t>
            </w:r>
            <w:r>
              <w:rPr>
                <w:rStyle w:val="Codetext"/>
              </w:rPr>
              <w:t>llabhāṅganā-vipula-kānta-pīnoru|</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"cd"</w:t>
            </w:r>
            <w:r>
              <w:rPr>
                <w:rStyle w:val="Code"/>
              </w:rPr>
              <w:t>&gt;-</w:t>
            </w:r>
            <w:r>
              <w:rPr>
                <w:rStyle w:val="Codetext"/>
              </w:rPr>
              <w:t>stana-jaghana-ghanāliṅgana-nirbhartsita-tuhina-hima-pāte||</w:t>
            </w:r>
            <w:r>
              <w:rPr>
                <w:rStyle w:val="Code"/>
              </w:rPr>
              <w:t>&lt;/l&gt;</w:t>
            </w:r>
            <w:r>
              <w:rPr>
                <w:rStyle w:val="Codetext"/>
              </w:rPr>
              <w:br/>
            </w:r>
            <w:r>
              <w:rPr>
                <w:rStyle w:val="Code"/>
              </w:rPr>
              <w:t>&lt;/lg&gt;</w:t>
            </w:r>
          </w:p>
        </w:tc>
      </w:tr>
      <w:tr w14:paraId="7D96C603" w14:textId="77777777">
        <w:tc>
          <w:tcPr>
            <w:tcW w:w="5000" w:type="pct"/>
          </w:tcPr>
          <w:p w14:paraId="66BDAE32" w14:textId="66DEE1DD">
            <w:pPr>
              <w:pStyle w:val="TableNote"/>
            </w:pPr>
            <w:r>
              <w:t>the unobserved caesura is optionally encoded as per §</w:t>
            </w:r>
            <w:r>
              <w:fldChar w:fldCharType="begin"/>
            </w:r>
            <w:r>
              <w:instrText xml:space="preserve"> REF _Ref224729838 \r \h </w:instrText>
            </w:r>
            <w:r>
              <w:fldChar w:fldCharType="separate"/>
            </w:r>
            <w:r>
              <w:t>3.3.4.3</w:t>
            </w:r>
            <w:r>
              <w:fldChar w:fldCharType="end"/>
            </w:r>
            <w:r>
              <w:t xml:space="preserve"> </w:t>
            </w:r>
          </w:p>
          <w:p w14:paraId="15D092A7" w14:textId="00A73C29">
            <w:pPr>
              <w:pStyle w:val="TableNote"/>
              <w:rPr>
                <w:rStyle w:val="Code"/>
                <w:rFonts w:ascii="Calibri" w:hAnsi="Calibri" w:cs="Arial Unicode MS"/>
                <w:noProof w:val="0"/>
                <w:color w:val="auto"/>
                <w:shd w:val="clear" w:color="auto" w:fill="auto"/>
              </w:rPr>
            </w:pPr>
            <w:r>
              <w:t xml:space="preserve">since the hemistich boundary is within a compound, </w:t>
            </w:r>
            <w:r>
              <w:rPr>
                <w:rStyle w:val="Codeattribute"/>
              </w:rPr>
              <w:t>@enjamb</w:t>
            </w:r>
            <w:r>
              <w:t xml:space="preserve"> is added to the first </w:t>
            </w:r>
            <w:r>
              <w:rPr>
                <w:rStyle w:val="Foreign"/>
              </w:rPr>
              <w:t>pāda</w:t>
            </w:r>
            <w:r>
              <w:t xml:space="preserve"> as per §</w:t>
            </w:r>
            <w:r>
              <w:fldChar w:fldCharType="begin"/>
            </w:r>
            <w:r>
              <w:instrText xml:space="preserve"> REF _Ref225326474 \r \h </w:instrText>
            </w:r>
            <w:r>
              <w:fldChar w:fldCharType="separate"/>
            </w:r>
            <w:r>
              <w:t>3.2.4.1</w:t>
            </w:r>
            <w:r>
              <w:fldChar w:fldCharType="end"/>
            </w:r>
            <w:r>
              <w:rPr>
                <w:rStyle w:val="Code"/>
                <w:rFonts w:ascii="Calibri" w:hAnsi="Calibri" w:cs="Arial Unicode MS"/>
                <w:noProof w:val="0"/>
                <w:color w:val="auto"/>
                <w:shd w:val="clear" w:color="auto" w:fill="auto"/>
              </w:rPr>
              <w:t xml:space="preserve"> </w:t>
            </w:r>
          </w:p>
        </w:tc>
      </w:tr>
    </w:tbl>
    <w:p w14:paraId="1C376DE2" w14:textId="77777777"/>
    <w:tbl>
      <w:tblPr>
        <w:tblStyle w:val="CodeSampleTable"/>
        <w:tblW w:w="5000" w:type="pct"/>
        <w:tblLook w:val="04A0" w:firstRow="1" w:lastRow="0" w:firstColumn="1" w:lastColumn="0" w:noHBand="0" w:noVBand="1"/>
      </w:tblPr>
      <w:tblGrid>
        <w:gridCol w:w="9628"/>
      </w:tblGrid>
      <w:tr w14:paraId="4C51AD43"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57F3645" w14:textId="17BE5949">
            <w:pPr>
              <w:pStyle w:val="Kpalrs"/>
            </w:pPr>
            <w:bookmarkStart w:id="159" w:name="_Ref44077336"/>
            <w:r>
              <w:t xml:space="preserve">Exhibit </w:t>
            </w:r>
            <w:fldSimple w:instr=" STYLEREF 2 \s ">
              <w:r>
                <w:rPr>
                  <w:noProof/>
                </w:rPr>
                <w:t>3.3</w:t>
              </w:r>
            </w:fldSimple>
            <w:r>
              <w:t>.</w:t>
            </w:r>
            <w:fldSimple w:instr=" SEQ Exhibit \* ALPHABETIC \s 2 ">
              <w:r>
                <w:rPr>
                  <w:noProof/>
                </w:rPr>
                <w:t>H</w:t>
              </w:r>
            </w:fldSimple>
            <w:bookmarkEnd w:id="159"/>
            <w:r>
              <w:t xml:space="preserve">: </w:t>
            </w:r>
            <w:r>
              <w:rPr>
                <w:rStyle w:val="Foreign"/>
              </w:rPr>
              <w:t>varṇavr̥tta</w:t>
            </w:r>
            <w:r>
              <w:t xml:space="preserve"> verse with unobserved caesura and enjambement</w:t>
            </w:r>
          </w:p>
        </w:tc>
      </w:tr>
      <w:tr w14:paraId="25699020" w14:textId="77777777">
        <w:tc>
          <w:tcPr>
            <w:tcW w:w="5000" w:type="pct"/>
          </w:tcPr>
          <w:p w14:paraId="7470C604" w14:textId="77777777">
            <w:pPr>
              <w:pStyle w:val="CodeParagraph"/>
              <w:keepNext/>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"pr̥thvī"</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&gt;</w:t>
            </w:r>
            <w:r>
              <w:rPr>
                <w:rStyle w:val="Codetext"/>
              </w:rPr>
              <w:t>pradāna-bhuja-vikkrama-praśama-śāstra-vākyodayair</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uparyyupari-sañcayocchritam aneka-mārggaṁ yaśaḥ</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 xml:space="preserve"> </w:t>
            </w:r>
            <w:r>
              <w:rPr>
                <w:rStyle w:val="Codeattribute"/>
              </w:rPr>
              <w:t>enjamb</w:t>
            </w:r>
            <w:r>
              <w:rPr>
                <w:rStyle w:val="Code"/>
              </w:rPr>
              <w:t>=</w:t>
            </w:r>
            <w:r>
              <w:rPr>
                <w:rStyle w:val="Codevalue"/>
              </w:rPr>
              <w:t>"yes"</w:t>
            </w:r>
            <w:r>
              <w:rPr>
                <w:rStyle w:val="Code"/>
              </w:rPr>
              <w:t>&gt;</w:t>
            </w:r>
            <w:r>
              <w:rPr>
                <w:rStyle w:val="Codetext"/>
              </w:rPr>
              <w:t>punāti bhuvana-trayaṁ paśupater jjaṭāntar-guhā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-nirodha-parimokṣa-śī</w:t>
            </w:r>
            <w:r>
              <w:rPr>
                <w:rStyle w:val="Code"/>
              </w:rPr>
              <w:t xml:space="preserve">&lt;milestone </w:t>
            </w:r>
            <w:r>
              <w:rPr>
                <w:rStyle w:val="Codeattribute"/>
              </w:rPr>
              <w:t>type</w:t>
            </w:r>
            <w:r>
              <w:rPr>
                <w:rStyle w:val="Code"/>
              </w:rPr>
              <w:t>=</w:t>
            </w:r>
            <w:r>
              <w:rPr>
                <w:rStyle w:val="Codevalue"/>
              </w:rPr>
              <w:t>"yati"</w:t>
            </w:r>
            <w:r>
              <w:rPr>
                <w:rStyle w:val="Code"/>
              </w:rPr>
              <w:t xml:space="preserve"> </w:t>
            </w:r>
            <w:r>
              <w:rPr>
                <w:rStyle w:val="Codeattribute"/>
              </w:rPr>
              <w:t>break</w:t>
            </w:r>
            <w:r>
              <w:rPr>
                <w:rStyle w:val="Code"/>
              </w:rPr>
              <w:t>=</w:t>
            </w:r>
            <w:r>
              <w:rPr>
                <w:rStyle w:val="Codevalue"/>
              </w:rPr>
              <w:t>"no"</w:t>
            </w:r>
            <w:r>
              <w:rPr>
                <w:rStyle w:val="Code"/>
              </w:rPr>
              <w:t>&gt;</w:t>
            </w:r>
            <w:r>
              <w:rPr>
                <w:rStyle w:val="Codetext"/>
              </w:rPr>
              <w:t>ghram iva pāṇḍu gāṅgaṁ payaḥ</w:t>
            </w:r>
            <w:r>
              <w:rPr>
                <w:rStyle w:val="Code"/>
              </w:rPr>
              <w:t>&lt;/l&gt;</w:t>
            </w:r>
            <w:r>
              <w:rPr>
                <w:rStyle w:val="Codetext"/>
              </w:rPr>
              <w:br/>
            </w:r>
            <w:r>
              <w:rPr>
                <w:rStyle w:val="Code"/>
              </w:rPr>
              <w:t>&lt;/lg&gt;</w:t>
            </w:r>
          </w:p>
        </w:tc>
      </w:tr>
      <w:tr w14:paraId="275F88CC" w14:textId="77777777">
        <w:tc>
          <w:tcPr>
            <w:tcW w:w="5000" w:type="pct"/>
          </w:tcPr>
          <w:p w14:paraId="5DCADB16" w14:textId="797B7AC1">
            <w:pPr>
              <w:pStyle w:val="TableNote"/>
            </w:pPr>
            <w:r>
              <w:t>the unobserved caesura is optionally encoded as per §</w:t>
            </w:r>
            <w:r>
              <w:fldChar w:fldCharType="begin"/>
            </w:r>
            <w:r>
              <w:instrText xml:space="preserve"> REF _Ref224729838 \r \h </w:instrText>
            </w:r>
            <w:r>
              <w:fldChar w:fldCharType="separate"/>
            </w:r>
            <w:r>
              <w:t>3.3.4.3</w:t>
            </w:r>
            <w:r>
              <w:fldChar w:fldCharType="end"/>
            </w:r>
            <w:r>
              <w:t xml:space="preserve"> </w:t>
            </w:r>
          </w:p>
          <w:p w14:paraId="4A43D56D" w14:textId="41A45F31">
            <w:pPr>
              <w:pStyle w:val="TableNote"/>
              <w:rPr>
                <w:rStyle w:val="Code"/>
                <w:rFonts w:ascii="Calibri" w:hAnsi="Calibri" w:cs="Arial Unicode MS"/>
                <w:noProof w:val="0"/>
                <w:color w:val="auto"/>
                <w:shd w:val="clear" w:color="auto" w:fill="auto"/>
              </w:rPr>
            </w:pPr>
            <w:r>
              <w:t xml:space="preserve">since the boundary of the third and fourth </w:t>
            </w:r>
            <w:r>
              <w:rPr>
                <w:rStyle w:val="Foreign"/>
              </w:rPr>
              <w:t>pāda</w:t>
            </w:r>
            <w:r>
              <w:rPr>
                <w:rStyle w:val="Foreign"/>
                <w:i w:val="0"/>
                <w:iCs w:val="0"/>
              </w:rPr>
              <w:t>s</w:t>
            </w:r>
            <w:r>
              <w:t xml:space="preserve"> is within a compound, </w:t>
            </w:r>
            <w:r>
              <w:rPr>
                <w:rStyle w:val="Codeattribute"/>
              </w:rPr>
              <w:t>@enjamb</w:t>
            </w:r>
            <w:r>
              <w:t xml:space="preserve"> is added to the third line as per §</w:t>
            </w:r>
            <w:r>
              <w:fldChar w:fldCharType="begin"/>
            </w:r>
            <w:r>
              <w:instrText xml:space="preserve"> REF _Ref225326474 \r \h </w:instrText>
            </w:r>
            <w:r>
              <w:fldChar w:fldCharType="separate"/>
            </w:r>
            <w:r>
              <w:t>3.2.4.1</w:t>
            </w:r>
            <w:r>
              <w:fldChar w:fldCharType="end"/>
            </w:r>
            <w:r>
              <w:rPr>
                <w:rStyle w:val="Code"/>
                <w:rFonts w:ascii="Calibri" w:hAnsi="Calibri" w:cs="Arial Unicode MS"/>
                <w:noProof w:val="0"/>
                <w:color w:val="auto"/>
                <w:shd w:val="clear" w:color="auto" w:fill="auto"/>
              </w:rPr>
              <w:t xml:space="preserve"> </w:t>
            </w:r>
          </w:p>
        </w:tc>
      </w:tr>
    </w:tbl>
    <w:p w14:paraId="170FB78E" w14:textId="77777777">
      <w:pPr>
        <w:pStyle w:val="Cmsor1"/>
      </w:pPr>
      <w:bookmarkStart w:id="160" w:name="_u75tldno8fkf" w:colFirst="0" w:colLast="0"/>
      <w:bookmarkStart w:id="161" w:name="_Ref225261475"/>
      <w:bookmarkStart w:id="162" w:name="_Toc242889461"/>
      <w:bookmarkEnd w:id="160"/>
      <w:r>
        <w:lastRenderedPageBreak/>
        <w:t>Extrinsic structure</w:t>
      </w:r>
      <w:bookmarkEnd w:id="161"/>
      <w:bookmarkEnd w:id="162"/>
    </w:p>
    <w:p w14:paraId="510173F7" w14:textId="77777777">
      <w:pPr>
        <w:pStyle w:val="Cmsor2"/>
      </w:pPr>
      <w:bookmarkStart w:id="163" w:name="_Ref182923075"/>
      <w:bookmarkStart w:id="164" w:name="_Ref225155416"/>
      <w:bookmarkStart w:id="165" w:name="_Toc242889462"/>
      <w:r>
        <w:t>Representing extrinsic structure</w:t>
      </w:r>
      <w:bookmarkEnd w:id="163"/>
      <w:bookmarkEnd w:id="165"/>
    </w:p>
    <w:p w14:paraId="3FCA991B" w14:textId="3520F2B1">
      <w:r>
        <w:t xml:space="preserve">Of the various parallel, and more or less hierarchical, structures present in a written text, two are particularly relevant to encoding in the DHARMA scheme. </w:t>
      </w:r>
      <w:r>
        <w:rPr>
          <w:i/>
          <w:iCs/>
        </w:rPr>
        <w:t>Extrinsic structure</w:t>
      </w:r>
      <w:r>
        <w:t xml:space="preserve"> refers to the physical structure of a text “as document” in the terminology of </w:t>
      </w:r>
      <w:r>
        <w:rPr>
          <w:noProof/>
        </w:rPr>
        <w:t>Tanselle</w:t>
      </w:r>
      <w:r>
        <w:t xml:space="preserve"> (1989), i.e. the text in a particular, tangible manifestation. This is contrasted with </w:t>
      </w:r>
      <w:r>
        <w:rPr>
          <w:i/>
          <w:iCs/>
        </w:rPr>
        <w:t>intrinsic structure</w:t>
      </w:r>
      <w:r>
        <w:t xml:space="preserve"> (§</w:t>
      </w:r>
      <w:r>
        <w:fldChar w:fldCharType="begin"/>
      </w:r>
      <w:r>
        <w:instrText xml:space="preserve"> REF _Ref43978632 \r \h </w:instrText>
      </w:r>
      <w:r>
        <w:fldChar w:fldCharType="separate"/>
      </w:r>
      <w:r>
        <w:t>3</w:t>
      </w:r>
      <w:r>
        <w:fldChar w:fldCharType="end"/>
      </w:r>
      <w:r>
        <w:t xml:space="preserve">), which is the structure of the text “as work,” viewed as an abstract, intangible entity. In a quintessential book, extrinsic structure might comprise a number of fascicles or gatherings, each containing a number of pages, each containing a number of lines. The extrinsic structure of inscriptions is comprised, at the minimum, of an inscribed field (also called a </w:t>
      </w:r>
      <w:r>
        <w:rPr>
          <w:rStyle w:val="Foreign"/>
        </w:rPr>
        <w:t>campus</w:t>
      </w:r>
      <w:r>
        <w:t>), within which there is at least one line, but usually several lines of inscribed text. In more complex cases, the inscribed field may consist of physically distinct subfields (such as pages in a set of copper plates, the faces of a stele, or different limbs of a statue), each of which contain one or more lines. Such hierarchical divisions of extrinsic structure may coincide with breaks in intrinsic structure (for example: verse lines may be printed as physical lines; new chapters can begin on new pages, etc.), but they do not necessarily do so; indeed, in the actual practice of the documents we edit, they usually do not. Extrinsic structure can also involve non-hierarchical divisions, less typical in codicology but fairly common in inscriptions which may, for example, be written on a three-dimensional support so that some or all lines continue across a number of distinct surfaces such as the faces of a polygonal pillar or a series of masonry blocks in a wall, or may come to us in fragments.</w:t>
      </w:r>
    </w:p>
    <w:p w14:paraId="5A607A7F" w14:textId="092A3650">
      <w:pPr>
        <w:pStyle w:val="Normlbehzs"/>
      </w:pPr>
      <w:r>
        <w:t xml:space="preserve">In order to encode the extrinsic structure of any inscription consisting of more than one distinct zone, you must determine the nature of the boundary between those zones. We refer to such boundaries as </w:t>
      </w:r>
      <w:r>
        <w:rPr>
          <w:i/>
          <w:iCs/>
        </w:rPr>
        <w:t>partitions</w:t>
      </w:r>
      <w:r>
        <w:t xml:space="preserve">, and classify them into three categories on the basis of their rank in the hierarchy of extrinsic structure and their relation to the hierarchy of intrinsic structure. The possible patterns of this interaction, abstracted from physical layout, are illustrated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 which represents zones with light blue rectangles, lines with dark blue oblongs, and the linear flow of the text with a red line. Zones are shown as being side by side and identical in size and shape, and lines are shown as one below another, again identical in size and shape, but this is only for schematic representation. The actual topology of the zones laid out on the support is completely irrelevant to this classification, and the same functional patterns can be present in zones and lines of any size, shape and arrangement. The question to ask yourself while choosing the right encoding for a partition is this: </w:t>
      </w:r>
      <w:r>
        <w:rPr>
          <w:i/>
          <w:iCs/>
        </w:rPr>
        <w:t>what does the text do as it reaches the boundary of a zone?</w:t>
      </w:r>
    </w:p>
    <w:tbl>
      <w:tblPr>
        <w:tblStyle w:val="FigureTable"/>
        <w:tblW w:w="5000" w:type="pct"/>
        <w:tblLook w:val="04A0" w:firstRow="1" w:lastRow="0" w:firstColumn="1" w:lastColumn="0" w:noHBand="0" w:noVBand="1"/>
      </w:tblPr>
      <w:tblGrid>
        <w:gridCol w:w="3210"/>
        <w:gridCol w:w="3210"/>
        <w:gridCol w:w="3208"/>
      </w:tblGrid>
      <w:tr w14:paraId="696E936D"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3"/>
          </w:tcPr>
          <w:p w14:paraId="4248443C" w14:textId="7BFC2B57">
            <w:pPr>
              <w:pStyle w:val="Kpalrs"/>
            </w:pPr>
            <w:bookmarkStart w:id="166" w:name="_Ref224742060"/>
            <w:bookmarkStart w:id="167" w:name="_Ref224742059"/>
            <w:r>
              <w:t xml:space="preserve">Exhibit </w:t>
            </w:r>
            <w:fldSimple w:instr=" STYLEREF 2 \s ">
              <w:r>
                <w:rPr>
                  <w:noProof/>
                </w:rPr>
                <w:t>4.1</w:t>
              </w:r>
            </w:fldSimple>
            <w:r>
              <w:t>.</w:t>
            </w:r>
            <w:fldSimple w:instr=" SEQ Exhibit \* ALPHABETIC \s 2 ">
              <w:r>
                <w:rPr>
                  <w:noProof/>
                </w:rPr>
                <w:t>A</w:t>
              </w:r>
            </w:fldSimple>
            <w:bookmarkEnd w:id="166"/>
            <w:r>
              <w:t>. Functional patterns of partitions interacting with intrinsic structure and lines</w:t>
            </w:r>
            <w:bookmarkEnd w:id="167"/>
          </w:p>
        </w:tc>
      </w:tr>
      <w:tr w14:paraId="6CFA6225" w14:textId="77777777">
        <w:tc>
          <w:tcPr>
            <w:tcW w:w="1667" w:type="pct"/>
          </w:tcPr>
          <w:p w14:paraId="521AB070" w14:textId="77777777">
            <w:pPr>
              <w:pStyle w:val="Image"/>
            </w:pPr>
            <w:r>
              <w:t>1</w:t>
            </w:r>
          </w:p>
        </w:tc>
        <w:tc>
          <w:tcPr>
            <w:tcW w:w="1667" w:type="pct"/>
          </w:tcPr>
          <w:p w14:paraId="64EF8B7B" w14:textId="77777777">
            <w:pPr>
              <w:pStyle w:val="Image"/>
            </w:pPr>
            <w:r>
              <w:t>2</w:t>
            </w:r>
          </w:p>
        </w:tc>
        <w:tc>
          <w:tcPr>
            <w:tcW w:w="1666" w:type="pct"/>
          </w:tcPr>
          <w:p w14:paraId="54C6E2DF" w14:textId="77777777">
            <w:pPr>
              <w:pStyle w:val="Image"/>
            </w:pPr>
            <w:r>
              <w:t>3</w:t>
            </w:r>
          </w:p>
        </w:tc>
      </w:tr>
      <w:tr w14:paraId="0D574CB2" w14:textId="77777777">
        <w:tc>
          <w:tcPr>
            <w:tcW w:w="1667" w:type="pct"/>
          </w:tcPr>
          <w:p w14:paraId="5C941D2D" w14:textId="77777777">
            <w:pPr>
              <w:pStyle w:val="Image"/>
            </w:pPr>
            <w:r>
              <w:drawing>
                <wp:inline distT="0" distB="0" distL="0" distR="0" wp14:anchorId="2C85250C" wp14:editId="0AEB05F8">
                  <wp:extent cx="1557412" cy="911853"/>
                  <wp:effectExtent l="0" t="0" r="5080" b="3175"/>
                  <wp:docPr id="5" name="image8.png"/>
                  <wp:cNvGraphicFramePr/>
                  <a:graphic xmlns:a="http://schemas.openxmlformats.org/drawingml/2006/main">
                    <a:graphicData uri="http://schemas.openxmlformats.org/drawingml/2006/picture">
                      <pic:pic xmlns:pic="http://schemas.openxmlformats.org/drawingml/2006/picture">
                        <pic:nvPicPr>
                          <pic:cNvPr id="5" name="image8.png"/>
                          <pic:cNvPicPr preferRelativeResize="0"/>
                        </pic:nvPicPr>
                        <pic:blipFill>
                          <a:blip r:embed="rId13"/>
                          <a:stretch>
                            <a:fillRect/>
                          </a:stretch>
                        </pic:blipFill>
                        <pic:spPr>
                          <a:xfrm>
                            <a:off x="0" y="0"/>
                            <a:ext cx="1557412" cy="911853"/>
                          </a:xfrm>
                          <a:prstGeom prst="rect">
                            <a:avLst/>
                          </a:prstGeom>
                          <a:ln/>
                        </pic:spPr>
                      </pic:pic>
                    </a:graphicData>
                  </a:graphic>
                </wp:inline>
              </w:drawing>
            </w:r>
          </w:p>
        </w:tc>
        <w:tc>
          <w:tcPr>
            <w:tcW w:w="1667" w:type="pct"/>
          </w:tcPr>
          <w:p w14:paraId="39302B61" w14:textId="77777777">
            <w:pPr>
              <w:pStyle w:val="Image"/>
            </w:pPr>
            <w:r>
              <w:drawing>
                <wp:inline distT="0" distB="0" distL="0" distR="0" wp14:anchorId="7550AEF1" wp14:editId="33544811">
                  <wp:extent cx="1731600" cy="914400"/>
                  <wp:effectExtent l="0" t="0" r="2540" b="0"/>
                  <wp:docPr id="28" name="image23.png"/>
                  <wp:cNvGraphicFramePr/>
                  <a:graphic xmlns:a="http://schemas.openxmlformats.org/drawingml/2006/main">
                    <a:graphicData uri="http://schemas.openxmlformats.org/drawingml/2006/picture">
                      <pic:pic xmlns:pic="http://schemas.openxmlformats.org/drawingml/2006/picture">
                        <pic:nvPicPr>
                          <pic:cNvPr id="28" name="image23.png"/>
                          <pic:cNvPicPr preferRelativeResize="0"/>
                        </pic:nvPicPr>
                        <pic:blipFill>
                          <a:blip r:embed="rId14"/>
                          <a:srcRect t="4904" b="4904"/>
                          <a:stretch>
                            <a:fillRect/>
                          </a:stretch>
                        </pic:blipFill>
                        <pic:spPr>
                          <a:xfrm>
                            <a:off x="0" y="0"/>
                            <a:ext cx="1731600" cy="914400"/>
                          </a:xfrm>
                          <a:prstGeom prst="rect">
                            <a:avLst/>
                          </a:prstGeom>
                          <a:ln/>
                        </pic:spPr>
                      </pic:pic>
                    </a:graphicData>
                  </a:graphic>
                </wp:inline>
              </w:drawing>
            </w:r>
          </w:p>
        </w:tc>
        <w:tc>
          <w:tcPr>
            <w:tcW w:w="1666" w:type="pct"/>
          </w:tcPr>
          <w:p w14:paraId="07FCEE86" w14:textId="77777777">
            <w:pPr>
              <w:pStyle w:val="Image"/>
            </w:pPr>
            <w:r>
              <w:drawing>
                <wp:inline distT="0" distB="0" distL="0" distR="0" wp14:anchorId="435D7909" wp14:editId="73F92555">
                  <wp:extent cx="1557412" cy="911853"/>
                  <wp:effectExtent l="0" t="0" r="5080" b="3175"/>
                  <wp:docPr id="19" name="image4.png"/>
                  <wp:cNvGraphicFramePr/>
                  <a:graphic xmlns:a="http://schemas.openxmlformats.org/drawingml/2006/main">
                    <a:graphicData uri="http://schemas.openxmlformats.org/drawingml/2006/picture">
                      <pic:pic xmlns:pic="http://schemas.openxmlformats.org/drawingml/2006/picture">
                        <pic:nvPicPr>
                          <pic:cNvPr id="19" name="image4.png"/>
                          <pic:cNvPicPr preferRelativeResize="0"/>
                        </pic:nvPicPr>
                        <pic:blipFill>
                          <a:blip r:embed="rId15"/>
                          <a:stretch>
                            <a:fillRect/>
                          </a:stretch>
                        </pic:blipFill>
                        <pic:spPr>
                          <a:xfrm>
                            <a:off x="0" y="0"/>
                            <a:ext cx="1557412" cy="911853"/>
                          </a:xfrm>
                          <a:prstGeom prst="rect">
                            <a:avLst/>
                          </a:prstGeom>
                          <a:ln/>
                        </pic:spPr>
                      </pic:pic>
                    </a:graphicData>
                  </a:graphic>
                </wp:inline>
              </w:drawing>
            </w:r>
          </w:p>
        </w:tc>
      </w:tr>
      <w:tr w14:paraId="3D735B17" w14:textId="77777777">
        <w:tc>
          <w:tcPr>
            <w:tcW w:w="1667" w:type="pct"/>
          </w:tcPr>
          <w:p w14:paraId="6925FD1D" w14:textId="77777777">
            <w:pPr>
              <w:pStyle w:val="Tabletext"/>
              <w:keepNext/>
              <w:jc w:val="center"/>
            </w:pPr>
            <w:r>
              <w:t>text ends</w:t>
            </w:r>
          </w:p>
        </w:tc>
        <w:tc>
          <w:tcPr>
            <w:tcW w:w="1667" w:type="pct"/>
          </w:tcPr>
          <w:p w14:paraId="716C2111" w14:textId="77777777">
            <w:pPr>
              <w:pStyle w:val="Tabletext"/>
              <w:keepNext/>
              <w:jc w:val="center"/>
            </w:pPr>
            <w:r>
              <w:t>texts flows on</w:t>
            </w:r>
          </w:p>
        </w:tc>
        <w:tc>
          <w:tcPr>
            <w:tcW w:w="1666" w:type="pct"/>
          </w:tcPr>
          <w:p w14:paraId="5C3D79B7" w14:textId="77777777">
            <w:pPr>
              <w:pStyle w:val="Tabletext"/>
              <w:keepNext/>
              <w:jc w:val="center"/>
            </w:pPr>
            <w:r>
              <w:t>text runs across</w:t>
            </w:r>
          </w:p>
        </w:tc>
      </w:tr>
      <w:tr w14:paraId="65EA6F18" w14:textId="77777777">
        <w:tc>
          <w:tcPr>
            <w:tcW w:w="1667" w:type="pct"/>
          </w:tcPr>
          <w:p w14:paraId="0D7A53A1" w14:textId="41DD2595">
            <w:pPr>
              <w:pStyle w:val="Tabletext"/>
              <w:keepNext/>
              <w:jc w:val="center"/>
            </w:pPr>
            <w:r>
              <w:t>boxlike partition, §</w:t>
            </w:r>
            <w:r>
              <w:fldChar w:fldCharType="begin"/>
            </w:r>
            <w:r>
              <w:instrText xml:space="preserve"> REF _Ref225155416 \r \h </w:instrText>
            </w:r>
            <w:r>
              <w:fldChar w:fldCharType="separate"/>
            </w:r>
            <w:r>
              <w:t>4.1</w:t>
            </w:r>
            <w:r>
              <w:fldChar w:fldCharType="end"/>
            </w:r>
            <w:r>
              <w:t xml:space="preserve"> </w:t>
            </w:r>
          </w:p>
        </w:tc>
        <w:tc>
          <w:tcPr>
            <w:tcW w:w="1667" w:type="pct"/>
          </w:tcPr>
          <w:p w14:paraId="28E70BE6" w14:textId="46245B8F">
            <w:pPr>
              <w:pStyle w:val="Tabletext"/>
              <w:keepNext/>
              <w:jc w:val="center"/>
            </w:pPr>
            <w:r>
              <w:t>pagelike partition, §</w:t>
            </w:r>
            <w:r>
              <w:fldChar w:fldCharType="begin"/>
            </w:r>
            <w:r>
              <w:instrText xml:space="preserve"> REF _Ref233982406 \r \h </w:instrText>
            </w:r>
            <w:r>
              <w:fldChar w:fldCharType="separate"/>
            </w:r>
            <w:r>
              <w:t>4.4</w:t>
            </w:r>
            <w:r>
              <w:fldChar w:fldCharType="end"/>
            </w:r>
          </w:p>
        </w:tc>
        <w:tc>
          <w:tcPr>
            <w:tcW w:w="1666" w:type="pct"/>
          </w:tcPr>
          <w:p w14:paraId="42C04A2D" w14:textId="5AEC202D">
            <w:pPr>
              <w:pStyle w:val="Tabletext"/>
              <w:keepNext/>
              <w:jc w:val="center"/>
            </w:pPr>
            <w:r>
              <w:t>gridlike partition, §</w:t>
            </w:r>
            <w:r>
              <w:fldChar w:fldCharType="begin"/>
            </w:r>
            <w:r>
              <w:instrText xml:space="preserve"> REF _Ref43984651 \w \h  \* MERGEFORMAT </w:instrText>
            </w:r>
            <w:r>
              <w:fldChar w:fldCharType="separate"/>
            </w:r>
            <w:r>
              <w:t>4.6</w:t>
            </w:r>
            <w:r>
              <w:fldChar w:fldCharType="end"/>
            </w:r>
          </w:p>
        </w:tc>
      </w:tr>
    </w:tbl>
    <w:p w14:paraId="6DB4E83F" w14:textId="77777777"/>
    <w:p w14:paraId="503EB4BE" w14:textId="79BDCBCA">
      <w:r>
        <w:t>If the text progresses through all lines of a zone and ends there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/1), with the first zone comprising an integral and complete semantic unit and the text essentially starting anew in the second zone as an independent, likewise integral and complete semantic unit, then you have a </w:t>
      </w:r>
      <w:r>
        <w:rPr>
          <w:b/>
          <w:bCs/>
        </w:rPr>
        <w:t>boxlike partition</w:t>
      </w:r>
      <w:r>
        <w:t xml:space="preserve">. Boxlike partitions are thus like chapters in a book — especially short stories in an anthology or scholarly articles in a compiled volume — that together comprise a whole, and may not need to be read in a particular sequence. Another applicable book analogy is the relation of the title page, the front matter, the actual book content </w:t>
      </w:r>
      <w:r>
        <w:lastRenderedPageBreak/>
        <w:t>and the blurb. We call such a partition boxlike because each one is a functional box enclosing a discrete segment of text that is complete in itself. In terms of structural hierarchies, a boxlike partition occurs when units of extrinsic and intrinsic structure coincide, so that a physical boundary coincides with a semantic boundary. In the extrinsic hierarchy itself, a boxlike partition is the uppermost tier.</w:t>
      </w:r>
    </w:p>
    <w:p w14:paraId="10A8C09B" w14:textId="42AAAED8">
      <w:pPr>
        <w:pStyle w:val="Normlbehzs"/>
      </w:pPr>
      <w:r>
        <w:t xml:space="preserve">If the text progresses through all lines of a zone and then flows on to the next zone </w:t>
      </w:r>
      <w:r>
        <w:rPr>
          <w:noProof/>
        </w:rPr>
        <w:t>(</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/2), without the necessary presence of a major semantic break, then you have a </w:t>
      </w:r>
      <w:r>
        <w:rPr>
          <w:b/>
          <w:bCs/>
        </w:rPr>
        <w:t>pagelike partition</w:t>
      </w:r>
      <w:r>
        <w:t>. A pagelike partition is, unsurprisingly, like that of pages within a single chapter of a book, or of columns on a newspaper page. Each zone is physically distinct, but the units of intrinsic structure do not necessarily coincide with the zones. Thus, the partition normally occurs inside a block-level element of intrinsic structure, although it may — incidentally — be at a break in intrinsic structure. In terms of structural hierarchies, a pagelike partition is purely a feature of extrinsic structure, and its position in the extrinsic hierarchy is above that of lines, so that each pagelike zone is constituted of a number of lines.</w:t>
      </w:r>
    </w:p>
    <w:p w14:paraId="34F1BD25" w14:textId="6CF18E55">
      <w:pPr>
        <w:pStyle w:val="Normlbehzs"/>
      </w:pPr>
      <w:r>
        <w:t xml:space="preserve">Finally, if one or more lines of the text run across from one zone into the next </w:t>
      </w:r>
      <w:r>
        <w:rPr>
          <w:noProof/>
        </w:rPr>
        <w:t>(</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/3) before continuing to the next line in the first zone, then you have a </w:t>
      </w:r>
      <w:r>
        <w:rPr>
          <w:b/>
          <w:bCs/>
        </w:rPr>
        <w:t>gridlike partition</w:t>
      </w:r>
      <w:r>
        <w:t>. A gridlike partition is like the grid of a table where each row consists of a number of cells. Line after line, the text carries seamlessly on through the grid, although here too, partitions may in some cases coincide with boundaries of the intrinsic structure, for example in the case of verse laid out in a columnlike structure (§</w:t>
      </w:r>
      <w:r>
        <w:fldChar w:fldCharType="begin"/>
      </w:r>
      <w:r>
        <w:instrText xml:space="preserve"> REF _Ref225865506 \r \h </w:instrText>
      </w:r>
      <w:r>
        <w:fldChar w:fldCharType="separate"/>
      </w:r>
      <w:r>
        <w:t>4.7.5.3</w:t>
      </w:r>
      <w:r>
        <w:fldChar w:fldCharType="end"/>
      </w:r>
      <w:r>
        <w:t>). In terms of structural hierarchies, a gridlike partition is again purely a feature of extrinsic structure, but it is independent of the hierarchy constituted of lines, subfields and the campus. It does, however, affect the hierarchy of extrinsic structure because it may cut across the units of that hierarchy, including lines, and thus effectively create a subdivision below the level of lines, so that each line is constituted of a number of gridlike zones.</w:t>
      </w:r>
    </w:p>
    <w:p w14:paraId="38F20F2E" w14:textId="514B7B10">
      <w:pPr>
        <w:pStyle w:val="Normlbehzs"/>
      </w:pPr>
      <w:r>
        <w:t>Because XML cannot include overlapping hierarchies (§</w:t>
      </w:r>
      <w:r>
        <w:fldChar w:fldCharType="begin"/>
      </w:r>
      <w:r>
        <w:instrText xml:space="preserve"> REF _Ref224893456 \r \h </w:instrText>
      </w:r>
      <w:r>
        <w:fldChar w:fldCharType="separate"/>
      </w:r>
      <w:r>
        <w:t>2.1.4</w:t>
      </w:r>
      <w:r>
        <w:fldChar w:fldCharType="end"/>
      </w:r>
      <w:r>
        <w:t>) and the hierarchy of XML elements in our edition is dedicated to the representation of intrinsic structure (§</w:t>
      </w:r>
      <w:r>
        <w:fldChar w:fldCharType="begin"/>
      </w:r>
      <w:r>
        <w:instrText xml:space="preserve"> REF _Ref225153755 \r \h </w:instrText>
      </w:r>
      <w:r>
        <w:fldChar w:fldCharType="separate"/>
      </w:r>
      <w:r>
        <w:t>3.1</w:t>
      </w:r>
      <w:r>
        <w:fldChar w:fldCharType="end"/>
      </w:r>
      <w:r>
        <w:t>), we cannot use block-level elements for representing units of extrinsic structure unless they are units which, by nature, always coincide with units of intrinsic structure. As evident from the above classification, this is true of boxlike partitions. These are thus encoded as textpart divisions, which are also the uppermost tier in the encoding of intrinsic structure. However, the hierarchically lower units of extrinsic structure do not consistently correspond to units of intrinsic structure, so they necessitate a different encoding approach. This employs empty elements (§</w:t>
      </w:r>
      <w:r>
        <w:fldChar w:fldCharType="begin"/>
      </w:r>
      <w:r>
        <w:instrText xml:space="preserve"> REF _Ref224893557 \r \h </w:instrText>
      </w:r>
      <w:r>
        <w:fldChar w:fldCharType="separate"/>
      </w:r>
      <w:r>
        <w:t>2.1.2</w:t>
      </w:r>
      <w:r>
        <w:fldChar w:fldCharType="end"/>
      </w:r>
      <w:r>
        <w:t>) corresponding to points of transition, rather than text-containing elements corresponding to structural units. This kind of element is called a milestone (§</w:t>
      </w:r>
      <w:r>
        <w:fldChar w:fldCharType="begin"/>
      </w:r>
      <w:r>
        <w:instrText xml:space="preserve"> REF _Ref225327729 \r \h </w:instrText>
      </w:r>
      <w:r>
        <w:fldChar w:fldCharType="separate"/>
      </w:r>
      <w:r>
        <w:t>4.3</w:t>
      </w:r>
      <w:r>
        <w:fldChar w:fldCharType="end"/>
      </w:r>
      <w:r>
        <w:t xml:space="preserve">). Whereas for intrinsic structure, the start-tag and end-tag of a container enclose a unit such as a paragraph, for extrinsic structure we encode a single milestone at the beginning of each unit such as a line. The encoding hierarchy of extrinsic structure is illustrated in </w:t>
      </w:r>
      <w:r>
        <w:fldChar w:fldCharType="begin"/>
      </w:r>
      <w:r>
        <w:instrText xml:space="preserve"> REF _Ref224829834 \h </w:instrText>
      </w:r>
      <w:r>
        <w:fldChar w:fldCharType="separate"/>
      </w:r>
      <w:r>
        <w:t xml:space="preserve">Exhibit </w:t>
      </w:r>
      <w:r>
        <w:rPr>
          <w:noProof/>
        </w:rPr>
        <w:t>4.1</w:t>
      </w:r>
      <w:r>
        <w:t>.</w:t>
      </w:r>
      <w:r>
        <w:rPr>
          <w:noProof/>
        </w:rPr>
        <w:t>B</w:t>
      </w:r>
      <w:r>
        <w:fldChar w:fldCharType="end"/>
      </w:r>
      <w:r>
        <w:t>, where saturated colours (green, blue and yellow) represent mandatory components of an edition, and pastel colours (light green, lavender and aqua) represent non-mandatory components. The labels in the Exhibit are shown in angle brackets to indicate that they correspond to XML elements, but the actual XML elements are introduced in the sections discussing their encoding.</w:t>
      </w:r>
    </w:p>
    <w:p w14:paraId="393D3047" w14:textId="77777777"/>
    <w:tbl>
      <w:tblPr>
        <w:tblStyle w:val="FigureTable"/>
        <w:tblW w:w="0" w:type="auto"/>
        <w:tblLook w:val="04A0" w:firstRow="1" w:lastRow="0" w:firstColumn="1" w:lastColumn="0" w:noHBand="0" w:noVBand="1"/>
      </w:tblPr>
      <w:tblGrid>
        <w:gridCol w:w="9628"/>
      </w:tblGrid>
      <w:tr w14:paraId="5AFB8570" w14:textId="77777777">
        <w:trPr>
          <w:cnfStyle w:val="100000000000" w:firstRow="1" w:lastRow="0" w:firstColumn="0" w:lastColumn="0" w:oddVBand="0" w:evenVBand="0" w:oddHBand="0" w:evenHBand="0" w:firstRowFirstColumn="0" w:firstRowLastColumn="0" w:lastRowFirstColumn="0" w:lastRowLastColumn="0"/>
        </w:trPr>
        <w:tc>
          <w:tcPr>
            <w:tcW w:w="9628" w:type="dxa"/>
          </w:tcPr>
          <w:p w14:paraId="7B71E217" w14:textId="70FD56AB">
            <w:pPr>
              <w:pStyle w:val="Kpalrs"/>
            </w:pPr>
            <w:bookmarkStart w:id="168" w:name="_Ref224829834"/>
            <w:r>
              <w:lastRenderedPageBreak/>
              <w:t xml:space="preserve">Exhibit </w:t>
            </w:r>
            <w:fldSimple w:instr=" STYLEREF 2 \s ">
              <w:r>
                <w:rPr>
                  <w:noProof/>
                </w:rPr>
                <w:t>4.1</w:t>
              </w:r>
            </w:fldSimple>
            <w:r>
              <w:t>.</w:t>
            </w:r>
            <w:fldSimple w:instr=" SEQ Exhibit \* ALPHABETIC \s 2 ">
              <w:r>
                <w:rPr>
                  <w:noProof/>
                </w:rPr>
                <w:t>B</w:t>
              </w:r>
            </w:fldSimple>
            <w:bookmarkEnd w:id="168"/>
            <w:r>
              <w:t>. the encoding hierarchy of extrinsic structure</w:t>
            </w:r>
          </w:p>
        </w:tc>
      </w:tr>
      <w:tr w14:paraId="7DE14937" w14:textId="77777777">
        <w:tc>
          <w:tcPr>
            <w:tcW w:w="9628" w:type="dxa"/>
          </w:tcPr>
          <w:tbl>
            <w:tblPr>
              <w:tblStyle w:val="Rcsostblzat"/>
              <w:tblW w:w="0" w:type="auto"/>
              <w:jc w:val="cente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284"/>
              <w:gridCol w:w="284"/>
              <w:gridCol w:w="284"/>
              <w:gridCol w:w="1701"/>
              <w:gridCol w:w="1701"/>
              <w:gridCol w:w="1134"/>
              <w:gridCol w:w="1701"/>
              <w:gridCol w:w="1134"/>
              <w:gridCol w:w="284"/>
              <w:gridCol w:w="284"/>
            </w:tblGrid>
            <w:tr w14:paraId="39AB308A" w14:textId="77777777">
              <w:trPr>
                <w:trHeight w:hRule="exact" w:val="397"/>
                <w:jc w:val="center"/>
              </w:trPr>
              <w:tc>
                <w:tcPr>
                  <w:tcW w:w="8791" w:type="dxa"/>
                  <w:gridSpan w:val="10"/>
                  <w:tcBorders>
                    <w:top w:val="double" w:sz="12" w:space="0" w:color="auto"/>
                    <w:left w:val="double" w:sz="12" w:space="0" w:color="auto"/>
                    <w:right w:val="double" w:sz="12" w:space="0" w:color="auto"/>
                  </w:tcBorders>
                  <w:shd w:val="clear" w:color="auto" w:fill="92D050"/>
                </w:tcPr>
                <w:p w14:paraId="7E3B07E7" w14:textId="77777777">
                  <w:pPr>
                    <w:pStyle w:val="Tabletext"/>
                    <w:keepNext/>
                    <w:keepLines/>
                    <w:ind w:firstLine="0"/>
                  </w:pPr>
                  <w:r>
                    <w:t>&lt;edition&gt; contains</w:t>
                  </w:r>
                </w:p>
              </w:tc>
            </w:tr>
            <w:tr w14:paraId="44CE03AF" w14:textId="77777777">
              <w:trPr>
                <w:trHeight w:hRule="exact" w:val="284"/>
                <w:jc w:val="center"/>
              </w:trPr>
              <w:tc>
                <w:tcPr>
                  <w:tcW w:w="284" w:type="dxa"/>
                  <w:vMerge w:val="restart"/>
                  <w:tcBorders>
                    <w:top w:val="nil"/>
                    <w:left w:val="double" w:sz="12" w:space="0" w:color="auto"/>
                    <w:right w:val="double" w:sz="4" w:space="0" w:color="auto"/>
                  </w:tcBorders>
                  <w:shd w:val="clear" w:color="auto" w:fill="92D050"/>
                </w:tcPr>
                <w:p w14:paraId="7771EF47" w14:textId="77777777">
                  <w:pPr>
                    <w:pStyle w:val="Tabletext"/>
                    <w:keepNext/>
                    <w:keepLines/>
                    <w:ind w:firstLine="0"/>
                  </w:pPr>
                </w:p>
              </w:tc>
              <w:tc>
                <w:tcPr>
                  <w:tcW w:w="8223" w:type="dxa"/>
                  <w:gridSpan w:val="8"/>
                  <w:tcBorders>
                    <w:top w:val="double" w:sz="4" w:space="0" w:color="auto"/>
                    <w:left w:val="double" w:sz="4" w:space="0" w:color="auto"/>
                    <w:bottom w:val="nil"/>
                    <w:right w:val="double" w:sz="4" w:space="0" w:color="auto"/>
                  </w:tcBorders>
                  <w:shd w:val="clear" w:color="auto" w:fill="CCFFCC"/>
                </w:tcPr>
                <w:p w14:paraId="68F56C21" w14:textId="77777777">
                  <w:pPr>
                    <w:pStyle w:val="Tabletext"/>
                    <w:keepNext/>
                    <w:keepLines/>
                    <w:ind w:firstLine="0"/>
                  </w:pPr>
                  <w:r>
                    <w:t>&lt;textpart A&gt; contains</w:t>
                  </w:r>
                </w:p>
              </w:tc>
              <w:tc>
                <w:tcPr>
                  <w:tcW w:w="284" w:type="dxa"/>
                  <w:vMerge w:val="restart"/>
                  <w:tcBorders>
                    <w:left w:val="double" w:sz="4" w:space="0" w:color="auto"/>
                    <w:right w:val="double" w:sz="12" w:space="0" w:color="auto"/>
                  </w:tcBorders>
                  <w:shd w:val="clear" w:color="auto" w:fill="92D050"/>
                </w:tcPr>
                <w:p w14:paraId="2A421936" w14:textId="77777777">
                  <w:pPr>
                    <w:pStyle w:val="Tabletext"/>
                    <w:keepNext/>
                    <w:keepLines/>
                    <w:ind w:firstLine="0"/>
                  </w:pPr>
                </w:p>
              </w:tc>
            </w:tr>
            <w:tr w14:paraId="15FFB3B3" w14:textId="77777777">
              <w:trPr>
                <w:trHeight w:hRule="exact" w:val="284"/>
                <w:jc w:val="center"/>
              </w:trPr>
              <w:tc>
                <w:tcPr>
                  <w:tcW w:w="284" w:type="dxa"/>
                  <w:vMerge/>
                  <w:tcBorders>
                    <w:left w:val="double" w:sz="12" w:space="0" w:color="auto"/>
                    <w:right w:val="double" w:sz="4" w:space="0" w:color="auto"/>
                  </w:tcBorders>
                  <w:shd w:val="clear" w:color="auto" w:fill="92D050"/>
                </w:tcPr>
                <w:p w14:paraId="2E702CF6" w14:textId="77777777">
                  <w:pPr>
                    <w:pStyle w:val="Tabletext"/>
                    <w:keepNext/>
                    <w:keepLines/>
                    <w:ind w:firstLine="0"/>
                  </w:pPr>
                </w:p>
              </w:tc>
              <w:tc>
                <w:tcPr>
                  <w:tcW w:w="284" w:type="dxa"/>
                  <w:tcBorders>
                    <w:top w:val="nil"/>
                    <w:left w:val="double" w:sz="4" w:space="0" w:color="auto"/>
                    <w:right w:val="single" w:sz="4" w:space="0" w:color="auto"/>
                  </w:tcBorders>
                  <w:shd w:val="clear" w:color="auto" w:fill="CCFFCC"/>
                </w:tcPr>
                <w:p w14:paraId="2079B1C9" w14:textId="77777777">
                  <w:pPr>
                    <w:pStyle w:val="Tabletext"/>
                    <w:keepNext/>
                    <w:keepLines/>
                    <w:ind w:firstLine="0"/>
                  </w:pPr>
                </w:p>
              </w:tc>
              <w:tc>
                <w:tcPr>
                  <w:tcW w:w="7655" w:type="dxa"/>
                  <w:gridSpan w:val="6"/>
                  <w:tcBorders>
                    <w:top w:val="single" w:sz="4" w:space="0" w:color="auto"/>
                    <w:left w:val="single" w:sz="4" w:space="0" w:color="auto"/>
                    <w:bottom w:val="nil"/>
                    <w:right w:val="single" w:sz="4" w:space="0" w:color="auto"/>
                  </w:tcBorders>
                  <w:shd w:val="clear" w:color="auto" w:fill="CCCCFF"/>
                </w:tcPr>
                <w:p w14:paraId="77A62C61" w14:textId="77777777">
                  <w:pPr>
                    <w:pStyle w:val="Tabletext"/>
                    <w:keepNext/>
                    <w:keepLines/>
                    <w:ind w:firstLine="0"/>
                  </w:pPr>
                  <w:r>
                    <w:t>&lt;page 1&gt; “contains”</w:t>
                  </w:r>
                </w:p>
              </w:tc>
              <w:tc>
                <w:tcPr>
                  <w:tcW w:w="284" w:type="dxa"/>
                  <w:vMerge w:val="restart"/>
                  <w:tcBorders>
                    <w:top w:val="nil"/>
                    <w:left w:val="single" w:sz="4" w:space="0" w:color="auto"/>
                    <w:right w:val="double" w:sz="4" w:space="0" w:color="auto"/>
                  </w:tcBorders>
                  <w:shd w:val="clear" w:color="auto" w:fill="CCFFCC"/>
                </w:tcPr>
                <w:p w14:paraId="3D018691"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7E942FEE" w14:textId="77777777">
                  <w:pPr>
                    <w:pStyle w:val="Tabletext"/>
                    <w:keepNext/>
                    <w:keepLines/>
                    <w:ind w:firstLine="0"/>
                  </w:pPr>
                </w:p>
              </w:tc>
            </w:tr>
            <w:tr w14:paraId="0C8938CD" w14:textId="77777777">
              <w:trPr>
                <w:trHeight w:hRule="exact" w:val="284"/>
                <w:jc w:val="center"/>
              </w:trPr>
              <w:tc>
                <w:tcPr>
                  <w:tcW w:w="284" w:type="dxa"/>
                  <w:vMerge/>
                  <w:tcBorders>
                    <w:left w:val="double" w:sz="12" w:space="0" w:color="auto"/>
                    <w:right w:val="double" w:sz="4" w:space="0" w:color="auto"/>
                  </w:tcBorders>
                  <w:shd w:val="clear" w:color="auto" w:fill="92D050"/>
                </w:tcPr>
                <w:p w14:paraId="0D9DA5C9"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73EDB5A1" w14:textId="77777777">
                  <w:pPr>
                    <w:pStyle w:val="Tabletext"/>
                    <w:keepNext/>
                    <w:keepLines/>
                    <w:ind w:firstLine="0"/>
                  </w:pPr>
                </w:p>
              </w:tc>
              <w:tc>
                <w:tcPr>
                  <w:tcW w:w="284" w:type="dxa"/>
                  <w:vMerge w:val="restart"/>
                  <w:tcBorders>
                    <w:top w:val="nil"/>
                    <w:left w:val="single" w:sz="4" w:space="0" w:color="auto"/>
                    <w:bottom w:val="dashed" w:sz="4" w:space="0" w:color="auto"/>
                    <w:right w:val="dashed" w:sz="4" w:space="0" w:color="auto"/>
                  </w:tcBorders>
                  <w:shd w:val="clear" w:color="auto" w:fill="CCCCFF"/>
                </w:tcPr>
                <w:p w14:paraId="015DE8BD"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0AB648E5" w14:textId="77777777">
                  <w:pPr>
                    <w:pStyle w:val="Tabletext"/>
                    <w:keepNext/>
                    <w:keepLines/>
                    <w:ind w:firstLine="0"/>
                  </w:pPr>
                  <w:r>
                    <w:t>&lt;line 1&gt;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E172F72"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2A83D483" w14:textId="77777777">
                  <w:pPr>
                    <w:pStyle w:val="Tabletext"/>
                    <w:keepNext/>
                    <w:keepLines/>
                    <w:ind w:firstLine="0"/>
                    <w:jc w:val="center"/>
                    <w:rPr>
                      <w:i/>
                      <w:iCs/>
                    </w:rPr>
                  </w:pPr>
                  <w:r>
                    <w:rPr>
                      <w:i/>
                      <w:iCs/>
                    </w:rPr>
                    <w:t>…text a…</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1E7C683E"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25B7C8A9" w14:textId="77777777">
                  <w:pPr>
                    <w:pStyle w:val="Tabletext"/>
                    <w:keepNext/>
                    <w:keepLines/>
                    <w:ind w:firstLine="0"/>
                    <w:jc w:val="center"/>
                    <w:rPr>
                      <w:i/>
                      <w:iCs/>
                    </w:rPr>
                  </w:pPr>
                  <w:r>
                    <w:rPr>
                      <w:i/>
                      <w:iCs/>
                    </w:rPr>
                    <w:t>…text b…</w:t>
                  </w:r>
                </w:p>
              </w:tc>
              <w:tc>
                <w:tcPr>
                  <w:tcW w:w="284" w:type="dxa"/>
                  <w:vMerge/>
                  <w:tcBorders>
                    <w:left w:val="single" w:sz="4" w:space="0" w:color="auto"/>
                    <w:right w:val="double" w:sz="4" w:space="0" w:color="auto"/>
                  </w:tcBorders>
                  <w:shd w:val="clear" w:color="auto" w:fill="CCFFCC"/>
                </w:tcPr>
                <w:p w14:paraId="1699CB15"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2510B1FF" w14:textId="77777777">
                  <w:pPr>
                    <w:pStyle w:val="Tabletext"/>
                    <w:keepNext/>
                    <w:keepLines/>
                    <w:ind w:firstLine="0"/>
                  </w:pPr>
                </w:p>
              </w:tc>
            </w:tr>
            <w:tr w14:paraId="1A203DA5" w14:textId="77777777">
              <w:trPr>
                <w:trHeight w:hRule="exact" w:val="284"/>
                <w:jc w:val="center"/>
              </w:trPr>
              <w:tc>
                <w:tcPr>
                  <w:tcW w:w="284" w:type="dxa"/>
                  <w:vMerge/>
                  <w:tcBorders>
                    <w:left w:val="double" w:sz="12" w:space="0" w:color="auto"/>
                    <w:right w:val="double" w:sz="4" w:space="0" w:color="auto"/>
                  </w:tcBorders>
                  <w:shd w:val="clear" w:color="auto" w:fill="92D050"/>
                </w:tcPr>
                <w:p w14:paraId="0754D24D"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5C148A2F" w14:textId="77777777">
                  <w:pPr>
                    <w:pStyle w:val="Tabletext"/>
                    <w:keepNext/>
                    <w:keepLines/>
                    <w:ind w:firstLine="0"/>
                  </w:pPr>
                </w:p>
              </w:tc>
              <w:tc>
                <w:tcPr>
                  <w:tcW w:w="284" w:type="dxa"/>
                  <w:vMerge/>
                  <w:tcBorders>
                    <w:top w:val="single" w:sz="4" w:space="0" w:color="auto"/>
                    <w:left w:val="single" w:sz="4" w:space="0" w:color="auto"/>
                    <w:bottom w:val="dashed" w:sz="4" w:space="0" w:color="auto"/>
                    <w:right w:val="dashed" w:sz="4" w:space="0" w:color="auto"/>
                  </w:tcBorders>
                  <w:shd w:val="clear" w:color="auto" w:fill="CCCCFF"/>
                </w:tcPr>
                <w:p w14:paraId="1B0603BB"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50C9E636" w14:textId="77777777">
                  <w:pPr>
                    <w:pStyle w:val="Tabletext"/>
                    <w:keepNext/>
                    <w:keepLines/>
                    <w:ind w:firstLine="0"/>
                  </w:pPr>
                  <w:r>
                    <w:t>&lt;line 2&gt;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6C91982E"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28881280" w14:textId="77777777">
                  <w:pPr>
                    <w:pStyle w:val="Tabletext"/>
                    <w:keepNext/>
                    <w:keepLines/>
                    <w:ind w:firstLine="0"/>
                    <w:jc w:val="center"/>
                    <w:rPr>
                      <w:i/>
                      <w:iCs/>
                    </w:rPr>
                  </w:pPr>
                  <w:r>
                    <w:rPr>
                      <w:i/>
                      <w:iCs/>
                    </w:rPr>
                    <w:t>…text c…</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73A80A9"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6A6683CC" w14:textId="77777777">
                  <w:pPr>
                    <w:pStyle w:val="Tabletext"/>
                    <w:keepNext/>
                    <w:keepLines/>
                    <w:ind w:firstLine="0"/>
                    <w:jc w:val="center"/>
                    <w:rPr>
                      <w:i/>
                      <w:iCs/>
                    </w:rPr>
                  </w:pPr>
                  <w:r>
                    <w:rPr>
                      <w:i/>
                      <w:iCs/>
                    </w:rPr>
                    <w:t>…text d…</w:t>
                  </w:r>
                </w:p>
              </w:tc>
              <w:tc>
                <w:tcPr>
                  <w:tcW w:w="284" w:type="dxa"/>
                  <w:vMerge/>
                  <w:tcBorders>
                    <w:left w:val="single" w:sz="4" w:space="0" w:color="auto"/>
                    <w:right w:val="double" w:sz="4" w:space="0" w:color="auto"/>
                  </w:tcBorders>
                  <w:shd w:val="clear" w:color="auto" w:fill="CCFFCC"/>
                </w:tcPr>
                <w:p w14:paraId="79DB0FFC"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64011F72" w14:textId="77777777">
                  <w:pPr>
                    <w:pStyle w:val="Tabletext"/>
                    <w:keepNext/>
                    <w:keepLines/>
                    <w:ind w:firstLine="0"/>
                  </w:pPr>
                </w:p>
              </w:tc>
            </w:tr>
            <w:tr w14:paraId="1C8DE221" w14:textId="77777777">
              <w:trPr>
                <w:trHeight w:hRule="exact" w:val="284"/>
                <w:jc w:val="center"/>
              </w:trPr>
              <w:tc>
                <w:tcPr>
                  <w:tcW w:w="284" w:type="dxa"/>
                  <w:vMerge/>
                  <w:tcBorders>
                    <w:left w:val="double" w:sz="12" w:space="0" w:color="auto"/>
                    <w:right w:val="double" w:sz="4" w:space="0" w:color="auto"/>
                  </w:tcBorders>
                  <w:shd w:val="clear" w:color="auto" w:fill="92D050"/>
                </w:tcPr>
                <w:p w14:paraId="61E9A5A0"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5B83DE4A" w14:textId="77777777">
                  <w:pPr>
                    <w:pStyle w:val="Tabletext"/>
                    <w:keepNext/>
                    <w:keepLines/>
                    <w:ind w:firstLine="0"/>
                  </w:pPr>
                </w:p>
              </w:tc>
              <w:tc>
                <w:tcPr>
                  <w:tcW w:w="284" w:type="dxa"/>
                  <w:vMerge/>
                  <w:tcBorders>
                    <w:top w:val="single" w:sz="4" w:space="0" w:color="auto"/>
                    <w:left w:val="single" w:sz="4" w:space="0" w:color="auto"/>
                    <w:bottom w:val="dashed" w:sz="4" w:space="0" w:color="auto"/>
                    <w:right w:val="dashed" w:sz="4" w:space="0" w:color="auto"/>
                  </w:tcBorders>
                  <w:shd w:val="clear" w:color="auto" w:fill="CCCCFF"/>
                </w:tcPr>
                <w:p w14:paraId="6CF39DB0"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58F55CDA" w14:textId="77777777">
                  <w:pPr>
                    <w:pStyle w:val="Tabletext"/>
                    <w:keepNext/>
                    <w:keepLines/>
                    <w:ind w:firstLine="0"/>
                  </w:pPr>
                  <w:r>
                    <w:t>&lt;line 3&gt;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57F7F108"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5DE6B7F1" w14:textId="77777777">
                  <w:pPr>
                    <w:pStyle w:val="Tabletext"/>
                    <w:keepNext/>
                    <w:keepLines/>
                    <w:ind w:firstLine="0"/>
                    <w:jc w:val="center"/>
                    <w:rPr>
                      <w:i/>
                      <w:iCs/>
                    </w:rPr>
                  </w:pPr>
                  <w:r>
                    <w:rPr>
                      <w:i/>
                      <w:iCs/>
                    </w:rPr>
                    <w:t>…text e…</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772B71F0"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58BEF8C6" w14:textId="77777777">
                  <w:pPr>
                    <w:pStyle w:val="Tabletext"/>
                    <w:keepNext/>
                    <w:keepLines/>
                    <w:ind w:firstLine="0"/>
                    <w:jc w:val="center"/>
                    <w:rPr>
                      <w:i/>
                      <w:iCs/>
                    </w:rPr>
                  </w:pPr>
                  <w:r>
                    <w:rPr>
                      <w:i/>
                      <w:iCs/>
                    </w:rPr>
                    <w:t>…text f…</w:t>
                  </w:r>
                </w:p>
              </w:tc>
              <w:tc>
                <w:tcPr>
                  <w:tcW w:w="284" w:type="dxa"/>
                  <w:vMerge/>
                  <w:tcBorders>
                    <w:left w:val="single" w:sz="4" w:space="0" w:color="auto"/>
                    <w:right w:val="double" w:sz="4" w:space="0" w:color="auto"/>
                  </w:tcBorders>
                  <w:shd w:val="clear" w:color="auto" w:fill="CCFFCC"/>
                </w:tcPr>
                <w:p w14:paraId="315AB60C"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0006B657" w14:textId="77777777">
                  <w:pPr>
                    <w:pStyle w:val="Tabletext"/>
                    <w:keepNext/>
                    <w:keepLines/>
                    <w:ind w:firstLine="0"/>
                  </w:pPr>
                </w:p>
              </w:tc>
            </w:tr>
            <w:tr w14:paraId="2D9208D8" w14:textId="77777777">
              <w:trPr>
                <w:trHeight w:hRule="exact" w:val="284"/>
                <w:jc w:val="center"/>
              </w:trPr>
              <w:tc>
                <w:tcPr>
                  <w:tcW w:w="284" w:type="dxa"/>
                  <w:vMerge/>
                  <w:tcBorders>
                    <w:left w:val="double" w:sz="12" w:space="0" w:color="auto"/>
                    <w:right w:val="double" w:sz="4" w:space="0" w:color="auto"/>
                  </w:tcBorders>
                  <w:shd w:val="clear" w:color="auto" w:fill="92D050"/>
                </w:tcPr>
                <w:p w14:paraId="0A28BA26"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577A00B8" w14:textId="77777777">
                  <w:pPr>
                    <w:pStyle w:val="Tabletext"/>
                    <w:keepNext/>
                    <w:keepLines/>
                    <w:ind w:firstLine="0"/>
                  </w:pPr>
                </w:p>
              </w:tc>
              <w:tc>
                <w:tcPr>
                  <w:tcW w:w="7655" w:type="dxa"/>
                  <w:gridSpan w:val="6"/>
                  <w:tcBorders>
                    <w:top w:val="nil"/>
                    <w:left w:val="single" w:sz="4" w:space="0" w:color="auto"/>
                    <w:bottom w:val="nil"/>
                    <w:right w:val="single" w:sz="4" w:space="0" w:color="auto"/>
                  </w:tcBorders>
                  <w:shd w:val="clear" w:color="auto" w:fill="CCCCFF"/>
                </w:tcPr>
                <w:p w14:paraId="7E7A8688" w14:textId="77777777">
                  <w:pPr>
                    <w:pStyle w:val="Tabletext"/>
                    <w:keepNext/>
                    <w:keepLines/>
                    <w:ind w:firstLine="0"/>
                  </w:pPr>
                  <w:r>
                    <w:t>&lt;page 2&gt; “contains”</w:t>
                  </w:r>
                </w:p>
              </w:tc>
              <w:tc>
                <w:tcPr>
                  <w:tcW w:w="284" w:type="dxa"/>
                  <w:vMerge/>
                  <w:tcBorders>
                    <w:left w:val="single" w:sz="4" w:space="0" w:color="auto"/>
                    <w:right w:val="double" w:sz="4" w:space="0" w:color="auto"/>
                  </w:tcBorders>
                  <w:shd w:val="clear" w:color="auto" w:fill="CCFFCC"/>
                </w:tcPr>
                <w:p w14:paraId="3D87FAA1"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24A6C9A2" w14:textId="77777777">
                  <w:pPr>
                    <w:pStyle w:val="Tabletext"/>
                    <w:keepNext/>
                    <w:keepLines/>
                    <w:ind w:firstLine="0"/>
                  </w:pPr>
                </w:p>
              </w:tc>
            </w:tr>
            <w:tr w14:paraId="3A72A191" w14:textId="77777777">
              <w:trPr>
                <w:trHeight w:hRule="exact" w:val="284"/>
                <w:jc w:val="center"/>
              </w:trPr>
              <w:tc>
                <w:tcPr>
                  <w:tcW w:w="284" w:type="dxa"/>
                  <w:vMerge/>
                  <w:tcBorders>
                    <w:left w:val="double" w:sz="12" w:space="0" w:color="auto"/>
                    <w:right w:val="double" w:sz="4" w:space="0" w:color="auto"/>
                  </w:tcBorders>
                  <w:shd w:val="clear" w:color="auto" w:fill="92D050"/>
                </w:tcPr>
                <w:p w14:paraId="566A1AC3"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3F9191F1" w14:textId="77777777">
                  <w:pPr>
                    <w:pStyle w:val="Tabletext"/>
                    <w:keepNext/>
                    <w:keepLines/>
                    <w:ind w:firstLine="0"/>
                  </w:pPr>
                </w:p>
              </w:tc>
              <w:tc>
                <w:tcPr>
                  <w:tcW w:w="284" w:type="dxa"/>
                  <w:vMerge w:val="restart"/>
                  <w:tcBorders>
                    <w:top w:val="nil"/>
                    <w:left w:val="single" w:sz="4" w:space="0" w:color="auto"/>
                    <w:bottom w:val="single" w:sz="4" w:space="0" w:color="auto"/>
                    <w:right w:val="dashed" w:sz="4" w:space="0" w:color="auto"/>
                  </w:tcBorders>
                  <w:shd w:val="clear" w:color="auto" w:fill="CCCCFF"/>
                </w:tcPr>
                <w:p w14:paraId="4E98A1FE"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508B6623" w14:textId="77777777">
                  <w:pPr>
                    <w:pStyle w:val="Tabletext"/>
                    <w:keepNext/>
                    <w:keepLines/>
                    <w:ind w:firstLine="0"/>
                  </w:pPr>
                  <w:r>
                    <w:t>&lt;line 4&gt;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EDA36E4" w14:textId="77777777">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64788B10" w14:textId="77777777">
                  <w:pPr>
                    <w:pStyle w:val="Tabletext"/>
                    <w:keepNext/>
                    <w:keepLines/>
                    <w:ind w:firstLine="0"/>
                    <w:jc w:val="center"/>
                    <w:rPr>
                      <w:i/>
                      <w:iCs/>
                    </w:rPr>
                  </w:pPr>
                  <w:r>
                    <w:rPr>
                      <w:i/>
                      <w:iCs/>
                    </w:rPr>
                    <w:t>…text g…</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7F7BD487" w14:textId="77777777">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4C953894" w14:textId="77777777">
                  <w:pPr>
                    <w:pStyle w:val="Tabletext"/>
                    <w:keepNext/>
                    <w:keepLines/>
                    <w:ind w:firstLine="0"/>
                    <w:jc w:val="center"/>
                    <w:rPr>
                      <w:i/>
                      <w:iCs/>
                    </w:rPr>
                  </w:pPr>
                  <w:r>
                    <w:rPr>
                      <w:i/>
                      <w:iCs/>
                    </w:rPr>
                    <w:t>…text h…</w:t>
                  </w:r>
                </w:p>
              </w:tc>
              <w:tc>
                <w:tcPr>
                  <w:tcW w:w="284" w:type="dxa"/>
                  <w:vMerge/>
                  <w:tcBorders>
                    <w:left w:val="single" w:sz="4" w:space="0" w:color="auto"/>
                    <w:right w:val="double" w:sz="4" w:space="0" w:color="auto"/>
                  </w:tcBorders>
                  <w:shd w:val="clear" w:color="auto" w:fill="CCFFCC"/>
                </w:tcPr>
                <w:p w14:paraId="13A85139"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B40A7D0" w14:textId="77777777">
                  <w:pPr>
                    <w:pStyle w:val="Tabletext"/>
                    <w:keepNext/>
                    <w:keepLines/>
                    <w:ind w:firstLine="0"/>
                  </w:pPr>
                </w:p>
              </w:tc>
            </w:tr>
            <w:tr w14:paraId="285F226C" w14:textId="77777777">
              <w:trPr>
                <w:trHeight w:hRule="exact" w:val="284"/>
                <w:jc w:val="center"/>
              </w:trPr>
              <w:tc>
                <w:tcPr>
                  <w:tcW w:w="284" w:type="dxa"/>
                  <w:vMerge/>
                  <w:tcBorders>
                    <w:left w:val="double" w:sz="12" w:space="0" w:color="auto"/>
                    <w:right w:val="double" w:sz="4" w:space="0" w:color="auto"/>
                  </w:tcBorders>
                  <w:shd w:val="clear" w:color="auto" w:fill="92D050"/>
                </w:tcPr>
                <w:p w14:paraId="5AAD0AB2"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3B803265" w14:textId="77777777">
                  <w:pPr>
                    <w:pStyle w:val="Tabletext"/>
                    <w:keepNext/>
                    <w:keepLines/>
                    <w:ind w:firstLine="0"/>
                  </w:pPr>
                </w:p>
              </w:tc>
              <w:tc>
                <w:tcPr>
                  <w:tcW w:w="284" w:type="dxa"/>
                  <w:vMerge/>
                  <w:tcBorders>
                    <w:top w:val="nil"/>
                    <w:left w:val="single" w:sz="4" w:space="0" w:color="auto"/>
                    <w:bottom w:val="single" w:sz="4" w:space="0" w:color="auto"/>
                    <w:right w:val="dashed" w:sz="4" w:space="0" w:color="auto"/>
                  </w:tcBorders>
                  <w:shd w:val="clear" w:color="auto" w:fill="CCCCFF"/>
                </w:tcPr>
                <w:p w14:paraId="401A1D77"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44E930BA" w14:textId="77777777">
                  <w:pPr>
                    <w:pStyle w:val="Tabletext"/>
                    <w:keepNext/>
                    <w:keepLines/>
                    <w:ind w:firstLine="0"/>
                  </w:pPr>
                  <w:r>
                    <w:t>&lt;line 5&gt;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40FF28E3" w14:textId="77777777">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17D053B9" w14:textId="77777777">
                  <w:pPr>
                    <w:pStyle w:val="Tabletext"/>
                    <w:keepNext/>
                    <w:keepLines/>
                    <w:ind w:firstLine="0"/>
                    <w:jc w:val="center"/>
                    <w:rPr>
                      <w:i/>
                      <w:iCs/>
                    </w:rPr>
                  </w:pPr>
                  <w:r>
                    <w:rPr>
                      <w:i/>
                      <w:iCs/>
                    </w:rPr>
                    <w:t xml:space="preserve">…text </w:t>
                  </w:r>
                  <w:r>
                    <w:rPr>
                      <w:i/>
                      <w:iCs/>
                      <w:noProof/>
                    </w:rPr>
                    <w:t>i</w:t>
                  </w:r>
                  <w:r>
                    <w:rPr>
                      <w:i/>
                      <w:iCs/>
                    </w:rPr>
                    <w:t>…</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2E28B015" w14:textId="77777777">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69F7E13B" w14:textId="77777777">
                  <w:pPr>
                    <w:pStyle w:val="Tabletext"/>
                    <w:keepNext/>
                    <w:keepLines/>
                    <w:ind w:firstLine="0"/>
                    <w:jc w:val="center"/>
                    <w:rPr>
                      <w:i/>
                      <w:iCs/>
                    </w:rPr>
                  </w:pPr>
                  <w:r>
                    <w:rPr>
                      <w:i/>
                      <w:iCs/>
                    </w:rPr>
                    <w:t>…text j…</w:t>
                  </w:r>
                </w:p>
              </w:tc>
              <w:tc>
                <w:tcPr>
                  <w:tcW w:w="284" w:type="dxa"/>
                  <w:vMerge/>
                  <w:tcBorders>
                    <w:left w:val="single" w:sz="4" w:space="0" w:color="auto"/>
                    <w:right w:val="double" w:sz="4" w:space="0" w:color="auto"/>
                  </w:tcBorders>
                  <w:shd w:val="clear" w:color="auto" w:fill="CCFFCC"/>
                </w:tcPr>
                <w:p w14:paraId="658878D6"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F9092DE" w14:textId="77777777">
                  <w:pPr>
                    <w:pStyle w:val="Tabletext"/>
                    <w:keepNext/>
                    <w:keepLines/>
                    <w:ind w:firstLine="0"/>
                  </w:pPr>
                </w:p>
              </w:tc>
            </w:tr>
            <w:tr w14:paraId="058429B9" w14:textId="77777777">
              <w:trPr>
                <w:trHeight w:hRule="exact" w:val="284"/>
                <w:jc w:val="center"/>
              </w:trPr>
              <w:tc>
                <w:tcPr>
                  <w:tcW w:w="284" w:type="dxa"/>
                  <w:vMerge/>
                  <w:tcBorders>
                    <w:left w:val="double" w:sz="12" w:space="0" w:color="auto"/>
                    <w:right w:val="double" w:sz="4" w:space="0" w:color="auto"/>
                  </w:tcBorders>
                  <w:shd w:val="clear" w:color="auto" w:fill="92D050"/>
                </w:tcPr>
                <w:p w14:paraId="64B83F8E" w14:textId="77777777">
                  <w:pPr>
                    <w:pStyle w:val="Tabletext"/>
                    <w:keepNext/>
                    <w:keepLines/>
                    <w:ind w:firstLine="0"/>
                  </w:pPr>
                </w:p>
              </w:tc>
              <w:tc>
                <w:tcPr>
                  <w:tcW w:w="284" w:type="dxa"/>
                  <w:tcBorders>
                    <w:left w:val="double" w:sz="4" w:space="0" w:color="auto"/>
                    <w:bottom w:val="nil"/>
                    <w:right w:val="single" w:sz="4" w:space="0" w:color="auto"/>
                  </w:tcBorders>
                  <w:shd w:val="clear" w:color="auto" w:fill="CCFFCC"/>
                </w:tcPr>
                <w:p w14:paraId="0B6B1EE1" w14:textId="77777777">
                  <w:pPr>
                    <w:pStyle w:val="Tabletext"/>
                    <w:keepNext/>
                    <w:keepLines/>
                    <w:ind w:firstLine="0"/>
                  </w:pPr>
                </w:p>
              </w:tc>
              <w:tc>
                <w:tcPr>
                  <w:tcW w:w="284" w:type="dxa"/>
                  <w:vMerge/>
                  <w:tcBorders>
                    <w:top w:val="nil"/>
                    <w:left w:val="single" w:sz="4" w:space="0" w:color="auto"/>
                    <w:bottom w:val="single" w:sz="4" w:space="0" w:color="auto"/>
                    <w:right w:val="dashed" w:sz="4" w:space="0" w:color="auto"/>
                  </w:tcBorders>
                  <w:shd w:val="clear" w:color="auto" w:fill="CCCCFF"/>
                </w:tcPr>
                <w:p w14:paraId="278C4D9F" w14:textId="77777777">
                  <w:pPr>
                    <w:pStyle w:val="Tabletext"/>
                    <w:keepNext/>
                    <w:keepLines/>
                    <w:ind w:firstLine="0"/>
                  </w:pPr>
                </w:p>
              </w:tc>
              <w:tc>
                <w:tcPr>
                  <w:tcW w:w="1701" w:type="dxa"/>
                  <w:tcBorders>
                    <w:top w:val="dashed" w:sz="4" w:space="0" w:color="auto"/>
                    <w:left w:val="dashed" w:sz="4" w:space="0" w:color="auto"/>
                    <w:bottom w:val="single" w:sz="4" w:space="0" w:color="auto"/>
                    <w:right w:val="dashed" w:sz="4" w:space="0" w:color="auto"/>
                  </w:tcBorders>
                  <w:shd w:val="clear" w:color="auto" w:fill="00B0F0"/>
                </w:tcPr>
                <w:p w14:paraId="4C8A82DC" w14:textId="77777777">
                  <w:pPr>
                    <w:pStyle w:val="Tabletext"/>
                    <w:keepNext/>
                    <w:keepLines/>
                    <w:ind w:firstLine="0"/>
                  </w:pPr>
                  <w:r>
                    <w:t>&lt;line 6&gt; “contains”</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14:paraId="78CB114D" w14:textId="77777777">
                  <w:pPr>
                    <w:pStyle w:val="Tabletext"/>
                    <w:keepNext/>
                    <w:keepLines/>
                    <w:ind w:firstLine="0"/>
                  </w:pPr>
                  <w:r>
                    <w:t>&lt;cell C&gt; “contains”</w:t>
                  </w:r>
                </w:p>
              </w:tc>
              <w:tc>
                <w:tcPr>
                  <w:tcW w:w="1134" w:type="dxa"/>
                  <w:tcBorders>
                    <w:top w:val="dashed" w:sz="4" w:space="0" w:color="auto"/>
                    <w:left w:val="dashed" w:sz="4" w:space="0" w:color="auto"/>
                    <w:bottom w:val="single" w:sz="4" w:space="0" w:color="auto"/>
                    <w:right w:val="dashed" w:sz="4" w:space="0" w:color="auto"/>
                  </w:tcBorders>
                  <w:shd w:val="clear" w:color="auto" w:fill="FFFF00"/>
                </w:tcPr>
                <w:p w14:paraId="2163BFF2" w14:textId="77777777">
                  <w:pPr>
                    <w:pStyle w:val="Tabletext"/>
                    <w:keepNext/>
                    <w:keepLines/>
                    <w:ind w:firstLine="0"/>
                    <w:jc w:val="center"/>
                    <w:rPr>
                      <w:i/>
                      <w:iCs/>
                    </w:rPr>
                  </w:pPr>
                  <w:r>
                    <w:rPr>
                      <w:i/>
                      <w:iCs/>
                    </w:rPr>
                    <w:t>…text k…</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14:paraId="0AC75BE4" w14:textId="77777777">
                  <w:pPr>
                    <w:pStyle w:val="Tabletext"/>
                    <w:keepNext/>
                    <w:keepLines/>
                    <w:ind w:firstLine="0"/>
                  </w:pPr>
                  <w:r>
                    <w:t>&lt;cell D&gt; “contains”</w:t>
                  </w:r>
                </w:p>
              </w:tc>
              <w:tc>
                <w:tcPr>
                  <w:tcW w:w="1134" w:type="dxa"/>
                  <w:tcBorders>
                    <w:top w:val="dashed" w:sz="4" w:space="0" w:color="auto"/>
                    <w:left w:val="dashed" w:sz="4" w:space="0" w:color="auto"/>
                    <w:bottom w:val="single" w:sz="4" w:space="0" w:color="auto"/>
                    <w:right w:val="single" w:sz="4" w:space="0" w:color="auto"/>
                  </w:tcBorders>
                  <w:shd w:val="clear" w:color="auto" w:fill="FFFF00"/>
                </w:tcPr>
                <w:p w14:paraId="1D1CFD6A" w14:textId="77777777">
                  <w:pPr>
                    <w:pStyle w:val="Tabletext"/>
                    <w:keepNext/>
                    <w:keepLines/>
                    <w:ind w:firstLine="0"/>
                    <w:jc w:val="center"/>
                    <w:rPr>
                      <w:i/>
                      <w:iCs/>
                    </w:rPr>
                  </w:pPr>
                  <w:r>
                    <w:rPr>
                      <w:i/>
                      <w:iCs/>
                    </w:rPr>
                    <w:t>…text l…</w:t>
                  </w:r>
                </w:p>
              </w:tc>
              <w:tc>
                <w:tcPr>
                  <w:tcW w:w="284" w:type="dxa"/>
                  <w:vMerge/>
                  <w:tcBorders>
                    <w:left w:val="single" w:sz="4" w:space="0" w:color="auto"/>
                    <w:right w:val="double" w:sz="4" w:space="0" w:color="auto"/>
                  </w:tcBorders>
                  <w:shd w:val="clear" w:color="auto" w:fill="CCFFCC"/>
                </w:tcPr>
                <w:p w14:paraId="7C329F33"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D12639C" w14:textId="77777777">
                  <w:pPr>
                    <w:pStyle w:val="Tabletext"/>
                    <w:keepNext/>
                    <w:keepLines/>
                    <w:ind w:firstLine="0"/>
                  </w:pPr>
                </w:p>
              </w:tc>
            </w:tr>
            <w:tr w14:paraId="39A63833" w14:textId="77777777">
              <w:trPr>
                <w:trHeight w:hRule="exact" w:val="284"/>
                <w:jc w:val="center"/>
              </w:trPr>
              <w:tc>
                <w:tcPr>
                  <w:tcW w:w="284" w:type="dxa"/>
                  <w:vMerge/>
                  <w:tcBorders>
                    <w:left w:val="double" w:sz="12" w:space="0" w:color="auto"/>
                    <w:right w:val="double" w:sz="4" w:space="0" w:color="auto"/>
                  </w:tcBorders>
                  <w:shd w:val="clear" w:color="auto" w:fill="92D050"/>
                </w:tcPr>
                <w:p w14:paraId="3A414DB6" w14:textId="77777777">
                  <w:pPr>
                    <w:pStyle w:val="Tabletext"/>
                    <w:keepNext/>
                    <w:keepLines/>
                    <w:ind w:firstLine="0"/>
                  </w:pPr>
                </w:p>
              </w:tc>
              <w:tc>
                <w:tcPr>
                  <w:tcW w:w="8223" w:type="dxa"/>
                  <w:gridSpan w:val="8"/>
                  <w:tcBorders>
                    <w:top w:val="nil"/>
                    <w:left w:val="double" w:sz="4" w:space="0" w:color="auto"/>
                    <w:bottom w:val="double" w:sz="4" w:space="0" w:color="auto"/>
                    <w:right w:val="double" w:sz="4" w:space="0" w:color="auto"/>
                  </w:tcBorders>
                  <w:shd w:val="clear" w:color="auto" w:fill="CCFFCC"/>
                </w:tcPr>
                <w:p w14:paraId="764F1F19" w14:textId="77777777">
                  <w:pPr>
                    <w:pStyle w:val="Tabletext"/>
                    <w:keepNext/>
                    <w:keepLines/>
                    <w:ind w:firstLine="0"/>
                  </w:pPr>
                </w:p>
                <w:p w14:paraId="5468F612" w14:textId="77777777">
                  <w:pPr>
                    <w:pStyle w:val="Tabletext"/>
                    <w:keepNext/>
                    <w:keepLines/>
                    <w:ind w:firstLine="0"/>
                  </w:pPr>
                  <w:r>
                    <w:t>a</w:t>
                  </w:r>
                </w:p>
                <w:p w14:paraId="59B4F145" w14:textId="77777777">
                  <w:pPr>
                    <w:pStyle w:val="Tabletext"/>
                    <w:keepNext/>
                    <w:keepLines/>
                    <w:ind w:firstLine="0"/>
                  </w:pPr>
                  <w:r>
                    <w:t>a</w:t>
                  </w:r>
                </w:p>
                <w:p w14:paraId="0D98D104" w14:textId="77777777">
                  <w:pPr>
                    <w:pStyle w:val="Tabletext"/>
                    <w:keepNext/>
                    <w:keepLines/>
                    <w:ind w:firstLine="0"/>
                  </w:pPr>
                  <w:r>
                    <w:t>a</w:t>
                  </w:r>
                </w:p>
                <w:p w14:paraId="3A973DFA" w14:textId="77777777">
                  <w:pPr>
                    <w:pStyle w:val="Tabletext"/>
                    <w:keepNext/>
                    <w:keepLines/>
                    <w:ind w:firstLine="0"/>
                  </w:pPr>
                  <w:r>
                    <w:t>a</w:t>
                  </w:r>
                </w:p>
                <w:p w14:paraId="57316A26" w14:textId="77777777">
                  <w:pPr>
                    <w:pStyle w:val="Tabletext"/>
                    <w:keepNext/>
                    <w:keepLines/>
                    <w:ind w:firstLine="0"/>
                  </w:pPr>
                  <w:r>
                    <w:t>a</w:t>
                  </w:r>
                </w:p>
              </w:tc>
              <w:tc>
                <w:tcPr>
                  <w:tcW w:w="284" w:type="dxa"/>
                  <w:vMerge/>
                  <w:tcBorders>
                    <w:left w:val="double" w:sz="4" w:space="0" w:color="auto"/>
                    <w:right w:val="double" w:sz="12" w:space="0" w:color="auto"/>
                  </w:tcBorders>
                  <w:shd w:val="clear" w:color="auto" w:fill="92D050"/>
                </w:tcPr>
                <w:p w14:paraId="1DC214D7" w14:textId="77777777">
                  <w:pPr>
                    <w:pStyle w:val="Tabletext"/>
                    <w:keepNext/>
                    <w:keepLines/>
                    <w:ind w:firstLine="0"/>
                  </w:pPr>
                </w:p>
              </w:tc>
            </w:tr>
            <w:tr w14:paraId="3D86D9C7" w14:textId="77777777">
              <w:trPr>
                <w:trHeight w:hRule="exact" w:val="284"/>
                <w:jc w:val="center"/>
              </w:trPr>
              <w:tc>
                <w:tcPr>
                  <w:tcW w:w="284" w:type="dxa"/>
                  <w:vMerge/>
                  <w:tcBorders>
                    <w:left w:val="double" w:sz="12" w:space="0" w:color="auto"/>
                    <w:right w:val="double" w:sz="4" w:space="0" w:color="auto"/>
                  </w:tcBorders>
                  <w:shd w:val="clear" w:color="auto" w:fill="92D050"/>
                </w:tcPr>
                <w:p w14:paraId="38C6C9EE" w14:textId="77777777">
                  <w:pPr>
                    <w:pStyle w:val="Tabletext"/>
                    <w:keepNext/>
                    <w:keepLines/>
                    <w:ind w:firstLine="0"/>
                  </w:pPr>
                </w:p>
              </w:tc>
              <w:tc>
                <w:tcPr>
                  <w:tcW w:w="8223" w:type="dxa"/>
                  <w:gridSpan w:val="8"/>
                  <w:tcBorders>
                    <w:top w:val="nil"/>
                    <w:left w:val="double" w:sz="4" w:space="0" w:color="auto"/>
                    <w:bottom w:val="nil"/>
                    <w:right w:val="double" w:sz="4" w:space="0" w:color="auto"/>
                  </w:tcBorders>
                  <w:shd w:val="clear" w:color="auto" w:fill="CCFFCC"/>
                </w:tcPr>
                <w:p w14:paraId="3D3D7B4A" w14:textId="77777777">
                  <w:pPr>
                    <w:pStyle w:val="Tabletext"/>
                    <w:keepNext/>
                    <w:keepLines/>
                    <w:ind w:firstLine="0"/>
                  </w:pPr>
                  <w:r>
                    <w:t>&lt;textpart B&gt; contains</w:t>
                  </w:r>
                </w:p>
              </w:tc>
              <w:tc>
                <w:tcPr>
                  <w:tcW w:w="284" w:type="dxa"/>
                  <w:vMerge/>
                  <w:tcBorders>
                    <w:left w:val="double" w:sz="4" w:space="0" w:color="auto"/>
                    <w:right w:val="double" w:sz="12" w:space="0" w:color="auto"/>
                  </w:tcBorders>
                  <w:shd w:val="clear" w:color="auto" w:fill="92D050"/>
                </w:tcPr>
                <w:p w14:paraId="7AAF98D3" w14:textId="77777777">
                  <w:pPr>
                    <w:pStyle w:val="Tabletext"/>
                    <w:keepNext/>
                    <w:keepLines/>
                    <w:ind w:firstLine="0"/>
                  </w:pPr>
                </w:p>
              </w:tc>
            </w:tr>
            <w:tr w14:paraId="37E55FF3" w14:textId="77777777">
              <w:trPr>
                <w:trHeight w:hRule="exact" w:val="284"/>
                <w:jc w:val="center"/>
              </w:trPr>
              <w:tc>
                <w:tcPr>
                  <w:tcW w:w="284" w:type="dxa"/>
                  <w:vMerge/>
                  <w:tcBorders>
                    <w:left w:val="double" w:sz="12" w:space="0" w:color="auto"/>
                    <w:right w:val="double" w:sz="4" w:space="0" w:color="auto"/>
                  </w:tcBorders>
                  <w:shd w:val="clear" w:color="auto" w:fill="92D050"/>
                </w:tcPr>
                <w:p w14:paraId="795D7C55" w14:textId="77777777">
                  <w:pPr>
                    <w:pStyle w:val="Tabletext"/>
                    <w:keepNext/>
                    <w:keepLines/>
                    <w:ind w:firstLine="0"/>
                  </w:pPr>
                </w:p>
              </w:tc>
              <w:tc>
                <w:tcPr>
                  <w:tcW w:w="284" w:type="dxa"/>
                  <w:vMerge w:val="restart"/>
                  <w:tcBorders>
                    <w:top w:val="nil"/>
                    <w:left w:val="double" w:sz="4" w:space="0" w:color="auto"/>
                    <w:right w:val="single" w:sz="4" w:space="0" w:color="auto"/>
                  </w:tcBorders>
                  <w:shd w:val="clear" w:color="auto" w:fill="CCFFCC"/>
                </w:tcPr>
                <w:p w14:paraId="1277CF4E" w14:textId="77777777">
                  <w:pPr>
                    <w:pStyle w:val="Tabletext"/>
                    <w:keepNext/>
                    <w:keepLines/>
                    <w:ind w:firstLine="0"/>
                  </w:pPr>
                </w:p>
              </w:tc>
              <w:tc>
                <w:tcPr>
                  <w:tcW w:w="7655" w:type="dxa"/>
                  <w:gridSpan w:val="6"/>
                  <w:tcBorders>
                    <w:top w:val="single" w:sz="4" w:space="0" w:color="auto"/>
                    <w:left w:val="single" w:sz="4" w:space="0" w:color="auto"/>
                    <w:bottom w:val="nil"/>
                    <w:right w:val="single" w:sz="4" w:space="0" w:color="auto"/>
                  </w:tcBorders>
                  <w:shd w:val="clear" w:color="auto" w:fill="CCCCFF"/>
                </w:tcPr>
                <w:p w14:paraId="195891B8" w14:textId="77777777">
                  <w:pPr>
                    <w:pStyle w:val="Tabletext"/>
                    <w:keepNext/>
                    <w:keepLines/>
                    <w:ind w:firstLine="0"/>
                  </w:pPr>
                  <w:r>
                    <w:t>&lt;page 1&gt; “contains”</w:t>
                  </w:r>
                </w:p>
              </w:tc>
              <w:tc>
                <w:tcPr>
                  <w:tcW w:w="284" w:type="dxa"/>
                  <w:vMerge w:val="restart"/>
                  <w:tcBorders>
                    <w:top w:val="nil"/>
                    <w:left w:val="single" w:sz="4" w:space="0" w:color="auto"/>
                    <w:right w:val="double" w:sz="4" w:space="0" w:color="auto"/>
                  </w:tcBorders>
                  <w:shd w:val="clear" w:color="auto" w:fill="CCFFCC"/>
                </w:tcPr>
                <w:p w14:paraId="75DB0407"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6E36659E" w14:textId="77777777">
                  <w:pPr>
                    <w:pStyle w:val="Tabletext"/>
                    <w:keepNext/>
                    <w:keepLines/>
                    <w:ind w:firstLine="0"/>
                  </w:pPr>
                </w:p>
              </w:tc>
            </w:tr>
            <w:tr w14:paraId="0BC25EA3" w14:textId="77777777">
              <w:trPr>
                <w:trHeight w:hRule="exact" w:val="284"/>
                <w:jc w:val="center"/>
              </w:trPr>
              <w:tc>
                <w:tcPr>
                  <w:tcW w:w="284" w:type="dxa"/>
                  <w:vMerge/>
                  <w:tcBorders>
                    <w:left w:val="double" w:sz="12" w:space="0" w:color="auto"/>
                    <w:right w:val="double" w:sz="4" w:space="0" w:color="auto"/>
                  </w:tcBorders>
                  <w:shd w:val="clear" w:color="auto" w:fill="92D050"/>
                </w:tcPr>
                <w:p w14:paraId="759EC95C"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679FD7B0" w14:textId="77777777">
                  <w:pPr>
                    <w:pStyle w:val="Tabletext"/>
                    <w:keepNext/>
                    <w:keepLines/>
                    <w:ind w:firstLine="0"/>
                  </w:pPr>
                </w:p>
              </w:tc>
              <w:tc>
                <w:tcPr>
                  <w:tcW w:w="284" w:type="dxa"/>
                  <w:vMerge w:val="restart"/>
                  <w:tcBorders>
                    <w:top w:val="nil"/>
                    <w:left w:val="single" w:sz="4" w:space="0" w:color="auto"/>
                    <w:bottom w:val="dashed" w:sz="4" w:space="0" w:color="auto"/>
                    <w:right w:val="dashed" w:sz="4" w:space="0" w:color="auto"/>
                  </w:tcBorders>
                  <w:shd w:val="clear" w:color="auto" w:fill="CCCCFF"/>
                </w:tcPr>
                <w:p w14:paraId="7A227225"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1681F546" w14:textId="77777777">
                  <w:pPr>
                    <w:pStyle w:val="Tabletext"/>
                    <w:keepNext/>
                    <w:keepLines/>
                    <w:ind w:firstLine="0"/>
                  </w:pPr>
                  <w:r>
                    <w:t>&lt;line 1&gt;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12AB2D6A"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4BF9EAB6" w14:textId="77777777">
                  <w:pPr>
                    <w:pStyle w:val="Tabletext"/>
                    <w:keepNext/>
                    <w:keepLines/>
                    <w:ind w:firstLine="0"/>
                    <w:jc w:val="center"/>
                    <w:rPr>
                      <w:i/>
                      <w:iCs/>
                    </w:rPr>
                  </w:pPr>
                  <w:r>
                    <w:rPr>
                      <w:i/>
                      <w:iCs/>
                    </w:rPr>
                    <w:t>…text m…</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4DAE3297"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2ED7A8F7" w14:textId="77777777">
                  <w:pPr>
                    <w:pStyle w:val="Tabletext"/>
                    <w:keepNext/>
                    <w:keepLines/>
                    <w:ind w:firstLine="0"/>
                    <w:jc w:val="center"/>
                    <w:rPr>
                      <w:i/>
                      <w:iCs/>
                    </w:rPr>
                  </w:pPr>
                  <w:r>
                    <w:rPr>
                      <w:i/>
                      <w:iCs/>
                    </w:rPr>
                    <w:t>…text n…</w:t>
                  </w:r>
                </w:p>
              </w:tc>
              <w:tc>
                <w:tcPr>
                  <w:tcW w:w="284" w:type="dxa"/>
                  <w:vMerge/>
                  <w:tcBorders>
                    <w:left w:val="single" w:sz="4" w:space="0" w:color="auto"/>
                    <w:right w:val="double" w:sz="4" w:space="0" w:color="auto"/>
                  </w:tcBorders>
                  <w:shd w:val="clear" w:color="auto" w:fill="CCFFCC"/>
                </w:tcPr>
                <w:p w14:paraId="2279EAF7"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A37DA66" w14:textId="77777777">
                  <w:pPr>
                    <w:pStyle w:val="Tabletext"/>
                    <w:keepNext/>
                    <w:keepLines/>
                    <w:ind w:firstLine="0"/>
                  </w:pPr>
                </w:p>
              </w:tc>
            </w:tr>
            <w:tr w14:paraId="674D92B1" w14:textId="77777777">
              <w:trPr>
                <w:trHeight w:hRule="exact" w:val="284"/>
                <w:jc w:val="center"/>
              </w:trPr>
              <w:tc>
                <w:tcPr>
                  <w:tcW w:w="284" w:type="dxa"/>
                  <w:vMerge/>
                  <w:tcBorders>
                    <w:left w:val="double" w:sz="12" w:space="0" w:color="auto"/>
                    <w:right w:val="double" w:sz="4" w:space="0" w:color="auto"/>
                  </w:tcBorders>
                  <w:shd w:val="clear" w:color="auto" w:fill="92D050"/>
                </w:tcPr>
                <w:p w14:paraId="3AB5560D"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59B30B76" w14:textId="77777777">
                  <w:pPr>
                    <w:pStyle w:val="Tabletext"/>
                    <w:keepNext/>
                    <w:keepLines/>
                    <w:ind w:firstLine="0"/>
                  </w:pPr>
                </w:p>
              </w:tc>
              <w:tc>
                <w:tcPr>
                  <w:tcW w:w="284" w:type="dxa"/>
                  <w:vMerge/>
                  <w:tcBorders>
                    <w:top w:val="nil"/>
                    <w:left w:val="single" w:sz="4" w:space="0" w:color="auto"/>
                    <w:bottom w:val="dashed" w:sz="4" w:space="0" w:color="auto"/>
                    <w:right w:val="dashed" w:sz="4" w:space="0" w:color="auto"/>
                  </w:tcBorders>
                  <w:shd w:val="clear" w:color="auto" w:fill="CCCCFF"/>
                </w:tcPr>
                <w:p w14:paraId="44CB866F"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4EF11EA0" w14:textId="77777777">
                  <w:pPr>
                    <w:pStyle w:val="Tabletext"/>
                    <w:keepNext/>
                    <w:keepLines/>
                    <w:ind w:firstLine="0"/>
                  </w:pPr>
                  <w:r>
                    <w:t>&lt;line 2&gt;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1330B2D9"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4E49F6B0" w14:textId="77777777">
                  <w:pPr>
                    <w:pStyle w:val="Tabletext"/>
                    <w:keepNext/>
                    <w:keepLines/>
                    <w:ind w:firstLine="0"/>
                    <w:jc w:val="center"/>
                    <w:rPr>
                      <w:i/>
                      <w:iCs/>
                    </w:rPr>
                  </w:pPr>
                  <w:r>
                    <w:rPr>
                      <w:i/>
                      <w:iCs/>
                    </w:rPr>
                    <w:t>…text o…</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6899F33"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68AD1229" w14:textId="77777777">
                  <w:pPr>
                    <w:pStyle w:val="Tabletext"/>
                    <w:keepNext/>
                    <w:keepLines/>
                    <w:ind w:firstLine="0"/>
                    <w:jc w:val="center"/>
                    <w:rPr>
                      <w:i/>
                      <w:iCs/>
                    </w:rPr>
                  </w:pPr>
                  <w:r>
                    <w:rPr>
                      <w:i/>
                      <w:iCs/>
                    </w:rPr>
                    <w:t>…text p…</w:t>
                  </w:r>
                </w:p>
              </w:tc>
              <w:tc>
                <w:tcPr>
                  <w:tcW w:w="284" w:type="dxa"/>
                  <w:vMerge/>
                  <w:tcBorders>
                    <w:left w:val="single" w:sz="4" w:space="0" w:color="auto"/>
                    <w:right w:val="double" w:sz="4" w:space="0" w:color="auto"/>
                  </w:tcBorders>
                  <w:shd w:val="clear" w:color="auto" w:fill="CCFFCC"/>
                </w:tcPr>
                <w:p w14:paraId="529E964B"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28F8AE90" w14:textId="77777777">
                  <w:pPr>
                    <w:pStyle w:val="Tabletext"/>
                    <w:keepNext/>
                    <w:keepLines/>
                    <w:ind w:firstLine="0"/>
                  </w:pPr>
                </w:p>
              </w:tc>
            </w:tr>
            <w:tr w14:paraId="4680C1C9" w14:textId="77777777">
              <w:trPr>
                <w:trHeight w:hRule="exact" w:val="284"/>
                <w:jc w:val="center"/>
              </w:trPr>
              <w:tc>
                <w:tcPr>
                  <w:tcW w:w="284" w:type="dxa"/>
                  <w:vMerge/>
                  <w:tcBorders>
                    <w:left w:val="double" w:sz="12" w:space="0" w:color="auto"/>
                    <w:right w:val="double" w:sz="4" w:space="0" w:color="auto"/>
                  </w:tcBorders>
                  <w:shd w:val="clear" w:color="auto" w:fill="92D050"/>
                </w:tcPr>
                <w:p w14:paraId="26017BFA"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21FDD9F9" w14:textId="77777777">
                  <w:pPr>
                    <w:pStyle w:val="Tabletext"/>
                    <w:keepNext/>
                    <w:keepLines/>
                    <w:ind w:firstLine="0"/>
                  </w:pPr>
                </w:p>
              </w:tc>
              <w:tc>
                <w:tcPr>
                  <w:tcW w:w="284" w:type="dxa"/>
                  <w:vMerge/>
                  <w:tcBorders>
                    <w:top w:val="nil"/>
                    <w:left w:val="single" w:sz="4" w:space="0" w:color="auto"/>
                    <w:bottom w:val="dashed" w:sz="4" w:space="0" w:color="auto"/>
                    <w:right w:val="dashed" w:sz="4" w:space="0" w:color="auto"/>
                  </w:tcBorders>
                  <w:shd w:val="clear" w:color="auto" w:fill="CCCCFF"/>
                </w:tcPr>
                <w:p w14:paraId="229FE91F"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6BBEFE8F" w14:textId="77777777">
                  <w:pPr>
                    <w:pStyle w:val="Tabletext"/>
                    <w:keepNext/>
                    <w:keepLines/>
                    <w:ind w:firstLine="0"/>
                  </w:pPr>
                  <w:r>
                    <w:t>&lt;line 3&gt;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1938ABEA"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2E27DC24" w14:textId="77777777">
                  <w:pPr>
                    <w:pStyle w:val="Tabletext"/>
                    <w:keepNext/>
                    <w:keepLines/>
                    <w:ind w:firstLine="0"/>
                    <w:jc w:val="center"/>
                    <w:rPr>
                      <w:i/>
                      <w:iCs/>
                    </w:rPr>
                  </w:pPr>
                  <w:r>
                    <w:rPr>
                      <w:i/>
                      <w:iCs/>
                    </w:rPr>
                    <w:t>…text q…</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4A352A64"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74A82BF2" w14:textId="77777777">
                  <w:pPr>
                    <w:pStyle w:val="Tabletext"/>
                    <w:keepNext/>
                    <w:keepLines/>
                    <w:ind w:firstLine="0"/>
                    <w:jc w:val="center"/>
                    <w:rPr>
                      <w:i/>
                      <w:iCs/>
                    </w:rPr>
                  </w:pPr>
                  <w:r>
                    <w:rPr>
                      <w:i/>
                      <w:iCs/>
                    </w:rPr>
                    <w:t>…text r…</w:t>
                  </w:r>
                </w:p>
              </w:tc>
              <w:tc>
                <w:tcPr>
                  <w:tcW w:w="284" w:type="dxa"/>
                  <w:vMerge/>
                  <w:tcBorders>
                    <w:left w:val="single" w:sz="4" w:space="0" w:color="auto"/>
                    <w:right w:val="double" w:sz="4" w:space="0" w:color="auto"/>
                  </w:tcBorders>
                  <w:shd w:val="clear" w:color="auto" w:fill="CCFFCC"/>
                </w:tcPr>
                <w:p w14:paraId="72AAD926"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1F5978EC" w14:textId="77777777">
                  <w:pPr>
                    <w:pStyle w:val="Tabletext"/>
                    <w:keepNext/>
                    <w:keepLines/>
                    <w:ind w:firstLine="0"/>
                  </w:pPr>
                </w:p>
              </w:tc>
            </w:tr>
            <w:tr w14:paraId="3B86810D" w14:textId="77777777">
              <w:trPr>
                <w:trHeight w:hRule="exact" w:val="284"/>
                <w:jc w:val="center"/>
              </w:trPr>
              <w:tc>
                <w:tcPr>
                  <w:tcW w:w="284" w:type="dxa"/>
                  <w:vMerge/>
                  <w:tcBorders>
                    <w:left w:val="double" w:sz="12" w:space="0" w:color="auto"/>
                    <w:right w:val="double" w:sz="4" w:space="0" w:color="auto"/>
                  </w:tcBorders>
                  <w:shd w:val="clear" w:color="auto" w:fill="92D050"/>
                </w:tcPr>
                <w:p w14:paraId="549723DF"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4547F269" w14:textId="77777777">
                  <w:pPr>
                    <w:pStyle w:val="Tabletext"/>
                    <w:keepNext/>
                    <w:keepLines/>
                    <w:ind w:firstLine="0"/>
                  </w:pPr>
                </w:p>
              </w:tc>
              <w:tc>
                <w:tcPr>
                  <w:tcW w:w="7655" w:type="dxa"/>
                  <w:gridSpan w:val="6"/>
                  <w:tcBorders>
                    <w:top w:val="nil"/>
                    <w:left w:val="single" w:sz="4" w:space="0" w:color="auto"/>
                    <w:bottom w:val="nil"/>
                    <w:right w:val="single" w:sz="4" w:space="0" w:color="auto"/>
                  </w:tcBorders>
                  <w:shd w:val="clear" w:color="auto" w:fill="CCCCFF"/>
                </w:tcPr>
                <w:p w14:paraId="742B7C29" w14:textId="77777777">
                  <w:pPr>
                    <w:pStyle w:val="Tabletext"/>
                    <w:keepNext/>
                    <w:keepLines/>
                    <w:ind w:firstLine="0"/>
                    <w:rPr>
                      <w:i/>
                      <w:iCs/>
                    </w:rPr>
                  </w:pPr>
                  <w:r>
                    <w:t>&lt;page 2&gt; “contains”</w:t>
                  </w:r>
                </w:p>
              </w:tc>
              <w:tc>
                <w:tcPr>
                  <w:tcW w:w="284" w:type="dxa"/>
                  <w:vMerge/>
                  <w:tcBorders>
                    <w:left w:val="single" w:sz="4" w:space="0" w:color="auto"/>
                    <w:right w:val="double" w:sz="4" w:space="0" w:color="auto"/>
                  </w:tcBorders>
                  <w:shd w:val="clear" w:color="auto" w:fill="CCFFCC"/>
                </w:tcPr>
                <w:p w14:paraId="43471ED1"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1A75FD63" w14:textId="77777777">
                  <w:pPr>
                    <w:pStyle w:val="Tabletext"/>
                    <w:keepNext/>
                    <w:keepLines/>
                    <w:ind w:firstLine="0"/>
                  </w:pPr>
                </w:p>
              </w:tc>
            </w:tr>
            <w:tr w14:paraId="5E749449" w14:textId="77777777">
              <w:trPr>
                <w:trHeight w:hRule="exact" w:val="284"/>
                <w:jc w:val="center"/>
              </w:trPr>
              <w:tc>
                <w:tcPr>
                  <w:tcW w:w="284" w:type="dxa"/>
                  <w:vMerge/>
                  <w:tcBorders>
                    <w:left w:val="double" w:sz="12" w:space="0" w:color="auto"/>
                    <w:right w:val="double" w:sz="4" w:space="0" w:color="auto"/>
                  </w:tcBorders>
                  <w:shd w:val="clear" w:color="auto" w:fill="92D050"/>
                </w:tcPr>
                <w:p w14:paraId="3211B181"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6BD37D46" w14:textId="77777777">
                  <w:pPr>
                    <w:pStyle w:val="Tabletext"/>
                    <w:keepNext/>
                    <w:keepLines/>
                    <w:ind w:firstLine="0"/>
                  </w:pPr>
                </w:p>
              </w:tc>
              <w:tc>
                <w:tcPr>
                  <w:tcW w:w="284" w:type="dxa"/>
                  <w:vMerge w:val="restart"/>
                  <w:tcBorders>
                    <w:top w:val="nil"/>
                    <w:left w:val="single" w:sz="4" w:space="0" w:color="auto"/>
                    <w:bottom w:val="single" w:sz="4" w:space="0" w:color="auto"/>
                    <w:right w:val="dashed" w:sz="4" w:space="0" w:color="auto"/>
                  </w:tcBorders>
                  <w:shd w:val="clear" w:color="auto" w:fill="CCCCFF"/>
                </w:tcPr>
                <w:p w14:paraId="2B79D759"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7C4740FA" w14:textId="77777777">
                  <w:pPr>
                    <w:pStyle w:val="Tabletext"/>
                    <w:keepNext/>
                    <w:keepLines/>
                    <w:ind w:firstLine="0"/>
                  </w:pPr>
                  <w:r>
                    <w:t>&lt;line 4&gt;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5494BA3E" w14:textId="77777777">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68B9CD70" w14:textId="77777777">
                  <w:pPr>
                    <w:pStyle w:val="Tabletext"/>
                    <w:keepNext/>
                    <w:keepLines/>
                    <w:ind w:firstLine="0"/>
                    <w:jc w:val="center"/>
                    <w:rPr>
                      <w:i/>
                      <w:iCs/>
                    </w:rPr>
                  </w:pPr>
                  <w:r>
                    <w:rPr>
                      <w:i/>
                      <w:iCs/>
                    </w:rPr>
                    <w:t>…text 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3B0B37A0" w14:textId="77777777">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3861CB38" w14:textId="77777777">
                  <w:pPr>
                    <w:pStyle w:val="Tabletext"/>
                    <w:keepNext/>
                    <w:keepLines/>
                    <w:ind w:firstLine="0"/>
                    <w:jc w:val="center"/>
                    <w:rPr>
                      <w:i/>
                      <w:iCs/>
                    </w:rPr>
                  </w:pPr>
                  <w:r>
                    <w:rPr>
                      <w:i/>
                      <w:iCs/>
                    </w:rPr>
                    <w:t>…text t…</w:t>
                  </w:r>
                </w:p>
              </w:tc>
              <w:tc>
                <w:tcPr>
                  <w:tcW w:w="284" w:type="dxa"/>
                  <w:vMerge/>
                  <w:tcBorders>
                    <w:left w:val="single" w:sz="4" w:space="0" w:color="auto"/>
                    <w:right w:val="double" w:sz="4" w:space="0" w:color="auto"/>
                  </w:tcBorders>
                  <w:shd w:val="clear" w:color="auto" w:fill="CCFFCC"/>
                </w:tcPr>
                <w:p w14:paraId="1ABDF1DF"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03F4B947" w14:textId="77777777">
                  <w:pPr>
                    <w:pStyle w:val="Tabletext"/>
                    <w:keepNext/>
                    <w:keepLines/>
                    <w:ind w:firstLine="0"/>
                  </w:pPr>
                </w:p>
              </w:tc>
            </w:tr>
            <w:tr w14:paraId="50B733F7" w14:textId="77777777">
              <w:trPr>
                <w:trHeight w:hRule="exact" w:val="284"/>
                <w:jc w:val="center"/>
              </w:trPr>
              <w:tc>
                <w:tcPr>
                  <w:tcW w:w="284" w:type="dxa"/>
                  <w:vMerge/>
                  <w:tcBorders>
                    <w:left w:val="double" w:sz="12" w:space="0" w:color="auto"/>
                    <w:right w:val="double" w:sz="4" w:space="0" w:color="auto"/>
                  </w:tcBorders>
                  <w:shd w:val="clear" w:color="auto" w:fill="92D050"/>
                </w:tcPr>
                <w:p w14:paraId="396996E7"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22CEE25A" w14:textId="77777777">
                  <w:pPr>
                    <w:pStyle w:val="Tabletext"/>
                    <w:keepNext/>
                    <w:keepLines/>
                    <w:ind w:firstLine="0"/>
                  </w:pPr>
                </w:p>
              </w:tc>
              <w:tc>
                <w:tcPr>
                  <w:tcW w:w="284" w:type="dxa"/>
                  <w:vMerge/>
                  <w:tcBorders>
                    <w:top w:val="single" w:sz="4" w:space="0" w:color="auto"/>
                    <w:left w:val="single" w:sz="4" w:space="0" w:color="auto"/>
                    <w:bottom w:val="single" w:sz="4" w:space="0" w:color="auto"/>
                    <w:right w:val="dashed" w:sz="4" w:space="0" w:color="auto"/>
                  </w:tcBorders>
                  <w:shd w:val="clear" w:color="auto" w:fill="CCCCFF"/>
                </w:tcPr>
                <w:p w14:paraId="75CE66A4"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0A449A84" w14:textId="77777777">
                  <w:pPr>
                    <w:pStyle w:val="Tabletext"/>
                    <w:keepNext/>
                    <w:keepLines/>
                    <w:ind w:firstLine="0"/>
                  </w:pPr>
                  <w:r>
                    <w:t>&lt;line 5&gt;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4E87407" w14:textId="77777777">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64B7DB40" w14:textId="77777777">
                  <w:pPr>
                    <w:pStyle w:val="Tabletext"/>
                    <w:keepNext/>
                    <w:keepLines/>
                    <w:ind w:firstLine="0"/>
                    <w:jc w:val="center"/>
                    <w:rPr>
                      <w:i/>
                      <w:iCs/>
                    </w:rPr>
                  </w:pPr>
                  <w:r>
                    <w:rPr>
                      <w:i/>
                      <w:iCs/>
                    </w:rPr>
                    <w:t>…text u…</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7C63149E" w14:textId="77777777">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001AE099" w14:textId="77777777">
                  <w:pPr>
                    <w:pStyle w:val="Tabletext"/>
                    <w:keepNext/>
                    <w:keepLines/>
                    <w:ind w:firstLine="0"/>
                    <w:jc w:val="center"/>
                    <w:rPr>
                      <w:i/>
                      <w:iCs/>
                    </w:rPr>
                  </w:pPr>
                  <w:r>
                    <w:rPr>
                      <w:i/>
                      <w:iCs/>
                    </w:rPr>
                    <w:t>…text v…</w:t>
                  </w:r>
                </w:p>
              </w:tc>
              <w:tc>
                <w:tcPr>
                  <w:tcW w:w="284" w:type="dxa"/>
                  <w:vMerge/>
                  <w:tcBorders>
                    <w:left w:val="single" w:sz="4" w:space="0" w:color="auto"/>
                    <w:right w:val="double" w:sz="4" w:space="0" w:color="auto"/>
                  </w:tcBorders>
                  <w:shd w:val="clear" w:color="auto" w:fill="CCFFCC"/>
                </w:tcPr>
                <w:p w14:paraId="2226EFFA"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4AD10B9C" w14:textId="77777777">
                  <w:pPr>
                    <w:pStyle w:val="Tabletext"/>
                    <w:keepNext/>
                    <w:keepLines/>
                    <w:ind w:firstLine="0"/>
                  </w:pPr>
                </w:p>
              </w:tc>
            </w:tr>
            <w:tr w14:paraId="26ACAACF" w14:textId="77777777">
              <w:trPr>
                <w:trHeight w:hRule="exact" w:val="284"/>
                <w:jc w:val="center"/>
              </w:trPr>
              <w:tc>
                <w:tcPr>
                  <w:tcW w:w="284" w:type="dxa"/>
                  <w:vMerge/>
                  <w:tcBorders>
                    <w:left w:val="double" w:sz="12" w:space="0" w:color="auto"/>
                    <w:right w:val="double" w:sz="4" w:space="0" w:color="auto"/>
                  </w:tcBorders>
                  <w:shd w:val="clear" w:color="auto" w:fill="92D050"/>
                </w:tcPr>
                <w:p w14:paraId="1F5171D6" w14:textId="77777777">
                  <w:pPr>
                    <w:pStyle w:val="Tabletext"/>
                    <w:keepNext/>
                    <w:keepLines/>
                    <w:ind w:firstLine="0"/>
                  </w:pPr>
                </w:p>
              </w:tc>
              <w:tc>
                <w:tcPr>
                  <w:tcW w:w="284" w:type="dxa"/>
                  <w:vMerge/>
                  <w:tcBorders>
                    <w:left w:val="double" w:sz="4" w:space="0" w:color="auto"/>
                    <w:bottom w:val="nil"/>
                    <w:right w:val="single" w:sz="4" w:space="0" w:color="auto"/>
                  </w:tcBorders>
                  <w:shd w:val="clear" w:color="auto" w:fill="CCFFCC"/>
                </w:tcPr>
                <w:p w14:paraId="1288CFD3" w14:textId="77777777">
                  <w:pPr>
                    <w:pStyle w:val="Tabletext"/>
                    <w:keepNext/>
                    <w:keepLines/>
                    <w:ind w:firstLine="0"/>
                  </w:pPr>
                </w:p>
              </w:tc>
              <w:tc>
                <w:tcPr>
                  <w:tcW w:w="284" w:type="dxa"/>
                  <w:vMerge/>
                  <w:tcBorders>
                    <w:top w:val="single" w:sz="4" w:space="0" w:color="auto"/>
                    <w:left w:val="single" w:sz="4" w:space="0" w:color="auto"/>
                    <w:bottom w:val="single" w:sz="4" w:space="0" w:color="auto"/>
                    <w:right w:val="dashed" w:sz="4" w:space="0" w:color="auto"/>
                  </w:tcBorders>
                  <w:shd w:val="clear" w:color="auto" w:fill="CCCCFF"/>
                </w:tcPr>
                <w:p w14:paraId="25998428" w14:textId="77777777">
                  <w:pPr>
                    <w:pStyle w:val="Tabletext"/>
                    <w:keepNext/>
                    <w:keepLines/>
                    <w:ind w:firstLine="0"/>
                  </w:pPr>
                </w:p>
              </w:tc>
              <w:tc>
                <w:tcPr>
                  <w:tcW w:w="1701" w:type="dxa"/>
                  <w:tcBorders>
                    <w:top w:val="dashed" w:sz="4" w:space="0" w:color="auto"/>
                    <w:left w:val="dashed" w:sz="4" w:space="0" w:color="auto"/>
                    <w:bottom w:val="single" w:sz="4" w:space="0" w:color="auto"/>
                    <w:right w:val="dashed" w:sz="4" w:space="0" w:color="auto"/>
                  </w:tcBorders>
                  <w:shd w:val="clear" w:color="auto" w:fill="00B0F0"/>
                </w:tcPr>
                <w:p w14:paraId="0D6FB658" w14:textId="77777777">
                  <w:pPr>
                    <w:pStyle w:val="Tabletext"/>
                    <w:keepNext/>
                    <w:keepLines/>
                    <w:ind w:firstLine="0"/>
                  </w:pPr>
                  <w:r>
                    <w:t>&lt;line 6&gt; “contains”</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14:paraId="11B31035" w14:textId="77777777">
                  <w:pPr>
                    <w:pStyle w:val="Tabletext"/>
                    <w:keepNext/>
                    <w:keepLines/>
                    <w:ind w:firstLine="0"/>
                  </w:pPr>
                  <w:r>
                    <w:t>&lt;cell C&gt; “contains”</w:t>
                  </w:r>
                </w:p>
              </w:tc>
              <w:tc>
                <w:tcPr>
                  <w:tcW w:w="1134" w:type="dxa"/>
                  <w:tcBorders>
                    <w:top w:val="dashed" w:sz="4" w:space="0" w:color="auto"/>
                    <w:left w:val="dashed" w:sz="4" w:space="0" w:color="auto"/>
                    <w:bottom w:val="single" w:sz="4" w:space="0" w:color="auto"/>
                    <w:right w:val="dashed" w:sz="4" w:space="0" w:color="auto"/>
                  </w:tcBorders>
                  <w:shd w:val="clear" w:color="auto" w:fill="FFFF00"/>
                </w:tcPr>
                <w:p w14:paraId="1D818A9C" w14:textId="77777777">
                  <w:pPr>
                    <w:pStyle w:val="Tabletext"/>
                    <w:keepNext/>
                    <w:keepLines/>
                    <w:ind w:firstLine="0"/>
                    <w:jc w:val="center"/>
                    <w:rPr>
                      <w:i/>
                      <w:iCs/>
                    </w:rPr>
                  </w:pPr>
                  <w:r>
                    <w:rPr>
                      <w:i/>
                      <w:iCs/>
                    </w:rPr>
                    <w:t>…text w…</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14:paraId="0DAF55D8" w14:textId="77777777">
                  <w:pPr>
                    <w:pStyle w:val="Tabletext"/>
                    <w:keepNext/>
                    <w:keepLines/>
                    <w:ind w:firstLine="0"/>
                  </w:pPr>
                  <w:r>
                    <w:t>&lt;cell D&gt; “contains”</w:t>
                  </w:r>
                </w:p>
              </w:tc>
              <w:tc>
                <w:tcPr>
                  <w:tcW w:w="1134" w:type="dxa"/>
                  <w:tcBorders>
                    <w:top w:val="dashed" w:sz="4" w:space="0" w:color="auto"/>
                    <w:left w:val="dashed" w:sz="4" w:space="0" w:color="auto"/>
                    <w:bottom w:val="single" w:sz="4" w:space="0" w:color="auto"/>
                    <w:right w:val="single" w:sz="4" w:space="0" w:color="auto"/>
                  </w:tcBorders>
                  <w:shd w:val="clear" w:color="auto" w:fill="FFFF00"/>
                </w:tcPr>
                <w:p w14:paraId="1A7D0AC6" w14:textId="77777777">
                  <w:pPr>
                    <w:pStyle w:val="Tabletext"/>
                    <w:keepNext/>
                    <w:keepLines/>
                    <w:ind w:firstLine="0"/>
                    <w:jc w:val="center"/>
                    <w:rPr>
                      <w:i/>
                      <w:iCs/>
                    </w:rPr>
                  </w:pPr>
                  <w:r>
                    <w:rPr>
                      <w:i/>
                      <w:iCs/>
                    </w:rPr>
                    <w:t>…text x…</w:t>
                  </w:r>
                </w:p>
              </w:tc>
              <w:tc>
                <w:tcPr>
                  <w:tcW w:w="284" w:type="dxa"/>
                  <w:vMerge/>
                  <w:tcBorders>
                    <w:left w:val="single" w:sz="4" w:space="0" w:color="auto"/>
                    <w:bottom w:val="nil"/>
                    <w:right w:val="double" w:sz="4" w:space="0" w:color="auto"/>
                  </w:tcBorders>
                  <w:shd w:val="clear" w:color="auto" w:fill="CCFFCC"/>
                </w:tcPr>
                <w:p w14:paraId="4A131676"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5951801C" w14:textId="77777777">
                  <w:pPr>
                    <w:pStyle w:val="Tabletext"/>
                    <w:keepNext/>
                    <w:keepLines/>
                    <w:ind w:firstLine="0"/>
                  </w:pPr>
                </w:p>
              </w:tc>
            </w:tr>
            <w:tr w14:paraId="0DA196CF" w14:textId="77777777">
              <w:trPr>
                <w:trHeight w:hRule="exact" w:val="284"/>
                <w:jc w:val="center"/>
              </w:trPr>
              <w:tc>
                <w:tcPr>
                  <w:tcW w:w="284" w:type="dxa"/>
                  <w:vMerge/>
                  <w:tcBorders>
                    <w:left w:val="double" w:sz="12" w:space="0" w:color="auto"/>
                    <w:bottom w:val="nil"/>
                    <w:right w:val="double" w:sz="4" w:space="0" w:color="auto"/>
                  </w:tcBorders>
                  <w:shd w:val="clear" w:color="auto" w:fill="92D050"/>
                </w:tcPr>
                <w:p w14:paraId="49218B9C" w14:textId="77777777">
                  <w:pPr>
                    <w:pStyle w:val="Tabletext"/>
                    <w:keepNext/>
                    <w:keepLines/>
                    <w:ind w:firstLine="0"/>
                  </w:pPr>
                </w:p>
              </w:tc>
              <w:tc>
                <w:tcPr>
                  <w:tcW w:w="8223" w:type="dxa"/>
                  <w:gridSpan w:val="8"/>
                  <w:tcBorders>
                    <w:top w:val="nil"/>
                    <w:left w:val="double" w:sz="4" w:space="0" w:color="auto"/>
                    <w:bottom w:val="double" w:sz="4" w:space="0" w:color="auto"/>
                    <w:right w:val="double" w:sz="4" w:space="0" w:color="auto"/>
                  </w:tcBorders>
                  <w:shd w:val="clear" w:color="auto" w:fill="CCFFCC"/>
                </w:tcPr>
                <w:p w14:paraId="26F5B34B"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AEC12FF" w14:textId="77777777">
                  <w:pPr>
                    <w:pStyle w:val="Tabletext"/>
                    <w:keepNext/>
                    <w:keepLines/>
                    <w:ind w:firstLine="0"/>
                  </w:pPr>
                </w:p>
              </w:tc>
            </w:tr>
            <w:tr w14:paraId="604EA405" w14:textId="77777777">
              <w:trPr>
                <w:trHeight w:hRule="exact" w:val="284"/>
                <w:jc w:val="center"/>
              </w:trPr>
              <w:tc>
                <w:tcPr>
                  <w:tcW w:w="8791" w:type="dxa"/>
                  <w:gridSpan w:val="10"/>
                  <w:tcBorders>
                    <w:left w:val="double" w:sz="12" w:space="0" w:color="auto"/>
                    <w:bottom w:val="double" w:sz="12" w:space="0" w:color="auto"/>
                    <w:right w:val="double" w:sz="12" w:space="0" w:color="auto"/>
                  </w:tcBorders>
                  <w:shd w:val="clear" w:color="auto" w:fill="92D050"/>
                </w:tcPr>
                <w:p w14:paraId="0B233255" w14:textId="77777777">
                  <w:pPr>
                    <w:pStyle w:val="Tabletext"/>
                    <w:keepNext/>
                    <w:keepLines/>
                    <w:ind w:firstLine="0"/>
                  </w:pPr>
                </w:p>
              </w:tc>
            </w:tr>
          </w:tbl>
          <w:p w14:paraId="43F7360C" w14:textId="77777777"/>
        </w:tc>
      </w:tr>
    </w:tbl>
    <w:p w14:paraId="46C2C189" w14:textId="77777777"/>
    <w:p w14:paraId="388776AB" w14:textId="228F8CA0">
      <w:r>
        <w:t>As already discussed in §</w:t>
      </w:r>
      <w:r>
        <w:fldChar w:fldCharType="begin"/>
      </w:r>
      <w:r>
        <w:instrText xml:space="preserve"> REF _Ref225153755 \r \h </w:instrText>
      </w:r>
      <w:r>
        <w:fldChar w:fldCharType="separate"/>
      </w:r>
      <w:r>
        <w:t>3.1</w:t>
      </w:r>
      <w:r>
        <w:fldChar w:fldCharType="end"/>
      </w:r>
      <w:r>
        <w:t>, the edition division (§</w:t>
      </w:r>
      <w:r>
        <w:fldChar w:fldCharType="begin"/>
      </w:r>
      <w:r>
        <w:instrText xml:space="preserve"> REF _Ref224739111 \r \h </w:instrText>
      </w:r>
      <w:r>
        <w:fldChar w:fldCharType="separate"/>
      </w:r>
      <w:r>
        <w:t>2.2.3</w:t>
      </w:r>
      <w:r>
        <w:fldChar w:fldCharType="end"/>
      </w:r>
      <w:r>
        <w:t>) corresponds to the entirety of an inscription and thus contains the entire hierarchy of extrinsic structure as well as that of intrinsic structure. With respect to extrinsic structure, the edition division represents the inscribed campus. The edition may be subdivided into textparts, each comprising an integral whole and containing the entire text of a boxlike partition of the inscription. The edition and the boxlike partition are members of both the extrinsic and the intrinsic hierarchy, and are encoded as container elements. As a consequence, no XML element can begin inside one textpart division and end in the next.</w:t>
      </w:r>
    </w:p>
    <w:p w14:paraId="3FE0460D" w14:textId="77777777">
      <w:pPr>
        <w:pStyle w:val="Normlbehzs"/>
      </w:pPr>
      <w:r>
        <w:t>Within the edition – or, as the case may be, within any textpart division – the intrinsic and extrinsic hierarchies go their separate ways, with the extrinsic structure encoded as pointlike milestones. These represent virtual containers,</w:t>
      </w:r>
      <w:r>
        <w:rPr>
          <w:rStyle w:val="Lbjegyzet-hivatkozs"/>
        </w:rPr>
        <w:footnoteReference w:id="13"/>
      </w:r>
      <w:r>
        <w:t xml:space="preserve"> so that a partition may be said to “contain” everything that is located in the XML document from the point where the given partition begins to the point where another partition of the same hierarchical level begins, or a transition to a higher-level partition occurs, or a division (a textpart or the edition) ends. In the Exhibit, solid borders and colour-filled complete frames indicate actual containment by an XML element, while dashed borders without complete frames indicate virtual containment. An edition or textpart division must always contain one or more lines (blue). Within the edition or textpart division, groups of lines may be “contained” within pagelike partitions (lavender), and some or all lines may “contain” two or more gridlike partitions (aqua). </w:t>
      </w:r>
    </w:p>
    <w:p w14:paraId="19EC48F3" w14:textId="77777777">
      <w:pPr>
        <w:pStyle w:val="Normlbehzs"/>
      </w:pPr>
      <w:r>
        <w:t xml:space="preserve">The extrinsic structure of some inscriptions can be highly complex. Were we to attempt to accurately reflect all details of structural complexity in encoding, the possible combinations of various overlapping hierarchies would soon proliferate beyond a reasonable point. On the one hand, it would be all but impossible to draw up, and then correctly observe, guidelines for all possibilities; on the other hand, doing so would serve no practical purpose while processing the digital edition by computer. Then again, many inscriptions have no partitions at all (consisting only of lines in a single zone), and the only common type of inscription </w:t>
      </w:r>
      <w:r>
        <w:lastRenderedPageBreak/>
        <w:t>that involves more than one kind of partition is the copperplate charter. Copperplate charters typically consist of a seal and a body, which are boxlike partitions, and their body in turn consists of pages (pagelike partitions), while there are no further partitions in the seal.</w:t>
      </w:r>
    </w:p>
    <w:p w14:paraId="18B75F28" w14:textId="200C91C0">
      <w:pPr>
        <w:pStyle w:val="Normlbehzs"/>
      </w:pPr>
      <w:r>
        <w:t>In DHARMA encoding practice, we make a point of keeping encoding complexity within reasonable limits. The use of textpart divisions in an edition is therefore limited to specific kinds of cases where this is deemed to be warranted (§</w:t>
      </w:r>
      <w:r>
        <w:fldChar w:fldCharType="begin"/>
      </w:r>
      <w:r>
        <w:instrText xml:space="preserve"> REF _Ref225759775 \r \h </w:instrText>
      </w:r>
      <w:r>
        <w:fldChar w:fldCharType="separate"/>
      </w:r>
      <w:r>
        <w:t>4.7.3</w:t>
      </w:r>
      <w:r>
        <w:fldChar w:fldCharType="end"/>
      </w:r>
      <w:r>
        <w:t>). A single division (the edition or a textpart) is permitted to contain only one kind of pagelike partition. When gridlike partitions are present, their encoding is recommended only when expedient (for instance to enable referring to specific “cells” of the grid). If necessary, more than one kind of gridlike partition may be used within a single division, but doing so is generally counter-recommended. In §</w:t>
      </w:r>
      <w:r>
        <w:fldChar w:fldCharType="begin"/>
      </w:r>
      <w:r>
        <w:instrText xml:space="preserve"> REF _Ref225242905 \r \h </w:instrText>
      </w:r>
      <w:r>
        <w:fldChar w:fldCharType="separate"/>
      </w:r>
      <w:r>
        <w:t>4.7</w:t>
      </w:r>
      <w:r>
        <w:fldChar w:fldCharType="end"/>
      </w:r>
      <w:r>
        <w:t xml:space="preserve"> we provide guidance for situations in which various kinds of encoded partitions are applicable, as well as for cases which are best encoded without the usual milestone elements for extrinsic structure (§</w:t>
      </w:r>
      <w:r>
        <w:fldChar w:fldCharType="begin"/>
      </w:r>
      <w:r>
        <w:instrText xml:space="preserve"> REF _Ref225779703 \r \h </w:instrText>
      </w:r>
      <w:r>
        <w:fldChar w:fldCharType="separate"/>
      </w:r>
      <w:r>
        <w:t>4.7.1</w:t>
      </w:r>
      <w:r>
        <w:fldChar w:fldCharType="end"/>
      </w:r>
      <w:r>
        <w:t>), including the encoding of forme work (i.e. pagination and foliation numbers, §</w:t>
      </w:r>
      <w:r>
        <w:fldChar w:fldCharType="begin"/>
      </w:r>
      <w:r>
        <w:instrText xml:space="preserve"> REF _Ref43984607 \r \h </w:instrText>
      </w:r>
      <w:r>
        <w:fldChar w:fldCharType="separate"/>
      </w:r>
      <w:r>
        <w:t>4.7.2</w:t>
      </w:r>
      <w:r>
        <w:fldChar w:fldCharType="end"/>
      </w:r>
      <w:r>
        <w:t xml:space="preserve">). Some complete encoding examples are provided in the Case Studies of </w:t>
      </w:r>
      <w:r>
        <w:fldChar w:fldCharType="begin"/>
      </w:r>
      <w:r>
        <w:instrText xml:space="preserve"> REF _Ref43985466 \w \h  \* MERGEFORMAT </w:instrText>
      </w:r>
      <w:r>
        <w:fldChar w:fldCharType="separate"/>
      </w:r>
      <w:r>
        <w:t>Appendix A</w:t>
      </w:r>
      <w:r>
        <w:fldChar w:fldCharType="end"/>
      </w:r>
      <w:r>
        <w:t>. As a general guideline, also keep in mind that whenever the encoded structure does not provide an accurate fit for the original structure, human-readable annotation can always be added.</w:t>
      </w:r>
    </w:p>
    <w:p w14:paraId="4DCA42F1" w14:textId="77777777">
      <w:pPr>
        <w:pStyle w:val="Cmsor3"/>
      </w:pPr>
      <w:bookmarkStart w:id="169" w:name="_Ref225331491"/>
      <w:bookmarkStart w:id="170" w:name="_Ref225321890"/>
      <w:bookmarkStart w:id="171" w:name="_Toc242889463"/>
      <w:r>
        <w:t>Numeration for reference</w:t>
      </w:r>
      <w:bookmarkEnd w:id="169"/>
      <w:bookmarkEnd w:id="171"/>
    </w:p>
    <w:p w14:paraId="63770758" w14:textId="3549C0EF">
      <w:r>
        <w:rPr>
          <w:lang w:eastAsia="en-US" w:bidi="ar-SA"/>
        </w:rPr>
        <w:t xml:space="preserve">All TEI elements can be supplemented with arbitrary numeration using the attribute </w:t>
      </w:r>
      <w:r>
        <w:rPr>
          <w:rStyle w:val="Codeattribute"/>
        </w:rPr>
        <w:t>@n</w:t>
      </w:r>
      <w:r>
        <w:rPr>
          <w:lang w:eastAsia="en-US" w:bidi="ar-SA"/>
        </w:rPr>
        <w:t xml:space="preserve">, primarily to be used as reference by human end users. Another </w:t>
      </w:r>
      <w:r>
        <w:t xml:space="preserve">attribute, </w:t>
      </w:r>
      <w:r>
        <w:rPr>
          <w:rStyle w:val="Codeattribute"/>
        </w:rPr>
        <w:t>@xml:id</w:t>
      </w:r>
      <w:r>
        <w:t xml:space="preserve"> </w:t>
      </w:r>
      <w:r>
        <w:rPr>
          <w:noProof/>
        </w:rPr>
        <w:t>(</w:t>
      </w:r>
      <w:r>
        <w:t>§</w:t>
      </w:r>
      <w:r>
        <w:fldChar w:fldCharType="begin"/>
      </w:r>
      <w:r>
        <w:instrText xml:space="preserve"> REF _Ref43988993 \w \h  \* MERGEFORMAT </w:instrText>
      </w:r>
      <w:r>
        <w:fldChar w:fldCharType="separate"/>
      </w:r>
      <w:r>
        <w:t>14.6.6</w:t>
      </w:r>
      <w:r>
        <w:fldChar w:fldCharType="end"/>
      </w:r>
      <w:r>
        <w:t xml:space="preserve">), is employed for the rigorous, machine-readable referencing of elements. For the purpose of referring to units of extrinsic structure, </w:t>
      </w:r>
      <w:r>
        <w:rPr>
          <w:lang w:eastAsia="en-US" w:bidi="ar-SA"/>
        </w:rPr>
        <w:t xml:space="preserve">DHARMA editions use numeration involving </w:t>
      </w:r>
      <w:r>
        <w:rPr>
          <w:rStyle w:val="Codeattribute"/>
        </w:rPr>
        <w:t>@n</w:t>
      </w:r>
      <w:r>
        <w:t xml:space="preserve"> </w:t>
      </w:r>
      <w:r>
        <w:rPr>
          <w:lang w:eastAsia="en-US" w:bidi="ar-SA"/>
        </w:rPr>
        <w:t xml:space="preserve">on all milestone elements (as well as for textpart divisions). </w:t>
      </w:r>
      <w:r>
        <w:t>According to usual conventions, our editions’ stanzas and their lines can be referred to by the number of their container (§</w:t>
      </w:r>
      <w:r>
        <w:fldChar w:fldCharType="begin"/>
      </w:r>
      <w:r>
        <w:instrText xml:space="preserve"> REF _Ref225331879 \r \h </w:instrText>
      </w:r>
      <w:r>
        <w:fldChar w:fldCharType="separate"/>
      </w:r>
      <w:r>
        <w:t>3.1.1</w:t>
      </w:r>
      <w:r>
        <w:fldChar w:fldCharType="end"/>
      </w:r>
      <w:r>
        <w:t xml:space="preserve">), but our primary means of reference to the text of documentary editions is by line number. The projectwide conventions introduced in the applicable subsections for numbering elements with </w:t>
      </w:r>
      <w:r>
        <w:rPr>
          <w:rStyle w:val="Codeattribute"/>
        </w:rPr>
        <w:t>@n</w:t>
      </w:r>
      <w:r>
        <w:t xml:space="preserve"> not only ensure consistency in our editions, but also facilitate human-readable reference and in fact actually afford a degree of machine-interpretable referencing. This is possible so long as element numbers are unique within any given level of the hierarchy, so that any structural compartment can be unambiguously identified by a combination of the numbers of the elements representing its place in the structure. For instance, in </w:t>
      </w:r>
      <w:r>
        <w:fldChar w:fldCharType="begin"/>
      </w:r>
      <w:r>
        <w:instrText xml:space="preserve"> REF _Ref224829834 \h </w:instrText>
      </w:r>
      <w:r>
        <w:fldChar w:fldCharType="separate"/>
      </w:r>
      <w:r>
        <w:t xml:space="preserve">Exhibit </w:t>
      </w:r>
      <w:r>
        <w:rPr>
          <w:noProof/>
        </w:rPr>
        <w:t>4.1</w:t>
      </w:r>
      <w:r>
        <w:t>.</w:t>
      </w:r>
      <w:r>
        <w:rPr>
          <w:noProof/>
        </w:rPr>
        <w:t>B</w:t>
      </w:r>
      <w:r>
        <w:fldChar w:fldCharType="end"/>
      </w:r>
      <w:r>
        <w:t xml:space="preserve"> above, “text o” can be referred to by pointing to textpart B, page 1, line 2, cell A.</w:t>
      </w:r>
    </w:p>
    <w:p w14:paraId="6861951B" w14:textId="77777777">
      <w:pPr>
        <w:pStyle w:val="Cmsor2"/>
      </w:pPr>
      <w:bookmarkStart w:id="172" w:name="_Ref225778181"/>
      <w:bookmarkStart w:id="173" w:name="_Toc242889464"/>
      <w:bookmarkEnd w:id="164"/>
      <w:bookmarkEnd w:id="170"/>
      <w:r>
        <w:t>Boxlike partitions</w:t>
      </w:r>
      <w:bookmarkEnd w:id="172"/>
      <w:bookmarkEnd w:id="173"/>
    </w:p>
    <w:p w14:paraId="02A21A5C" w14:textId="4E35BD61">
      <w:bookmarkStart w:id="174" w:name="_7afiixd3hprc" w:colFirst="0" w:colLast="0"/>
      <w:bookmarkEnd w:id="174"/>
      <w:r>
        <w:t>Recall from §</w:t>
      </w:r>
      <w:r>
        <w:fldChar w:fldCharType="begin"/>
      </w:r>
      <w:r>
        <w:instrText xml:space="preserve"> REF _Ref182923075 \r \h </w:instrText>
      </w:r>
      <w:r>
        <w:fldChar w:fldCharType="separate"/>
      </w:r>
      <w:r>
        <w:t>4.1</w:t>
      </w:r>
      <w:r>
        <w:fldChar w:fldCharType="end"/>
      </w:r>
      <w:r>
        <w:t xml:space="preserve"> that a boxlike partition is what happens when a discrete zone of the text is also semantically distinct from the rest as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/1, amounting to a major subunit of a text’s extrinsic as well as intrinsic hierarchy. Intrinsically, it usually contains a number of basic prose and/or verse containers. Extrinsically, it may or may not be divided into lower-level structural parts. The semantic discontinuity between two textparts is somewhat analogous to the chapters of a book. To understand clearly how textpart divisions differ from and relate to other divisions of intrinsic and extrinsic structure, carefully read §</w:t>
      </w:r>
      <w:r>
        <w:fldChar w:fldCharType="begin"/>
      </w:r>
      <w:r>
        <w:instrText xml:space="preserve"> REF _Ref225153755 \r \h </w:instrText>
      </w:r>
      <w:r>
        <w:fldChar w:fldCharType="separate"/>
      </w:r>
      <w:r>
        <w:t>3.1</w:t>
      </w:r>
      <w:r>
        <w:fldChar w:fldCharType="end"/>
      </w:r>
      <w:r>
        <w:t xml:space="preserve"> and §</w:t>
      </w:r>
      <w:r>
        <w:fldChar w:fldCharType="begin"/>
      </w:r>
      <w:r>
        <w:instrText xml:space="preserve"> REF _Ref182923075 \r \h </w:instrText>
      </w:r>
      <w:r>
        <w:fldChar w:fldCharType="separate"/>
      </w:r>
      <w:r>
        <w:t>4.1</w:t>
      </w:r>
      <w:r>
        <w:fldChar w:fldCharType="end"/>
      </w:r>
      <w:r>
        <w:t xml:space="preserve">. </w:t>
      </w:r>
    </w:p>
    <w:p w14:paraId="1FD9DDF7" w14:textId="655937A7">
      <w:pPr>
        <w:pStyle w:val="Normlbehzs"/>
      </w:pPr>
      <w:r>
        <w:t>Boxlike partitions are encoded with a container element, the textpart division, as described in §</w:t>
      </w:r>
      <w:r>
        <w:fldChar w:fldCharType="begin"/>
      </w:r>
      <w:r>
        <w:instrText xml:space="preserve"> REF _Ref225342022 \r \h </w:instrText>
      </w:r>
      <w:r>
        <w:fldChar w:fldCharType="separate"/>
      </w:r>
      <w:r>
        <w:t>4.2.1</w:t>
      </w:r>
      <w:r>
        <w:fldChar w:fldCharType="end"/>
      </w:r>
      <w:r>
        <w:t>. Such a division is hierarchically subordinate to the edition division and superordinate to the basic containers for intrinsic structure. In essence, textpart divisions are complete editions except that they are gathered together in a single XML document and thus have a shared header, commentary and bibliography. Accordingly, the numbering of other elements within one textpart is independent of the numbering of similar elements in another textpart (§</w:t>
      </w:r>
      <w:r>
        <w:fldChar w:fldCharType="begin"/>
      </w:r>
      <w:r>
        <w:instrText xml:space="preserve"> REF _Ref43986747 \r \h </w:instrText>
      </w:r>
      <w:r>
        <w:fldChar w:fldCharType="separate"/>
      </w:r>
      <w:r>
        <w:t>4.2.1.4</w:t>
      </w:r>
      <w:r>
        <w:fldChar w:fldCharType="end"/>
      </w:r>
      <w:r>
        <w:t>). Conversely, the critical apparatus (§</w:t>
      </w:r>
      <w:r>
        <w:fldChar w:fldCharType="begin"/>
      </w:r>
      <w:r>
        <w:instrText xml:space="preserve"> REF _Ref43978773 \r \h </w:instrText>
      </w:r>
      <w:r>
        <w:fldChar w:fldCharType="separate"/>
      </w:r>
      <w:r>
        <w:t>10</w:t>
      </w:r>
      <w:r>
        <w:fldChar w:fldCharType="end"/>
      </w:r>
      <w:r>
        <w:t>) and translation (§</w:t>
      </w:r>
      <w:r>
        <w:fldChar w:fldCharType="begin"/>
      </w:r>
      <w:r>
        <w:instrText xml:space="preserve"> REF _Ref43978780 \r \h </w:instrText>
      </w:r>
      <w:r>
        <w:fldChar w:fldCharType="separate"/>
      </w:r>
      <w:r>
        <w:t>11</w:t>
      </w:r>
      <w:r>
        <w:fldChar w:fldCharType="end"/>
      </w:r>
      <w:r>
        <w:t>) included in a digital edition replicates the structure of the text itself, so if an edition contains textpart divisions, then corresponding textparts must also be created in the critical apparatus and the translation. In order to keep encoding complexity within limits, the use of textpart is limited in DHARMA practice to a small range of cases where this is deemed to be warranted (§</w:t>
      </w:r>
      <w:r>
        <w:fldChar w:fldCharType="begin"/>
      </w:r>
      <w:r>
        <w:instrText xml:space="preserve"> REF _Ref225759775 \r \h </w:instrText>
      </w:r>
      <w:r>
        <w:fldChar w:fldCharType="separate"/>
      </w:r>
      <w:r>
        <w:t>4.7.3</w:t>
      </w:r>
      <w:r>
        <w:fldChar w:fldCharType="end"/>
      </w:r>
      <w:r>
        <w:t>).</w:t>
      </w:r>
    </w:p>
    <w:p w14:paraId="04251C76" w14:textId="77777777">
      <w:pPr>
        <w:pStyle w:val="Cmsor3"/>
      </w:pPr>
      <w:bookmarkStart w:id="175" w:name="_Ref225342022"/>
      <w:bookmarkStart w:id="176" w:name="_Toc242889465"/>
      <w:r>
        <w:lastRenderedPageBreak/>
        <w:t>Encoding as textpart divisions</w:t>
      </w:r>
      <w:bookmarkEnd w:id="175"/>
      <w:bookmarkEnd w:id="176"/>
    </w:p>
    <w:tbl>
      <w:tblPr>
        <w:tblStyle w:val="CodeSampleTable"/>
        <w:tblpPr w:leftFromText="181" w:rightFromText="181" w:vertAnchor="text" w:horzAnchor="margin" w:tblpXSpec="right" w:tblpY="1"/>
        <w:tblOverlap w:val="never"/>
        <w:tblW w:w="4253" w:type="dxa"/>
        <w:tblLook w:val="04A0" w:firstRow="1" w:lastRow="0" w:firstColumn="1" w:lastColumn="0" w:noHBand="0" w:noVBand="1"/>
      </w:tblPr>
      <w:tblGrid>
        <w:gridCol w:w="4253"/>
      </w:tblGrid>
      <w:tr w14:paraId="01B8409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EC1892D" w14:textId="0FE7D22A">
            <w:pPr>
              <w:pStyle w:val="Kpalrs"/>
            </w:pPr>
            <w:bookmarkStart w:id="177" w:name="_Ref225342504"/>
            <w:bookmarkStart w:id="178" w:name="_Ref225342497"/>
            <w:r>
              <w:t xml:space="preserve">Exhibit </w:t>
            </w:r>
            <w:fldSimple w:instr=" STYLEREF 2 \s ">
              <w:r>
                <w:rPr>
                  <w:noProof/>
                </w:rPr>
                <w:t>4.2</w:t>
              </w:r>
            </w:fldSimple>
            <w:r>
              <w:t>.</w:t>
            </w:r>
            <w:fldSimple w:instr=" SEQ Exhibit \* ALPHABETIC \s 2 ">
              <w:r>
                <w:rPr>
                  <w:noProof/>
                </w:rPr>
                <w:t>A</w:t>
              </w:r>
            </w:fldSimple>
            <w:bookmarkEnd w:id="177"/>
            <w:r>
              <w:t>: minimal encoding of textpart divisions</w:t>
            </w:r>
            <w:bookmarkEnd w:id="178"/>
          </w:p>
        </w:tc>
      </w:tr>
      <w:tr w14:paraId="15F2A09E" w14:textId="77777777">
        <w:tc>
          <w:tcPr>
            <w:tcW w:w="5000" w:type="pct"/>
          </w:tcPr>
          <w:p w14:paraId="1DA71D49" w14:textId="0D8BED79">
            <w:pPr>
              <w:pStyle w:val="CodeParagraph"/>
              <w:keepNext/>
              <w:keepLines/>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14:paraId="1491BD84" w14:textId="48B7CF9A">
            <w:pPr>
              <w:pStyle w:val="CodeParagraph"/>
              <w:keepNext/>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p>
          <w:p w14:paraId="36202555" w14:textId="0A598762">
            <w:pPr>
              <w:pStyle w:val="CodeParagraph"/>
              <w:keepNext/>
              <w:keepLines/>
              <w:rPr>
                <w:rStyle w:val="Code"/>
              </w:rPr>
            </w:pPr>
            <w:r>
              <w:rPr>
                <w:rStyle w:val="Code"/>
              </w:rPr>
              <w:t xml:space="preserve">  &lt;/div&gt;</w:t>
            </w:r>
          </w:p>
          <w:p w14:paraId="0A44F716" w14:textId="61C2BC6C">
            <w:pPr>
              <w:pStyle w:val="CodeParagraph"/>
              <w:keepNext/>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p>
          <w:p w14:paraId="16F64902" w14:textId="13B3F140">
            <w:pPr>
              <w:pStyle w:val="CodeParagraph"/>
              <w:rPr>
                <w:rStyle w:val="Code"/>
              </w:rPr>
            </w:pPr>
            <w:r>
              <w:rPr>
                <w:rStyle w:val="Code"/>
              </w:rPr>
              <w:t xml:space="preserve">  &lt;/div&gt;</w:t>
            </w:r>
          </w:p>
          <w:p w14:paraId="12C7CC3B" w14:textId="015B97DD">
            <w:pPr>
              <w:pStyle w:val="CodeParagraph"/>
            </w:pPr>
            <w:r>
              <w:rPr>
                <w:rStyle w:val="Code"/>
              </w:rPr>
              <w:t>&lt;/div&gt;</w:t>
            </w:r>
          </w:p>
        </w:tc>
      </w:tr>
    </w:tbl>
    <w:p w14:paraId="1808952F" w14:textId="6FBCEC23">
      <w:pPr>
        <w:pStyle w:val="Lista"/>
      </w:pPr>
      <w:r>
        <w:t xml:space="preserve">each boxlike unit must be wrapped in the element </w:t>
      </w:r>
      <w:r>
        <w:rPr>
          <w:rStyle w:val="Code"/>
        </w:rPr>
        <w:t>&lt;div&gt;</w:t>
      </w:r>
      <w:r>
        <w:t xml:space="preserve"> as in </w:t>
      </w:r>
      <w:r>
        <w:fldChar w:fldCharType="begin"/>
      </w:r>
      <w:r>
        <w:instrText xml:space="preserve"> REF _Ref225342504 \h </w:instrText>
      </w:r>
      <w:r>
        <w:fldChar w:fldCharType="separate"/>
      </w:r>
      <w:r>
        <w:t xml:space="preserve">Exhibit </w:t>
      </w:r>
      <w:r>
        <w:rPr>
          <w:noProof/>
        </w:rPr>
        <w:t>4.2</w:t>
      </w:r>
      <w:r>
        <w:t>.</w:t>
      </w:r>
      <w:r>
        <w:rPr>
          <w:noProof/>
        </w:rPr>
        <w:t>A</w:t>
      </w:r>
      <w:r>
        <w:fldChar w:fldCharType="end"/>
      </w:r>
      <w:r>
        <w:t>, with the following attributes</w:t>
      </w:r>
    </w:p>
    <w:p w14:paraId="1C4FE001" w14:textId="77777777">
      <w:pPr>
        <w:pStyle w:val="Lista2"/>
      </w:pPr>
      <w:r>
        <w:t xml:space="preserve">mandatorily, </w:t>
      </w:r>
      <w:r>
        <w:rPr>
          <w:rStyle w:val="Codeattribute"/>
        </w:rPr>
        <w:t>@type</w:t>
      </w:r>
      <w:r>
        <w:rPr>
          <w:rStyle w:val="Code"/>
        </w:rPr>
        <w:t>=</w:t>
      </w:r>
      <w:r>
        <w:rPr>
          <w:rStyle w:val="Codevalue"/>
        </w:rPr>
        <w:t>"textpart"</w:t>
      </w:r>
    </w:p>
    <w:p w14:paraId="3F51351E" w14:textId="6D6DF3F2">
      <w:pPr>
        <w:pStyle w:val="Lista2"/>
      </w:pPr>
      <w:r>
        <w:t xml:space="preserve">mandatorily, </w:t>
      </w:r>
      <w:r>
        <w:rPr>
          <w:rStyle w:val="Codeattribute"/>
        </w:rPr>
        <w:t>@n</w:t>
      </w:r>
      <w:r>
        <w:t xml:space="preserve"> as per §</w:t>
      </w:r>
      <w:r>
        <w:fldChar w:fldCharType="begin"/>
      </w:r>
      <w:r>
        <w:instrText xml:space="preserve"> REF _Ref182236772 \r \h </w:instrText>
      </w:r>
      <w:r>
        <w:fldChar w:fldCharType="separate"/>
      </w:r>
      <w:r>
        <w:t>4.2.1.1</w:t>
      </w:r>
      <w:r>
        <w:fldChar w:fldCharType="end"/>
      </w:r>
    </w:p>
    <w:p w14:paraId="296FA6ED" w14:textId="2F9BFD4D">
      <w:pPr>
        <w:pStyle w:val="Lista2"/>
      </w:pPr>
      <w:r>
        <w:t xml:space="preserve">optionally, </w:t>
      </w:r>
      <w:r>
        <w:rPr>
          <w:rStyle w:val="Codeattribute"/>
        </w:rPr>
        <w:t>@subtype</w:t>
      </w:r>
      <w:r>
        <w:t xml:space="preserve"> as per §</w:t>
      </w:r>
      <w:r>
        <w:fldChar w:fldCharType="begin"/>
      </w:r>
      <w:r>
        <w:instrText xml:space="preserve"> REF _Ref182236825 \r \h </w:instrText>
      </w:r>
      <w:r>
        <w:fldChar w:fldCharType="separate"/>
      </w:r>
      <w:r>
        <w:t>4.2.1.2</w:t>
      </w:r>
      <w:r>
        <w:fldChar w:fldCharType="end"/>
      </w:r>
    </w:p>
    <w:p w14:paraId="3B63A292" w14:textId="17B5299A">
      <w:pPr>
        <w:pStyle w:val="Lista"/>
      </w:pPr>
      <w:r>
        <w:t>the encoding represents only the existence and demarcation of a textpart but says nothing about its physical aspects such as size or position on the support</w:t>
      </w:r>
    </w:p>
    <w:p w14:paraId="78609806" w14:textId="77777777">
      <w:pPr>
        <w:pStyle w:val="Lista2"/>
      </w:pPr>
      <w:r>
        <w:t>the latter information shall be described for human readers in the annotation</w:t>
      </w:r>
    </w:p>
    <w:p w14:paraId="2CB507FB" w14:textId="5DDD51AD">
      <w:pPr>
        <w:pStyle w:val="Lista2"/>
      </w:pPr>
      <w:r>
        <w:t>the use cases in §</w:t>
      </w:r>
      <w:r>
        <w:fldChar w:fldCharType="begin"/>
      </w:r>
      <w:r>
        <w:instrText xml:space="preserve"> REF _Ref225759775 \r \h </w:instrText>
      </w:r>
      <w:r>
        <w:fldChar w:fldCharType="separate"/>
      </w:r>
      <w:r>
        <w:t>4.7.3</w:t>
      </w:r>
      <w:r>
        <w:fldChar w:fldCharType="end"/>
      </w:r>
      <w:r>
        <w:t xml:space="preserve"> give some illustrations of various topological arrangements and additional encoding examples</w:t>
      </w:r>
    </w:p>
    <w:p w14:paraId="37FFEDF1" w14:textId="77777777">
      <w:pPr>
        <w:pStyle w:val="Lista"/>
      </w:pPr>
      <w:r>
        <w:t xml:space="preserve">if your </w:t>
      </w:r>
      <w:r>
        <w:rPr>
          <w:rStyle w:val="Code"/>
        </w:rPr>
        <w:t xml:space="preserve">&lt;div </w:t>
      </w:r>
      <w:r>
        <w:rPr>
          <w:rStyle w:val="Codeattribute"/>
        </w:rPr>
        <w:t>type</w:t>
      </w:r>
      <w:r>
        <w:rPr>
          <w:rStyle w:val="Code"/>
        </w:rPr>
        <w:t>=</w:t>
      </w:r>
      <w:r>
        <w:rPr>
          <w:rStyle w:val="Codevalue"/>
        </w:rPr>
        <w:t>"edition"</w:t>
      </w:r>
      <w:r>
        <w:rPr>
          <w:rStyle w:val="Code"/>
        </w:rPr>
        <w:t>&gt;</w:t>
      </w:r>
      <w:r>
        <w:t xml:space="preserve"> includes a </w:t>
      </w:r>
      <w:r>
        <w:rPr>
          <w:rStyle w:val="Code"/>
        </w:rPr>
        <w:t xml:space="preserve">&lt;div </w:t>
      </w:r>
      <w:r>
        <w:rPr>
          <w:rStyle w:val="Codeattribute"/>
        </w:rPr>
        <w:t>type</w:t>
      </w:r>
      <w:r>
        <w:rPr>
          <w:rStyle w:val="Code"/>
        </w:rPr>
        <w:t>=</w:t>
      </w:r>
      <w:r>
        <w:rPr>
          <w:rStyle w:val="Codevalue"/>
        </w:rPr>
        <w:t>"textpart"</w:t>
      </w:r>
      <w:r>
        <w:rPr>
          <w:rStyle w:val="Code"/>
        </w:rPr>
        <w:t>&gt;</w:t>
      </w:r>
      <w:r>
        <w:t>, then the textpart divisions must tessellate, meaning that everything within the edition must be also within one textpart or another</w:t>
      </w:r>
    </w:p>
    <w:p w14:paraId="70581482" w14:textId="77777777">
      <w:pPr>
        <w:pStyle w:val="Lista"/>
      </w:pPr>
      <w:r>
        <w:t>textparts shall be arranged in the order you deem to be the logical reading order of the text as a whole, or its best approximation</w:t>
      </w:r>
    </w:p>
    <w:p w14:paraId="7E17B6E2" w14:textId="77777777">
      <w:pPr>
        <w:pStyle w:val="Cmsor4"/>
      </w:pPr>
      <w:bookmarkStart w:id="179" w:name="_82q10pa3ovwa" w:colFirst="0" w:colLast="0"/>
      <w:bookmarkStart w:id="180" w:name="_Ref182236772"/>
      <w:bookmarkStart w:id="181" w:name="_Ref182318135"/>
      <w:bookmarkEnd w:id="179"/>
      <w:r>
        <w:t>Textpart numbering</w:t>
      </w:r>
      <w:bookmarkEnd w:id="180"/>
      <w:bookmarkEnd w:id="181"/>
    </w:p>
    <w:p w14:paraId="6ECFFF73" w14:textId="77777777">
      <w:pPr>
        <w:pStyle w:val="Lista"/>
      </w:pPr>
      <w:r>
        <w:t xml:space="preserve">every textpart division must carry the mandatory attribute </w:t>
      </w:r>
      <w:r>
        <w:rPr>
          <w:rStyle w:val="Codeattribute"/>
        </w:rPr>
        <w:t>@n</w:t>
      </w:r>
      <w:r>
        <w:t>, the value of which must be unique through the XML document</w:t>
      </w:r>
    </w:p>
    <w:p w14:paraId="3C87C8A7" w14:textId="41DF0557">
      <w:pPr>
        <w:pStyle w:val="Lista"/>
      </w:pPr>
      <w:r>
        <w:t xml:space="preserve">the value of </w:t>
      </w:r>
      <w:r>
        <w:rPr>
          <w:rStyle w:val="Codeattribute"/>
        </w:rPr>
        <w:t>@n</w:t>
      </w:r>
      <w:r>
        <w:t xml:space="preserve"> is utilised in display for automatically generated headings (§</w:t>
      </w:r>
      <w:r>
        <w:fldChar w:fldCharType="begin"/>
      </w:r>
      <w:r>
        <w:instrText xml:space="preserve"> REF _Ref225177909 \r \h </w:instrText>
      </w:r>
      <w:r>
        <w:fldChar w:fldCharType="separate"/>
      </w:r>
      <w:r>
        <w:t>4.2.1.3</w:t>
      </w:r>
      <w:r>
        <w:fldChar w:fldCharType="end"/>
      </w:r>
      <w:r>
        <w:t>)</w:t>
      </w:r>
    </w:p>
    <w:p w14:paraId="40297B78" w14:textId="77777777">
      <w:pPr>
        <w:pStyle w:val="Lista"/>
      </w:pPr>
      <w:r>
        <w:t>uppercase Latin letters are generally recommended for numeration, but any scheme may be used depending on your preference and the conventions of your specific field, including</w:t>
      </w:r>
    </w:p>
    <w:p w14:paraId="12728B67" w14:textId="77777777">
      <w:pPr>
        <w:pStyle w:val="Lista2"/>
      </w:pPr>
      <w:r>
        <w:t>Arabic numbers</w:t>
      </w:r>
    </w:p>
    <w:p w14:paraId="4F5ABBF8" w14:textId="64E96C3F">
      <w:pPr>
        <w:pStyle w:val="Lista2"/>
      </w:pPr>
      <w:r>
        <w:t>a combination of uppercase and lowercase Latin letters to represent major and minor faces of a three-dimensional object in the same way as for pagelike milestones (§</w:t>
      </w:r>
      <w:r>
        <w:fldChar w:fldCharType="begin"/>
      </w:r>
      <w:r>
        <w:instrText xml:space="preserve"> REF _Ref182318136 \r \h </w:instrText>
      </w:r>
      <w:r>
        <w:fldChar w:fldCharType="separate"/>
      </w:r>
      <w:r>
        <w:t>4.4.3.1</w:t>
      </w:r>
      <w:r>
        <w:fldChar w:fldCharType="end"/>
      </w:r>
      <w:r>
        <w:t>)</w:t>
      </w:r>
    </w:p>
    <w:p w14:paraId="66E9F2DB" w14:textId="77777777">
      <w:pPr>
        <w:pStyle w:val="Cmsor4"/>
      </w:pPr>
      <w:bookmarkStart w:id="182" w:name="_Ref182236825"/>
      <w:r>
        <w:t>Textpart subtypes</w:t>
      </w:r>
      <w:bookmarkEnd w:id="182"/>
    </w:p>
    <w:p w14:paraId="3816ACA0" w14:textId="77777777">
      <w:pPr>
        <w:pStyle w:val="Lista"/>
      </w:pPr>
      <w:r>
        <w:t xml:space="preserve">the optional attribute </w:t>
      </w:r>
      <w:r>
        <w:rPr>
          <w:rStyle w:val="Codeattribute"/>
        </w:rPr>
        <w:t>@subtype</w:t>
      </w:r>
      <w:r>
        <w:t xml:space="preserve"> may be used to encode the physical nature of textparts</w:t>
      </w:r>
    </w:p>
    <w:p w14:paraId="58E953A2" w14:textId="6ABD0000">
      <w:pPr>
        <w:pStyle w:val="Lista2"/>
      </w:pPr>
      <w:r>
        <w:t>the use of this attribute is recommended as a simple means of indicating the nature of a partition that can also be displayed as a title (§</w:t>
      </w:r>
      <w:r>
        <w:fldChar w:fldCharType="begin"/>
      </w:r>
      <w:r>
        <w:instrText xml:space="preserve"> REF _Ref225177909 \r \h </w:instrText>
      </w:r>
      <w:r>
        <w:fldChar w:fldCharType="separate"/>
      </w:r>
      <w:r>
        <w:t>4.2.1.3</w:t>
      </w:r>
      <w:r>
        <w:fldChar w:fldCharType="end"/>
      </w:r>
      <w:r>
        <w:t>)</w:t>
      </w:r>
    </w:p>
    <w:p w14:paraId="0A3A6212" w14:textId="31166063">
      <w:pPr>
        <w:pStyle w:val="Lista"/>
      </w:pPr>
      <w:r>
        <w:t xml:space="preserve">the value of </w:t>
      </w:r>
      <w:r>
        <w:rPr>
          <w:rStyle w:val="Codeattribute"/>
        </w:rPr>
        <w:t>@subtype</w:t>
      </w:r>
      <w:r>
        <w:t xml:space="preserve"> is utilised in display for automatically generated headings (§</w:t>
      </w:r>
      <w:r>
        <w:fldChar w:fldCharType="begin"/>
      </w:r>
      <w:r>
        <w:instrText xml:space="preserve"> REF _Ref225177909 \r \h </w:instrText>
      </w:r>
      <w:r>
        <w:fldChar w:fldCharType="separate"/>
      </w:r>
      <w:r>
        <w:t>4.2.1.3</w:t>
      </w:r>
      <w:r>
        <w:fldChar w:fldCharType="end"/>
      </w:r>
      <w:r>
        <w:t>)</w:t>
      </w:r>
    </w:p>
    <w:p w14:paraId="7CD0F572" w14:textId="77777777">
      <w:pPr>
        <w:pStyle w:val="Lista"/>
      </w:pPr>
      <w:r>
        <w:t xml:space="preserve">the value of </w:t>
      </w:r>
      <w:r>
        <w:rPr>
          <w:rStyle w:val="Codeattribute"/>
        </w:rPr>
        <w:t>@subtype</w:t>
      </w:r>
      <w:r>
        <w:t xml:space="preserve"> shall normally indicate the physical nature of the corresponding partition of extrinsic structure, disregarding its visual appearance, topological position relative to other textparts, and semantic function in intrinsic structure</w:t>
      </w:r>
    </w:p>
    <w:p w14:paraId="77651D5B" w14:textId="3E2FF452">
      <w:pPr>
        <w:pStyle w:val="Lista"/>
      </w:pPr>
      <w:r>
        <w:t xml:space="preserve">the permitted values of </w:t>
      </w:r>
      <w:r>
        <w:rPr>
          <w:rStyle w:val="Codeattribute"/>
        </w:rPr>
        <w:t>@subtype</w:t>
      </w:r>
      <w:r>
        <w:t xml:space="preserve"> are listed below, while specific instructions for when </w:t>
      </w:r>
      <w:r>
        <w:rPr>
          <w:rStyle w:val="Codeattribute"/>
        </w:rPr>
        <w:t>@subtype</w:t>
      </w:r>
      <w:r>
        <w:t xml:space="preserve"> should be used and with what values are found in the subsections of §</w:t>
      </w:r>
      <w:r>
        <w:fldChar w:fldCharType="begin"/>
      </w:r>
      <w:r>
        <w:instrText xml:space="preserve"> REF _Ref225759775 \r \h </w:instrText>
      </w:r>
      <w:r>
        <w:fldChar w:fldCharType="separate"/>
      </w:r>
      <w:r>
        <w:t>4.7.3</w:t>
      </w:r>
      <w:r>
        <w:fldChar w:fldCharType="end"/>
      </w:r>
      <w:r>
        <w:t xml:space="preserve"> </w:t>
      </w:r>
    </w:p>
    <w:p w14:paraId="7D243181" w14:textId="77777777">
      <w:pPr>
        <w:pStyle w:val="Lista2"/>
      </w:pPr>
      <w:r>
        <w:rPr>
          <w:rStyle w:val="Codevalue"/>
        </w:rPr>
        <w:t>"column"</w:t>
      </w:r>
      <w:r>
        <w:t xml:space="preserve"> for zones placed side by side and generally taller than they are wide</w:t>
      </w:r>
    </w:p>
    <w:p w14:paraId="708C0F08" w14:textId="77777777">
      <w:pPr>
        <w:pStyle w:val="Lista2"/>
      </w:pPr>
      <w:r>
        <w:rPr>
          <w:rStyle w:val="Codevalue"/>
        </w:rPr>
        <w:t>"face"</w:t>
      </w:r>
      <w:r>
        <w:t xml:space="preserve"> for a physically contiguous surface of a three-dimensional object of any shape and any number of sides</w:t>
      </w:r>
    </w:p>
    <w:p w14:paraId="482998C5" w14:textId="77777777">
      <w:pPr>
        <w:pStyle w:val="Lista2"/>
      </w:pPr>
      <w:r>
        <w:rPr>
          <w:rStyle w:val="Codevalue"/>
        </w:rPr>
        <w:t>"faces"</w:t>
      </w:r>
      <w:r>
        <w:t xml:space="preserve"> for two or more contiguous surfaces that together comprise a box of text, such as the frontal and lateral face of a four-sided stele</w:t>
      </w:r>
    </w:p>
    <w:p w14:paraId="7ED6A8EF" w14:textId="74FE4043">
      <w:pPr>
        <w:pStyle w:val="Lista2"/>
      </w:pPr>
      <w:r>
        <w:rPr>
          <w:rStyle w:val="Codevalue"/>
        </w:rPr>
        <w:t>"fragment"</w:t>
      </w:r>
      <w:r>
        <w:t xml:space="preserve"> for physical fragments as per §</w:t>
      </w:r>
      <w:r>
        <w:fldChar w:fldCharType="begin"/>
      </w:r>
      <w:r>
        <w:instrText xml:space="preserve"> REF _Ref225346692 \r \h </w:instrText>
      </w:r>
      <w:r>
        <w:fldChar w:fldCharType="separate"/>
      </w:r>
      <w:r>
        <w:t>4.7.3.2</w:t>
      </w:r>
      <w:r>
        <w:fldChar w:fldCharType="end"/>
      </w:r>
    </w:p>
    <w:p w14:paraId="0C1BE432" w14:textId="77777777">
      <w:pPr>
        <w:pStyle w:val="Lista2"/>
      </w:pPr>
      <w:r>
        <w:rPr>
          <w:rStyle w:val="Codevalue"/>
        </w:rPr>
        <w:t>"item"</w:t>
      </w:r>
      <w:r>
        <w:t xml:space="preserve"> for physically separate objects such as architectural elements, e.g. when an inscription is engraved on two pillars or doorjambs</w:t>
      </w:r>
    </w:p>
    <w:p w14:paraId="250DFFF2" w14:textId="2C5E64F4">
      <w:pPr>
        <w:pStyle w:val="Lista2"/>
      </w:pPr>
      <w:r>
        <w:rPr>
          <w:rStyle w:val="Codevalue"/>
        </w:rPr>
        <w:t>"trial"</w:t>
      </w:r>
      <w:r>
        <w:t xml:space="preserve"> for trial engravings as per §</w:t>
      </w:r>
      <w:r>
        <w:fldChar w:fldCharType="begin"/>
      </w:r>
      <w:r>
        <w:instrText xml:space="preserve"> REF _Ref225178060 \r \h </w:instrText>
      </w:r>
      <w:r>
        <w:fldChar w:fldCharType="separate"/>
      </w:r>
      <w:r>
        <w:t>4.7.3.3</w:t>
      </w:r>
      <w:r>
        <w:fldChar w:fldCharType="end"/>
      </w:r>
    </w:p>
    <w:p w14:paraId="2520C015" w14:textId="77777777">
      <w:pPr>
        <w:pStyle w:val="Lista2"/>
      </w:pPr>
      <w:r>
        <w:rPr>
          <w:rStyle w:val="Codevalue"/>
        </w:rPr>
        <w:t>"zone"</w:t>
      </w:r>
      <w:r>
        <w:t xml:space="preserve"> for visually distinct zones that do not readily meet any of the specific definitions above</w:t>
      </w:r>
    </w:p>
    <w:p w14:paraId="74759EF2" w14:textId="77777777">
      <w:pPr>
        <w:pStyle w:val="Lista3"/>
      </w:pPr>
      <w:r>
        <w:t>a zone is generally conceived of as being on a single contiguous surface, but in inscriptions with a complex topology, this unit may also be used for a visually distinct area occupying two or more surfaces</w:t>
      </w:r>
    </w:p>
    <w:p w14:paraId="5F5FA864" w14:textId="77777777">
      <w:pPr>
        <w:pStyle w:val="Lista2"/>
      </w:pPr>
      <w:r>
        <w:lastRenderedPageBreak/>
        <w:t xml:space="preserve">this list of values is largely identical to the values permitted for of </w:t>
      </w:r>
      <w:r>
        <w:rPr>
          <w:rStyle w:val="Codeattribute"/>
        </w:rPr>
        <w:t>@unit</w:t>
      </w:r>
      <w:r>
        <w:t xml:space="preserve"> on </w:t>
      </w:r>
      <w:r>
        <w:rPr>
          <w:rStyle w:val="Code"/>
        </w:rPr>
        <w:t>&lt;milestone&gt;</w:t>
      </w:r>
    </w:p>
    <w:p w14:paraId="73CBF58B" w14:textId="73D92530">
      <w:pPr>
        <w:pStyle w:val="Lista3"/>
      </w:pPr>
      <w:r>
        <w:t>these are discussed in §</w:t>
      </w:r>
      <w:r>
        <w:fldChar w:fldCharType="begin"/>
      </w:r>
      <w:r>
        <w:instrText xml:space="preserve"> REF _Ref182815315 \r \h </w:instrText>
      </w:r>
      <w:r>
        <w:fldChar w:fldCharType="separate"/>
      </w:r>
      <w:r>
        <w:t>4.3.1</w:t>
      </w:r>
      <w:r>
        <w:fldChar w:fldCharType="end"/>
      </w:r>
      <w:r>
        <w:t>, where you will also find pointers to illustrations</w:t>
      </w:r>
    </w:p>
    <w:p w14:paraId="7297C0F1" w14:textId="77777777">
      <w:pPr>
        <w:pStyle w:val="Lista2"/>
      </w:pPr>
      <w:r>
        <w:t>only the values listed above may be used, even though earlier versions of this Guide permitted using custom values</w:t>
      </w:r>
    </w:p>
    <w:p w14:paraId="42D1C9AC" w14:textId="77777777">
      <w:pPr>
        <w:pStyle w:val="Cmsor4"/>
      </w:pPr>
      <w:bookmarkStart w:id="183" w:name="_Ref225177909"/>
      <w:r>
        <w:t>Titles for textparts</w:t>
      </w:r>
      <w:bookmarkEnd w:id="183"/>
    </w:p>
    <w:p w14:paraId="0532A986" w14:textId="77777777">
      <w:r>
        <w:t>When an XML edition is rendered for display in the DHARMA environment, headings for textpart divisions will be automatically generated from the subtype (if present) and the number. When these automatic headings are deemed insufficient, an optional custom heading may be added to the encoding, which will replace the auto-generated title.</w:t>
      </w:r>
    </w:p>
    <w:p w14:paraId="039E2B96" w14:textId="77777777">
      <w:pPr>
        <w:pStyle w:val="Lista"/>
      </w:pPr>
      <w:r>
        <w:t xml:space="preserve">auto-generated headings will consist of the value of </w:t>
      </w:r>
      <w:r>
        <w:rPr>
          <w:rStyle w:val="Codeattribute"/>
        </w:rPr>
        <w:t>@subtype</w:t>
      </w:r>
      <w:r>
        <w:t xml:space="preserve"> (with the initial letter changed to uppercase), followed by the value of </w:t>
      </w:r>
      <w:r>
        <w:rPr>
          <w:rStyle w:val="Codeattribute"/>
        </w:rPr>
        <w:t>@n</w:t>
      </w:r>
      <w:r>
        <w:t xml:space="preserve"> (unchanged), for example as follows</w:t>
      </w:r>
    </w:p>
    <w:p w14:paraId="65FACBEB" w14:textId="77777777">
      <w:pPr>
        <w:pStyle w:val="Lista2"/>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r>
        <w:t xml:space="preserve"> → “A”</w:t>
      </w:r>
    </w:p>
    <w:p w14:paraId="616DD993" w14:textId="77777777">
      <w:pPr>
        <w:pStyle w:val="Lista2"/>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"1"</w:t>
      </w:r>
      <w:r>
        <w:rPr>
          <w:rStyle w:val="Code"/>
        </w:rPr>
        <w:t>&gt;</w:t>
      </w:r>
      <w:r>
        <w:t xml:space="preserve"> → “Fragment 1”</w:t>
      </w:r>
    </w:p>
    <w:p w14:paraId="4E40C91F" w14:textId="77777777">
      <w:pPr>
        <w:pStyle w:val="Lista2"/>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t xml:space="preserve"> → “Face a”</w:t>
      </w:r>
    </w:p>
    <w:p w14:paraId="2670999B" w14:textId="77777777">
      <w:pPr>
        <w:pStyle w:val="Lista"/>
      </w:pPr>
      <w:r>
        <w:t xml:space="preserve">to create a custom heading for a textpart division, use the optional element </w:t>
      </w:r>
      <w:r>
        <w:rPr>
          <w:rStyle w:val="Code"/>
        </w:rPr>
        <w:t xml:space="preserve">&lt;head </w:t>
      </w:r>
      <w:r>
        <w:rPr>
          <w:rStyle w:val="Codeattribute"/>
        </w:rPr>
        <w:t>xml:lang</w:t>
      </w:r>
      <w:r>
        <w:rPr>
          <w:rStyle w:val="Code"/>
        </w:rPr>
        <w:t>=</w:t>
      </w:r>
      <w:r>
        <w:rPr>
          <w:rStyle w:val="Codevalue"/>
        </w:rPr>
        <w:t>"eng"</w:t>
      </w:r>
      <w:r>
        <w:rPr>
          <w:rStyle w:val="Code"/>
        </w:rPr>
        <w:t>&gt;</w:t>
      </w:r>
      <w:r>
        <w:t xml:space="preserve"> immediately after the start tag of a textpart division</w:t>
      </w:r>
    </w:p>
    <w:p w14:paraId="48C1A600" w14:textId="77777777">
      <w:pPr>
        <w:pStyle w:val="Lista2"/>
      </w:pPr>
      <w:r>
        <w:t>such elements in our editions will by default be regarded as editorial and therefore need not be marked up explicitly as such</w:t>
      </w:r>
    </w:p>
    <w:p w14:paraId="480A2DE8" w14:textId="51AFDDFA">
      <w:pPr>
        <w:pStyle w:val="Lista3"/>
      </w:pPr>
      <w:r>
        <w:t>the mandatory language attribute (§</w:t>
      </w:r>
      <w:r>
        <w:fldChar w:fldCharType="begin"/>
      </w:r>
      <w:r>
        <w:instrText xml:space="preserve"> REF _Ref233727317 \r \h </w:instrText>
      </w:r>
      <w:r>
        <w:fldChar w:fldCharType="separate"/>
      </w:r>
      <w:r>
        <w:t>14.4.1</w:t>
      </w:r>
      <w:r>
        <w:fldChar w:fldCharType="end"/>
      </w:r>
      <w:r>
        <w:t>) makes it sufficiently clear that their content is not part of the original text</w:t>
      </w:r>
    </w:p>
    <w:p w14:paraId="49900A4D" w14:textId="77777777">
      <w:pPr>
        <w:pStyle w:val="Lista2"/>
      </w:pPr>
      <w:r>
        <w:t>the use of this element is recommended when the textparts of an inscription are different in nature, so they cannot be conveniently described by a combination of subtype and number</w:t>
      </w:r>
    </w:p>
    <w:p w14:paraId="35E810D4" w14:textId="77777777">
      <w:pPr>
        <w:pStyle w:val="Lista3"/>
      </w:pPr>
      <w:r>
        <w:t xml:space="preserve">in this case add a </w:t>
      </w:r>
      <w:r>
        <w:rPr>
          <w:rStyle w:val="Code"/>
        </w:rPr>
        <w:t>&lt;head&gt;</w:t>
      </w:r>
      <w:r>
        <w:t xml:space="preserve"> element and optionally omit </w:t>
      </w:r>
      <w:r>
        <w:rPr>
          <w:rStyle w:val="Codeattribute"/>
        </w:rPr>
        <w:t>@subtype</w:t>
      </w:r>
    </w:p>
    <w:p w14:paraId="22DA5B3A" w14:textId="77777777">
      <w:pPr>
        <w:pStyle w:val="Lista2"/>
      </w:pPr>
      <w:r>
        <w:t xml:space="preserve">when multiple textparts are of the same nature, the use of </w:t>
      </w:r>
      <w:r>
        <w:rPr>
          <w:rStyle w:val="Codeattribute"/>
        </w:rPr>
        <w:t>@subtype</w:t>
      </w:r>
      <w:r>
        <w:t xml:space="preserve"> remains recommended even if </w:t>
      </w:r>
      <w:r>
        <w:rPr>
          <w:rStyle w:val="Code"/>
        </w:rPr>
        <w:t>&lt;head&gt;</w:t>
      </w:r>
      <w:r>
        <w:t xml:space="preserve"> elements are also added</w:t>
      </w:r>
    </w:p>
    <w:p w14:paraId="2DEA7B1E" w14:textId="77777777">
      <w:pPr>
        <w:pStyle w:val="Lista2"/>
      </w:pPr>
      <w:r>
        <w:t xml:space="preserve">the attribute </w:t>
      </w:r>
      <w:r>
        <w:rPr>
          <w:rStyle w:val="Codeattribute"/>
        </w:rPr>
        <w:t>@n</w:t>
      </w:r>
      <w:r>
        <w:t xml:space="preserve"> on the </w:t>
      </w:r>
      <w:r>
        <w:rPr>
          <w:rStyle w:val="Code"/>
        </w:rPr>
        <w:t>&lt;div&gt;</w:t>
      </w:r>
      <w:r>
        <w:t xml:space="preserve"> element remains mandatory even if a </w:t>
      </w:r>
      <w:r>
        <w:rPr>
          <w:rStyle w:val="Code"/>
        </w:rPr>
        <w:t>&lt;head&gt;</w:t>
      </w:r>
      <w:r>
        <w:t xml:space="preserve"> is present </w:t>
      </w:r>
    </w:p>
    <w:p w14:paraId="1781E679" w14:textId="7DD296BF">
      <w:pPr>
        <w:pStyle w:val="Lista2"/>
      </w:pPr>
      <w:r>
        <w:t xml:space="preserve">see </w:t>
      </w:r>
      <w:r>
        <w:fldChar w:fldCharType="begin"/>
      </w:r>
      <w:r>
        <w:instrText xml:space="preserve"> REF _Ref44078271 \h </w:instrText>
      </w:r>
      <w:r>
        <w:fldChar w:fldCharType="separate"/>
      </w:r>
      <w:r>
        <w:t xml:space="preserve">Exhibit </w:t>
      </w:r>
      <w:r>
        <w:rPr>
          <w:noProof/>
        </w:rPr>
        <w:t>4.2</w:t>
      </w:r>
      <w:r>
        <w:t>.</w:t>
      </w:r>
      <w:r>
        <w:rPr>
          <w:noProof/>
        </w:rPr>
        <w:t>B</w:t>
      </w:r>
      <w:r>
        <w:fldChar w:fldCharType="end"/>
      </w:r>
      <w:r>
        <w:t xml:space="preserve"> for an illustration</w:t>
      </w:r>
    </w:p>
    <w:p w14:paraId="6D7368C0" w14:textId="5311C5B0">
      <w:pPr>
        <w:pStyle w:val="Lista"/>
      </w:pPr>
      <w:r>
        <w:t>it is generally recommended that you stick to concise headings in English, and in particular to the suggestions in the subsections of §</w:t>
      </w:r>
      <w:r>
        <w:fldChar w:fldCharType="begin"/>
      </w:r>
      <w:r>
        <w:instrText xml:space="preserve"> REF _Ref224742342 \r \h </w:instrText>
      </w:r>
      <w:r>
        <w:fldChar w:fldCharType="separate"/>
      </w:r>
      <w:r>
        <w:t>4.2.1.4</w:t>
      </w:r>
      <w:r>
        <w:fldChar w:fldCharType="end"/>
      </w:r>
      <w:r>
        <w:t xml:space="preserve"> for specific use cases</w:t>
      </w:r>
    </w:p>
    <w:p w14:paraId="7F8681CF" w14:textId="77777777">
      <w:pPr>
        <w:pStyle w:val="Lista2"/>
      </w:pPr>
      <w:r>
        <w:t xml:space="preserve">the editorial heading will be neither altered in display, nor supplemented with the value of </w:t>
      </w:r>
      <w:r>
        <w:rPr>
          <w:rStyle w:val="Codeattribute"/>
        </w:rPr>
        <w:t>@n</w:t>
      </w:r>
      <w:r>
        <w:t>, so when creating custom headings,</w:t>
      </w:r>
    </w:p>
    <w:p w14:paraId="662EF056" w14:textId="77777777">
      <w:pPr>
        <w:pStyle w:val="Lista3"/>
      </w:pPr>
      <w:r>
        <w:t>use a capital initial and feel free to include spaces, additional capitals and punctuation as necessary</w:t>
      </w:r>
    </w:p>
    <w:p w14:paraId="31C7031C" w14:textId="206CC1A0">
      <w:pPr>
        <w:pStyle w:val="Lista3"/>
      </w:pPr>
      <w:r>
        <w:t xml:space="preserve">however, to avoid complications, do not use any further markup within this element, except the element </w:t>
      </w:r>
      <w:r>
        <w:rPr>
          <w:rStyle w:val="Code"/>
        </w:rPr>
        <w:t>&lt;foreign&gt;</w:t>
      </w:r>
      <w:r>
        <w:t xml:space="preserve"> </w:t>
      </w:r>
      <w:r>
        <w:rPr>
          <w:noProof/>
        </w:rPr>
        <w:t>(</w:t>
      </w:r>
      <w:r>
        <w:t>§</w:t>
      </w:r>
      <w:r>
        <w:fldChar w:fldCharType="begin"/>
      </w:r>
      <w:r>
        <w:instrText xml:space="preserve"> REF _Ref43986658 \w \h  \* MERGEFORMAT </w:instrText>
      </w:r>
      <w:r>
        <w:fldChar w:fldCharType="separate"/>
      </w:r>
      <w:r>
        <w:t>14.4.2</w:t>
      </w:r>
      <w:r>
        <w:fldChar w:fldCharType="end"/>
      </w:r>
      <w:r>
        <w:t>), which you may employ if you deem necessary</w:t>
      </w:r>
    </w:p>
    <w:p w14:paraId="3ACF2A48" w14:textId="77777777"/>
    <w:tbl>
      <w:tblPr>
        <w:tblStyle w:val="CodeSampleTable"/>
        <w:tblW w:w="5000" w:type="pct"/>
        <w:tblLook w:val="04A0" w:firstRow="1" w:lastRow="0" w:firstColumn="1" w:lastColumn="0" w:noHBand="0" w:noVBand="1"/>
      </w:tblPr>
      <w:tblGrid>
        <w:gridCol w:w="9628"/>
      </w:tblGrid>
      <w:tr w14:paraId="663B609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895CF38" w14:textId="4BEE523A">
            <w:pPr>
              <w:pStyle w:val="Kpalrs"/>
            </w:pPr>
            <w:bookmarkStart w:id="184" w:name="_Ref44078271"/>
            <w:r>
              <w:t xml:space="preserve">Exhibit </w:t>
            </w:r>
            <w:fldSimple w:instr=" STYLEREF 2 \s ">
              <w:r>
                <w:rPr>
                  <w:noProof/>
                </w:rPr>
                <w:t>4.2</w:t>
              </w:r>
            </w:fldSimple>
            <w:r>
              <w:t>.</w:t>
            </w:r>
            <w:fldSimple w:instr=" SEQ Exhibit \* ALPHABETIC \s 2 ">
              <w:r>
                <w:rPr>
                  <w:noProof/>
                </w:rPr>
                <w:t>B</w:t>
              </w:r>
            </w:fldSimple>
            <w:bookmarkEnd w:id="184"/>
            <w:r>
              <w:t>: non-contiguous fragments with custom headings</w:t>
            </w:r>
          </w:p>
        </w:tc>
      </w:tr>
      <w:tr w14:paraId="741863C6" w14:textId="77777777">
        <w:tc>
          <w:tcPr>
            <w:tcW w:w="5000" w:type="pct"/>
          </w:tcPr>
          <w:p w14:paraId="0EF6A655" w14:textId="77777777">
            <w:pPr>
              <w:pStyle w:val="CodeParagraph"/>
              <w:keepNext/>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"1"</w:t>
            </w:r>
            <w:r>
              <w:rPr>
                <w:rStyle w:val="Code"/>
              </w:rPr>
              <w:t>&gt;</w:t>
            </w:r>
          </w:p>
          <w:p w14:paraId="2757B3F1" w14:textId="77777777">
            <w:pPr>
              <w:pStyle w:val="CodeParagraph"/>
              <w:keepNext/>
              <w:rPr>
                <w:rStyle w:val="Code"/>
              </w:rPr>
            </w:pPr>
            <w:r>
              <w:rPr>
                <w:rStyle w:val="Code"/>
              </w:rPr>
              <w:t xml:space="preserve">&lt;head </w:t>
            </w:r>
            <w:r>
              <w:rPr>
                <w:rStyle w:val="Codeattribute"/>
              </w:rPr>
              <w:t>xml:lang</w:t>
            </w:r>
            <w:r>
              <w:rPr>
                <w:rStyle w:val="Code"/>
              </w:rPr>
              <w:t>=</w:t>
            </w:r>
            <w:r>
              <w:rPr>
                <w:rStyle w:val="Codevalue"/>
              </w:rPr>
              <w:t>"eng"</w:t>
            </w:r>
            <w:r>
              <w:rPr>
                <w:rStyle w:val="Code"/>
              </w:rPr>
              <w:t>&gt;</w:t>
            </w:r>
            <w:r>
              <w:rPr>
                <w:rStyle w:val="Codetext"/>
              </w:rPr>
              <w:t>Upper left corner</w:t>
            </w:r>
            <w:r>
              <w:rPr>
                <w:rStyle w:val="Code"/>
              </w:rPr>
              <w:t>&lt;/head&gt;</w:t>
            </w:r>
            <w:r>
              <w:rPr>
                <w:rStyle w:val="Codetext"/>
              </w:rPr>
              <w:br/>
              <w:t xml:space="preserve">  ...</w:t>
            </w:r>
            <w:r>
              <w:rPr>
                <w:rStyle w:val="Codetext"/>
              </w:rPr>
              <w:br/>
            </w:r>
            <w:r>
              <w:rPr>
                <w:rStyle w:val="Code"/>
              </w:rPr>
              <w:t>&lt;/div&gt;</w:t>
            </w:r>
          </w:p>
          <w:p w14:paraId="6A9EECB4" w14:textId="77777777">
            <w:pPr>
              <w:pStyle w:val="CodeParagraph"/>
              <w:keepNext/>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"2"</w:t>
            </w:r>
            <w:r>
              <w:rPr>
                <w:rStyle w:val="Code"/>
              </w:rPr>
              <w:t>&gt;</w:t>
            </w:r>
          </w:p>
          <w:p w14:paraId="6DEBB285" w14:textId="77777777">
            <w:pPr>
              <w:pStyle w:val="CodeParagraph"/>
              <w:keepNext/>
              <w:rPr>
                <w:rStyle w:val="Codetext"/>
              </w:rPr>
            </w:pPr>
            <w:r>
              <w:rPr>
                <w:rStyle w:val="Code"/>
              </w:rPr>
              <w:t xml:space="preserve">&lt;head </w:t>
            </w:r>
            <w:r>
              <w:rPr>
                <w:rStyle w:val="Codeattribute"/>
              </w:rPr>
              <w:t>xml:lang</w:t>
            </w:r>
            <w:r>
              <w:rPr>
                <w:rStyle w:val="Code"/>
              </w:rPr>
              <w:t>=</w:t>
            </w:r>
            <w:r>
              <w:rPr>
                <w:rStyle w:val="Codevalue"/>
              </w:rPr>
              <w:t>"eng"</w:t>
            </w:r>
            <w:r>
              <w:rPr>
                <w:rStyle w:val="Code"/>
              </w:rPr>
              <w:t>&gt;</w:t>
            </w:r>
            <w:r>
              <w:rPr>
                <w:rStyle w:val="Codetext"/>
              </w:rPr>
              <w:t>A small piece not adjacent to any edge</w:t>
            </w:r>
            <w:r>
              <w:rPr>
                <w:rStyle w:val="Code"/>
              </w:rPr>
              <w:t>&lt;/head&gt;</w:t>
            </w:r>
            <w:r>
              <w:rPr>
                <w:rStyle w:val="Codetext"/>
              </w:rPr>
              <w:br/>
              <w:t xml:space="preserve">  ...</w:t>
            </w:r>
          </w:p>
          <w:p w14:paraId="062C7F32" w14:textId="77777777">
            <w:pPr>
              <w:pStyle w:val="CodeParagraph"/>
              <w:keepNext/>
              <w:rPr>
                <w:rFonts w:ascii="Consolas" w:hAnsi="Consolas" w:cs="Consolas"/>
                <w:noProof/>
                <w:color w:val="002060"/>
                <w:shd w:val="clear" w:color="auto" w:fill="F2F2F2" w:themeFill="background1" w:themeFillShade="F2"/>
              </w:rPr>
            </w:pPr>
            <w:r>
              <w:rPr>
                <w:rStyle w:val="Code"/>
              </w:rPr>
              <w:t>&lt;/div&gt;</w:t>
            </w:r>
          </w:p>
        </w:tc>
      </w:tr>
      <w:tr w14:paraId="5157A38D" w14:textId="77777777">
        <w:tc>
          <w:tcPr>
            <w:tcW w:w="5000" w:type="pct"/>
          </w:tcPr>
          <w:p w14:paraId="66B88F20" w14:textId="77777777">
            <w:pPr>
              <w:pStyle w:val="TableNote"/>
            </w:pPr>
            <w:r>
              <w:t>explicitly encoded headings will show “Upper left corner” and “A small piece not adjacent to any edge”</w:t>
            </w:r>
          </w:p>
        </w:tc>
      </w:tr>
    </w:tbl>
    <w:p w14:paraId="2A2A4BC4" w14:textId="77777777">
      <w:pPr>
        <w:pStyle w:val="Cmsor4"/>
      </w:pPr>
      <w:bookmarkStart w:id="185" w:name="_ntlxakteb3wm" w:colFirst="0" w:colLast="0"/>
      <w:bookmarkStart w:id="186" w:name="_u4tz39yk0lmz" w:colFirst="0" w:colLast="0"/>
      <w:bookmarkStart w:id="187" w:name="_v01oqe9wesr6" w:colFirst="0" w:colLast="0"/>
      <w:bookmarkStart w:id="188" w:name="_suh8lewninkg" w:colFirst="0" w:colLast="0"/>
      <w:bookmarkStart w:id="189" w:name="_ro2q56korov1" w:colFirst="0" w:colLast="0"/>
      <w:bookmarkStart w:id="190" w:name="_fh0zn6srq43l" w:colFirst="0" w:colLast="0"/>
      <w:bookmarkStart w:id="191" w:name="_Ref225324541"/>
      <w:bookmarkStart w:id="192" w:name="_Ref224742342"/>
      <w:bookmarkStart w:id="193" w:name="_Ref43986747"/>
      <w:bookmarkEnd w:id="185"/>
      <w:bookmarkEnd w:id="186"/>
      <w:bookmarkEnd w:id="187"/>
      <w:bookmarkEnd w:id="188"/>
      <w:bookmarkEnd w:id="189"/>
      <w:bookmarkEnd w:id="190"/>
      <w:r>
        <w:t>Numbering elements within textparts</w:t>
      </w:r>
      <w:bookmarkEnd w:id="191"/>
    </w:p>
    <w:p w14:paraId="33A95520" w14:textId="77777777">
      <w:pPr>
        <w:rPr>
          <w:lang w:eastAsia="en-US" w:bidi="ar-SA"/>
        </w:rPr>
      </w:pPr>
      <w:r>
        <w:rPr>
          <w:lang w:eastAsia="en-US" w:bidi="ar-SA"/>
        </w:rPr>
        <w:t xml:space="preserve">The numbering of structural elements serves for reference, implying that the number of any represented entity should be unique. However, uniqueness is only a criterion within each textpart, since a reference unique across the entire edition can still be created by combining the textpart number with the number of </w:t>
      </w:r>
      <w:r>
        <w:rPr>
          <w:lang w:eastAsia="en-US" w:bidi="ar-SA"/>
        </w:rPr>
        <w:lastRenderedPageBreak/>
        <w:t>the entity in question. For example, even if textpart A and textpart B both have a line 1, these can still be identified unambiguously as “line 1 of textpart A” and “line 1 of textpart B”.</w:t>
      </w:r>
    </w:p>
    <w:p w14:paraId="02338BF0" w14:textId="77777777">
      <w:pPr>
        <w:pStyle w:val="Normlbehzs"/>
      </w:pPr>
      <w:r>
        <w:rPr>
          <w:lang w:eastAsia="en-US" w:bidi="ar-SA"/>
        </w:rPr>
        <w:t xml:space="preserve">Because textpart divisions are essentially independent editions, for the sake of clarity and consistency we recommend restarting numeration in each textpart for any structural entities present in more than one textpart (typically: physical lines and stanzas). Doing so is especially warranted when there is no </w:t>
      </w:r>
      <w:r>
        <w:t>straightforward sequence of progression from one textpart to another, but restarting never does any harm. Therefore, employ consecutive numbering through textparts only when you have a strong reason to do so.</w:t>
      </w:r>
    </w:p>
    <w:p w14:paraId="0E8C2B77" w14:textId="77777777">
      <w:pPr>
        <w:pStyle w:val="Cmsor2"/>
      </w:pPr>
      <w:bookmarkStart w:id="194" w:name="_Ref225327729"/>
      <w:bookmarkStart w:id="195" w:name="_Toc242889466"/>
      <w:bookmarkEnd w:id="192"/>
      <w:bookmarkEnd w:id="193"/>
      <w:r>
        <w:t>Encoding with milestones</w:t>
      </w:r>
      <w:bookmarkEnd w:id="194"/>
      <w:bookmarkEnd w:id="195"/>
    </w:p>
    <w:p w14:paraId="326C2D54" w14:textId="0FB286C1">
      <w:r>
        <w:t>As introduced in §</w:t>
      </w:r>
      <w:r>
        <w:fldChar w:fldCharType="begin"/>
      </w:r>
      <w:r>
        <w:instrText xml:space="preserve"> REF _Ref182923075 \r \h </w:instrText>
      </w:r>
      <w:r>
        <w:fldChar w:fldCharType="separate"/>
      </w:r>
      <w:r>
        <w:t>4.1</w:t>
      </w:r>
      <w:r>
        <w:fldChar w:fldCharType="end"/>
      </w:r>
      <w:r>
        <w:t xml:space="preserve">, we employ empty elements to indicate points of transition relevant to extrinsic structure. This kind of empty element is called a milestone in TEI parlance. The generic </w:t>
      </w:r>
      <w:r>
        <w:rPr>
          <w:rStyle w:val="Code"/>
        </w:rPr>
        <w:t>&lt;milestone/&gt;</w:t>
      </w:r>
      <w:r>
        <w:t xml:space="preserve"> element, when used for extrinsic structure, must always carry the attribute </w:t>
      </w:r>
      <w:r>
        <w:rPr>
          <w:rStyle w:val="Codeattribute"/>
        </w:rPr>
        <w:t>@unit</w:t>
      </w:r>
      <w:r>
        <w:t xml:space="preserve"> (§</w:t>
      </w:r>
      <w:r>
        <w:fldChar w:fldCharType="begin"/>
      </w:r>
      <w:r>
        <w:instrText xml:space="preserve"> REF _Ref182815315 \r \h </w:instrText>
      </w:r>
      <w:r>
        <w:fldChar w:fldCharType="separate"/>
      </w:r>
      <w:r>
        <w:t>4.3.1</w:t>
      </w:r>
      <w:r>
        <w:fldChar w:fldCharType="end"/>
      </w:r>
      <w:r>
        <w:t xml:space="preserve">) to encode what kind of transition it represents. TEI also provides several specialised milestone elements, where the unit is implicit in the element’s name and does not need to be encoded explicitly. Of these, our encoding makes use of </w:t>
      </w:r>
      <w:r>
        <w:rPr>
          <w:rStyle w:val="Code"/>
        </w:rPr>
        <w:t>&lt;pb/&gt;</w:t>
      </w:r>
      <w:r>
        <w:t xml:space="preserve"> “Page Beginning” (§</w:t>
      </w:r>
      <w:r>
        <w:fldChar w:fldCharType="begin"/>
      </w:r>
      <w:r>
        <w:instrText xml:space="preserve"> REF _Ref183083979 \r \h </w:instrText>
      </w:r>
      <w:r>
        <w:fldChar w:fldCharType="separate"/>
      </w:r>
      <w:r>
        <w:t>4.4.2</w:t>
      </w:r>
      <w:r>
        <w:fldChar w:fldCharType="end"/>
      </w:r>
      <w:r>
        <w:t xml:space="preserve">) and </w:t>
      </w:r>
      <w:r>
        <w:rPr>
          <w:rStyle w:val="Code"/>
        </w:rPr>
        <w:t>&lt;lb/&gt;</w:t>
      </w:r>
      <w:r>
        <w:t xml:space="preserve"> “Line Beginning” (§</w:t>
      </w:r>
      <w:r>
        <w:fldChar w:fldCharType="begin"/>
      </w:r>
      <w:r>
        <w:instrText xml:space="preserve"> REF _Ref224720139 \r \h </w:instrText>
      </w:r>
      <w:r>
        <w:fldChar w:fldCharType="separate"/>
      </w:r>
      <w:r>
        <w:t>4.5</w:t>
      </w:r>
      <w:r>
        <w:fldChar w:fldCharType="end"/>
      </w:r>
      <w:r>
        <w:t xml:space="preserve">), while the generic </w:t>
      </w:r>
      <w:r>
        <w:rPr>
          <w:rStyle w:val="Code"/>
        </w:rPr>
        <w:t>&lt;milestone/&gt;</w:t>
      </w:r>
      <w:r>
        <w:t xml:space="preserve"> element is used with </w:t>
      </w:r>
      <w:r>
        <w:rPr>
          <w:rStyle w:val="Codeattribute"/>
        </w:rPr>
        <w:t>@type=</w:t>
      </w:r>
      <w:r>
        <w:rPr>
          <w:rStyle w:val="Codevalue"/>
        </w:rPr>
        <w:t>"pagelike"</w:t>
      </w:r>
      <w:r>
        <w:t xml:space="preserve"> to represent pagelike partitions other than actual pages (§</w:t>
      </w:r>
      <w:r>
        <w:fldChar w:fldCharType="begin"/>
      </w:r>
      <w:r>
        <w:instrText xml:space="preserve"> REF _Ref43986679 \r \h </w:instrText>
      </w:r>
      <w:r>
        <w:fldChar w:fldCharType="separate"/>
      </w:r>
      <w:r>
        <w:t>4.4.2.1</w:t>
      </w:r>
      <w:r>
        <w:fldChar w:fldCharType="end"/>
      </w:r>
      <w:r>
        <w:t xml:space="preserve">), and without </w:t>
      </w:r>
      <w:r>
        <w:rPr>
          <w:rStyle w:val="Codeattribute"/>
        </w:rPr>
        <w:t>@type</w:t>
      </w:r>
      <w:r>
        <w:t xml:space="preserve"> to represent gridlike partitions (§</w:t>
      </w:r>
      <w:r>
        <w:fldChar w:fldCharType="begin"/>
      </w:r>
      <w:r>
        <w:instrText xml:space="preserve"> REF _Ref182310382 \r \h </w:instrText>
      </w:r>
      <w:r>
        <w:fldChar w:fldCharType="separate"/>
      </w:r>
      <w:r>
        <w:t>4.6.1</w:t>
      </w:r>
      <w:r>
        <w:fldChar w:fldCharType="end"/>
      </w:r>
      <w:r>
        <w:t>).</w:t>
      </w:r>
      <w:r>
        <w:rPr>
          <w:rStyle w:val="Lbjegyzet-hivatkozs"/>
        </w:rPr>
        <w:footnoteReference w:id="14"/>
      </w:r>
      <w:r>
        <w:t xml:space="preserve"> Milestone-type elements representing extrinsic structure are always numbered in our editions, with numeration schemes for each kind discussed in the relevant sections. The present section gathers instructions that apply in general to the structural milestones we use.</w:t>
      </w:r>
    </w:p>
    <w:p w14:paraId="7B13C9BA" w14:textId="77777777">
      <w:pPr>
        <w:pStyle w:val="Cmsor3"/>
      </w:pPr>
      <w:bookmarkStart w:id="196" w:name="_2po8nsoeevw0" w:colFirst="0" w:colLast="0"/>
      <w:bookmarkStart w:id="197" w:name="_Ref182815315"/>
      <w:bookmarkStart w:id="198" w:name="_Ref43979481"/>
      <w:bookmarkStart w:id="199" w:name="_Ref182580598"/>
      <w:bookmarkStart w:id="200" w:name="_Ref182580609"/>
      <w:bookmarkStart w:id="201" w:name="_Ref182580645"/>
      <w:bookmarkStart w:id="202" w:name="_Ref182580657"/>
      <w:bookmarkStart w:id="203" w:name="_Ref182580801"/>
      <w:bookmarkStart w:id="204" w:name="_Toc242889467"/>
      <w:bookmarkEnd w:id="196"/>
      <w:r>
        <w:t>Milestone units</w:t>
      </w:r>
      <w:bookmarkEnd w:id="197"/>
      <w:bookmarkEnd w:id="204"/>
    </w:p>
    <w:p w14:paraId="412ED916" w14:textId="77777777">
      <w:pPr>
        <w:pStyle w:val="Lista"/>
      </w:pPr>
      <w:r>
        <w:t xml:space="preserve">the attribute </w:t>
      </w:r>
      <w:r>
        <w:rPr>
          <w:rStyle w:val="Codeattribute"/>
        </w:rPr>
        <w:t>@unit</w:t>
      </w:r>
      <w:r>
        <w:t xml:space="preserve"> is mandatory for all </w:t>
      </w:r>
      <w:r>
        <w:rPr>
          <w:rStyle w:val="Code"/>
        </w:rPr>
        <w:t>&lt;milestone&gt;</w:t>
      </w:r>
      <w:r>
        <w:t xml:space="preserve"> elements representing extrinsic structure</w:t>
      </w:r>
    </w:p>
    <w:p w14:paraId="3D4AE5DA" w14:textId="432BB20D">
      <w:pPr>
        <w:pStyle w:val="Lista"/>
      </w:pPr>
      <w:r>
        <w:t xml:space="preserve">the value of this attribute shall be a single word describing the nature of the partition analogously to the (optional) </w:t>
      </w:r>
      <w:r>
        <w:rPr>
          <w:rStyle w:val="Codeattribute"/>
        </w:rPr>
        <w:t>@subtype</w:t>
      </w:r>
      <w:r>
        <w:t xml:space="preserve"> of textpart divisions </w:t>
      </w:r>
      <w:r>
        <w:rPr>
          <w:noProof/>
        </w:rPr>
        <w:t>(</w:t>
      </w:r>
      <w:r>
        <w:t>§</w:t>
      </w:r>
      <w:r>
        <w:fldChar w:fldCharType="begin"/>
      </w:r>
      <w:r>
        <w:instrText xml:space="preserve"> REF _Ref182236825 \r \h </w:instrText>
      </w:r>
      <w:r>
        <w:fldChar w:fldCharType="separate"/>
      </w:r>
      <w:r>
        <w:t>4.2.1.2</w:t>
      </w:r>
      <w:r>
        <w:fldChar w:fldCharType="end"/>
      </w:r>
      <w:r>
        <w:t>), based on the physical nature of the corresponding partition of extrinsic structure, disregarding its visual appearance, topological position relative to other textparts, and semantic function in intrinsic structure</w:t>
      </w:r>
    </w:p>
    <w:p w14:paraId="7D60B342" w14:textId="4DBD0A50">
      <w:pPr>
        <w:pStyle w:val="Lista"/>
      </w:pPr>
      <w:r>
        <w:t xml:space="preserve">the permitted values of </w:t>
      </w:r>
      <w:r>
        <w:rPr>
          <w:rStyle w:val="Codeattribute"/>
        </w:rPr>
        <w:t>@unit</w:t>
      </w:r>
      <w:r>
        <w:t>, applicable to both pagelike (§</w:t>
      </w:r>
      <w:r>
        <w:fldChar w:fldCharType="begin"/>
      </w:r>
      <w:r>
        <w:instrText xml:space="preserve"> REF _Ref43986679 \r \h </w:instrText>
      </w:r>
      <w:r>
        <w:fldChar w:fldCharType="separate"/>
      </w:r>
      <w:r>
        <w:t>4.4.2.1</w:t>
      </w:r>
      <w:r>
        <w:fldChar w:fldCharType="end"/>
      </w:r>
      <w:r>
        <w:t>) and gridlike (§</w:t>
      </w:r>
      <w:r>
        <w:fldChar w:fldCharType="begin"/>
      </w:r>
      <w:r>
        <w:instrText xml:space="preserve"> REF _Ref182310382 \r \h </w:instrText>
      </w:r>
      <w:r>
        <w:fldChar w:fldCharType="separate"/>
      </w:r>
      <w:r>
        <w:t>4.6.1</w:t>
      </w:r>
      <w:r>
        <w:fldChar w:fldCharType="end"/>
      </w:r>
      <w:r>
        <w:t xml:space="preserve">) </w:t>
      </w:r>
      <w:r>
        <w:rPr>
          <w:rStyle w:val="Code"/>
        </w:rPr>
        <w:t>&lt;milestone&gt;</w:t>
      </w:r>
      <w:r>
        <w:t xml:space="preserve"> elements, are as follows:</w:t>
      </w:r>
    </w:p>
    <w:p w14:paraId="01C9EDBB" w14:textId="4A86CC80">
      <w:pPr>
        <w:pStyle w:val="Lista2"/>
      </w:pPr>
      <w:r>
        <w:rPr>
          <w:rStyle w:val="Codevalue"/>
        </w:rPr>
        <w:t>"block"</w:t>
      </w:r>
      <w:r>
        <w:t xml:space="preserve"> for inscriptions on separable architectural blocks in a larger element such as a wall (gridlike: </w:t>
      </w:r>
      <w:r>
        <w:fldChar w:fldCharType="begin"/>
      </w:r>
      <w:r>
        <w:instrText xml:space="preserve"> REF _Ref44078533 \h </w:instrText>
      </w:r>
      <w:r>
        <w:fldChar w:fldCharType="separate"/>
      </w:r>
      <w:r>
        <w:t xml:space="preserve">Exhibit </w:t>
      </w:r>
      <w:r>
        <w:rPr>
          <w:noProof/>
        </w:rPr>
        <w:t>4.7</w:t>
      </w:r>
      <w:r>
        <w:t>.</w:t>
      </w:r>
      <w:r>
        <w:rPr>
          <w:noProof/>
        </w:rPr>
        <w:t>O</w:t>
      </w:r>
      <w:r>
        <w:fldChar w:fldCharType="end"/>
      </w:r>
      <w:r>
        <w:t>)</w:t>
      </w:r>
    </w:p>
    <w:p w14:paraId="3AB1D110" w14:textId="77777777">
      <w:pPr>
        <w:pStyle w:val="Lista2"/>
      </w:pPr>
      <w:r>
        <w:rPr>
          <w:rStyle w:val="Codevalue"/>
        </w:rPr>
        <w:t>"column"</w:t>
      </w:r>
      <w:r>
        <w:t xml:space="preserve"> for zones placed side by side and generally taller than they are wide</w:t>
      </w:r>
    </w:p>
    <w:p w14:paraId="52AE1A25" w14:textId="6FC497CE">
      <w:pPr>
        <w:pStyle w:val="Lista3"/>
      </w:pPr>
      <w:r>
        <w:rPr>
          <w:noProof/>
        </w:rPr>
        <w:t xml:space="preserve">resembling </w:t>
      </w:r>
      <w:r>
        <w:t xml:space="preserve">the columns of newsprint for pagelike partitions, as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p>
    <w:p w14:paraId="7C2DEB48" w14:textId="75A5F0ED">
      <w:pPr>
        <w:pStyle w:val="Lista3"/>
      </w:pPr>
      <w:r>
        <w:t xml:space="preserve">resembling verse with metrical subunits arranged into quasi-columns for gridlike partitions, as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 xml:space="preserve"> and the Case Study in </w:t>
      </w:r>
      <w:r>
        <w:fldChar w:fldCharType="begin"/>
      </w:r>
      <w:r>
        <w:instrText xml:space="preserve"> REF _Ref239843991 \r \h </w:instrText>
      </w:r>
      <w:r>
        <w:fldChar w:fldCharType="separate"/>
      </w:r>
      <w:r>
        <w:t>Appendix A.6</w:t>
      </w:r>
      <w:r>
        <w:fldChar w:fldCharType="end"/>
      </w:r>
    </w:p>
    <w:p w14:paraId="08A8344D" w14:textId="3DB30AC0">
      <w:pPr>
        <w:pStyle w:val="Lista2"/>
      </w:pPr>
      <w:r>
        <w:rPr>
          <w:rStyle w:val="Codevalue"/>
        </w:rPr>
        <w:t>"face"</w:t>
      </w:r>
      <w:r>
        <w:t xml:space="preserve"> for a physically contiguous surface of a three-dimensional object of any shape and any number of sides (gridlike: </w:t>
      </w:r>
      <w:r>
        <w:fldChar w:fldCharType="begin"/>
      </w:r>
      <w:r>
        <w:instrText xml:space="preserve"> REF _Ref182822234 \h </w:instrText>
      </w:r>
      <w:r>
        <w:fldChar w:fldCharType="separate"/>
      </w:r>
      <w:r>
        <w:t xml:space="preserve">Exhibit </w:t>
      </w:r>
      <w:r>
        <w:rPr>
          <w:noProof/>
        </w:rPr>
        <w:t>4.7</w:t>
      </w:r>
      <w:r>
        <w:t>.</w:t>
      </w:r>
      <w:r>
        <w:rPr>
          <w:noProof/>
        </w:rPr>
        <w:t>R</w:t>
      </w:r>
      <w:r>
        <w:fldChar w:fldCharType="end"/>
      </w:r>
      <w:r>
        <w:t xml:space="preserve">; see also the Case Study in </w:t>
      </w:r>
      <w:r>
        <w:fldChar w:fldCharType="begin"/>
      </w:r>
      <w:r>
        <w:instrText xml:space="preserve"> REF _Ref239843991 \r \h </w:instrText>
      </w:r>
      <w:r>
        <w:fldChar w:fldCharType="separate"/>
      </w:r>
      <w:r>
        <w:t>Appendix A.6</w:t>
      </w:r>
      <w:r>
        <w:fldChar w:fldCharType="end"/>
      </w:r>
      <w:r>
        <w:t xml:space="preserve"> for pagelike faces subdivided into gridlike columns)</w:t>
      </w:r>
    </w:p>
    <w:p w14:paraId="37EB2D4A" w14:textId="77777777">
      <w:pPr>
        <w:pStyle w:val="Lista2"/>
      </w:pPr>
      <w:r>
        <w:rPr>
          <w:rStyle w:val="Codevalue"/>
        </w:rPr>
        <w:t>"faces"</w:t>
      </w:r>
      <w:r>
        <w:t xml:space="preserve"> in texts where each pagelike zone involves lines continuing across two or more surfaces such as the frontal and lateral face of a four-sided stele</w:t>
      </w:r>
    </w:p>
    <w:p w14:paraId="54353604" w14:textId="39CEB230">
      <w:pPr>
        <w:pStyle w:val="Lista3"/>
      </w:pPr>
      <w:r>
        <w:t xml:space="preserve">this unit is not normally applicable to gridlike partitions, but a gridlike partition with </w:t>
      </w:r>
      <w:r>
        <w:rPr>
          <w:rStyle w:val="Codeattribute"/>
        </w:rPr>
        <w:t>@unit=</w:t>
      </w:r>
      <w:r>
        <w:rPr>
          <w:rStyle w:val="Codevalue"/>
        </w:rPr>
        <w:t>"face"</w:t>
      </w:r>
      <w:r>
        <w:t xml:space="preserve"> may be used to encode the boundary of each face constituting a pagelike zone of this kind, as in the Case Study in </w:t>
      </w:r>
      <w:r>
        <w:fldChar w:fldCharType="begin"/>
      </w:r>
      <w:r>
        <w:instrText xml:space="preserve"> REF _Ref239844040 \r \h </w:instrText>
      </w:r>
      <w:r>
        <w:fldChar w:fldCharType="separate"/>
      </w:r>
      <w:r>
        <w:t>Appendix A.5</w:t>
      </w:r>
      <w:r>
        <w:fldChar w:fldCharType="end"/>
      </w:r>
      <w:r>
        <w:t xml:space="preserve"> </w:t>
      </w:r>
    </w:p>
    <w:p w14:paraId="186611E5" w14:textId="77777777">
      <w:pPr>
        <w:pStyle w:val="Lista2"/>
      </w:pPr>
      <w:r>
        <w:rPr>
          <w:rStyle w:val="Codevalue"/>
        </w:rPr>
        <w:t>"fragment"</w:t>
      </w:r>
      <w:r>
        <w:t xml:space="preserve"> for objects with two or more extant inscribed fragments</w:t>
      </w:r>
    </w:p>
    <w:p w14:paraId="1EC93AE3" w14:textId="20EF1440">
      <w:pPr>
        <w:pStyle w:val="Lista3"/>
      </w:pPr>
      <w:r>
        <w:t xml:space="preserve">fragmentation generally engenders gridlike partitions as in </w:t>
      </w:r>
      <w:r>
        <w:fldChar w:fldCharType="begin"/>
      </w:r>
      <w:r>
        <w:instrText xml:space="preserve"> REF _Ref182834408 \h </w:instrText>
      </w:r>
      <w:r>
        <w:fldChar w:fldCharType="separate"/>
      </w:r>
      <w:r>
        <w:t xml:space="preserve">Exhibit </w:t>
      </w:r>
      <w:r>
        <w:rPr>
          <w:noProof/>
        </w:rPr>
        <w:t>4.7</w:t>
      </w:r>
      <w:r>
        <w:t>.</w:t>
      </w:r>
      <w:r>
        <w:rPr>
          <w:noProof/>
        </w:rPr>
        <w:t>W</w:t>
      </w:r>
      <w:r>
        <w:fldChar w:fldCharType="end"/>
      </w:r>
      <w:r>
        <w:t xml:space="preserve">, but may occasionally result in a pagelike partition as in </w:t>
      </w:r>
      <w:r>
        <w:fldChar w:fldCharType="begin"/>
      </w:r>
      <w:r>
        <w:instrText xml:space="preserve"> REF _Ref182822467 \h </w:instrText>
      </w:r>
      <w:r>
        <w:fldChar w:fldCharType="separate"/>
      </w:r>
      <w:r>
        <w:t xml:space="preserve">Exhibit </w:t>
      </w:r>
      <w:r>
        <w:rPr>
          <w:noProof/>
        </w:rPr>
        <w:t>4.7</w:t>
      </w:r>
      <w:r>
        <w:t>.</w:t>
      </w:r>
      <w:r>
        <w:rPr>
          <w:noProof/>
        </w:rPr>
        <w:t>X</w:t>
      </w:r>
      <w:r>
        <w:fldChar w:fldCharType="end"/>
      </w:r>
      <w:r>
        <w:t xml:space="preserve"> as well as in a boxlike one as in </w:t>
      </w:r>
      <w:r>
        <w:fldChar w:fldCharType="begin"/>
      </w:r>
      <w:r>
        <w:instrText xml:space="preserve"> REF _Ref44078070 \h </w:instrText>
      </w:r>
      <w:r>
        <w:fldChar w:fldCharType="separate"/>
      </w:r>
      <w:r>
        <w:t xml:space="preserve">Exhibit </w:t>
      </w:r>
      <w:r>
        <w:rPr>
          <w:noProof/>
        </w:rPr>
        <w:t>4.7</w:t>
      </w:r>
      <w:r>
        <w:t>.</w:t>
      </w:r>
      <w:r>
        <w:rPr>
          <w:noProof/>
        </w:rPr>
        <w:t>I</w:t>
      </w:r>
      <w:r>
        <w:fldChar w:fldCharType="end"/>
      </w:r>
    </w:p>
    <w:p w14:paraId="28E4CEE3" w14:textId="5A2292C0">
      <w:pPr>
        <w:pStyle w:val="Lista2"/>
      </w:pPr>
      <w:r>
        <w:rPr>
          <w:rStyle w:val="Codevalue"/>
        </w:rPr>
        <w:t>"item"</w:t>
      </w:r>
      <w:r>
        <w:t xml:space="preserve"> for physically separate objects such as architectural elements, e.g. when an inscription is engraved on two pillars or doorjambs (pagelike </w:t>
      </w:r>
      <w:r>
        <w:fldChar w:fldCharType="begin"/>
      </w:r>
      <w:r>
        <w:instrText xml:space="preserve"> REF _Ref44078459 \h </w:instrText>
      </w:r>
      <w:r>
        <w:fldChar w:fldCharType="separate"/>
      </w:r>
      <w:r>
        <w:t xml:space="preserve">Exhibit </w:t>
      </w:r>
      <w:r>
        <w:rPr>
          <w:noProof/>
        </w:rPr>
        <w:t>4.4</w:t>
      </w:r>
      <w:r>
        <w:t>.</w:t>
      </w:r>
      <w:r>
        <w:rPr>
          <w:noProof/>
        </w:rPr>
        <w:t>C</w:t>
      </w:r>
      <w:r>
        <w:fldChar w:fldCharType="end"/>
      </w:r>
      <w:r>
        <w:t>)</w:t>
      </w:r>
    </w:p>
    <w:p w14:paraId="6CE1ABAF" w14:textId="77777777">
      <w:pPr>
        <w:pStyle w:val="Lista3"/>
      </w:pPr>
      <w:r>
        <w:lastRenderedPageBreak/>
        <w:t>this unit is not normally applicable to gridlike partitions</w:t>
      </w:r>
    </w:p>
    <w:p w14:paraId="288454E2" w14:textId="77777777">
      <w:pPr>
        <w:pStyle w:val="Lista2"/>
      </w:pPr>
      <w:r>
        <w:rPr>
          <w:rStyle w:val="Codevalue"/>
        </w:rPr>
        <w:t>"zone"</w:t>
      </w:r>
      <w:r>
        <w:t xml:space="preserve"> for visually distinct zones that do not readily meet any of the specific definitions above</w:t>
      </w:r>
    </w:p>
    <w:p w14:paraId="77B922C3" w14:textId="77777777">
      <w:pPr>
        <w:pStyle w:val="Lista3"/>
      </w:pPr>
      <w:r>
        <w:t>a zone is generally conceived of as being on a single contiguous surface, but in inscriptions with a complex topology, this unit may also be used for a visually distinct area occupying two or more surfaces</w:t>
      </w:r>
    </w:p>
    <w:p w14:paraId="147789AE" w14:textId="77777777">
      <w:pPr>
        <w:pStyle w:val="Lista2"/>
      </w:pPr>
      <w:bookmarkStart w:id="205" w:name="_Ref225352317"/>
      <w:bookmarkStart w:id="206" w:name="_Ref225324572"/>
      <w:r>
        <w:t>only the values listed above may be used, even though earlier versions of this Guide permitted using custom values</w:t>
      </w:r>
    </w:p>
    <w:p w14:paraId="48E98EFC" w14:textId="77777777">
      <w:pPr>
        <w:pStyle w:val="Cmsor3"/>
      </w:pPr>
      <w:bookmarkStart w:id="207" w:name="_Toc242889468"/>
      <w:r>
        <w:t xml:space="preserve">Milestones interrupting </w:t>
      </w:r>
      <w:bookmarkEnd w:id="205"/>
      <w:r>
        <w:t>the text</w:t>
      </w:r>
      <w:bookmarkEnd w:id="207"/>
    </w:p>
    <w:p w14:paraId="431F2AEB" w14:textId="387A77D5">
      <w:pPr>
        <w:rPr>
          <w:lang w:eastAsia="en-US" w:bidi="ar-SA"/>
        </w:rPr>
      </w:pPr>
      <w:r>
        <w:rPr>
          <w:lang w:eastAsia="en-US" w:bidi="ar-SA"/>
        </w:rPr>
        <w:t>When a milestone for extrinsic structure falls inside a word, this must be encoded as per §</w:t>
      </w:r>
      <w:r>
        <w:fldChar w:fldCharType="begin"/>
      </w:r>
      <w:r>
        <w:instrText xml:space="preserve"> REF _Ref225519777 \r \h </w:instrText>
      </w:r>
      <w:r>
        <w:fldChar w:fldCharType="separate"/>
      </w:r>
      <w:r>
        <w:t>4.3.2.1</w:t>
      </w:r>
      <w:r>
        <w:fldChar w:fldCharType="end"/>
      </w:r>
      <w:r>
        <w:t xml:space="preserve"> to show that the structural break is not also a word break. In situations where a structural boundary — typically a fracture, but occasionally also a transition to another surface of a three-dimensional object — splits one or more atomic </w:t>
      </w:r>
      <w:r>
        <w:rPr>
          <w:rStyle w:val="Foreign"/>
        </w:rPr>
        <w:t>akṣara</w:t>
      </w:r>
      <w:r>
        <w:rPr>
          <w:noProof/>
        </w:rPr>
        <w:t>s</w:t>
      </w:r>
      <w:r>
        <w:t xml:space="preserve"> of the text, the target graphemes corresponding to the split </w:t>
      </w:r>
      <w:r>
        <w:rPr>
          <w:rStyle w:val="Foreign"/>
        </w:rPr>
        <w:t>akṣara</w:t>
      </w:r>
      <w:r>
        <w:t xml:space="preserve"> shall be arbitrarily allocated to one side of the partition or the other. Specific guidelines for this are given in §</w:t>
      </w:r>
      <w:r>
        <w:fldChar w:fldCharType="begin"/>
      </w:r>
      <w:r>
        <w:instrText xml:space="preserve"> REF _Ref182813737 \r \h </w:instrText>
      </w:r>
      <w:r>
        <w:fldChar w:fldCharType="separate"/>
      </w:r>
      <w:r>
        <w:t>4.7.6.1</w:t>
      </w:r>
      <w:r>
        <w:fldChar w:fldCharType="end"/>
      </w:r>
      <w:r>
        <w:t xml:space="preserve">. When a theoretically atomic </w:t>
      </w:r>
      <w:r>
        <w:rPr>
          <w:rStyle w:val="Foreign"/>
        </w:rPr>
        <w:t>akṣara</w:t>
      </w:r>
      <w:r>
        <w:t xml:space="preserve"> is deliberately separated into its constituent parts by the scribe, this can be encoded as per §</w:t>
      </w:r>
      <w:r>
        <w:fldChar w:fldCharType="begin"/>
      </w:r>
      <w:r>
        <w:instrText xml:space="preserve"> REF _Ref43987165 \r \h </w:instrText>
      </w:r>
      <w:r>
        <w:fldChar w:fldCharType="separate"/>
      </w:r>
      <w:r>
        <w:t>5.2.4</w:t>
      </w:r>
      <w:r>
        <w:fldChar w:fldCharType="end"/>
      </w:r>
      <w:r>
        <w:t>.</w:t>
      </w:r>
    </w:p>
    <w:p w14:paraId="1DBE5D41" w14:textId="77777777">
      <w:pPr>
        <w:pStyle w:val="Cmsor4"/>
      </w:pPr>
      <w:bookmarkStart w:id="208" w:name="_Ref225519777"/>
      <w:r>
        <w:t>Milestones interrupting words</w:t>
      </w:r>
      <w:bookmarkEnd w:id="208"/>
    </w:p>
    <w:p w14:paraId="2B0C3EF6" w14:textId="303F31F7">
      <w:pPr>
        <w:pStyle w:val="Lista"/>
      </w:pPr>
      <w:r>
        <w:t xml:space="preserve">a structural transition interrupts a word if it occurs at a point other than between two independent words, i.e. at any place where cannot add an editorial space </w:t>
      </w:r>
      <w:r>
        <w:rPr>
          <w:noProof/>
        </w:rPr>
        <w:t>(</w:t>
      </w:r>
      <w:r>
        <w:t>TG §7.3.2), including cases</w:t>
      </w:r>
    </w:p>
    <w:p w14:paraId="0FD82DA0" w14:textId="77777777">
      <w:pPr>
        <w:pStyle w:val="Lista2"/>
      </w:pPr>
      <w:r>
        <w:t xml:space="preserve">where the words before and after the transition are compounded to one another </w:t>
      </w:r>
      <w:r>
        <w:rPr>
          <w:noProof/>
        </w:rPr>
        <w:t>(</w:t>
      </w:r>
      <w:r>
        <w:t xml:space="preserve">e.g. </w:t>
      </w:r>
      <w:r>
        <w:rPr>
          <w:rStyle w:val="Foreign"/>
        </w:rPr>
        <w:t>mahā/rāja</w:t>
      </w:r>
      <w:r>
        <w:t>)</w:t>
      </w:r>
    </w:p>
    <w:p w14:paraId="735B06D3" w14:textId="77777777">
      <w:pPr>
        <w:pStyle w:val="Lista2"/>
      </w:pPr>
      <w:r>
        <w:t xml:space="preserve">where an initial vowel is fused in sandhi to the vowel before the transition </w:t>
      </w:r>
      <w:r>
        <w:rPr>
          <w:noProof/>
        </w:rPr>
        <w:t>(</w:t>
      </w:r>
      <w:r>
        <w:t xml:space="preserve">e.g. </w:t>
      </w:r>
      <w:r>
        <w:rPr>
          <w:rStyle w:val="Foreign"/>
        </w:rPr>
        <w:t>tathā/pi</w:t>
      </w:r>
      <w:r>
        <w:t xml:space="preserve">, </w:t>
      </w:r>
      <w:r>
        <w:rPr>
          <w:rStyle w:val="Foreign"/>
        </w:rPr>
        <w:t>atre/yam</w:t>
      </w:r>
      <w:r>
        <w:t xml:space="preserve">, </w:t>
      </w:r>
      <w:r>
        <w:rPr>
          <w:rStyle w:val="Foreign"/>
        </w:rPr>
        <w:t>tatho/ktam</w:t>
      </w:r>
      <w:r>
        <w:t xml:space="preserve">; but not </w:t>
      </w:r>
      <w:r>
        <w:rPr>
          <w:rStyle w:val="Foreign"/>
        </w:rPr>
        <w:t>so/yam</w:t>
      </w:r>
      <w:r>
        <w:t>, where the sandhi does not involve vowel fusion)</w:t>
      </w:r>
    </w:p>
    <w:p w14:paraId="0621B33C" w14:textId="2BE6A704">
      <w:pPr>
        <w:pStyle w:val="Lista2"/>
      </w:pPr>
      <w:r>
        <w:t>unlike the boundaries of intrinsic structure (§</w:t>
      </w:r>
      <w:r>
        <w:fldChar w:fldCharType="begin"/>
      </w:r>
      <w:r>
        <w:instrText xml:space="preserve"> REF _Ref225328264 \r \h </w:instrText>
      </w:r>
      <w:r>
        <w:fldChar w:fldCharType="separate"/>
      </w:r>
      <w:r>
        <w:t>3.2.4.1</w:t>
      </w:r>
      <w:r>
        <w:fldChar w:fldCharType="end"/>
      </w:r>
      <w:r>
        <w:t xml:space="preserve">), extrinsic structure can interrupt words which are separable in transliteration, when the separation of the source’s </w:t>
      </w:r>
      <w:r>
        <w:rPr>
          <w:rStyle w:val="Foreign"/>
        </w:rPr>
        <w:t>akṣara</w:t>
      </w:r>
      <w:r>
        <w:rPr>
          <w:rStyle w:val="Foreign"/>
          <w:i w:val="0"/>
          <w:iCs w:val="0"/>
        </w:rPr>
        <w:t>s</w:t>
      </w:r>
      <w:r>
        <w:t xml:space="preserve"> does not coincide with the structural transition because a final vowel has been reduced in sandhi to a semivowel</w:t>
      </w:r>
    </w:p>
    <w:p w14:paraId="55E5AB89" w14:textId="77777777">
      <w:pPr>
        <w:pStyle w:val="Lista3"/>
      </w:pPr>
      <w:r>
        <w:t xml:space="preserve">e.g. </w:t>
      </w:r>
      <w:r>
        <w:rPr>
          <w:rStyle w:val="Foreign"/>
        </w:rPr>
        <w:t>a/sty atra</w:t>
      </w:r>
      <w:r>
        <w:t xml:space="preserve">, </w:t>
      </w:r>
      <w:r>
        <w:rPr>
          <w:rStyle w:val="Foreign"/>
        </w:rPr>
        <w:t>asty a/tra</w:t>
      </w:r>
      <w:r>
        <w:t xml:space="preserve">, </w:t>
      </w:r>
      <w:r>
        <w:rPr>
          <w:rStyle w:val="Foreign"/>
        </w:rPr>
        <w:t>asā/v api</w:t>
      </w:r>
      <w:r>
        <w:t xml:space="preserve">, </w:t>
      </w:r>
      <w:r>
        <w:rPr>
          <w:rStyle w:val="Foreign"/>
        </w:rPr>
        <w:t>asāv a/pi</w:t>
      </w:r>
    </w:p>
    <w:p w14:paraId="66F27D16" w14:textId="77777777">
      <w:pPr>
        <w:pStyle w:val="Lista2"/>
      </w:pPr>
      <w:r>
        <w:t>a structural transition is understood to interrupt a word even if the word is also interrupted by another feature at the same spot, such as</w:t>
      </w:r>
    </w:p>
    <w:p w14:paraId="7FB5986B" w14:textId="45B95437">
      <w:pPr>
        <w:pStyle w:val="Lista3"/>
      </w:pPr>
      <w:r>
        <w:t xml:space="preserve">connector symbols </w:t>
      </w:r>
      <w:r>
        <w:rPr>
          <w:noProof/>
        </w:rPr>
        <w:t>(</w:t>
      </w:r>
      <w:r>
        <w:t>§</w:t>
      </w:r>
      <w:r>
        <w:fldChar w:fldCharType="begin"/>
      </w:r>
      <w:r>
        <w:instrText xml:space="preserve"> REF _Ref226038881 \r \h </w:instrText>
      </w:r>
      <w:r>
        <w:fldChar w:fldCharType="separate"/>
      </w:r>
      <w:r>
        <w:t>5.4.2.3</w:t>
      </w:r>
      <w:r>
        <w:fldChar w:fldCharType="end"/>
      </w:r>
      <w:r>
        <w:t>) before the transition</w:t>
      </w:r>
    </w:p>
    <w:p w14:paraId="74A5427F" w14:textId="50AF99FF">
      <w:pPr>
        <w:pStyle w:val="Lista3"/>
      </w:pPr>
      <w:r>
        <w:t xml:space="preserve">a space imposed by physical features </w:t>
      </w:r>
      <w:r>
        <w:rPr>
          <w:noProof/>
        </w:rPr>
        <w:t>(</w:t>
      </w:r>
      <w:r>
        <w:t>§</w:t>
      </w:r>
      <w:r>
        <w:fldChar w:fldCharType="begin"/>
      </w:r>
      <w:r>
        <w:instrText xml:space="preserve"> REF _Ref43985107 \w \h  \* MERGEFORMAT </w:instrText>
      </w:r>
      <w:r>
        <w:fldChar w:fldCharType="separate"/>
      </w:r>
      <w:r>
        <w:t>5.5.2.2</w:t>
      </w:r>
      <w:r>
        <w:fldChar w:fldCharType="end"/>
      </w:r>
      <w:r>
        <w:t>) before or after the transition</w:t>
      </w:r>
    </w:p>
    <w:p w14:paraId="02F4E545" w14:textId="350594D2">
      <w:pPr>
        <w:pStyle w:val="Lista3"/>
      </w:pPr>
      <w:r>
        <w:t xml:space="preserve">pre-modern deletion </w:t>
      </w:r>
      <w:r>
        <w:rPr>
          <w:noProof/>
        </w:rPr>
        <w:t>(</w:t>
      </w:r>
      <w:r>
        <w:t>§</w:t>
      </w:r>
      <w:r>
        <w:fldChar w:fldCharType="begin"/>
      </w:r>
      <w:r>
        <w:instrText xml:space="preserve"> REF _Ref43985171 \w \h  \* MERGEFORMAT </w:instrText>
      </w:r>
      <w:r>
        <w:fldChar w:fldCharType="separate"/>
      </w:r>
      <w:r>
        <w:t>5.6.1</w:t>
      </w:r>
      <w:r>
        <w:fldChar w:fldCharType="end"/>
      </w:r>
      <w:r>
        <w:t>) before or after the transition</w:t>
      </w:r>
    </w:p>
    <w:p w14:paraId="080C4789" w14:textId="4B5A8277">
      <w:pPr>
        <w:pStyle w:val="Lista3"/>
      </w:pPr>
      <w:r>
        <w:t xml:space="preserve">a lacuna </w:t>
      </w:r>
      <w:r>
        <w:rPr>
          <w:noProof/>
        </w:rPr>
        <w:t>(</w:t>
      </w:r>
      <w:r>
        <w:t>§</w:t>
      </w:r>
      <w:r>
        <w:fldChar w:fldCharType="begin"/>
      </w:r>
      <w:r>
        <w:instrText xml:space="preserve"> REF _Ref228460110 \r \h </w:instrText>
      </w:r>
      <w:r>
        <w:fldChar w:fldCharType="separate"/>
      </w:r>
      <w:r>
        <w:t>6.5</w:t>
      </w:r>
      <w:r>
        <w:fldChar w:fldCharType="end"/>
      </w:r>
      <w:r>
        <w:t xml:space="preserve">) before or after the transition, provided that the original presence of an interrupted word can be inferred with fair likelihood </w:t>
      </w:r>
      <w:r>
        <w:rPr>
          <w:noProof/>
        </w:rPr>
        <w:t>(</w:t>
      </w:r>
      <w:r>
        <w:t>see §</w:t>
      </w:r>
      <w:r>
        <w:fldChar w:fldCharType="begin"/>
      </w:r>
      <w:r>
        <w:instrText xml:space="preserve"> REF _Ref182580157 \r \h </w:instrText>
      </w:r>
      <w:r>
        <w:fldChar w:fldCharType="separate"/>
      </w:r>
      <w:r>
        <w:t>4.3.2.2</w:t>
      </w:r>
      <w:r>
        <w:fldChar w:fldCharType="end"/>
      </w:r>
      <w:r>
        <w:t xml:space="preserve"> for details)</w:t>
      </w:r>
    </w:p>
    <w:p w14:paraId="5A21007A" w14:textId="77777777">
      <w:pPr>
        <w:pStyle w:val="Lista"/>
      </w:pPr>
      <w:r>
        <w:t xml:space="preserve">when a structural transition interrupts a word, then any and all milestone tags representing that transition must take the attribute </w:t>
      </w:r>
      <w:r>
        <w:rPr>
          <w:rStyle w:val="Codeattribute"/>
        </w:rPr>
        <w:t>@break</w:t>
      </w:r>
      <w:r>
        <w:t xml:space="preserve"> with the value </w:t>
      </w:r>
      <w:r>
        <w:rPr>
          <w:rStyle w:val="Codevalue"/>
        </w:rPr>
        <w:t>"no"</w:t>
      </w:r>
      <w:r>
        <w:t xml:space="preserve"> to encode the fact that the structural break does not also signify a break in the text</w:t>
      </w:r>
    </w:p>
    <w:p w14:paraId="3F1C3183" w14:textId="00C4EBFA">
      <w:pPr>
        <w:pStyle w:val="Lista2"/>
      </w:pPr>
      <w:r>
        <w:t xml:space="preserve">if several kinds of milestone occur together at such a point, each of them must be redundantly encoded with </w:t>
      </w:r>
      <w:r>
        <w:rPr>
          <w:rStyle w:val="Codeattribute"/>
        </w:rPr>
        <w:t>@break=</w:t>
      </w:r>
      <w:r>
        <w:rPr>
          <w:rStyle w:val="Codevalue"/>
        </w:rPr>
        <w:t>"no"</w:t>
      </w:r>
      <w:r>
        <w:t xml:space="preserve">, as in </w:t>
      </w:r>
      <w:r>
        <w:fldChar w:fldCharType="begin"/>
      </w:r>
      <w:r>
        <w:instrText xml:space="preserve"> REF _Ref182316564 \h </w:instrText>
      </w:r>
      <w:r>
        <w:fldChar w:fldCharType="separate"/>
      </w:r>
      <w:r>
        <w:t xml:space="preserve">Exhibit </w:t>
      </w:r>
      <w:r>
        <w:rPr>
          <w:noProof/>
        </w:rPr>
        <w:t>4.3</w:t>
      </w:r>
      <w:r>
        <w:t>.</w:t>
      </w:r>
      <w:r>
        <w:rPr>
          <w:noProof/>
        </w:rPr>
        <w:t>A</w:t>
      </w:r>
      <w:r>
        <w:fldChar w:fldCharType="end"/>
      </w:r>
    </w:p>
    <w:p w14:paraId="37A43A0B" w14:textId="5A988524">
      <w:pPr>
        <w:pStyle w:val="Lista"/>
      </w:pPr>
      <w:r>
        <w:t xml:space="preserve">occasionally, a partition can result in the splitting of an atomic </w:t>
      </w:r>
      <w:r>
        <w:rPr>
          <w:rStyle w:val="Foreign"/>
        </w:rPr>
        <w:t>akṣara</w:t>
      </w:r>
      <w:r>
        <w:t xml:space="preserve">, in which case </w:t>
      </w:r>
      <w:r>
        <w:rPr>
          <w:rStyle w:val="Codeattribute"/>
        </w:rPr>
        <w:t>@break=</w:t>
      </w:r>
      <w:r>
        <w:rPr>
          <w:rStyle w:val="Codevalue"/>
        </w:rPr>
        <w:t>"no"</w:t>
      </w:r>
      <w:r>
        <w:t xml:space="preserve"> is of course also applicable; in addition,</w:t>
      </w:r>
    </w:p>
    <w:p w14:paraId="32538E77" w14:textId="3CC63B85">
      <w:pPr>
        <w:pStyle w:val="Lista2"/>
      </w:pPr>
      <w:r>
        <w:rPr>
          <w:rStyle w:val="Foreign"/>
        </w:rPr>
        <w:t>akṣara</w:t>
      </w:r>
      <w:r>
        <w:t>s deliberately divided by the engraver into two parts across a physical feature such as a line break are to be handled as per §</w:t>
      </w:r>
      <w:r>
        <w:fldChar w:fldCharType="begin"/>
      </w:r>
      <w:r>
        <w:instrText xml:space="preserve"> REF _Ref43987165 \r \h </w:instrText>
      </w:r>
      <w:r>
        <w:fldChar w:fldCharType="separate"/>
      </w:r>
      <w:r>
        <w:t>5.2.4</w:t>
      </w:r>
      <w:r>
        <w:fldChar w:fldCharType="end"/>
      </w:r>
    </w:p>
    <w:p w14:paraId="4A8D363C" w14:textId="69450215">
      <w:pPr>
        <w:pStyle w:val="Lista2"/>
      </w:pPr>
      <w:r>
        <w:rPr>
          <w:rStyle w:val="Foreign"/>
        </w:rPr>
        <w:t>akṣara</w:t>
      </w:r>
      <w:r>
        <w:t>s inadvertently split by a gridlike feature such as fragmentation are to be handled as per §</w:t>
      </w:r>
      <w:r>
        <w:fldChar w:fldCharType="begin"/>
      </w:r>
      <w:r>
        <w:instrText xml:space="preserve"> REF _Ref182813737 \r \h </w:instrText>
      </w:r>
      <w:r>
        <w:fldChar w:fldCharType="separate"/>
      </w:r>
      <w:r>
        <w:t>4.7.6.1</w:t>
      </w:r>
      <w:r>
        <w:fldChar w:fldCharType="end"/>
      </w:r>
    </w:p>
    <w:p w14:paraId="26666ED2" w14:textId="77777777">
      <w:pPr>
        <w:pStyle w:val="Lista"/>
      </w:pPr>
      <w:r>
        <w:t xml:space="preserve">when you have used </w:t>
      </w:r>
      <w:r>
        <w:rPr>
          <w:rStyle w:val="Codeattribute"/>
        </w:rPr>
        <w:t>@break=</w:t>
      </w:r>
      <w:r>
        <w:rPr>
          <w:rStyle w:val="Codevalue"/>
        </w:rPr>
        <w:t>"no"</w:t>
      </w:r>
      <w:r>
        <w:t xml:space="preserve"> on a milestone element,</w:t>
      </w:r>
    </w:p>
    <w:p w14:paraId="42B62BA8" w14:textId="6B259796">
      <w:pPr>
        <w:pStyle w:val="Lista2"/>
      </w:pPr>
      <w:r>
        <w:t xml:space="preserve">do not start a new line of code or add a space before the milestone tag </w:t>
      </w:r>
      <w:r>
        <w:rPr>
          <w:noProof/>
        </w:rPr>
        <w:t>(</w:t>
      </w:r>
      <w:r>
        <w:t>see also §</w:t>
      </w:r>
      <w:r>
        <w:fldChar w:fldCharType="begin"/>
      </w:r>
      <w:r>
        <w:instrText xml:space="preserve"> REF _Ref225253138 \r \h </w:instrText>
      </w:r>
      <w:r>
        <w:fldChar w:fldCharType="separate"/>
      </w:r>
      <w:r>
        <w:t>4.3.3</w:t>
      </w:r>
      <w:r>
        <w:fldChar w:fldCharType="end"/>
      </w:r>
      <w:r>
        <w:t>)</w:t>
      </w:r>
    </w:p>
    <w:p w14:paraId="61B59CCD" w14:textId="4AB56306">
      <w:pPr>
        <w:pStyle w:val="Lista2"/>
      </w:pPr>
      <w:r>
        <w:t>never add a hyphen before the milestone tag to indicate that it breaks a word (this is to be indicated only in the encoding)</w:t>
      </w:r>
    </w:p>
    <w:p w14:paraId="0F4D5D56" w14:textId="04965467">
      <w:pPr>
        <w:pStyle w:val="Lista3"/>
      </w:pPr>
      <w:r>
        <w:t>however, if you use editorial hyphens for the segmentation of compounds (TG §7.3.5), then</w:t>
      </w:r>
    </w:p>
    <w:p w14:paraId="26025F32" w14:textId="77777777">
      <w:pPr>
        <w:pStyle w:val="Lista4"/>
      </w:pPr>
      <w:r>
        <w:t>boundaries marked by editorial hyphens must still be treated as being inside words</w:t>
      </w:r>
    </w:p>
    <w:p w14:paraId="440AC86C" w14:textId="5E1358F5">
      <w:pPr>
        <w:pStyle w:val="Lista4"/>
      </w:pPr>
      <w:r>
        <w:lastRenderedPageBreak/>
        <w:t>as per §</w:t>
      </w:r>
      <w:r>
        <w:fldChar w:fldCharType="begin"/>
      </w:r>
      <w:r>
        <w:instrText xml:space="preserve"> REF _Ref232156818 \r \h </w:instrText>
      </w:r>
      <w:r>
        <w:fldChar w:fldCharType="separate"/>
      </w:r>
      <w:r>
        <w:t>7.8.2</w:t>
      </w:r>
      <w:r>
        <w:fldChar w:fldCharType="end"/>
      </w:r>
      <w:r>
        <w:t xml:space="preserve">, the editorial hyphen must be placed after the milestone rather than before it, as in the last line of </w:t>
      </w:r>
      <w:r>
        <w:fldChar w:fldCharType="begin"/>
      </w:r>
      <w:r>
        <w:instrText xml:space="preserve"> REF _Ref182314695 \h </w:instrText>
      </w:r>
      <w:r>
        <w:fldChar w:fldCharType="separate"/>
      </w:r>
      <w:r>
        <w:t xml:space="preserve">Exhibit </w:t>
      </w:r>
      <w:r>
        <w:rPr>
          <w:noProof/>
        </w:rPr>
        <w:t>4.3</w:t>
      </w:r>
      <w:r>
        <w:t>.</w:t>
      </w:r>
      <w:r>
        <w:rPr>
          <w:noProof/>
        </w:rPr>
        <w:t>D</w:t>
      </w:r>
      <w:r>
        <w:fldChar w:fldCharType="end"/>
      </w:r>
    </w:p>
    <w:tbl>
      <w:tblPr>
        <w:tblStyle w:val="CodeSampleTable"/>
        <w:tblW w:w="5000" w:type="pct"/>
        <w:tblLook w:val="04A0" w:firstRow="1" w:lastRow="0" w:firstColumn="1" w:lastColumn="0" w:noHBand="0" w:noVBand="1"/>
      </w:tblPr>
      <w:tblGrid>
        <w:gridCol w:w="9628"/>
      </w:tblGrid>
      <w:tr w14:paraId="5C92A8C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CB7A71B" w14:textId="4A6D0AB6">
            <w:pPr>
              <w:pStyle w:val="Kpalrs"/>
            </w:pPr>
            <w:bookmarkStart w:id="209" w:name="_Ref182316564"/>
            <w:r>
              <w:t xml:space="preserve">Exhibit </w:t>
            </w:r>
            <w:fldSimple w:instr=" STYLEREF 2 \s ">
              <w:r>
                <w:rPr>
                  <w:noProof/>
                </w:rPr>
                <w:t>4.3</w:t>
              </w:r>
            </w:fldSimple>
            <w:r>
              <w:t>.</w:t>
            </w:r>
            <w:fldSimple w:instr=" SEQ Exhibit \* ALPHABETIC \s 2 ">
              <w:r>
                <w:rPr>
                  <w:noProof/>
                </w:rPr>
                <w:t>A</w:t>
              </w:r>
            </w:fldSimple>
            <w:bookmarkEnd w:id="209"/>
            <w:r>
              <w:t>: multiple milestones interrupting a word</w:t>
            </w:r>
          </w:p>
        </w:tc>
      </w:tr>
      <w:tr w14:paraId="7D8A70BD" w14:textId="77777777">
        <w:tc>
          <w:tcPr>
            <w:tcW w:w="5000" w:type="pct"/>
          </w:tcPr>
          <w:p w14:paraId="0161986A" w14:textId="77777777">
            <w:pPr>
              <w:pStyle w:val="CodeParagraph"/>
              <w:rPr>
                <w:rStyle w:val="Code"/>
              </w:rPr>
            </w:pPr>
            <w:r>
              <w:rPr>
                <w:rStyle w:val="Codetext"/>
              </w:rPr>
              <w:t>...</w:t>
            </w:r>
            <w:r>
              <w:t xml:space="preserve"> </w:t>
            </w:r>
            <w:r>
              <w:rPr>
                <w:rStyle w:val="Codetext"/>
              </w:rPr>
              <w:t>tad viditvā yathocitaṁ bhāga-bhoga</w:t>
            </w:r>
            <w:r>
              <w:rPr>
                <w:rStyle w:val="Code"/>
              </w:rPr>
              <w:t xml:space="preserve">&lt;pb </w:t>
            </w:r>
          </w:p>
          <w:p w14:paraId="1820BDE0" w14:textId="77777777">
            <w:pPr>
              <w:pStyle w:val="CodeParagraph"/>
              <w:rPr>
                <w:rStyle w:val="Code"/>
              </w:rPr>
            </w:pPr>
            <w:r>
              <w:rPr>
                <w:rStyle w:val="Codeattribute"/>
              </w:rPr>
              <w:t>n=</w:t>
            </w:r>
            <w:r>
              <w:rPr>
                <w:rStyle w:val="Codevalue"/>
              </w:rPr>
              <w:t>"3r"</w:t>
            </w:r>
            <w:r>
              <w:rPr>
                <w:rStyle w:val="Code"/>
              </w:rPr>
              <w:t xml:space="preserve"> </w:t>
            </w:r>
            <w:r>
              <w:rPr>
                <w:rStyle w:val="Codeattribute"/>
              </w:rPr>
              <w:t>break=</w:t>
            </w:r>
            <w:r>
              <w:rPr>
                <w:rStyle w:val="Codevalue"/>
              </w:rPr>
              <w:t>"no"</w:t>
            </w:r>
            <w:r>
              <w:rPr>
                <w:rStyle w:val="Code"/>
              </w:rPr>
              <w:t xml:space="preserve">/&gt;&lt;lb </w:t>
            </w:r>
          </w:p>
          <w:p w14:paraId="3B210A07" w14:textId="77777777">
            <w:pPr>
              <w:pStyle w:val="CodeParagraph"/>
              <w:rPr>
                <w:rFonts w:ascii="Consolas" w:hAnsi="Consolas" w:cs="Consolas"/>
                <w:noProof/>
                <w:color w:val="000000" w:themeColor="text1"/>
                <w:shd w:val="clear" w:color="auto" w:fill="F2F2F2" w:themeFill="background1" w:themeFillShade="F2"/>
              </w:rPr>
            </w:pPr>
            <w:r>
              <w:rPr>
                <w:rStyle w:val="Codeattribute"/>
              </w:rPr>
              <w:t>n=</w:t>
            </w:r>
            <w:r>
              <w:rPr>
                <w:rStyle w:val="Codevalue"/>
              </w:rPr>
              <w:t>"19"</w:t>
            </w:r>
            <w:r>
              <w:rPr>
                <w:rStyle w:val="Code"/>
              </w:rPr>
              <w:t xml:space="preserve"> </w:t>
            </w:r>
            <w:r>
              <w:rPr>
                <w:rStyle w:val="Codeattribute"/>
              </w:rPr>
              <w:t>break=</w:t>
            </w:r>
            <w:r>
              <w:rPr>
                <w:rStyle w:val="Codevalue"/>
              </w:rPr>
              <w:t>"no"</w:t>
            </w:r>
            <w:r>
              <w:rPr>
                <w:rStyle w:val="Code"/>
              </w:rPr>
              <w:t>/&gt;</w:t>
            </w:r>
            <w:r>
              <w:rPr>
                <w:rStyle w:val="Codetext"/>
              </w:rPr>
              <w:t>m upanayantaḥ sukhaṁ prativasatha...</w:t>
            </w:r>
          </w:p>
        </w:tc>
      </w:tr>
    </w:tbl>
    <w:p w14:paraId="4314020A" w14:textId="77777777">
      <w:pPr>
        <w:pStyle w:val="Cmsor4"/>
      </w:pPr>
      <w:bookmarkStart w:id="210" w:name="_Ref182318132"/>
      <w:bookmarkStart w:id="211" w:name="_Ref182318133"/>
      <w:bookmarkStart w:id="212" w:name="_Ref182380522"/>
      <w:bookmarkStart w:id="213" w:name="_Ref182580157"/>
      <w:bookmarkStart w:id="214" w:name="_Ref182580257"/>
      <w:r>
        <w:t>Judging word interruption in lacunose text</w:t>
      </w:r>
      <w:bookmarkEnd w:id="210"/>
      <w:bookmarkEnd w:id="211"/>
      <w:bookmarkEnd w:id="212"/>
      <w:bookmarkEnd w:id="213"/>
      <w:bookmarkEnd w:id="214"/>
    </w:p>
    <w:p w14:paraId="719F0B60" w14:textId="77777777">
      <w:pPr>
        <w:pStyle w:val="Lista"/>
      </w:pPr>
      <w:r>
        <w:t xml:space="preserve">when text before or after a milestone is lost, badly damaged, or unintelligible for some other reason, then it may not be possible to decide for certain whether the milestone interrupts a word </w:t>
      </w:r>
    </w:p>
    <w:p w14:paraId="7D846898" w14:textId="77777777">
      <w:pPr>
        <w:pStyle w:val="Lista2"/>
      </w:pPr>
      <w:r>
        <w:t xml:space="preserve">in such cases, use </w:t>
      </w:r>
      <w:r>
        <w:rPr>
          <w:rStyle w:val="Codeattribute"/>
        </w:rPr>
        <w:t>@break</w:t>
      </w:r>
      <w:r>
        <w:rPr>
          <w:rStyle w:val="Code"/>
        </w:rPr>
        <w:t>=</w:t>
      </w:r>
      <w:r>
        <w:rPr>
          <w:rStyle w:val="Codevalue"/>
        </w:rPr>
        <w:t>"no"</w:t>
      </w:r>
      <w:r>
        <w:t xml:space="preserve"> when you are reasonably certain that an interruption is present</w:t>
      </w:r>
    </w:p>
    <w:p w14:paraId="5BAD7FD6" w14:textId="77777777">
      <w:pPr>
        <w:pStyle w:val="Lista2"/>
      </w:pPr>
      <w:r>
        <w:t xml:space="preserve">if you are uncertain, omit </w:t>
      </w:r>
      <w:r>
        <w:rPr>
          <w:rStyle w:val="Codeattribute"/>
        </w:rPr>
        <w:t>@break</w:t>
      </w:r>
      <w:r>
        <w:rPr>
          <w:rStyle w:val="Code"/>
        </w:rPr>
        <w:t>=</w:t>
      </w:r>
      <w:r>
        <w:rPr>
          <w:rStyle w:val="Codevalue"/>
        </w:rPr>
        <w:t>"no"</w:t>
      </w:r>
      <w:r>
        <w:t xml:space="preserve"> (thus making no explicit assertion) even if there is a chance that a word may be interrupted</w:t>
      </w:r>
    </w:p>
    <w:p w14:paraId="2A0E0EE2" w14:textId="77777777">
      <w:pPr>
        <w:pStyle w:val="Lista2"/>
      </w:pPr>
      <w:r>
        <w:t>observing the following guidelines</w:t>
      </w:r>
    </w:p>
    <w:p w14:paraId="785DBB48" w14:textId="77777777">
      <w:pPr>
        <w:pStyle w:val="Lista"/>
      </w:pPr>
      <w:r>
        <w:t xml:space="preserve">when there is a </w:t>
      </w:r>
      <w:r>
        <w:rPr>
          <w:b/>
          <w:bCs/>
        </w:rPr>
        <w:t>lacuna before the transition</w:t>
      </w:r>
      <w:r>
        <w:t>,</w:t>
      </w:r>
    </w:p>
    <w:p w14:paraId="3EE6A86D" w14:textId="23F6C9B4">
      <w:pPr>
        <w:pStyle w:val="Lista2"/>
      </w:pPr>
      <w:r>
        <w:t xml:space="preserve">use </w:t>
      </w:r>
      <w:r>
        <w:rPr>
          <w:rStyle w:val="Codeattribute"/>
        </w:rPr>
        <w:t>@break</w:t>
      </w:r>
      <w:r>
        <w:rPr>
          <w:rStyle w:val="Code"/>
        </w:rPr>
        <w:t>=</w:t>
      </w:r>
      <w:r>
        <w:rPr>
          <w:rStyle w:val="Codevalue"/>
        </w:rPr>
        <w:t>"no"</w:t>
      </w:r>
      <w:r>
        <w:t xml:space="preserve"> if the extant text begins with an incomplete indivisible morpheme or with the final part of what you are certain was a prefixed or compound word</w:t>
      </w:r>
    </w:p>
    <w:p w14:paraId="31D82D66" w14:textId="77777777">
      <w:pPr>
        <w:pStyle w:val="Lista2"/>
      </w:pPr>
      <w:r>
        <w:t xml:space="preserve">but do not use </w:t>
      </w:r>
      <w:r>
        <w:rPr>
          <w:rStyle w:val="Codeattribute"/>
        </w:rPr>
        <w:t>@break</w:t>
      </w:r>
      <w:r>
        <w:rPr>
          <w:rStyle w:val="Code"/>
        </w:rPr>
        <w:t>=</w:t>
      </w:r>
      <w:r>
        <w:rPr>
          <w:rStyle w:val="Codevalue"/>
        </w:rPr>
        <w:t>"no"</w:t>
      </w:r>
      <w:r>
        <w:t xml:space="preserve"> if the extant text is intelligible </w:t>
      </w:r>
      <w:r>
        <w:rPr>
          <w:noProof/>
        </w:rPr>
        <w:t>(</w:t>
      </w:r>
      <w:r>
        <w:t>and plausible in context) as it is, even if there is some chance that the previous line contained a prefix or a compound member attached to the first extant word</w:t>
      </w:r>
    </w:p>
    <w:p w14:paraId="4D5266B0" w14:textId="436D9621">
      <w:pPr>
        <w:pStyle w:val="Lista"/>
      </w:pPr>
      <w:r>
        <w:t xml:space="preserve">when there is a </w:t>
      </w:r>
      <w:r>
        <w:rPr>
          <w:b/>
          <w:bCs/>
        </w:rPr>
        <w:t>lacuna after the transition</w:t>
      </w:r>
      <w:r>
        <w:t>,</w:t>
      </w:r>
    </w:p>
    <w:p w14:paraId="6D3A5676" w14:textId="77777777">
      <w:pPr>
        <w:pStyle w:val="Lista2"/>
      </w:pPr>
      <w:r>
        <w:t xml:space="preserve">use </w:t>
      </w:r>
      <w:r>
        <w:rPr>
          <w:rStyle w:val="Codeattribute"/>
        </w:rPr>
        <w:t>@break</w:t>
      </w:r>
      <w:r>
        <w:rPr>
          <w:rStyle w:val="Code"/>
        </w:rPr>
        <w:t>=</w:t>
      </w:r>
      <w:r>
        <w:rPr>
          <w:rStyle w:val="Codevalue"/>
        </w:rPr>
        <w:t>"no"</w:t>
      </w:r>
      <w:r>
        <w:t xml:space="preserve"> if the end of the extant text is clearly not the end of an independent word</w:t>
      </w:r>
    </w:p>
    <w:p w14:paraId="7213D59D" w14:textId="77777777">
      <w:pPr>
        <w:pStyle w:val="Lista2"/>
      </w:pPr>
      <w:r>
        <w:t xml:space="preserve">but do not use </w:t>
      </w:r>
      <w:r>
        <w:rPr>
          <w:rStyle w:val="Codeattribute"/>
        </w:rPr>
        <w:t>@break</w:t>
      </w:r>
      <w:r>
        <w:rPr>
          <w:rStyle w:val="Code"/>
        </w:rPr>
        <w:t>=</w:t>
      </w:r>
      <w:r>
        <w:rPr>
          <w:rStyle w:val="Codevalue"/>
        </w:rPr>
        <w:t>"no"</w:t>
      </w:r>
      <w:r>
        <w:t xml:space="preserve"> if the end of the extant text may be the end of an independent word, even if there is a chance that this word continued in the current line</w:t>
      </w:r>
    </w:p>
    <w:p w14:paraId="7DF6E5D6" w14:textId="77777777">
      <w:pPr>
        <w:pStyle w:val="Lista"/>
      </w:pPr>
      <w:r>
        <w:t xml:space="preserve">when there is a </w:t>
      </w:r>
      <w:r>
        <w:rPr>
          <w:b/>
          <w:bCs/>
        </w:rPr>
        <w:t>lacuna both before and after</w:t>
      </w:r>
      <w:r>
        <w:t xml:space="preserve"> the spot where a structural milestone is (expected to be) located, then in addition to uncertainty as to whether a word is interrupted, it may not be possible to determine the exact number of characters lost on either side of the transition</w:t>
      </w:r>
    </w:p>
    <w:p w14:paraId="03DC420D" w14:textId="28F52742">
      <w:pPr>
        <w:pStyle w:val="Lista2"/>
      </w:pPr>
      <w:r>
        <w:t xml:space="preserve">if the lacuna is not restored, do not use </w:t>
      </w:r>
      <w:r>
        <w:rPr>
          <w:rStyle w:val="Codeattribute"/>
        </w:rPr>
        <w:t>@break</w:t>
      </w:r>
      <w:r>
        <w:rPr>
          <w:rStyle w:val="Code"/>
        </w:rPr>
        <w:t>=</w:t>
      </w:r>
      <w:r>
        <w:rPr>
          <w:rStyle w:val="Codevalue"/>
        </w:rPr>
        <w:t>"no"</w:t>
      </w:r>
      <w:r>
        <w:t xml:space="preserve"> (which would assert that a word has been split by the milestone) and simply encode gaps </w:t>
      </w:r>
      <w:r>
        <w:rPr>
          <w:noProof/>
        </w:rPr>
        <w:t>(</w:t>
      </w:r>
      <w:r>
        <w:t>§</w:t>
      </w:r>
      <w:r>
        <w:fldChar w:fldCharType="begin"/>
      </w:r>
      <w:r>
        <w:instrText xml:space="preserve"> REF _Ref228460110 \r \h </w:instrText>
      </w:r>
      <w:r>
        <w:fldChar w:fldCharType="separate"/>
      </w:r>
      <w:r>
        <w:t>6.5</w:t>
      </w:r>
      <w:r>
        <w:fldChar w:fldCharType="end"/>
      </w:r>
      <w:r>
        <w:t>) of unknown or uncertain length on both sides of the milestone tag</w:t>
      </w:r>
    </w:p>
    <w:p w14:paraId="33DE9137" w14:textId="0E371478">
      <w:pPr>
        <w:pStyle w:val="Lista2"/>
      </w:pPr>
      <w:r>
        <w:t xml:space="preserve">if you supply the lost text </w:t>
      </w:r>
      <w:r>
        <w:rPr>
          <w:noProof/>
        </w:rPr>
        <w:t>(</w:t>
      </w:r>
      <w:r>
        <w:t>as per §</w:t>
      </w:r>
      <w:r>
        <w:fldChar w:fldCharType="begin"/>
      </w:r>
      <w:r>
        <w:instrText xml:space="preserve"> REF _Ref228459751 \r \h </w:instrText>
      </w:r>
      <w:r>
        <w:fldChar w:fldCharType="separate"/>
      </w:r>
      <w:r>
        <w:t>6.4</w:t>
      </w:r>
      <w:r>
        <w:fldChar w:fldCharType="end"/>
      </w:r>
      <w:r>
        <w:t xml:space="preserve">), create the milestone tag at its most likely position vis-à-vis the text and use or omit </w:t>
      </w:r>
      <w:r>
        <w:rPr>
          <w:rStyle w:val="Codeattribute"/>
        </w:rPr>
        <w:t>@break</w:t>
      </w:r>
      <w:r>
        <w:rPr>
          <w:rStyle w:val="Code"/>
        </w:rPr>
        <w:t>=</w:t>
      </w:r>
      <w:r>
        <w:rPr>
          <w:rStyle w:val="Codevalue"/>
        </w:rPr>
        <w:t>"no"</w:t>
      </w:r>
      <w:r>
        <w:t xml:space="preserve"> as dictated by the restored text</w:t>
      </w:r>
    </w:p>
    <w:p w14:paraId="7C75B010" w14:textId="77777777">
      <w:pPr>
        <w:pStyle w:val="Lista3"/>
      </w:pPr>
      <w:r>
        <w:t>if you feel that the uncertainty of this positioning matters, mention it in your annotation</w:t>
      </w:r>
      <w:r>
        <w:rPr>
          <w:rStyle w:val="Lbjegyzet-hivatkozs"/>
        </w:rPr>
        <w:footnoteReference w:id="15"/>
      </w:r>
    </w:p>
    <w:p w14:paraId="49F041C9" w14:textId="77777777">
      <w:pPr>
        <w:pStyle w:val="Cmsor3"/>
      </w:pPr>
      <w:bookmarkStart w:id="215" w:name="_Ref225253138"/>
      <w:bookmarkStart w:id="216" w:name="_Ref225429145"/>
      <w:bookmarkStart w:id="217" w:name="_Toc242889469"/>
      <w:r>
        <w:t>Good encoding practice for milestone elements</w:t>
      </w:r>
      <w:bookmarkEnd w:id="215"/>
      <w:bookmarkEnd w:id="217"/>
    </w:p>
    <w:p w14:paraId="21188C1F" w14:textId="7B9D51D9">
      <w:r>
        <w:t>The milestones representing extrinsic structure are on the same hierarchical level as the edited text. As a result, situations where milestones coincide with breaks in intrinsic structure demand extra attention, as discussed in §</w:t>
      </w:r>
      <w:r>
        <w:fldChar w:fldCharType="begin"/>
      </w:r>
      <w:r>
        <w:instrText xml:space="preserve"> REF _Ref225503257 \r \h </w:instrText>
      </w:r>
      <w:r>
        <w:fldChar w:fldCharType="separate"/>
      </w:r>
      <w:r>
        <w:t>4.3.3.1</w:t>
      </w:r>
      <w:r>
        <w:fldChar w:fldCharType="end"/>
      </w:r>
      <w:r>
        <w:t xml:space="preserve">. When phrase-level elements wrap a chunk of text that contains a milestone, it is theoretically correct to include the milestone within the phrase-level element. However, in actual practice this is not permitted in EpiDoc for </w:t>
      </w:r>
      <w:r>
        <w:rPr>
          <w:rStyle w:val="Code"/>
        </w:rPr>
        <w:t>&lt;unclear&gt;</w:t>
      </w:r>
      <w:r>
        <w:t xml:space="preserve"> elements (§</w:t>
      </w:r>
      <w:r>
        <w:fldChar w:fldCharType="begin"/>
      </w:r>
      <w:r>
        <w:instrText xml:space="preserve"> REF _Ref232089485 \r \h </w:instrText>
      </w:r>
      <w:r>
        <w:fldChar w:fldCharType="separate"/>
      </w:r>
      <w:r>
        <w:t>6.3.1</w:t>
      </w:r>
      <w:r>
        <w:fldChar w:fldCharType="end"/>
      </w:r>
      <w:r>
        <w:t>) and can lead to undesirable complications in other cases, so we generally prefer to split phrase-level elements into two parts, before and after the milestone. For further details on the hierarchy of encoding and its practical implications, see §</w:t>
      </w:r>
      <w:r>
        <w:fldChar w:fldCharType="begin"/>
      </w:r>
      <w:r>
        <w:instrText xml:space="preserve"> REF _Ref43978660 \r \h </w:instrText>
      </w:r>
      <w:r>
        <w:fldChar w:fldCharType="separate"/>
      </w:r>
      <w:r>
        <w:t>16.2</w:t>
      </w:r>
      <w:r>
        <w:fldChar w:fldCharType="end"/>
      </w:r>
      <w:r>
        <w:t>.</w:t>
      </w:r>
    </w:p>
    <w:p w14:paraId="45C43B68" w14:textId="04FB7D9D">
      <w:pPr>
        <w:pStyle w:val="Normlbehzs"/>
      </w:pPr>
      <w:r>
        <w:t xml:space="preserve">Milestone elements always mark the </w:t>
      </w:r>
      <w:r>
        <w:rPr>
          <w:i/>
          <w:iCs/>
        </w:rPr>
        <w:t>beginning</w:t>
      </w:r>
      <w:r>
        <w:t xml:space="preserve"> of a unit of extrinsic structure, and must accordingly be created for the start of the first extrinsic unit of any kind in a document (</w:t>
      </w:r>
      <w:r>
        <w:fldChar w:fldCharType="begin"/>
      </w:r>
      <w:r>
        <w:instrText xml:space="preserve"> REF _Ref182313052 \h </w:instrText>
      </w:r>
      <w:r>
        <w:fldChar w:fldCharType="separate"/>
      </w:r>
      <w:r>
        <w:t xml:space="preserve">Exhibit </w:t>
      </w:r>
      <w:r>
        <w:rPr>
          <w:noProof/>
        </w:rPr>
        <w:t>4.3</w:t>
      </w:r>
      <w:r>
        <w:t>.</w:t>
      </w:r>
      <w:r>
        <w:rPr>
          <w:noProof/>
        </w:rPr>
        <w:t>B</w:t>
      </w:r>
      <w:r>
        <w:fldChar w:fldCharType="end"/>
      </w:r>
      <w:r>
        <w:t xml:space="preserve">), not only for transitions to subsequent units. In DHARMA practice, line beginnings are mandatorily encoded, even for editions (or textpart divisions) consisting of only a single line. Other structural milestones are not mandatory: an inscription comprised of a single field is not perceived to be a page. </w:t>
      </w:r>
    </w:p>
    <w:p w14:paraId="1427DCD3" w14:textId="2410C1BC">
      <w:pPr>
        <w:pStyle w:val="Normlbehzs"/>
      </w:pPr>
      <w:r>
        <w:lastRenderedPageBreak/>
        <w:t>In a document with a hierarchical extrinsic structure, a transition point on a higher tier is always</w:t>
      </w:r>
      <w:r>
        <w:rPr>
          <w:rStyle w:val="Lbjegyzet-hivatkozs"/>
        </w:rPr>
        <w:footnoteReference w:id="16"/>
      </w:r>
      <w:r>
        <w:t xml:space="preserve"> accompanied by a transition on the lower tier(s); for instance, whenever a page begins, a new line begins too. At every such point, every applicable milestone must be explicitly encoded, in an order of decreasing hierarchical level, as in </w:t>
      </w:r>
      <w:r>
        <w:fldChar w:fldCharType="begin"/>
      </w:r>
      <w:r>
        <w:instrText xml:space="preserve"> REF _Ref182313052 \h </w:instrText>
      </w:r>
      <w:r>
        <w:fldChar w:fldCharType="separate"/>
      </w:r>
      <w:r>
        <w:t xml:space="preserve">Exhibit </w:t>
      </w:r>
      <w:r>
        <w:rPr>
          <w:noProof/>
        </w:rPr>
        <w:t>4.3</w:t>
      </w:r>
      <w:r>
        <w:t>.</w:t>
      </w:r>
      <w:r>
        <w:rPr>
          <w:noProof/>
        </w:rPr>
        <w:t>B</w:t>
      </w:r>
      <w:r>
        <w:fldChar w:fldCharType="end"/>
      </w:r>
      <w:r>
        <w:t>.</w:t>
      </w:r>
    </w:p>
    <w:p w14:paraId="584F4E89" w14:textId="77777777">
      <w:pPr>
        <w:pStyle w:val="Cmsor4"/>
      </w:pPr>
      <w:bookmarkStart w:id="218" w:name="_Ref225502709"/>
      <w:bookmarkStart w:id="219" w:name="_Ref225502994"/>
      <w:bookmarkStart w:id="220" w:name="_Ref225503257"/>
      <w:r>
        <w:t>Milestones and block-level elements</w:t>
      </w:r>
      <w:bookmarkEnd w:id="218"/>
      <w:bookmarkEnd w:id="219"/>
      <w:bookmarkEnd w:id="220"/>
    </w:p>
    <w:p w14:paraId="7584CD56" w14:textId="395D429E">
      <w:bookmarkStart w:id="221" w:name="_Ref182316248"/>
      <w:r>
        <w:t>Milestone elements must be inside rather than outside block-level elements representing intrinsic structure (§</w:t>
      </w:r>
      <w:r>
        <w:fldChar w:fldCharType="begin"/>
      </w:r>
      <w:r>
        <w:instrText xml:space="preserve"> REF _Ref225500627 \r \h </w:instrText>
      </w:r>
      <w:r>
        <w:fldChar w:fldCharType="separate"/>
      </w:r>
      <w:r>
        <w:t>3.2</w:t>
      </w:r>
      <w:r>
        <w:fldChar w:fldCharType="end"/>
      </w:r>
      <w:r>
        <w:t xml:space="preserve">). Achieving this sometimes requires counterintuitive encoding logic. In the hierarchy of intrinsic structure represented solely with block-level elements, lower-level units are always contained within higher-level units. Likewise, in the hierarchy of extrinsic structure represented with milestones, higher-level milestones precede lower-level ones; for example, page beginnings precede line beginnings. However, when extrinsic and intrinsic boundaries coincide, such as when a stanza begins at the beginning of a physical line, the intuitive assumption may be to encode the milestone representing the extrinsic boundary (e.g. a line beginning) before the start-tag representing the intrinsic boundary (e.g. for a stanza), because by common sense, the stanza begins “inside” the line. Often, however, the opposite is true: many extrinsic boundaries fall inside intrinsic units. In order to make our encoding consistent, DHARMA editions therefore </w:t>
      </w:r>
      <w:r>
        <w:rPr>
          <w:i/>
          <w:iCs/>
        </w:rPr>
        <w:t>always</w:t>
      </w:r>
      <w:r>
        <w:t xml:space="preserve"> place milestone elements inside block-level containers, unless it is impossible to do so.</w:t>
      </w:r>
      <w:r>
        <w:rPr>
          <w:rStyle w:val="Lbjegyzet-hivatkozs"/>
        </w:rPr>
        <w:footnoteReference w:id="17"/>
      </w:r>
    </w:p>
    <w:p w14:paraId="02C647D8" w14:textId="25222123">
      <w:pPr>
        <w:pStyle w:val="Normlbehzs"/>
      </w:pPr>
      <w:r>
        <w:t xml:space="preserve">Thus, at the start of an edition or a textpart division, any applicable milestone elements must be encoded after all applicable block-level elements have been opened, as in </w:t>
      </w:r>
      <w:r>
        <w:fldChar w:fldCharType="begin"/>
      </w:r>
      <w:r>
        <w:instrText xml:space="preserve"> REF _Ref182313052 \h </w:instrText>
      </w:r>
      <w:r>
        <w:fldChar w:fldCharType="separate"/>
      </w:r>
      <w:r>
        <w:t xml:space="preserve">Exhibit </w:t>
      </w:r>
      <w:r>
        <w:rPr>
          <w:noProof/>
        </w:rPr>
        <w:t>4.3</w:t>
      </w:r>
      <w:r>
        <w:t>.</w:t>
      </w:r>
      <w:r>
        <w:rPr>
          <w:noProof/>
        </w:rPr>
        <w:t>B</w:t>
      </w:r>
      <w:r>
        <w:fldChar w:fldCharType="end"/>
      </w:r>
      <w:r>
        <w:t xml:space="preserve">. When boundaries of extrinsic and intrinsic structure coincide, any and all applicable milestones shall be created after the start tag of any block-level elements beginning there (not before the end tag of the block-level element(s) ending there), as in </w:t>
      </w:r>
      <w:r>
        <w:fldChar w:fldCharType="begin"/>
      </w:r>
      <w:r>
        <w:instrText xml:space="preserve"> REF _Ref181694220 \h </w:instrText>
      </w:r>
      <w:r>
        <w:fldChar w:fldCharType="separate"/>
      </w:r>
      <w:r>
        <w:t xml:space="preserve">Exhibit </w:t>
      </w:r>
      <w:r>
        <w:rPr>
          <w:noProof/>
        </w:rPr>
        <w:t>4.3</w:t>
      </w:r>
      <w:r>
        <w:t>.</w:t>
      </w:r>
      <w:r>
        <w:rPr>
          <w:noProof/>
        </w:rPr>
        <w:t>C</w:t>
      </w:r>
      <w:r>
        <w:fldChar w:fldCharType="end"/>
      </w:r>
      <w:r>
        <w:t>.</w:t>
      </w:r>
    </w:p>
    <w:p w14:paraId="0BBED6A7" w14:textId="77777777"/>
    <w:tbl>
      <w:tblPr>
        <w:tblStyle w:val="CodeSampleTable"/>
        <w:tblW w:w="5000" w:type="pct"/>
        <w:tblLook w:val="04A0" w:firstRow="1" w:lastRow="0" w:firstColumn="1" w:lastColumn="0" w:noHBand="0" w:noVBand="1"/>
      </w:tblPr>
      <w:tblGrid>
        <w:gridCol w:w="9628"/>
      </w:tblGrid>
      <w:tr w14:paraId="5B42090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33D8C74" w14:textId="27A6B589">
            <w:pPr>
              <w:pStyle w:val="Kpalrs"/>
            </w:pPr>
            <w:bookmarkStart w:id="222" w:name="_Ref182313052"/>
            <w:r>
              <w:t xml:space="preserve">Exhibit </w:t>
            </w:r>
            <w:fldSimple w:instr=" STYLEREF 2 \s ">
              <w:r>
                <w:rPr>
                  <w:noProof/>
                </w:rPr>
                <w:t>4.3</w:t>
              </w:r>
            </w:fldSimple>
            <w:r>
              <w:t>.</w:t>
            </w:r>
            <w:fldSimple w:instr=" SEQ Exhibit \* ALPHABETIC \s 2 ">
              <w:r>
                <w:rPr>
                  <w:noProof/>
                </w:rPr>
                <w:t>B</w:t>
              </w:r>
            </w:fldSimple>
            <w:bookmarkEnd w:id="222"/>
            <w:r>
              <w:t>: several kinds of milestones at the beginning of an edition</w:t>
            </w:r>
          </w:p>
        </w:tc>
      </w:tr>
      <w:tr w14:paraId="4F3AAF58" w14:textId="77777777">
        <w:tc>
          <w:tcPr>
            <w:tcW w:w="5000" w:type="pct"/>
          </w:tcPr>
          <w:p w14:paraId="0F62679F" w14:textId="77777777">
            <w:pPr>
              <w:pStyle w:val="CodeParagraph"/>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14:paraId="4D2DEE6A" w14:textId="77777777">
            <w:pPr>
              <w:pStyle w:val="CodeParagraph"/>
              <w:rPr>
                <w:rStyle w:val="Code"/>
              </w:rPr>
            </w:pPr>
            <w:r>
              <w:rPr>
                <w:rStyle w:val="Code"/>
              </w:rPr>
              <w:t xml:space="preserve">  &lt;lg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"anuṣṭubh"</w:t>
            </w:r>
            <w:r>
              <w:rPr>
                <w:rStyle w:val="Code"/>
              </w:rPr>
              <w:t>&gt;</w:t>
            </w:r>
          </w:p>
          <w:p w14:paraId="7620466D" w14:textId="77777777">
            <w:pPr>
              <w:pStyle w:val="CodeParagraph"/>
            </w:pPr>
            <w:r>
              <w:rPr>
                <w:rStyle w:val="Code"/>
              </w:rPr>
              <w:t xml:space="preserve">    &lt;l </w:t>
            </w:r>
            <w:r>
              <w:rPr>
                <w:rStyle w:val="Codeattribute"/>
              </w:rPr>
              <w:t>n</w:t>
            </w:r>
            <w:r>
              <w:rPr>
                <w:rStyle w:val="Code"/>
              </w:rPr>
              <w:t>=</w:t>
            </w:r>
            <w:r>
              <w:rPr>
                <w:rStyle w:val="Codevalue"/>
              </w:rPr>
              <w:t>"a"</w:t>
            </w:r>
            <w:r>
              <w:rPr>
                <w:rStyle w:val="Code"/>
              </w:rPr>
              <w:t xml:space="preserve">&gt;&lt;milestone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"zone"</w:t>
            </w:r>
            <w:r>
              <w:rPr>
                <w:rStyle w:val="Code"/>
              </w:rPr>
              <w:t xml:space="preserve">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Āsīt...</w:t>
            </w:r>
          </w:p>
        </w:tc>
      </w:tr>
    </w:tbl>
    <w:p w14:paraId="1965A49A" w14:textId="77777777"/>
    <w:tbl>
      <w:tblPr>
        <w:tblStyle w:val="CodeSampleTable"/>
        <w:tblW w:w="5000" w:type="pct"/>
        <w:tblLook w:val="04A0" w:firstRow="1" w:lastRow="0" w:firstColumn="1" w:lastColumn="0" w:noHBand="0" w:noVBand="1"/>
      </w:tblPr>
      <w:tblGrid>
        <w:gridCol w:w="9628"/>
      </w:tblGrid>
      <w:tr w14:paraId="216D830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B68756B" w14:textId="77F02B44">
            <w:pPr>
              <w:pStyle w:val="Kpalrs"/>
            </w:pPr>
            <w:bookmarkStart w:id="223" w:name="_Ref181694220"/>
            <w:r>
              <w:t xml:space="preserve">Exhibit </w:t>
            </w:r>
            <w:fldSimple w:instr=" STYLEREF 2 \s ">
              <w:r>
                <w:rPr>
                  <w:noProof/>
                </w:rPr>
                <w:t>4.3</w:t>
              </w:r>
            </w:fldSimple>
            <w:r>
              <w:t>.</w:t>
            </w:r>
            <w:fldSimple w:instr=" SEQ Exhibit \* ALPHABETIC \s 2 ">
              <w:r>
                <w:rPr>
                  <w:noProof/>
                </w:rPr>
                <w:t>C</w:t>
              </w:r>
            </w:fldSimple>
            <w:bookmarkEnd w:id="223"/>
            <w:r>
              <w:t>: multiple milestones coinciding with nested block-level container boundaries</w:t>
            </w:r>
          </w:p>
        </w:tc>
      </w:tr>
      <w:tr w14:paraId="7C0DAD1D" w14:textId="77777777">
        <w:tc>
          <w:tcPr>
            <w:tcW w:w="5000" w:type="pct"/>
          </w:tcPr>
          <w:p w14:paraId="014898CF" w14:textId="77777777">
            <w:pPr>
              <w:pStyle w:val="CodeParagraph"/>
              <w:rPr>
                <w:rStyle w:val="Code"/>
              </w:rPr>
            </w:pPr>
            <w:r>
              <w:rPr>
                <w:rStyle w:val="Code"/>
              </w:rPr>
              <w:t xml:space="preserve">&lt;lg </w:t>
            </w:r>
            <w:r>
              <w:rPr>
                <w:rStyle w:val="Codeattribute"/>
              </w:rPr>
              <w:t>n</w:t>
            </w:r>
            <w:r>
              <w:rPr>
                <w:rStyle w:val="Code"/>
              </w:rPr>
              <w:t>=</w:t>
            </w:r>
            <w:r>
              <w:rPr>
                <w:rStyle w:val="Codevalue"/>
              </w:rPr>
              <w:t>"5"</w:t>
            </w:r>
            <w:r>
              <w:rPr>
                <w:rStyle w:val="Code"/>
              </w:rPr>
              <w:t xml:space="preserve"> </w:t>
            </w:r>
            <w:r>
              <w:rPr>
                <w:rStyle w:val="Codeattribute"/>
              </w:rPr>
              <w:t>met</w:t>
            </w:r>
            <w:r>
              <w:rPr>
                <w:rStyle w:val="Code"/>
              </w:rPr>
              <w:t>=</w:t>
            </w:r>
            <w:r>
              <w:rPr>
                <w:rStyle w:val="Codevalue"/>
              </w:rPr>
              <w:t>"upajāti"</w:t>
            </w:r>
            <w:r>
              <w:rPr>
                <w:rStyle w:val="Code"/>
              </w:rPr>
              <w:t>&gt;</w:t>
            </w:r>
          </w:p>
          <w:p w14:paraId="591AFAF0" w14:textId="77777777">
            <w:pPr>
              <w:pStyle w:val="CodeParagraph"/>
              <w:rPr>
                <w:rStyle w:val="Codetext"/>
              </w:rPr>
            </w:pPr>
            <w:r>
              <w:rPr>
                <w:rStyle w:val="Codetext"/>
              </w:rPr>
              <w:t xml:space="preserve">  ...</w:t>
            </w:r>
          </w:p>
          <w:p w14:paraId="7B19BCCD" w14:textId="77777777">
            <w:pPr>
              <w:pStyle w:val="CodeParagraph"/>
              <w:rPr>
                <w:rStyle w:val="Code"/>
              </w:rPr>
            </w:pPr>
            <w:r>
              <w:rPr>
                <w:rStyle w:val="Codetext"/>
              </w:rPr>
              <w:t xml:space="preserve">  </w:t>
            </w:r>
            <w:r>
              <w:rPr>
                <w:rStyle w:val="Code"/>
              </w:rPr>
              <w:t xml:space="preserve">&lt;l </w:t>
            </w:r>
            <w:r>
              <w:rPr>
                <w:rStyle w:val="Codeattribute"/>
              </w:rPr>
              <w:t>n</w:t>
            </w:r>
            <w:r>
              <w:rPr>
                <w:rStyle w:val="Code"/>
              </w:rPr>
              <w:t>=</w:t>
            </w:r>
            <w:r>
              <w:rPr>
                <w:rStyle w:val="Codevalue"/>
              </w:rPr>
              <w:t>"d"</w:t>
            </w:r>
            <w:r>
              <w:rPr>
                <w:rStyle w:val="Code"/>
              </w:rPr>
              <w:t xml:space="preserve">&gt; </w:t>
            </w:r>
            <w:r>
              <w:rPr>
                <w:rStyle w:val="Codetext"/>
              </w:rPr>
              <w:t>... śāntiM</w:t>
            </w:r>
            <w:r>
              <w:rPr>
                <w:rStyle w:val="Code"/>
              </w:rPr>
              <w:t>&lt;/l&gt;</w:t>
            </w:r>
          </w:p>
          <w:p w14:paraId="256CF431" w14:textId="77777777">
            <w:pPr>
              <w:pStyle w:val="CodeParagraph"/>
              <w:rPr>
                <w:rStyle w:val="Code"/>
              </w:rPr>
            </w:pPr>
            <w:r>
              <w:rPr>
                <w:rStyle w:val="Code"/>
              </w:rPr>
              <w:t>&lt;/lg&gt;</w:t>
            </w:r>
          </w:p>
          <w:p w14:paraId="5FE0CF0B" w14:textId="77777777">
            <w:pPr>
              <w:pStyle w:val="CodeParagraph"/>
              <w:rPr>
                <w:rStyle w:val="Code"/>
              </w:rPr>
            </w:pPr>
            <w:r>
              <w:rPr>
                <w:rStyle w:val="Code"/>
              </w:rPr>
              <w:t xml:space="preserve">&lt;lg </w:t>
            </w:r>
            <w:r>
              <w:rPr>
                <w:rStyle w:val="Codeattribute"/>
              </w:rPr>
              <w:t>n</w:t>
            </w:r>
            <w:r>
              <w:rPr>
                <w:rStyle w:val="Code"/>
              </w:rPr>
              <w:t>=</w:t>
            </w:r>
            <w:r>
              <w:rPr>
                <w:rStyle w:val="Codevalue"/>
              </w:rPr>
              <w:t>"6"</w:t>
            </w:r>
            <w:r>
              <w:rPr>
                <w:rStyle w:val="Code"/>
              </w:rPr>
              <w:t xml:space="preserve"> </w:t>
            </w:r>
            <w:r>
              <w:rPr>
                <w:rStyle w:val="Codeattribute"/>
              </w:rPr>
              <w:t>met</w:t>
            </w:r>
            <w:r>
              <w:rPr>
                <w:rStyle w:val="Code"/>
              </w:rPr>
              <w:t>=</w:t>
            </w:r>
            <w:r>
              <w:rPr>
                <w:rStyle w:val="Codevalue"/>
              </w:rPr>
              <w:t>"upajāti"</w:t>
            </w:r>
            <w:r>
              <w:rPr>
                <w:rStyle w:val="Code"/>
              </w:rPr>
              <w:t>&gt;</w:t>
            </w:r>
          </w:p>
          <w:p w14:paraId="4E73D1A1" w14:textId="77777777">
            <w:pPr>
              <w:pStyle w:val="CodeParagraph"/>
              <w:keepNext/>
              <w:rPr>
                <w:rStyle w:val="Code"/>
              </w:rPr>
            </w:pPr>
            <w:r>
              <w:rPr>
                <w:rStyle w:val="Code"/>
              </w:rPr>
              <w:t xml:space="preserve">  &lt;l </w:t>
            </w:r>
            <w:r>
              <w:rPr>
                <w:rStyle w:val="Codeattribute"/>
              </w:rPr>
              <w:t>n</w:t>
            </w:r>
            <w:r>
              <w:rPr>
                <w:rStyle w:val="Code"/>
              </w:rPr>
              <w:t>=</w:t>
            </w:r>
            <w:r>
              <w:rPr>
                <w:rStyle w:val="Codevalue"/>
              </w:rPr>
              <w:t>"a"</w:t>
            </w:r>
            <w:r>
              <w:rPr>
                <w:rStyle w:val="Code"/>
              </w:rPr>
              <w:t xml:space="preserve">&gt;&lt;pb </w:t>
            </w:r>
            <w:r>
              <w:rPr>
                <w:rStyle w:val="Codeattribute"/>
              </w:rPr>
              <w:t>n</w:t>
            </w:r>
            <w:r>
              <w:rPr>
                <w:rStyle w:val="Code"/>
              </w:rPr>
              <w:t>=</w:t>
            </w:r>
            <w:r>
              <w:rPr>
                <w:rStyle w:val="Codevalue"/>
              </w:rPr>
              <w:t>"2"</w:t>
            </w:r>
            <w:r>
              <w:rPr>
                <w:rStyle w:val="Code"/>
              </w:rPr>
              <w:t xml:space="preserve">/&gt;&lt;lb </w:t>
            </w:r>
            <w:r>
              <w:rPr>
                <w:rStyle w:val="Codeattribute"/>
              </w:rPr>
              <w:t>n</w:t>
            </w:r>
            <w:r>
              <w:rPr>
                <w:rStyle w:val="Code"/>
              </w:rPr>
              <w:t>=</w:t>
            </w:r>
            <w:r>
              <w:rPr>
                <w:rStyle w:val="Codevalue"/>
              </w:rPr>
              <w:t>"9"</w:t>
            </w:r>
            <w:r>
              <w:rPr>
                <w:rStyle w:val="Code"/>
              </w:rPr>
              <w:t>/&gt;</w:t>
            </w:r>
            <w:r>
              <w:rPr>
                <w:rStyle w:val="Codetext"/>
              </w:rPr>
              <w:t>guptānvaya ...</w:t>
            </w:r>
          </w:p>
          <w:p w14:paraId="4C3DF843" w14:textId="77777777">
            <w:pPr>
              <w:pStyle w:val="CodeParagraph"/>
              <w:keepNext/>
              <w:rPr>
                <w:rStyle w:val="Code"/>
              </w:rPr>
            </w:pPr>
            <w:r>
              <w:rPr>
                <w:rStyle w:val="Code"/>
              </w:rPr>
              <w:t xml:space="preserve">  ...</w:t>
            </w:r>
          </w:p>
          <w:p w14:paraId="0069F5F7" w14:textId="77777777">
            <w:pPr>
              <w:pStyle w:val="CodeParagraph"/>
              <w:keepNext/>
            </w:pPr>
            <w:r>
              <w:rPr>
                <w:rStyle w:val="Code"/>
              </w:rPr>
              <w:t>&lt;/lg&gt;</w:t>
            </w:r>
          </w:p>
        </w:tc>
      </w:tr>
      <w:tr w14:paraId="6413C5CB" w14:textId="77777777">
        <w:tc>
          <w:tcPr>
            <w:tcW w:w="5000" w:type="pct"/>
          </w:tcPr>
          <w:p w14:paraId="33B72E12" w14:textId="77777777">
            <w:pPr>
              <w:pStyle w:val="TableNote"/>
            </w:pPr>
            <w:r>
              <w:t>this stanza begins at the beginning of a page in a set of copper plates</w:t>
            </w:r>
          </w:p>
          <w:p w14:paraId="156F260F" w14:textId="77777777">
            <w:pPr>
              <w:pStyle w:val="TableNote"/>
            </w:pPr>
            <w:r>
              <w:t xml:space="preserve">the milestones for the page beginning as well as the line beginning are the first items within the first </w:t>
            </w:r>
            <w:r>
              <w:rPr>
                <w:rStyle w:val="Code"/>
              </w:rPr>
              <w:t>&lt;l&gt;</w:t>
            </w:r>
            <w:r>
              <w:t xml:space="preserve"> element of the new stanza</w:t>
            </w:r>
          </w:p>
        </w:tc>
      </w:tr>
    </w:tbl>
    <w:bookmarkEnd w:id="221"/>
    <w:p w14:paraId="6597ED5D" w14:textId="77777777">
      <w:pPr>
        <w:pStyle w:val="Cmsor4"/>
      </w:pPr>
      <w:r>
        <w:t>Milestones and white space</w:t>
      </w:r>
    </w:p>
    <w:p w14:paraId="1079E2DA" w14:textId="7E640253">
      <w:r>
        <w:rPr>
          <w:lang w:eastAsia="en-US" w:bidi="ar-SA"/>
        </w:rPr>
        <w:t>General instructions regarding spacing around XML elements are given in §</w:t>
      </w:r>
      <w:r>
        <w:rPr>
          <w:lang w:eastAsia="en-US" w:bidi="ar-SA"/>
        </w:rPr>
        <w:fldChar w:fldCharType="begin"/>
      </w:r>
      <w:r>
        <w:rPr>
          <w:lang w:eastAsia="en-US" w:bidi="ar-SA"/>
        </w:rPr>
        <w:instrText xml:space="preserve"> REF _Ref43989206 \r \h </w:instrText>
      </w:r>
      <w:r>
        <w:rPr>
          <w:lang w:eastAsia="en-US" w:bidi="ar-SA"/>
        </w:rPr>
      </w:r>
      <w:r>
        <w:rPr>
          <w:lang w:eastAsia="en-US" w:bidi="ar-SA"/>
        </w:rPr>
        <w:fldChar w:fldCharType="separate"/>
      </w:r>
      <w:r>
        <w:rPr>
          <w:lang w:eastAsia="en-US" w:bidi="ar-SA"/>
        </w:rPr>
        <w:t>16.1</w:t>
      </w:r>
      <w:r>
        <w:rPr>
          <w:lang w:eastAsia="en-US" w:bidi="ar-SA"/>
        </w:rPr>
        <w:fldChar w:fldCharType="end"/>
      </w:r>
      <w:r>
        <w:rPr>
          <w:lang w:eastAsia="en-US" w:bidi="ar-SA"/>
        </w:rPr>
        <w:t xml:space="preserve">. There is no technical need to separate milestones from adjacent text or elements with spaces, so spaces must only be used around milestone elements where the text (disregarding the milestone) would contain an editorial space, i.e. at a word break. Adding more than the necessary amount of space, as well as the use of new lines in the code, is not a technical problem but it can lead to undesirable consequences in processing. We therefore prefer to avoid using spaces on both sides of a milestone. If a partition encoded with a milestone coincides with an </w:t>
      </w:r>
      <w:r>
        <w:rPr>
          <w:lang w:eastAsia="en-US" w:bidi="ar-SA"/>
        </w:rPr>
        <w:lastRenderedPageBreak/>
        <w:t xml:space="preserve">editorial space, the space shall be placed before the milestone. However, it is completely acceptable to insert </w:t>
      </w:r>
      <w:r>
        <w:t xml:space="preserve">new lines (carriage returns) within milestone tags, and doing so consistently for certain kinds of milestones will make your XML document easier to scan while working, as in </w:t>
      </w:r>
      <w:r>
        <w:fldChar w:fldCharType="begin"/>
      </w:r>
      <w:r>
        <w:instrText xml:space="preserve"> REF _Ref182314695 \h </w:instrText>
      </w:r>
      <w:r>
        <w:fldChar w:fldCharType="separate"/>
      </w:r>
      <w:r>
        <w:t xml:space="preserve">Exhibit </w:t>
      </w:r>
      <w:r>
        <w:rPr>
          <w:noProof/>
        </w:rPr>
        <w:t>4.3</w:t>
      </w:r>
      <w:r>
        <w:t>.</w:t>
      </w:r>
      <w:r>
        <w:rPr>
          <w:noProof/>
        </w:rPr>
        <w:t>D</w:t>
      </w:r>
      <w:r>
        <w:fldChar w:fldCharType="end"/>
      </w:r>
      <w:r>
        <w:t>.</w:t>
      </w:r>
    </w:p>
    <w:tbl>
      <w:tblPr>
        <w:tblStyle w:val="CodeSampleTable"/>
        <w:tblW w:w="5000" w:type="pct"/>
        <w:tblLook w:val="04A0" w:firstRow="1" w:lastRow="0" w:firstColumn="1" w:lastColumn="0" w:noHBand="0" w:noVBand="1"/>
      </w:tblPr>
      <w:tblGrid>
        <w:gridCol w:w="9628"/>
      </w:tblGrid>
      <w:tr w14:paraId="420ADA2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F008569" w14:textId="4363794F">
            <w:pPr>
              <w:pStyle w:val="Kpalrs"/>
            </w:pPr>
            <w:bookmarkStart w:id="224" w:name="_Ref182314695"/>
            <w:bookmarkStart w:id="225" w:name="_Ref182316275"/>
            <w:bookmarkStart w:id="226" w:name="_Ref182312225"/>
            <w:r>
              <w:t xml:space="preserve">Exhibit </w:t>
            </w:r>
            <w:fldSimple w:instr=" STYLEREF 2 \s ">
              <w:r>
                <w:rPr>
                  <w:noProof/>
                </w:rPr>
                <w:t>4.3</w:t>
              </w:r>
            </w:fldSimple>
            <w:r>
              <w:t>.</w:t>
            </w:r>
            <w:fldSimple w:instr=" SEQ Exhibit \* ALPHABETIC \s 2 ">
              <w:r>
                <w:rPr>
                  <w:noProof/>
                </w:rPr>
                <w:t>D</w:t>
              </w:r>
            </w:fldSimple>
            <w:bookmarkEnd w:id="224"/>
            <w:r>
              <w:t>: carriage returns used within milestone tags</w:t>
            </w:r>
            <w:bookmarkEnd w:id="225"/>
          </w:p>
        </w:tc>
      </w:tr>
      <w:tr w14:paraId="7E3A6A55" w14:textId="77777777">
        <w:tc>
          <w:tcPr>
            <w:tcW w:w="5000" w:type="pct"/>
          </w:tcPr>
          <w:p w14:paraId="35609956" w14:textId="77777777">
            <w:pPr>
              <w:pStyle w:val="CodeParagraph"/>
              <w:rPr>
                <w:rStyle w:val="Code"/>
              </w:rPr>
            </w:pPr>
            <w:r>
              <w:rPr>
                <w:rStyle w:val="Codetext"/>
              </w:rPr>
              <w:t xml:space="preserve">...manv-ādi-praṇīta-dharmmaśāstra-pracarita-vr̥ddhiḥ </w:t>
            </w:r>
            <w:r>
              <w:rPr>
                <w:rStyle w:val="Code"/>
              </w:rPr>
              <w:t xml:space="preserve">&lt;pb </w:t>
            </w:r>
          </w:p>
          <w:p w14:paraId="55E7396E" w14:textId="77777777">
            <w:pPr>
              <w:pStyle w:val="CodeParagraph"/>
              <w:rPr>
                <w:rStyle w:val="Code"/>
              </w:rPr>
            </w:pPr>
            <w:r>
              <w:rPr>
                <w:rStyle w:val="Codeattribute"/>
              </w:rPr>
              <w:t>n=</w:t>
            </w:r>
            <w:r>
              <w:rPr>
                <w:rStyle w:val="Codevalue"/>
              </w:rPr>
              <w:t>"2r"</w:t>
            </w:r>
            <w:r>
              <w:rPr>
                <w:rStyle w:val="Code"/>
              </w:rPr>
              <w:t xml:space="preserve">/&gt;&lt;lb </w:t>
            </w:r>
          </w:p>
          <w:p w14:paraId="22930BDA" w14:textId="77777777">
            <w:pPr>
              <w:pStyle w:val="CodeParagraph"/>
              <w:rPr>
                <w:rFonts w:ascii="Consolas" w:hAnsi="Consolas" w:cs="Consolas"/>
                <w:noProof/>
                <w:color w:val="000000" w:themeColor="text1"/>
                <w:shd w:val="clear" w:color="auto" w:fill="F2F2F2" w:themeFill="background1" w:themeFillShade="F2"/>
              </w:rPr>
            </w:pPr>
            <w:r>
              <w:rPr>
                <w:rStyle w:val="Codeattribute"/>
              </w:rPr>
              <w:t>n=</w:t>
            </w:r>
            <w:r>
              <w:rPr>
                <w:rStyle w:val="Codevalue"/>
              </w:rPr>
              <w:t>"7"</w:t>
            </w:r>
            <w:r>
              <w:rPr>
                <w:rStyle w:val="Code"/>
              </w:rPr>
              <w:t>/&gt;</w:t>
            </w:r>
            <w:r>
              <w:rPr>
                <w:rStyle w:val="Codetext"/>
              </w:rPr>
              <w:t>yudhiṣṭhira Iva satya-sandhaḥ br̥haspatir iva naya-jñaḥ mātā-pitr̥</w:t>
            </w:r>
            <w:r>
              <w:rPr>
                <w:rStyle w:val="Code"/>
              </w:rPr>
              <w:t>&lt;lb</w:t>
            </w:r>
            <w:r>
              <w:rPr>
                <w:rStyle w:val="Code"/>
              </w:rPr>
              <w:br/>
            </w:r>
            <w:r>
              <w:rPr>
                <w:rStyle w:val="Codeattribute"/>
              </w:rPr>
              <w:t>n=</w:t>
            </w:r>
            <w:r>
              <w:rPr>
                <w:rStyle w:val="Codevalue"/>
              </w:rPr>
              <w:t>"8"</w:t>
            </w:r>
            <w:r>
              <w:rPr>
                <w:rStyle w:val="Code"/>
              </w:rPr>
              <w:t xml:space="preserve"> </w:t>
            </w:r>
            <w:r>
              <w:rPr>
                <w:rStyle w:val="Codeattribute"/>
              </w:rPr>
              <w:t>break=</w:t>
            </w:r>
            <w:r>
              <w:rPr>
                <w:rStyle w:val="Codevalue"/>
              </w:rPr>
              <w:t>"no"</w:t>
            </w:r>
            <w:r>
              <w:rPr>
                <w:rStyle w:val="Code"/>
              </w:rPr>
              <w:t>/&gt;</w:t>
            </w:r>
            <w:r>
              <w:rPr>
                <w:rStyle w:val="Codetext"/>
              </w:rPr>
              <w:t>-pādānudhyātaḥ śrī-viṣṇuvarddhana-mahārājaḥ...</w:t>
            </w:r>
          </w:p>
        </w:tc>
      </w:tr>
    </w:tbl>
    <w:p w14:paraId="220E2B4D" w14:textId="77777777">
      <w:bookmarkStart w:id="227" w:name="_Ref182318134"/>
    </w:p>
    <w:p w14:paraId="149FFC85" w14:textId="77777777">
      <w:pPr>
        <w:pStyle w:val="Cmsor2"/>
      </w:pPr>
      <w:bookmarkStart w:id="228" w:name="_Ref233982406"/>
      <w:bookmarkStart w:id="229" w:name="_Toc242889470"/>
      <w:bookmarkEnd w:id="226"/>
      <w:bookmarkEnd w:id="227"/>
      <w:r>
        <w:t>Pagelike partitions</w:t>
      </w:r>
      <w:bookmarkEnd w:id="198"/>
      <w:bookmarkEnd w:id="206"/>
      <w:bookmarkEnd w:id="216"/>
      <w:bookmarkEnd w:id="228"/>
      <w:bookmarkEnd w:id="229"/>
    </w:p>
    <w:p w14:paraId="58A74219" w14:textId="5807EC08">
      <w:bookmarkStart w:id="230" w:name="_h6ikg2hg8g9u" w:colFirst="0" w:colLast="0"/>
      <w:bookmarkEnd w:id="230"/>
      <w:r>
        <w:t>Recall from §</w:t>
      </w:r>
      <w:r>
        <w:fldChar w:fldCharType="begin"/>
      </w:r>
      <w:r>
        <w:instrText xml:space="preserve"> REF _Ref182923075 \r \h </w:instrText>
      </w:r>
      <w:r>
        <w:fldChar w:fldCharType="separate"/>
      </w:r>
      <w:r>
        <w:t>4.1</w:t>
      </w:r>
      <w:r>
        <w:fldChar w:fldCharType="end"/>
      </w:r>
      <w:r>
        <w:t xml:space="preserve"> that a pagelike partition is what happens when the text continues from the end of a zone to the beginning of the next, typically without a major semantic boundary, as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/2. The text of all such partitions together comprises a single virtual field that is an integral whole, while the chunks of text in the individual partitions are not complete in themselves. We call these partitions pagelike because each zone is analogous to a page in a book: the boundary is usually incidental and irrelevant to the text’s semantic structure, although it may also coincide with a semantic break. Since such a partition may occur inside a unit of intrinsic structure, the encoding equivalent of a pagelike partition must be an empty milestone element (§</w:t>
      </w:r>
      <w:r>
        <w:fldChar w:fldCharType="begin"/>
      </w:r>
      <w:r>
        <w:instrText xml:space="preserve"> REF _Ref225327729 \r \h </w:instrText>
      </w:r>
      <w:r>
        <w:fldChar w:fldCharType="separate"/>
      </w:r>
      <w:r>
        <w:t>4.3</w:t>
      </w:r>
      <w:r>
        <w:fldChar w:fldCharType="end"/>
      </w:r>
      <w:r>
        <w:t xml:space="preserve">). For the genuine pages of copperplate charters, we use </w:t>
      </w:r>
      <w:r>
        <w:rPr>
          <w:rStyle w:val="Code"/>
        </w:rPr>
        <w:t>&lt;pb/&gt;</w:t>
      </w:r>
      <w:r>
        <w:t xml:space="preserve"> elements (§</w:t>
      </w:r>
      <w:r>
        <w:fldChar w:fldCharType="begin"/>
      </w:r>
      <w:r>
        <w:instrText xml:space="preserve"> REF _Ref183083980 \r \h </w:instrText>
      </w:r>
      <w:r>
        <w:fldChar w:fldCharType="separate"/>
      </w:r>
      <w:r>
        <w:t>4.4.2</w:t>
      </w:r>
      <w:r>
        <w:fldChar w:fldCharType="end"/>
      </w:r>
      <w:r>
        <w:t xml:space="preserve">), while for other partitions of analogous nature we employ </w:t>
      </w:r>
      <w:r>
        <w:rPr>
          <w:rStyle w:val="Code"/>
        </w:rPr>
        <w:t xml:space="preserve">&lt;milestone </w:t>
      </w:r>
      <w:r>
        <w:rPr>
          <w:rStyle w:val="Codeattribute"/>
        </w:rPr>
        <w:t>type=</w:t>
      </w:r>
      <w:r>
        <w:rPr>
          <w:rStyle w:val="Codevalue"/>
        </w:rPr>
        <w:t>"pagelike"</w:t>
      </w:r>
      <w:r>
        <w:rPr>
          <w:rStyle w:val="Code"/>
        </w:rPr>
        <w:t>&gt;</w:t>
      </w:r>
      <w:r>
        <w:t xml:space="preserve"> (§</w:t>
      </w:r>
      <w:r>
        <w:fldChar w:fldCharType="begin"/>
      </w:r>
      <w:r>
        <w:instrText xml:space="preserve"> REF _Ref43986679 \r \h </w:instrText>
      </w:r>
      <w:r>
        <w:fldChar w:fldCharType="separate"/>
      </w:r>
      <w:r>
        <w:t>4.4.2.1</w:t>
      </w:r>
      <w:r>
        <w:fldChar w:fldCharType="end"/>
      </w:r>
      <w:r>
        <w:t xml:space="preserve">). </w:t>
      </w:r>
    </w:p>
    <w:p w14:paraId="239F935F" w14:textId="78C4F87D">
      <w:pPr>
        <w:pStyle w:val="Normlbehzs"/>
      </w:pPr>
      <w:r>
        <w:t xml:space="preserve">There is no technical limit to the number of different kinds of pagelike partitions that a document may contain. However, to avoid complications in markup and referencing, our project policy is always to employ a maximum of one kind of pagelike partition per division (i.e. only one kind in an undivided edition, or only one kind in each textpart of a subdivided edition). Thus, an edition or textpart may contain either </w:t>
      </w:r>
      <w:r>
        <w:rPr>
          <w:rStyle w:val="Code"/>
        </w:rPr>
        <w:t>&lt;pb/&gt;</w:t>
      </w:r>
      <w:r>
        <w:t xml:space="preserve"> or </w:t>
      </w:r>
      <w:r>
        <w:rPr>
          <w:rStyle w:val="Code"/>
        </w:rPr>
        <w:t xml:space="preserve">&lt;milestone </w:t>
      </w:r>
      <w:r>
        <w:rPr>
          <w:rStyle w:val="Codeattribute"/>
        </w:rPr>
        <w:t>type=</w:t>
      </w:r>
      <w:r>
        <w:rPr>
          <w:rStyle w:val="Codevalue"/>
        </w:rPr>
        <w:t>"pagelike"</w:t>
      </w:r>
      <w:r>
        <w:rPr>
          <w:rStyle w:val="Code"/>
        </w:rPr>
        <w:t>&gt;</w:t>
      </w:r>
      <w:r>
        <w:t xml:space="preserve"> with one particular </w:t>
      </w:r>
      <w:r>
        <w:rPr>
          <w:rStyle w:val="Codeattribute"/>
        </w:rPr>
        <w:t>@unit</w:t>
      </w:r>
      <w:r>
        <w:t xml:space="preserve"> (§</w:t>
      </w:r>
      <w:r>
        <w:fldChar w:fldCharType="begin"/>
      </w:r>
      <w:r>
        <w:instrText xml:space="preserve"> REF _Ref182815315 \r \h </w:instrText>
      </w:r>
      <w:r>
        <w:fldChar w:fldCharType="separate"/>
      </w:r>
      <w:r>
        <w:t>4.3.1</w:t>
      </w:r>
      <w:r>
        <w:fldChar w:fldCharType="end"/>
      </w:r>
      <w:r>
        <w:t xml:space="preserve">), but not both, nor </w:t>
      </w:r>
      <w:r>
        <w:rPr>
          <w:rStyle w:val="Code"/>
        </w:rPr>
        <w:t xml:space="preserve">&lt;milestone </w:t>
      </w:r>
      <w:r>
        <w:rPr>
          <w:rStyle w:val="Codeattribute"/>
        </w:rPr>
        <w:t>type=</w:t>
      </w:r>
      <w:r>
        <w:rPr>
          <w:rStyle w:val="Codevalue"/>
        </w:rPr>
        <w:t>"pagelike"</w:t>
      </w:r>
      <w:r>
        <w:rPr>
          <w:rStyle w:val="Code"/>
        </w:rPr>
        <w:t>&gt;</w:t>
      </w:r>
      <w:r>
        <w:t xml:space="preserve"> with two or more different values of </w:t>
      </w:r>
      <w:r>
        <w:rPr>
          <w:rStyle w:val="Codeattribute"/>
        </w:rPr>
        <w:t>@unit</w:t>
      </w:r>
      <w:r>
        <w:t xml:space="preserve">. When encoding a structurally complex inscription, instead of resorting to multiple kinds of pagelike partitions, try to make the best use of </w:t>
      </w:r>
      <w:bookmarkStart w:id="231" w:name="_tnb25u59sdgt" w:colFirst="0" w:colLast="0"/>
      <w:bookmarkStart w:id="232" w:name="_Ref43978346"/>
      <w:bookmarkStart w:id="233" w:name="_Ref182580155"/>
      <w:bookmarkStart w:id="234" w:name="_Ref182580158"/>
      <w:bookmarkStart w:id="235" w:name="_Ref182580228"/>
      <w:bookmarkEnd w:id="231"/>
      <w:r>
        <w:t>other encoding solutions. Considerations for some such situations are discussed in §</w:t>
      </w:r>
      <w:r>
        <w:fldChar w:fldCharType="begin"/>
      </w:r>
      <w:r>
        <w:instrText xml:space="preserve"> REF _Ref225350898 \r \h </w:instrText>
      </w:r>
      <w:r>
        <w:fldChar w:fldCharType="separate"/>
      </w:r>
      <w:r>
        <w:t>4.7</w:t>
      </w:r>
      <w:r>
        <w:fldChar w:fldCharType="end"/>
      </w:r>
      <w:r>
        <w:t>.</w:t>
      </w:r>
    </w:p>
    <w:p w14:paraId="3BE578A1" w14:textId="77777777">
      <w:pPr>
        <w:pStyle w:val="Cmsor4"/>
      </w:pPr>
      <w:r>
        <w:t>Terminology for pages and related entities</w:t>
      </w:r>
    </w:p>
    <w:p w14:paraId="6D519F83" w14:textId="77777777">
      <w:r>
        <w:t>In this section and elsewhere when discussing pages and pagelike entities, we use the following terms in the following specific senses.</w:t>
      </w:r>
    </w:p>
    <w:p w14:paraId="6F615B6C" w14:textId="06C7D3CC">
      <w:pPr>
        <w:pStyle w:val="Lista"/>
      </w:pPr>
      <w:r>
        <w:t xml:space="preserve">a </w:t>
      </w:r>
      <w:r>
        <w:rPr>
          <w:b/>
          <w:bCs/>
        </w:rPr>
        <w:t>plate</w:t>
      </w:r>
      <w:r>
        <w:t xml:space="preserve"> is one discrete plate of copper (or other substance) bearing an inscription or part thereof</w:t>
      </w:r>
    </w:p>
    <w:p w14:paraId="04FD41BD" w14:textId="5965B9E1">
      <w:pPr>
        <w:pStyle w:val="Lista"/>
      </w:pPr>
      <w:r>
        <w:t xml:space="preserve">a </w:t>
      </w:r>
      <w:r>
        <w:rPr>
          <w:b/>
          <w:bCs/>
        </w:rPr>
        <w:t>face</w:t>
      </w:r>
      <w:r>
        <w:t xml:space="preserve"> is the physical surface on one side of a plate</w:t>
      </w:r>
    </w:p>
    <w:p w14:paraId="02CF9ABF" w14:textId="77777777">
      <w:pPr>
        <w:pStyle w:val="Lista2"/>
      </w:pPr>
      <w:r>
        <w:t>in other contexts, a face is one largely flat surface on any three-dimensional object</w:t>
      </w:r>
    </w:p>
    <w:p w14:paraId="717055DE" w14:textId="77777777">
      <w:pPr>
        <w:pStyle w:val="Lista"/>
      </w:pPr>
      <w:r>
        <w:t xml:space="preserve">the </w:t>
      </w:r>
      <w:r>
        <w:rPr>
          <w:b/>
          <w:bCs/>
        </w:rPr>
        <w:t>recto</w:t>
      </w:r>
      <w:r>
        <w:t xml:space="preserve"> face of a plate or sheet is the obverse, the face that comes first in sequence</w:t>
      </w:r>
    </w:p>
    <w:p w14:paraId="7D9B2699" w14:textId="77777777">
      <w:pPr>
        <w:pStyle w:val="Lista"/>
      </w:pPr>
      <w:r>
        <w:t xml:space="preserve">the </w:t>
      </w:r>
      <w:r>
        <w:rPr>
          <w:b/>
          <w:bCs/>
        </w:rPr>
        <w:t>verso</w:t>
      </w:r>
      <w:r>
        <w:t xml:space="preserve"> face of a plate or sheet is the reverse, the face that comes next in sequence</w:t>
      </w:r>
    </w:p>
    <w:p w14:paraId="4424C394" w14:textId="406BB7F7">
      <w:pPr>
        <w:pStyle w:val="Lista"/>
      </w:pPr>
      <w:r>
        <w:t xml:space="preserve">a </w:t>
      </w:r>
      <w:r>
        <w:rPr>
          <w:b/>
          <w:bCs/>
        </w:rPr>
        <w:t>page</w:t>
      </w:r>
      <w:r>
        <w:t xml:space="preserve"> is an abstract unit of text that is inscribed on one face of a plate or one side of a sheet of another substance</w:t>
      </w:r>
    </w:p>
    <w:p w14:paraId="516FD251" w14:textId="77777777">
      <w:pPr>
        <w:pStyle w:val="Lista"/>
      </w:pPr>
      <w:r>
        <w:t xml:space="preserve">a </w:t>
      </w:r>
      <w:r>
        <w:rPr>
          <w:b/>
          <w:bCs/>
        </w:rPr>
        <w:t>folio</w:t>
      </w:r>
      <w:r>
        <w:t xml:space="preserve"> as an abstract unit of text comprised of two pages that belong to a single plate or sheet</w:t>
      </w:r>
    </w:p>
    <w:p w14:paraId="49E44731" w14:textId="77777777">
      <w:pPr>
        <w:pStyle w:val="Cmsor3"/>
        <w:keepLines/>
      </w:pPr>
      <w:bookmarkStart w:id="236" w:name="_Ref183083979"/>
      <w:bookmarkStart w:id="237" w:name="_Ref183083980"/>
      <w:bookmarkStart w:id="238" w:name="_Toc242889471"/>
      <w:r>
        <w:t>Marking up genuine pages</w:t>
      </w:r>
      <w:bookmarkEnd w:id="232"/>
      <w:bookmarkEnd w:id="233"/>
      <w:bookmarkEnd w:id="234"/>
      <w:bookmarkEnd w:id="235"/>
      <w:bookmarkEnd w:id="236"/>
      <w:bookmarkEnd w:id="237"/>
      <w:bookmarkEnd w:id="238"/>
    </w:p>
    <w:p w14:paraId="5F8150D0" w14:textId="536FC523">
      <w:pPr>
        <w:pStyle w:val="Lista"/>
      </w:pPr>
      <w:r>
        <w:t xml:space="preserve">to encode genuine pages, as in copper plates, use the empty element </w:t>
      </w:r>
      <w:r>
        <w:rPr>
          <w:rStyle w:val="Code"/>
        </w:rPr>
        <w:t>&lt;pb/&gt;</w:t>
      </w:r>
      <w:r>
        <w:t xml:space="preserve"> as in </w:t>
      </w:r>
      <w:r>
        <w:fldChar w:fldCharType="begin"/>
      </w:r>
      <w:r>
        <w:instrText xml:space="preserve"> REF _Ref225356253 \h </w:instrText>
      </w:r>
      <w:r>
        <w:fldChar w:fldCharType="separate"/>
      </w:r>
      <w:r>
        <w:t xml:space="preserve">Exhibit </w:t>
      </w:r>
      <w:r>
        <w:rPr>
          <w:noProof/>
        </w:rPr>
        <w:t>4.4</w:t>
      </w:r>
      <w:r>
        <w:t>.</w:t>
      </w:r>
      <w:r>
        <w:rPr>
          <w:noProof/>
        </w:rPr>
        <w:t>A</w:t>
      </w:r>
      <w:r>
        <w:fldChar w:fldCharType="end"/>
      </w:r>
      <w:r>
        <w:t>, with the following attributes</w:t>
      </w:r>
    </w:p>
    <w:p w14:paraId="7F0614B9" w14:textId="21860920">
      <w:pPr>
        <w:pStyle w:val="Lista2"/>
      </w:pPr>
      <w:bookmarkStart w:id="239" w:name="_Ref182299386"/>
      <w:r>
        <w:t xml:space="preserve">mandatorily, </w:t>
      </w:r>
      <w:r>
        <w:rPr>
          <w:rStyle w:val="Codeattribute"/>
        </w:rPr>
        <w:t>@n</w:t>
      </w:r>
      <w:r>
        <w:t xml:space="preserve"> as per §</w:t>
      </w:r>
      <w:r>
        <w:fldChar w:fldCharType="begin"/>
      </w:r>
      <w:r>
        <w:instrText xml:space="preserve"> REF _Ref182310225 \r \h </w:instrText>
      </w:r>
      <w:r>
        <w:fldChar w:fldCharType="separate"/>
      </w:r>
      <w:r>
        <w:t>4.4.2.1</w:t>
      </w:r>
      <w:r>
        <w:fldChar w:fldCharType="end"/>
      </w:r>
    </w:p>
    <w:p w14:paraId="27560341" w14:textId="07394159">
      <w:pPr>
        <w:pStyle w:val="Lista2"/>
      </w:pPr>
      <w:r>
        <w:t xml:space="preserve">as applicable, </w:t>
      </w:r>
      <w:r>
        <w:rPr>
          <w:rStyle w:val="Codeattribute"/>
        </w:rPr>
        <w:t>@break</w:t>
      </w:r>
      <w:r>
        <w:t xml:space="preserve"> for page beginnings interrupting words as per §</w:t>
      </w:r>
      <w:r>
        <w:fldChar w:fldCharType="begin"/>
      </w:r>
      <w:r>
        <w:instrText xml:space="preserve"> REF _Ref225519777 \r \h </w:instrText>
      </w:r>
      <w:r>
        <w:fldChar w:fldCharType="separate"/>
      </w:r>
      <w:r>
        <w:t>4.3.2.1</w:t>
      </w:r>
      <w:r>
        <w:fldChar w:fldCharType="end"/>
      </w:r>
    </w:p>
    <w:p w14:paraId="29C7ACCE" w14:textId="0B83552B">
      <w:pPr>
        <w:pStyle w:val="Lista"/>
      </w:pPr>
      <w:r>
        <w:rPr>
          <w:rStyle w:val="Code"/>
        </w:rPr>
        <w:t>&lt;pb/&gt;</w:t>
      </w:r>
      <w:r>
        <w:t xml:space="preserve"> marks page beginnings (rather than transitions) and thus, when pages are present in a document, the element must be created at the start of each page</w:t>
      </w:r>
    </w:p>
    <w:p w14:paraId="6C3D2CA8" w14:textId="77777777">
      <w:pPr>
        <w:pStyle w:val="Lista2"/>
      </w:pPr>
      <w:r>
        <w:t>including the first page</w:t>
      </w:r>
    </w:p>
    <w:p w14:paraId="01E7105D" w14:textId="41863DC2">
      <w:pPr>
        <w:pStyle w:val="Lista2"/>
      </w:pPr>
      <w:r>
        <w:t>and including pages without text on them (§</w:t>
      </w:r>
      <w:r>
        <w:fldChar w:fldCharType="begin"/>
      </w:r>
      <w:r>
        <w:instrText xml:space="preserve"> REF _Ref182318940 \r \h </w:instrText>
      </w:r>
      <w:r>
        <w:fldChar w:fldCharType="separate"/>
      </w:r>
      <w:r>
        <w:t>4.4.2.2</w:t>
      </w:r>
      <w:r>
        <w:fldChar w:fldCharType="end"/>
      </w:r>
      <w:r>
        <w:t>)</w:t>
      </w:r>
    </w:p>
    <w:p w14:paraId="186B5F7C" w14:textId="434070CC">
      <w:pPr>
        <w:pStyle w:val="Lista"/>
      </w:pPr>
      <w:r>
        <w:lastRenderedPageBreak/>
        <w:t>good practice considerations applicable to structural milestones (§</w:t>
      </w:r>
      <w:r>
        <w:fldChar w:fldCharType="begin"/>
      </w:r>
      <w:r>
        <w:instrText xml:space="preserve"> REF _Ref225253138 \r \h </w:instrText>
      </w:r>
      <w:r>
        <w:fldChar w:fldCharType="separate"/>
      </w:r>
      <w:r>
        <w:t>4.3.3</w:t>
      </w:r>
      <w:r>
        <w:fldChar w:fldCharType="end"/>
      </w:r>
      <w:r>
        <w:t>) apply equally to page beginnings</w:t>
      </w:r>
    </w:p>
    <w:tbl>
      <w:tblPr>
        <w:tblStyle w:val="CodeSampleTable"/>
        <w:tblW w:w="4536" w:type="dxa"/>
        <w:jc w:val="center"/>
        <w:tblLook w:val="04A0" w:firstRow="1" w:lastRow="0" w:firstColumn="1" w:lastColumn="0" w:noHBand="0" w:noVBand="1"/>
      </w:tblPr>
      <w:tblGrid>
        <w:gridCol w:w="4536"/>
      </w:tblGrid>
      <w:tr w14:paraId="1F82BA21" w14:textId="77777777">
        <w:trPr>
          <w:cnfStyle w:val="100000000000" w:firstRow="1" w:lastRow="0" w:firstColumn="0" w:lastColumn="0" w:oddVBand="0" w:evenVBand="0" w:oddHBand="0" w:evenHBand="0" w:firstRowFirstColumn="0" w:firstRowLastColumn="0" w:lastRowFirstColumn="0" w:lastRowLastColumn="0"/>
          <w:jc w:val="center"/>
        </w:trPr>
        <w:tc>
          <w:tcPr>
            <w:tcW w:w="5000" w:type="pct"/>
          </w:tcPr>
          <w:p w14:paraId="3082A863" w14:textId="775E68F6">
            <w:pPr>
              <w:pStyle w:val="Kpalrs"/>
              <w:keepLines/>
            </w:pPr>
            <w:bookmarkStart w:id="240" w:name="_Ref225356253"/>
            <w:r>
              <w:t xml:space="preserve">Exhibit </w:t>
            </w:r>
            <w:fldSimple w:instr=" STYLEREF 2 \s ">
              <w:r>
                <w:rPr>
                  <w:noProof/>
                </w:rPr>
                <w:t>4.4</w:t>
              </w:r>
            </w:fldSimple>
            <w:r>
              <w:t>.</w:t>
            </w:r>
            <w:fldSimple w:instr=" SEQ Exhibit \* ALPHABETIC \s 2 ">
              <w:r>
                <w:rPr>
                  <w:noProof/>
                </w:rPr>
                <w:t>A</w:t>
              </w:r>
            </w:fldSimple>
            <w:bookmarkEnd w:id="240"/>
            <w:r>
              <w:t>: generic encoding for page beginnings</w:t>
            </w:r>
          </w:p>
        </w:tc>
      </w:tr>
      <w:tr w14:paraId="1862C63B" w14:textId="77777777">
        <w:trPr>
          <w:jc w:val="center"/>
        </w:trPr>
        <w:tc>
          <w:tcPr>
            <w:tcW w:w="5000" w:type="pct"/>
          </w:tcPr>
          <w:p w14:paraId="752B477F" w14:textId="77777777">
            <w:pPr>
              <w:pStyle w:val="Image"/>
              <w:keepLines/>
            </w:pPr>
            <w:r>
              <w:drawing>
                <wp:inline distT="0" distB="0" distL="0" distR="0" wp14:anchorId="0D37009C" wp14:editId="121F2A2E">
                  <wp:extent cx="2700000" cy="1080000"/>
                  <wp:effectExtent l="0" t="0" r="5715" b="6350"/>
                  <wp:docPr id="1888968169" name="Kép 188896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68169" name="Kép 1888968169"/>
                          <pic:cNvPicPr>
                            <a:picLocks noChangeAspect="1" noChangeArrowheads="1"/>
                          </pic:cNvPicPr>
                        </pic:nvPicPr>
                        <pic:blipFill>
                          <a:blip r:embed="rId16"/>
                          <a:stretch>
                            <a:fillRect/>
                          </a:stretch>
                        </pic:blipFill>
                        <pic:spPr bwMode="auto">
                          <a:xfrm>
                            <a:off x="0" y="0"/>
                            <a:ext cx="2700000" cy="1080000"/>
                          </a:xfrm>
                          <a:prstGeom prst="rect">
                            <a:avLst/>
                          </a:prstGeom>
                          <a:noFill/>
                          <a:ln>
                            <a:noFill/>
                          </a:ln>
                        </pic:spPr>
                      </pic:pic>
                    </a:graphicData>
                  </a:graphic>
                </wp:inline>
              </w:drawing>
            </w:r>
          </w:p>
        </w:tc>
      </w:tr>
      <w:tr w14:paraId="0B544F30" w14:textId="77777777">
        <w:trPr>
          <w:jc w:val="center"/>
        </w:trPr>
        <w:tc>
          <w:tcPr>
            <w:tcW w:w="5000" w:type="pct"/>
          </w:tcPr>
          <w:p w14:paraId="205B78E9" w14:textId="77777777">
            <w:pPr>
              <w:pStyle w:val="CodeParagraph"/>
              <w:keepNext/>
              <w:keepLines/>
              <w:rPr>
                <w:rStyle w:val="Codetext"/>
              </w:rPr>
            </w:pPr>
            <w:r>
              <w:rPr>
                <w:rStyle w:val="Code"/>
              </w:rPr>
              <w:t xml:space="preserve">&lt;p&gt;&lt;pb </w:t>
            </w:r>
            <w:r>
              <w:rPr>
                <w:rStyle w:val="Codeattribute"/>
              </w:rPr>
              <w:t>n</w:t>
            </w:r>
            <w:r>
              <w:rPr>
                <w:rStyle w:val="Code"/>
              </w:rPr>
              <w:t>=</w:t>
            </w:r>
            <w:r>
              <w:rPr>
                <w:rStyle w:val="Codevalue"/>
              </w:rPr>
              <w:t>"1"</w:t>
            </w:r>
            <w:r>
              <w:rPr>
                <w:rStyle w:val="Code"/>
              </w:rPr>
              <w:t xml:space="preserve">/&gt;&lt;lb </w:t>
            </w:r>
            <w:r>
              <w:rPr>
                <w:rStyle w:val="Codeattribute"/>
              </w:rPr>
              <w:t>n</w:t>
            </w:r>
            <w:r>
              <w:rPr>
                <w:rStyle w:val="Code"/>
              </w:rPr>
              <w:t>=</w:t>
            </w:r>
            <w:r>
              <w:rPr>
                <w:rStyle w:val="Codevalue"/>
              </w:rPr>
              <w:t>"1"</w:t>
            </w:r>
            <w:r>
              <w:rPr>
                <w:rStyle w:val="Code"/>
              </w:rPr>
              <w:t>/&gt;</w:t>
            </w:r>
            <w:r>
              <w:rPr>
                <w:rStyle w:val="Codetext"/>
              </w:rPr>
              <w:t>...</w:t>
            </w:r>
          </w:p>
          <w:p w14:paraId="703A5450"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"2"</w:t>
            </w:r>
            <w:r>
              <w:rPr>
                <w:rStyle w:val="Code"/>
              </w:rPr>
              <w:t>/&gt;</w:t>
            </w:r>
            <w:r>
              <w:rPr>
                <w:rStyle w:val="Codetext"/>
              </w:rPr>
              <w:t>...</w:t>
            </w:r>
          </w:p>
          <w:p w14:paraId="08C180D2"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"3"</w:t>
            </w:r>
            <w:r>
              <w:rPr>
                <w:rStyle w:val="Code"/>
              </w:rPr>
              <w:t>/&gt;</w:t>
            </w:r>
            <w:r>
              <w:rPr>
                <w:rStyle w:val="Codetext"/>
              </w:rPr>
              <w:t>...</w:t>
            </w:r>
          </w:p>
          <w:p w14:paraId="0277A03B" w14:textId="77777777">
            <w:pPr>
              <w:pStyle w:val="CodeParagraph"/>
              <w:keepNext/>
              <w:keepLines/>
              <w:rPr>
                <w:rStyle w:val="Codetext"/>
              </w:rPr>
            </w:pPr>
            <w:r>
              <w:rPr>
                <w:rStyle w:val="Code"/>
              </w:rPr>
              <w:t xml:space="preserve">  &lt;pb </w:t>
            </w:r>
            <w:r>
              <w:rPr>
                <w:rStyle w:val="Codeattribute"/>
              </w:rPr>
              <w:t>n</w:t>
            </w:r>
            <w:r>
              <w:rPr>
                <w:rStyle w:val="Code"/>
              </w:rPr>
              <w:t>=</w:t>
            </w:r>
            <w:r>
              <w:rPr>
                <w:rStyle w:val="Codevalue"/>
              </w:rPr>
              <w:t>"2"</w:t>
            </w:r>
            <w:r>
              <w:rPr>
                <w:rStyle w:val="Code"/>
              </w:rPr>
              <w:t xml:space="preserve">/&gt;&lt;lb </w:t>
            </w:r>
            <w:r>
              <w:rPr>
                <w:rStyle w:val="Codeattribute"/>
              </w:rPr>
              <w:t>n</w:t>
            </w:r>
            <w:r>
              <w:rPr>
                <w:rStyle w:val="Code"/>
              </w:rPr>
              <w:t>=</w:t>
            </w:r>
            <w:r>
              <w:rPr>
                <w:rStyle w:val="Codevalue"/>
              </w:rPr>
              <w:t>"4"</w:t>
            </w:r>
            <w:r>
              <w:rPr>
                <w:rStyle w:val="Code"/>
              </w:rPr>
              <w:t>/&gt;</w:t>
            </w:r>
            <w:r>
              <w:rPr>
                <w:rStyle w:val="Codetext"/>
              </w:rPr>
              <w:t>...</w:t>
            </w:r>
          </w:p>
          <w:p w14:paraId="424AA3CB" w14:textId="77777777">
            <w:pPr>
              <w:pStyle w:val="CodeParagraph"/>
              <w:keepNext/>
              <w:keepLines/>
              <w:rPr>
                <w:rStyle w:val="Code"/>
              </w:rPr>
            </w:pPr>
            <w:r>
              <w:rPr>
                <w:rStyle w:val="Code"/>
              </w:rPr>
              <w:t xml:space="preserve">  &lt;lb </w:t>
            </w:r>
            <w:r>
              <w:rPr>
                <w:rStyle w:val="Codeattribute"/>
              </w:rPr>
              <w:t>n</w:t>
            </w:r>
            <w:r>
              <w:rPr>
                <w:rStyle w:val="Code"/>
              </w:rPr>
              <w:t>=</w:t>
            </w:r>
            <w:r>
              <w:rPr>
                <w:rStyle w:val="Codevalue"/>
              </w:rPr>
              <w:t>"5"</w:t>
            </w:r>
            <w:r>
              <w:rPr>
                <w:rStyle w:val="Code"/>
              </w:rPr>
              <w:t>/&gt;</w:t>
            </w:r>
            <w:r>
              <w:rPr>
                <w:rStyle w:val="Codetext"/>
              </w:rPr>
              <w:t>...</w:t>
            </w:r>
          </w:p>
          <w:p w14:paraId="447A6A9B" w14:textId="77777777">
            <w:pPr>
              <w:pStyle w:val="CodeParagraph"/>
              <w:keepNext/>
              <w:keepLines/>
              <w:rPr>
                <w:rStyle w:val="Codetext"/>
              </w:rPr>
            </w:pPr>
            <w:r>
              <w:rPr>
                <w:rStyle w:val="Codetext"/>
              </w:rPr>
              <w:t xml:space="preserve">  ...</w:t>
            </w:r>
          </w:p>
          <w:p w14:paraId="27588E35" w14:textId="77777777">
            <w:pPr>
              <w:pStyle w:val="CodeParagraph"/>
              <w:keepNext/>
              <w:keepLines/>
              <w:rPr>
                <w:rFonts w:ascii="Consolas" w:hAnsi="Consolas" w:cs="Consolas"/>
                <w:noProof/>
                <w:color w:val="002060"/>
                <w:shd w:val="clear" w:color="auto" w:fill="F2F2F2" w:themeFill="background1" w:themeFillShade="F2"/>
              </w:rPr>
            </w:pPr>
            <w:r>
              <w:rPr>
                <w:rStyle w:val="Code"/>
              </w:rPr>
              <w:t>&lt;/p&gt;</w:t>
            </w:r>
          </w:p>
        </w:tc>
      </w:tr>
      <w:tr w14:paraId="7BEEA4D9" w14:textId="77777777">
        <w:trPr>
          <w:jc w:val="center"/>
        </w:trPr>
        <w:tc>
          <w:tcPr>
            <w:tcW w:w="5000" w:type="pct"/>
          </w:tcPr>
          <w:p w14:paraId="3C6EA64D" w14:textId="59BCC67F">
            <w:pPr>
              <w:pStyle w:val="TableNote"/>
              <w:keepNext/>
              <w:keepLines/>
              <w:rPr>
                <w:rStyle w:val="Code"/>
              </w:rPr>
            </w:pPr>
            <w:r>
              <w:t xml:space="preserve">complete encoded illustration: </w:t>
            </w:r>
            <w:r>
              <w:fldChar w:fldCharType="begin"/>
            </w:r>
            <w:r>
              <w:instrText xml:space="preserve"> REF _Ref239844102 \r \h </w:instrText>
            </w:r>
            <w:r>
              <w:fldChar w:fldCharType="separate"/>
            </w:r>
            <w:r>
              <w:t>Appendix A.2</w:t>
            </w:r>
            <w:r>
              <w:fldChar w:fldCharType="end"/>
            </w:r>
          </w:p>
        </w:tc>
      </w:tr>
    </w:tbl>
    <w:p w14:paraId="58C037D6" w14:textId="77777777"/>
    <w:p w14:paraId="6A3AC527" w14:textId="77777777">
      <w:pPr>
        <w:pStyle w:val="Cmsor4"/>
      </w:pPr>
      <w:bookmarkStart w:id="241" w:name="_t032kyf4wcza" w:colFirst="0" w:colLast="0"/>
      <w:bookmarkStart w:id="242" w:name="_Ref182310225"/>
      <w:bookmarkStart w:id="243" w:name="_Ref182299822"/>
      <w:bookmarkStart w:id="244" w:name="_Ref43986679"/>
      <w:bookmarkEnd w:id="239"/>
      <w:bookmarkEnd w:id="241"/>
      <w:r>
        <w:t>Page numbering</w:t>
      </w:r>
      <w:bookmarkEnd w:id="242"/>
    </w:p>
    <w:p w14:paraId="6BAA6758" w14:textId="05649D1D">
      <w:r>
        <w:t xml:space="preserve">Pages are numbered for reference. When an XML edition is rendered for display, labels for pages will be automatically generated from the encoded number. Unlike pagelike milestones, the </w:t>
      </w:r>
      <w:r>
        <w:rPr>
          <w:rStyle w:val="Code"/>
        </w:rPr>
        <w:t>&lt;label&gt;</w:t>
      </w:r>
      <w:r>
        <w:t xml:space="preserve"> element (§</w:t>
      </w:r>
      <w:r>
        <w:fldChar w:fldCharType="begin"/>
      </w:r>
      <w:r>
        <w:instrText xml:space="preserve"> REF _Ref182299869 \r \h </w:instrText>
      </w:r>
      <w:r>
        <w:fldChar w:fldCharType="separate"/>
      </w:r>
      <w:r>
        <w:t>4.4.3.2</w:t>
      </w:r>
      <w:r>
        <w:fldChar w:fldCharType="end"/>
      </w:r>
      <w:r>
        <w:t>) is not permitted in conjunction with page breaks.</w:t>
      </w:r>
    </w:p>
    <w:p w14:paraId="034B96AE" w14:textId="77777777">
      <w:pPr>
        <w:pStyle w:val="Lista"/>
      </w:pPr>
      <w:r>
        <w:t>pages are mandatorily numbered in DHARMA editions</w:t>
      </w:r>
    </w:p>
    <w:p w14:paraId="05E0407F" w14:textId="77777777">
      <w:pPr>
        <w:pStyle w:val="Lista"/>
      </w:pPr>
      <w:r>
        <w:t>the recommended values for numbering pages are 1r, 1v, 2r, 2v etc.</w:t>
      </w:r>
    </w:p>
    <w:p w14:paraId="0716ECDC" w14:textId="77777777">
      <w:pPr>
        <w:pStyle w:val="Lista2"/>
      </w:pPr>
      <w:r>
        <w:t xml:space="preserve">the value of </w:t>
      </w:r>
      <w:r>
        <w:rPr>
          <w:rStyle w:val="Codeattribute"/>
        </w:rPr>
        <w:t>@n</w:t>
      </w:r>
      <w:r>
        <w:t xml:space="preserve"> is thus composed of</w:t>
      </w:r>
    </w:p>
    <w:p w14:paraId="1589582E" w14:textId="77777777">
      <w:pPr>
        <w:pStyle w:val="Lista3"/>
      </w:pPr>
      <w:r>
        <w:t>an Arabic numeral starting with 1 and proceeding in steps of 1 per plate (folio)</w:t>
      </w:r>
    </w:p>
    <w:p w14:paraId="5108A3FF" w14:textId="70A0907C">
      <w:pPr>
        <w:pStyle w:val="Lista3"/>
      </w:pPr>
      <w:r>
        <w:t xml:space="preserve">the abbreviation to identify the recto </w:t>
      </w:r>
      <w:r>
        <w:rPr>
          <w:noProof/>
        </w:rPr>
        <w:t>(</w:t>
      </w:r>
      <w:r>
        <w:t xml:space="preserve">obverse) and verso </w:t>
      </w:r>
      <w:r>
        <w:rPr>
          <w:noProof/>
        </w:rPr>
        <w:t>(</w:t>
      </w:r>
      <w:r>
        <w:t>reverse) face of each plate</w:t>
      </w:r>
    </w:p>
    <w:p w14:paraId="538844ED" w14:textId="77777777">
      <w:pPr>
        <w:pStyle w:val="Lista2"/>
      </w:pPr>
      <w:r>
        <w:t xml:space="preserve">e.g. </w:t>
      </w:r>
      <w:r>
        <w:rPr>
          <w:rStyle w:val="Code"/>
        </w:rPr>
        <w:t xml:space="preserve">&lt;pb </w:t>
      </w:r>
      <w:r>
        <w:rPr>
          <w:rStyle w:val="Codeattribute"/>
        </w:rPr>
        <w:t>n</w:t>
      </w:r>
      <w:r>
        <w:rPr>
          <w:rStyle w:val="Code"/>
        </w:rPr>
        <w:t>=</w:t>
      </w:r>
      <w:r>
        <w:rPr>
          <w:rStyle w:val="Codevalue"/>
        </w:rPr>
        <w:t>"1r"</w:t>
      </w:r>
      <w:r>
        <w:rPr>
          <w:rStyle w:val="Code"/>
        </w:rPr>
        <w:t>/&gt;</w:t>
      </w:r>
    </w:p>
    <w:p w14:paraId="2DC92964" w14:textId="77777777">
      <w:pPr>
        <w:pStyle w:val="Lista"/>
      </w:pPr>
      <w:r>
        <w:t>if you have a good reason to do so, you may opt to use a different numbering scheme for pages with the following constraints:</w:t>
      </w:r>
    </w:p>
    <w:p w14:paraId="1945AD62" w14:textId="77777777">
      <w:pPr>
        <w:pStyle w:val="Lista2"/>
      </w:pPr>
      <w:r>
        <w:t xml:space="preserve">the value of </w:t>
      </w:r>
      <w:r>
        <w:rPr>
          <w:rStyle w:val="Codeattribute"/>
        </w:rPr>
        <w:t>@n</w:t>
      </w:r>
      <w:r>
        <w:t xml:space="preserve"> must not contain a space </w:t>
      </w:r>
      <w:r>
        <w:rPr>
          <w:noProof/>
        </w:rPr>
        <w:t>(</w:t>
      </w:r>
      <w:r>
        <w:t>use an underscore _ instead if a space is essential)</w:t>
      </w:r>
    </w:p>
    <w:p w14:paraId="21194A17" w14:textId="77777777">
      <w:pPr>
        <w:pStyle w:val="Lista2"/>
      </w:pPr>
      <w:r>
        <w:t xml:space="preserve">each page must have a unique number within your edition </w:t>
      </w:r>
      <w:r>
        <w:rPr>
          <w:noProof/>
        </w:rPr>
        <w:t>(</w:t>
      </w:r>
      <w:r>
        <w:t>or, if applicable, within a textpart division)</w:t>
      </w:r>
    </w:p>
    <w:p w14:paraId="623C24C0" w14:textId="1EB2887B">
      <w:pPr>
        <w:pStyle w:val="Lista"/>
      </w:pPr>
      <w:r>
        <w:t>when several textpart divisions of an edition include pages, page numbers must be reset in each textpart (§</w:t>
      </w:r>
      <w:r>
        <w:fldChar w:fldCharType="begin"/>
      </w:r>
      <w:r>
        <w:instrText xml:space="preserve"> REF _Ref43986747 \r \h </w:instrText>
      </w:r>
      <w:r>
        <w:fldChar w:fldCharType="separate"/>
      </w:r>
      <w:r>
        <w:t>4.2.1.4</w:t>
      </w:r>
      <w:r>
        <w:fldChar w:fldCharType="end"/>
      </w:r>
      <w:r>
        <w:t>) unless there is a strong reason not to do so</w:t>
      </w:r>
    </w:p>
    <w:p w14:paraId="385AD622" w14:textId="766D4845">
      <w:pPr>
        <w:pStyle w:val="Lista"/>
      </w:pPr>
      <w:r>
        <w:t>see §</w:t>
      </w:r>
      <w:r>
        <w:fldChar w:fldCharType="begin"/>
      </w:r>
      <w:r>
        <w:instrText xml:space="preserve"> REF _Ref43984607 \w \h  \* MERGEFORMAT </w:instrText>
      </w:r>
      <w:r>
        <w:fldChar w:fldCharType="separate"/>
      </w:r>
      <w:r>
        <w:t>4.7.2</w:t>
      </w:r>
      <w:r>
        <w:fldChar w:fldCharType="end"/>
      </w:r>
      <w:r>
        <w:t xml:space="preserve"> about encoding any original pagination or foliation</w:t>
      </w:r>
    </w:p>
    <w:p w14:paraId="0FD59DE9" w14:textId="77777777">
      <w:pPr>
        <w:pStyle w:val="Cmsor4"/>
      </w:pPr>
      <w:bookmarkStart w:id="245" w:name="_Ref182318940"/>
      <w:bookmarkEnd w:id="243"/>
      <w:r>
        <w:t>Uninscribed copperplate faces</w:t>
      </w:r>
      <w:bookmarkEnd w:id="245"/>
    </w:p>
    <w:p w14:paraId="1117B908" w14:textId="77777777">
      <w:pPr>
        <w:pStyle w:val="Lista"/>
      </w:pPr>
      <w:r>
        <w:t xml:space="preserve">plates must always be encoded as having two pages per folio, even if one of these pages is blank; this will facilitate the eventual linking of images </w:t>
      </w:r>
      <w:r>
        <w:rPr>
          <w:noProof/>
        </w:rPr>
        <w:t>(</w:t>
      </w:r>
      <w:r>
        <w:t>including images of blank faces) to individual pages of the digital edition</w:t>
      </w:r>
    </w:p>
    <w:p w14:paraId="56222306" w14:textId="77777777">
      <w:pPr>
        <w:pStyle w:val="Lista"/>
      </w:pPr>
      <w:r>
        <w:t xml:space="preserve">blank faces shall be encoded as the corresponding </w:t>
      </w:r>
      <w:r>
        <w:rPr>
          <w:rStyle w:val="Code"/>
        </w:rPr>
        <w:t>&lt;pb/&gt;</w:t>
      </w:r>
      <w:r>
        <w:t xml:space="preserve"> element, with the following recommendations for the sake of consistency within the project</w:t>
      </w:r>
    </w:p>
    <w:p w14:paraId="76A68314" w14:textId="77777777">
      <w:pPr>
        <w:pStyle w:val="Lista2"/>
      </w:pPr>
      <w:r>
        <w:t>for sets of copper plates where the first and/or last plate is only inscribed on one face, designate the blank faces to be the outer faces of the set, i.e. the recto of the first plate and the verso of the last plate</w:t>
      </w:r>
    </w:p>
    <w:p w14:paraId="6CFF97AA" w14:textId="77777777">
      <w:pPr>
        <w:pStyle w:val="Lista2"/>
      </w:pPr>
      <w:r>
        <w:t>for sets or single plates inscribed on only one face (of each plate), designate the inscribed face as the recto, and the blank face as the verso</w:t>
      </w:r>
    </w:p>
    <w:p w14:paraId="246A4946" w14:textId="77777777">
      <w:pPr>
        <w:pStyle w:val="Lista2"/>
      </w:pPr>
      <w:r>
        <w:t xml:space="preserve">the </w:t>
      </w:r>
      <w:r>
        <w:rPr>
          <w:rStyle w:val="Code"/>
        </w:rPr>
        <w:t>&lt;pb/&gt;</w:t>
      </w:r>
      <w:r>
        <w:t xml:space="preserve"> elements for first/last blank pages should be placed just inside the start/end tag of the enclosing division </w:t>
      </w:r>
      <w:r>
        <w:rPr>
          <w:noProof/>
        </w:rPr>
        <w:t>(</w:t>
      </w:r>
      <w:r>
        <w:t>i.e. the edition division or a textpart division)</w:t>
      </w:r>
    </w:p>
    <w:p w14:paraId="1C89C74B" w14:textId="484C7006">
      <w:pPr>
        <w:pStyle w:val="Lista3"/>
      </w:pPr>
      <w:r>
        <w:t xml:space="preserve">thus, these </w:t>
      </w:r>
      <w:r>
        <w:rPr>
          <w:rStyle w:val="Code"/>
        </w:rPr>
        <w:t>&lt;pb/&gt;</w:t>
      </w:r>
      <w:r>
        <w:t xml:space="preserve"> elements will be outside block-level containers in spite of the general rule </w:t>
      </w:r>
      <w:r>
        <w:rPr>
          <w:noProof/>
        </w:rPr>
        <w:t>(</w:t>
      </w:r>
      <w:r>
        <w:t>§</w:t>
      </w:r>
      <w:r>
        <w:fldChar w:fldCharType="begin"/>
      </w:r>
      <w:r>
        <w:instrText xml:space="preserve"> REF _Ref43979552 \w \h  \* MERGEFORMAT </w:instrText>
      </w:r>
      <w:r>
        <w:fldChar w:fldCharType="separate"/>
      </w:r>
      <w:r>
        <w:t>16.2.4</w:t>
      </w:r>
      <w:r>
        <w:fldChar w:fldCharType="end"/>
      </w:r>
      <w:r>
        <w:t>) that such empty elements must be inside block-level containers</w:t>
      </w:r>
    </w:p>
    <w:p w14:paraId="6CAF38F2" w14:textId="3DAD5110">
      <w:pPr>
        <w:pStyle w:val="Lista2"/>
      </w:pPr>
      <w:r>
        <w:t xml:space="preserve">see </w:t>
      </w:r>
      <w:r>
        <w:fldChar w:fldCharType="begin"/>
      </w:r>
      <w:r>
        <w:instrText xml:space="preserve"> REF _Ref239844124 \r \h </w:instrText>
      </w:r>
      <w:r>
        <w:fldChar w:fldCharType="separate"/>
      </w:r>
      <w:r>
        <w:t>Appendix A.2</w:t>
      </w:r>
      <w:r>
        <w:fldChar w:fldCharType="end"/>
      </w:r>
      <w:r>
        <w:t xml:space="preserve"> for an illustration of pages in an EpiDoc document</w:t>
      </w:r>
    </w:p>
    <w:p w14:paraId="19289EAB" w14:textId="77777777">
      <w:pPr>
        <w:pStyle w:val="Cmsor3"/>
      </w:pPr>
      <w:bookmarkStart w:id="246" w:name="_Toc242889472"/>
      <w:r>
        <w:lastRenderedPageBreak/>
        <w:t>Marking up other pagelike zones</w:t>
      </w:r>
      <w:bookmarkEnd w:id="244"/>
      <w:bookmarkEnd w:id="246"/>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14:paraId="47B83695"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465BB840" w14:textId="054B94B9">
            <w:pPr>
              <w:pStyle w:val="Kpalrs"/>
              <w:keepLines/>
            </w:pPr>
            <w:bookmarkStart w:id="247" w:name="_Ref225354659"/>
            <w:bookmarkStart w:id="248" w:name="_Ref225354655"/>
            <w:r>
              <w:t xml:space="preserve">Exhibit </w:t>
            </w:r>
            <w:fldSimple w:instr=" STYLEREF 2 \s ">
              <w:r>
                <w:rPr>
                  <w:noProof/>
                </w:rPr>
                <w:t>4.4</w:t>
              </w:r>
            </w:fldSimple>
            <w:r>
              <w:t>.</w:t>
            </w:r>
            <w:fldSimple w:instr=" SEQ Exhibit \* ALPHABETIC \s 2 ">
              <w:r>
                <w:rPr>
                  <w:noProof/>
                </w:rPr>
                <w:t>B</w:t>
              </w:r>
            </w:fldSimple>
            <w:bookmarkEnd w:id="247"/>
            <w:r>
              <w:t>: generic encoding for pagelike partitions</w:t>
            </w:r>
            <w:bookmarkEnd w:id="248"/>
          </w:p>
        </w:tc>
      </w:tr>
      <w:tr w14:paraId="48B4BFF0" w14:textId="77777777">
        <w:trPr>
          <w:jc w:val="right"/>
        </w:trPr>
        <w:tc>
          <w:tcPr>
            <w:tcW w:w="5000" w:type="pct"/>
          </w:tcPr>
          <w:p w14:paraId="0112C8FA" w14:textId="77777777">
            <w:pPr>
              <w:pStyle w:val="Image"/>
            </w:pPr>
            <w:r>
              <w:drawing>
                <wp:inline distT="0" distB="0" distL="0" distR="0" wp14:anchorId="26702C84" wp14:editId="38689ACC">
                  <wp:extent cx="2700000" cy="1364400"/>
                  <wp:effectExtent l="0" t="0" r="5715" b="7620"/>
                  <wp:docPr id="1765770225" name="Kép 1765770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70225" name="Kép 1765770225"/>
                          <pic:cNvPicPr>
                            <a:picLocks noChangeAspect="1" noChangeArrowheads="1"/>
                          </pic:cNvPicPr>
                        </pic:nvPicPr>
                        <pic:blipFill>
                          <a:blip r:embed="rId17"/>
                          <a:stretch>
                            <a:fillRect/>
                          </a:stretch>
                        </pic:blipFill>
                        <pic:spPr bwMode="auto">
                          <a:xfrm>
                            <a:off x="0" y="0"/>
                            <a:ext cx="2700000" cy="1364400"/>
                          </a:xfrm>
                          <a:prstGeom prst="rect">
                            <a:avLst/>
                          </a:prstGeom>
                          <a:noFill/>
                          <a:ln>
                            <a:noFill/>
                          </a:ln>
                        </pic:spPr>
                      </pic:pic>
                    </a:graphicData>
                  </a:graphic>
                </wp:inline>
              </w:drawing>
            </w:r>
          </w:p>
        </w:tc>
      </w:tr>
      <w:tr w14:paraId="481E1163" w14:textId="77777777">
        <w:trPr>
          <w:jc w:val="right"/>
        </w:trPr>
        <w:tc>
          <w:tcPr>
            <w:tcW w:w="5000" w:type="pct"/>
          </w:tcPr>
          <w:p w14:paraId="59343EF7" w14:textId="77777777">
            <w:pPr>
              <w:pStyle w:val="CodeParagraph"/>
              <w:keepNext/>
              <w:rPr>
                <w:rStyle w:val="Codetext"/>
              </w:rPr>
            </w:pPr>
            <w:r>
              <w:rPr>
                <w:rStyle w:val="Code"/>
              </w:rPr>
              <w:t xml:space="preserve">&lt;p&gt;&lt;pb </w:t>
            </w:r>
            <w:r>
              <w:rPr>
                <w:rStyle w:val="Codeattribute"/>
              </w:rPr>
              <w:t>n</w:t>
            </w:r>
            <w:r>
              <w:rPr>
                <w:rStyle w:val="Code"/>
              </w:rPr>
              <w:t>=</w:t>
            </w:r>
            <w:r>
              <w:rPr>
                <w:rStyle w:val="Codevalue"/>
              </w:rPr>
              <w:t>"1"</w:t>
            </w:r>
            <w:r>
              <w:rPr>
                <w:rStyle w:val="Code"/>
              </w:rPr>
              <w:t xml:space="preserve">/&gt;&lt;lb </w:t>
            </w:r>
            <w:r>
              <w:rPr>
                <w:rStyle w:val="Codeattribute"/>
              </w:rPr>
              <w:t>n</w:t>
            </w:r>
            <w:r>
              <w:rPr>
                <w:rStyle w:val="Code"/>
              </w:rPr>
              <w:t>=</w:t>
            </w:r>
            <w:r>
              <w:rPr>
                <w:rStyle w:val="Codevalue"/>
              </w:rPr>
              <w:t>"1"</w:t>
            </w:r>
            <w:r>
              <w:rPr>
                <w:rStyle w:val="Code"/>
              </w:rPr>
              <w:t>/&gt;</w:t>
            </w:r>
            <w:r>
              <w:rPr>
                <w:rStyle w:val="Codetext"/>
              </w:rPr>
              <w:t>...</w:t>
            </w:r>
          </w:p>
          <w:p w14:paraId="44607ACC"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"2"</w:t>
            </w:r>
            <w:r>
              <w:rPr>
                <w:rStyle w:val="Code"/>
              </w:rPr>
              <w:t>/&gt;</w:t>
            </w:r>
            <w:r>
              <w:rPr>
                <w:rStyle w:val="Codetext"/>
              </w:rPr>
              <w:t>...</w:t>
            </w:r>
          </w:p>
          <w:p w14:paraId="4453C19F" w14:textId="77777777">
            <w:pPr>
              <w:pStyle w:val="CodeParagraph"/>
              <w:keepNext/>
              <w:rPr>
                <w:rStyle w:val="Codetext"/>
              </w:rPr>
            </w:pPr>
            <w:r>
              <w:rPr>
                <w:rStyle w:val="Codetext"/>
              </w:rPr>
              <w:t xml:space="preserve">  ...</w:t>
            </w:r>
          </w:p>
          <w:p w14:paraId="5C37BE9C" w14:textId="77777777">
            <w:pPr>
              <w:pStyle w:val="CodeParagraph"/>
              <w:keepNext/>
              <w:rPr>
                <w:rStyle w:val="Codetext"/>
              </w:rPr>
            </w:pPr>
            <w:r>
              <w:rPr>
                <w:rStyle w:val="Code"/>
              </w:rPr>
              <w:t xml:space="preserve">  &lt;pb </w:t>
            </w:r>
            <w:r>
              <w:rPr>
                <w:rStyle w:val="Codeattribute"/>
              </w:rPr>
              <w:t>n</w:t>
            </w:r>
            <w:r>
              <w:rPr>
                <w:rStyle w:val="Code"/>
              </w:rPr>
              <w:t>=</w:t>
            </w:r>
            <w:r>
              <w:rPr>
                <w:rStyle w:val="Codevalue"/>
              </w:rPr>
              <w:t>"2"</w:t>
            </w:r>
            <w:r>
              <w:rPr>
                <w:rStyle w:val="Code"/>
              </w:rPr>
              <w:t xml:space="preserve">/&gt;&lt;lb </w:t>
            </w:r>
            <w:r>
              <w:rPr>
                <w:rStyle w:val="Codeattribute"/>
              </w:rPr>
              <w:t>n</w:t>
            </w:r>
            <w:r>
              <w:rPr>
                <w:rStyle w:val="Code"/>
              </w:rPr>
              <w:t>=</w:t>
            </w:r>
            <w:r>
              <w:rPr>
                <w:rStyle w:val="Codevalue"/>
              </w:rPr>
              <w:t>"11"</w:t>
            </w:r>
            <w:r>
              <w:rPr>
                <w:rStyle w:val="Code"/>
              </w:rPr>
              <w:t>/&gt;</w:t>
            </w:r>
            <w:r>
              <w:rPr>
                <w:rStyle w:val="Codetext"/>
              </w:rPr>
              <w:t>...</w:t>
            </w:r>
          </w:p>
          <w:p w14:paraId="61985C4F" w14:textId="77777777">
            <w:pPr>
              <w:pStyle w:val="CodeParagraph"/>
              <w:keepNext/>
              <w:rPr>
                <w:rStyle w:val="Code"/>
              </w:rPr>
            </w:pPr>
            <w:r>
              <w:rPr>
                <w:rStyle w:val="Code"/>
              </w:rPr>
              <w:t xml:space="preserve">  &lt;lb </w:t>
            </w:r>
            <w:r>
              <w:rPr>
                <w:rStyle w:val="Codeattribute"/>
              </w:rPr>
              <w:t>n</w:t>
            </w:r>
            <w:r>
              <w:rPr>
                <w:rStyle w:val="Code"/>
              </w:rPr>
              <w:t>=</w:t>
            </w:r>
            <w:r>
              <w:rPr>
                <w:rStyle w:val="Codevalue"/>
              </w:rPr>
              <w:t>"12"</w:t>
            </w:r>
            <w:r>
              <w:rPr>
                <w:rStyle w:val="Code"/>
              </w:rPr>
              <w:t>/&gt;</w:t>
            </w:r>
            <w:r>
              <w:rPr>
                <w:rStyle w:val="Codetext"/>
              </w:rPr>
              <w:t>...</w:t>
            </w:r>
          </w:p>
          <w:p w14:paraId="2D1A2349" w14:textId="77777777">
            <w:pPr>
              <w:pStyle w:val="CodeParagraph"/>
              <w:keepNext/>
              <w:rPr>
                <w:rStyle w:val="Codetext"/>
              </w:rPr>
            </w:pPr>
            <w:r>
              <w:rPr>
                <w:rStyle w:val="Codetext"/>
              </w:rPr>
              <w:t xml:space="preserve">  ...</w:t>
            </w:r>
          </w:p>
          <w:p w14:paraId="5EC8602A" w14:textId="77777777">
            <w:pPr>
              <w:pStyle w:val="CodeParagraph"/>
              <w:keepNext/>
              <w:rPr>
                <w:rFonts w:ascii="Consolas" w:hAnsi="Consolas" w:cs="Consolas"/>
                <w:noProof/>
                <w:color w:val="002060"/>
                <w:shd w:val="clear" w:color="auto" w:fill="F2F2F2" w:themeFill="background1" w:themeFillShade="F2"/>
              </w:rPr>
            </w:pPr>
            <w:r>
              <w:rPr>
                <w:rStyle w:val="Code"/>
              </w:rPr>
              <w:t>&lt;/p&gt;</w:t>
            </w:r>
          </w:p>
        </w:tc>
      </w:tr>
      <w:tr w14:paraId="0EECD893" w14:textId="77777777">
        <w:trPr>
          <w:jc w:val="right"/>
        </w:trPr>
        <w:tc>
          <w:tcPr>
            <w:tcW w:w="5000" w:type="pct"/>
          </w:tcPr>
          <w:p w14:paraId="448DCC8B" w14:textId="58F82111">
            <w:pPr>
              <w:pStyle w:val="TableNote"/>
              <w:rPr>
                <w:rStyle w:val="Code"/>
              </w:rPr>
            </w:pPr>
            <w:r>
              <w:t>compare the exhibits in §</w:t>
            </w:r>
            <w:r>
              <w:fldChar w:fldCharType="begin"/>
            </w:r>
            <w:r>
              <w:instrText xml:space="preserve"> REF _Ref225781091 \r \h </w:instrText>
            </w:r>
            <w:r>
              <w:fldChar w:fldCharType="separate"/>
            </w:r>
            <w:r>
              <w:t>4.7.4.2</w:t>
            </w:r>
            <w:r>
              <w:fldChar w:fldCharType="end"/>
            </w:r>
          </w:p>
        </w:tc>
      </w:tr>
    </w:tbl>
    <w:p w14:paraId="2F3D3E58" w14:textId="130110BC">
      <w:pPr>
        <w:pStyle w:val="Lista"/>
      </w:pPr>
      <w:r>
        <w:t xml:space="preserve">to encode pagelike partitions other than genuine pages, use the empty element </w:t>
      </w:r>
      <w:r>
        <w:rPr>
          <w:rStyle w:val="Code"/>
        </w:rPr>
        <w:t>&lt;milestone/&gt;</w:t>
      </w:r>
      <w:r>
        <w:t xml:space="preserve"> as in </w:t>
      </w:r>
      <w:r>
        <w:fldChar w:fldCharType="begin"/>
      </w:r>
      <w:r>
        <w:instrText xml:space="preserve"> REF _Ref225354659 \h </w:instrText>
      </w:r>
      <w:r>
        <w:fldChar w:fldCharType="separate"/>
      </w:r>
      <w:r>
        <w:t xml:space="preserve">Exhibit </w:t>
      </w:r>
      <w:r>
        <w:rPr>
          <w:noProof/>
        </w:rPr>
        <w:t>4.4</w:t>
      </w:r>
      <w:r>
        <w:t>.</w:t>
      </w:r>
      <w:r>
        <w:rPr>
          <w:noProof/>
        </w:rPr>
        <w:t>B</w:t>
      </w:r>
      <w:r>
        <w:fldChar w:fldCharType="end"/>
      </w:r>
      <w:r>
        <w:t>, with the following attributes</w:t>
      </w:r>
    </w:p>
    <w:p w14:paraId="5B8D7F9F" w14:textId="77777777">
      <w:pPr>
        <w:pStyle w:val="Lista2"/>
      </w:pPr>
      <w:r>
        <w:t xml:space="preserve">mandatorily, </w:t>
      </w:r>
      <w:r>
        <w:rPr>
          <w:rStyle w:val="Codeattribute"/>
        </w:rPr>
        <w:t>@type</w:t>
      </w:r>
      <w:r>
        <w:t xml:space="preserve"> with the value </w:t>
      </w:r>
      <w:r>
        <w:rPr>
          <w:rStyle w:val="Codevalue"/>
        </w:rPr>
        <w:t>"pagelike"</w:t>
      </w:r>
      <w:r>
        <w:t xml:space="preserve"> </w:t>
      </w:r>
    </w:p>
    <w:p w14:paraId="5E65E5CE" w14:textId="77777777">
      <w:pPr>
        <w:pStyle w:val="Lista3"/>
      </w:pPr>
      <w:r>
        <w:t>this serves in our project to explicitly distinguish these elements from other milestones used in an edition</w:t>
      </w:r>
    </w:p>
    <w:p w14:paraId="062DF106" w14:textId="30585E5E">
      <w:pPr>
        <w:pStyle w:val="Lista2"/>
      </w:pPr>
      <w:r>
        <w:t xml:space="preserve">mandatorily, </w:t>
      </w:r>
      <w:r>
        <w:rPr>
          <w:rStyle w:val="Codeattribute"/>
        </w:rPr>
        <w:t>@unit</w:t>
      </w:r>
      <w:r>
        <w:t xml:space="preserve"> to encode the nature of the transition explicitly as per §</w:t>
      </w:r>
      <w:r>
        <w:fldChar w:fldCharType="begin"/>
      </w:r>
      <w:r>
        <w:instrText xml:space="preserve"> REF _Ref182815315 \r \h </w:instrText>
      </w:r>
      <w:r>
        <w:fldChar w:fldCharType="separate"/>
      </w:r>
      <w:r>
        <w:t>4.3.1</w:t>
      </w:r>
      <w:r>
        <w:fldChar w:fldCharType="end"/>
      </w:r>
    </w:p>
    <w:p w14:paraId="2B8416D9" w14:textId="4754870F">
      <w:pPr>
        <w:pStyle w:val="Lista2"/>
      </w:pPr>
      <w:r>
        <w:t xml:space="preserve">mandatorily, </w:t>
      </w:r>
      <w:r>
        <w:rPr>
          <w:rStyle w:val="Codeattribute"/>
        </w:rPr>
        <w:t>@n</w:t>
      </w:r>
      <w:r>
        <w:t xml:space="preserve"> as per §</w:t>
      </w:r>
      <w:r>
        <w:fldChar w:fldCharType="begin"/>
      </w:r>
      <w:r>
        <w:instrText xml:space="preserve"> REF _Ref182318136 \r \h </w:instrText>
      </w:r>
      <w:r>
        <w:fldChar w:fldCharType="separate"/>
      </w:r>
      <w:r>
        <w:t>4.4.3.1</w:t>
      </w:r>
      <w:r>
        <w:fldChar w:fldCharType="end"/>
      </w:r>
    </w:p>
    <w:p w14:paraId="056D47FF" w14:textId="4D89F11E">
      <w:pPr>
        <w:pStyle w:val="Lista2"/>
      </w:pPr>
      <w:r>
        <w:t xml:space="preserve">as applicable, </w:t>
      </w:r>
      <w:r>
        <w:rPr>
          <w:rStyle w:val="Codeattribute"/>
        </w:rPr>
        <w:t>@break</w:t>
      </w:r>
      <w:r>
        <w:t xml:space="preserve"> for partitions interrupting words as per §</w:t>
      </w:r>
      <w:r>
        <w:fldChar w:fldCharType="begin"/>
      </w:r>
      <w:r>
        <w:instrText xml:space="preserve"> REF _Ref225519777 \r \h </w:instrText>
      </w:r>
      <w:r>
        <w:fldChar w:fldCharType="separate"/>
      </w:r>
      <w:r>
        <w:t>4.3.2.1</w:t>
      </w:r>
      <w:r>
        <w:fldChar w:fldCharType="end"/>
      </w:r>
    </w:p>
    <w:p w14:paraId="4C6FA7DA" w14:textId="2D7FC83C">
      <w:pPr>
        <w:pStyle w:val="Lista"/>
      </w:pPr>
      <w:r>
        <w:rPr>
          <w:rStyle w:val="Code"/>
        </w:rPr>
        <w:t>&lt;milestone/&gt;</w:t>
      </w:r>
      <w:r>
        <w:t xml:space="preserve"> marks zone beginnings (rather than transitions) and thus, when pagelike zones are present in a document, the element must be created at the start of each such zone including the first</w:t>
      </w:r>
    </w:p>
    <w:p w14:paraId="72872218" w14:textId="0B25F0CF">
      <w:pPr>
        <w:pStyle w:val="Lista"/>
      </w:pPr>
      <w:r>
        <w:t>good practice considerations applicable to structural milestones (§</w:t>
      </w:r>
      <w:r>
        <w:fldChar w:fldCharType="begin"/>
      </w:r>
      <w:r>
        <w:instrText xml:space="preserve"> REF _Ref225253138 \r \h </w:instrText>
      </w:r>
      <w:r>
        <w:fldChar w:fldCharType="separate"/>
      </w:r>
      <w:r>
        <w:t>4.3.3</w:t>
      </w:r>
      <w:r>
        <w:fldChar w:fldCharType="end"/>
      </w:r>
      <w:r>
        <w:t>) apply equally to pagelike partitions</w:t>
      </w:r>
    </w:p>
    <w:p w14:paraId="4533F2FF" w14:textId="437BFD38">
      <w:pPr>
        <w:pStyle w:val="Lista"/>
      </w:pPr>
      <w:r>
        <w:t>see §</w:t>
      </w:r>
      <w:r>
        <w:fldChar w:fldCharType="begin"/>
      </w:r>
      <w:r>
        <w:instrText xml:space="preserve"> REF _Ref225759789 \r \h </w:instrText>
      </w:r>
      <w:r>
        <w:fldChar w:fldCharType="separate"/>
      </w:r>
      <w:r>
        <w:t>4.7.4</w:t>
      </w:r>
      <w:r>
        <w:fldChar w:fldCharType="end"/>
      </w:r>
      <w:r>
        <w:t xml:space="preserve"> for further discussion of when pagelike zones should be used, and the Case Studies </w:t>
      </w:r>
      <w:r>
        <w:rPr>
          <w:noProof/>
        </w:rPr>
        <w:t xml:space="preserve">in </w:t>
      </w:r>
      <w:r>
        <w:rPr>
          <w:noProof/>
        </w:rPr>
        <w:fldChar w:fldCharType="begin"/>
      </w:r>
      <w:r>
        <w:rPr>
          <w:noProof/>
        </w:rPr>
        <w:instrText xml:space="preserve"> REF _Ref239844153 \r \h </w:instrText>
      </w:r>
      <w:r>
        <w:rPr>
          <w:noProof/>
        </w:rPr>
      </w:r>
      <w:r>
        <w:rPr>
          <w:noProof/>
        </w:rPr>
        <w:fldChar w:fldCharType="separate"/>
      </w:r>
      <w:r>
        <w:rPr>
          <w:noProof/>
        </w:rPr>
        <w:t>Appendix A.5</w:t>
      </w:r>
      <w:r>
        <w:rPr>
          <w:noProof/>
        </w:rPr>
        <w:fldChar w:fldCharType="end"/>
      </w:r>
      <w:r>
        <w:rPr>
          <w:noProof/>
        </w:rPr>
        <w:t xml:space="preserve"> and </w:t>
      </w:r>
      <w:r>
        <w:rPr>
          <w:noProof/>
        </w:rPr>
        <w:fldChar w:fldCharType="begin"/>
      </w:r>
      <w:r>
        <w:rPr>
          <w:noProof/>
        </w:rPr>
        <w:instrText xml:space="preserve"> REF _Ref239844156 \r \h </w:instrText>
      </w:r>
      <w:r>
        <w:rPr>
          <w:noProof/>
        </w:rPr>
      </w:r>
      <w:r>
        <w:rPr>
          <w:noProof/>
        </w:rPr>
        <w:fldChar w:fldCharType="separate"/>
      </w:r>
      <w:r>
        <w:rPr>
          <w:noProof/>
        </w:rPr>
        <w:t>Appendix A.6</w:t>
      </w:r>
      <w:r>
        <w:rPr>
          <w:noProof/>
        </w:rPr>
        <w:fldChar w:fldCharType="end"/>
      </w:r>
      <w:r>
        <w:rPr>
          <w:noProof/>
        </w:rPr>
        <w:t xml:space="preserve"> </w:t>
      </w:r>
      <w:r>
        <w:t>for more complex scenarios</w:t>
      </w:r>
    </w:p>
    <w:p w14:paraId="74FDF946" w14:textId="77777777">
      <w:pPr>
        <w:pStyle w:val="Cmsor4"/>
      </w:pPr>
      <w:bookmarkStart w:id="249" w:name="_Ref182300602"/>
      <w:bookmarkStart w:id="250" w:name="_Ref182318136"/>
      <w:r>
        <w:t>Numbering pagelike milestones</w:t>
      </w:r>
      <w:bookmarkEnd w:id="249"/>
      <w:bookmarkEnd w:id="250"/>
    </w:p>
    <w:p w14:paraId="4E50EE10" w14:textId="77777777">
      <w:pPr>
        <w:pStyle w:val="Lista"/>
      </w:pPr>
      <w:r>
        <w:t>pagelike partitions are mandatorily numbered in DHARMA editions</w:t>
      </w:r>
    </w:p>
    <w:p w14:paraId="11C9AA91" w14:textId="77777777">
      <w:pPr>
        <w:pStyle w:val="Lista"/>
      </w:pPr>
      <w:r>
        <w:t xml:space="preserve">the values of </w:t>
      </w:r>
      <w:r>
        <w:rPr>
          <w:rStyle w:val="Codeattribute"/>
        </w:rPr>
        <w:t>@n</w:t>
      </w:r>
      <w:r>
        <w:t xml:space="preserve"> recommended for the identification of pagelike partitions other than actual pages are uppercase Latin letters beginning with “A”</w:t>
      </w:r>
    </w:p>
    <w:p w14:paraId="00A12C7C" w14:textId="77777777">
      <w:pPr>
        <w:pStyle w:val="Lista2"/>
      </w:pPr>
      <w:r>
        <w:t>nonetheless, any numeration scheme may be used depending on your preference and the conventions of your specific field; in particular, feel free to use</w:t>
      </w:r>
    </w:p>
    <w:p w14:paraId="4234402D" w14:textId="3BDE688A">
      <w:pPr>
        <w:pStyle w:val="Lista3"/>
      </w:pPr>
      <w:r>
        <w:t>the uppercase letters N, S, E, W to indicate cardinal directions (</w:t>
      </w:r>
      <w:r>
        <w:fldChar w:fldCharType="begin"/>
      </w:r>
      <w:r>
        <w:instrText xml:space="preserve"> REF _Ref44078459 \h </w:instrText>
      </w:r>
      <w:r>
        <w:fldChar w:fldCharType="separate"/>
      </w:r>
      <w:r>
        <w:t xml:space="preserve">Exhibit </w:t>
      </w:r>
      <w:r>
        <w:rPr>
          <w:noProof/>
        </w:rPr>
        <w:t>4.4</w:t>
      </w:r>
      <w:r>
        <w:t>.</w:t>
      </w:r>
      <w:r>
        <w:rPr>
          <w:noProof/>
        </w:rPr>
        <w:t>C</w:t>
      </w:r>
      <w:r>
        <w:fldChar w:fldCharType="end"/>
      </w:r>
      <w:r>
        <w:t>)</w:t>
      </w:r>
    </w:p>
    <w:p w14:paraId="698EE1DA" w14:textId="77777777">
      <w:pPr>
        <w:pStyle w:val="Lista3"/>
      </w:pPr>
      <w:r>
        <w:t xml:space="preserve">lowercase letters alternating with uppercase ones to denote major/frontal and minor/lateral faces of a three-dimensional object such as a Southeast Asian stele, e.g. A, b, C and d </w:t>
      </w:r>
      <w:r>
        <w:rPr>
          <w:noProof/>
        </w:rPr>
        <w:t>(</w:t>
      </w:r>
      <w:r>
        <w:t>for faces inscribed as separate zones)</w:t>
      </w:r>
    </w:p>
    <w:p w14:paraId="297B55E4" w14:textId="77777777">
      <w:pPr>
        <w:pStyle w:val="Lista4"/>
      </w:pPr>
      <w:r>
        <w:t xml:space="preserve">or pairs of such letters, Ab and Cd </w:t>
      </w:r>
      <w:r>
        <w:rPr>
          <w:noProof/>
        </w:rPr>
        <w:t>(</w:t>
      </w:r>
      <w:r>
        <w:t>where pairs of faces constitute single virtual zones)</w:t>
      </w:r>
    </w:p>
    <w:p w14:paraId="7B9AE2AB" w14:textId="77777777">
      <w:pPr>
        <w:pStyle w:val="Lista"/>
      </w:pPr>
      <w:r>
        <w:t>when several textpart divisions of an edition include pagelike milestones, then</w:t>
      </w:r>
    </w:p>
    <w:p w14:paraId="7FF6A7F6" w14:textId="3D954C56">
      <w:pPr>
        <w:pStyle w:val="Lista2"/>
      </w:pPr>
      <w:r>
        <w:t xml:space="preserve">if the pagelike partitions are of the same kind (i.e. have the same </w:t>
      </w:r>
      <w:r>
        <w:rPr>
          <w:rStyle w:val="Codeattribute"/>
        </w:rPr>
        <w:t>@unit</w:t>
      </w:r>
      <w:r>
        <w:t>), then their numbering must be reset in each textpart (§</w:t>
      </w:r>
      <w:r>
        <w:fldChar w:fldCharType="begin"/>
      </w:r>
      <w:r>
        <w:instrText xml:space="preserve"> REF _Ref43986747 \r \h </w:instrText>
      </w:r>
      <w:r>
        <w:fldChar w:fldCharType="separate"/>
      </w:r>
      <w:r>
        <w:t>4.2.1.4</w:t>
      </w:r>
      <w:r>
        <w:fldChar w:fldCharType="end"/>
      </w:r>
      <w:r>
        <w:t>) unless there is a strong reason not to do so</w:t>
      </w:r>
    </w:p>
    <w:p w14:paraId="349693A9" w14:textId="0AFAA141">
      <w:pPr>
        <w:pStyle w:val="Lista2"/>
      </w:pPr>
      <w:r>
        <w:t xml:space="preserve">if the pagelike partitions are of different kinds, it is recommended that you employ different numeration schemes for them in addition to distinguishing them by </w:t>
      </w:r>
      <w:r>
        <w:rPr>
          <w:rStyle w:val="Codeattribute"/>
        </w:rPr>
        <w:t>@unit</w:t>
      </w:r>
      <w:r>
        <w:t xml:space="preserve"> (§</w:t>
      </w:r>
      <w:r>
        <w:fldChar w:fldCharType="begin"/>
      </w:r>
      <w:r>
        <w:instrText xml:space="preserve"> REF _Ref182815315 \r \h </w:instrText>
      </w:r>
      <w:r>
        <w:fldChar w:fldCharType="separate"/>
      </w:r>
      <w:r>
        <w:t>4.3.1</w:t>
      </w:r>
      <w:r>
        <w:fldChar w:fldCharType="end"/>
      </w:r>
      <w:r>
        <w:t>)</w:t>
      </w:r>
    </w:p>
    <w:p w14:paraId="0FAB87A6" w14:textId="0FE1A02A">
      <w:pPr>
        <w:pStyle w:val="Lista2"/>
      </w:pPr>
      <w:r>
        <w:t>recall from §</w:t>
      </w:r>
      <w:r>
        <w:fldChar w:fldCharType="begin"/>
      </w:r>
      <w:r>
        <w:instrText xml:space="preserve"> REF _Ref182923075 \r \h </w:instrText>
      </w:r>
      <w:r>
        <w:fldChar w:fldCharType="separate"/>
      </w:r>
      <w:r>
        <w:t>4.1</w:t>
      </w:r>
      <w:r>
        <w:fldChar w:fldCharType="end"/>
      </w:r>
      <w:r>
        <w:t xml:space="preserve"> that only one kind of pagelike partition is allowed within any single division (i.e. in the edition or in each textpart, as the case may be)</w:t>
      </w:r>
    </w:p>
    <w:p w14:paraId="427FA932" w14:textId="77777777">
      <w:pPr>
        <w:pStyle w:val="Cmsor4"/>
      </w:pPr>
      <w:bookmarkStart w:id="251" w:name="_Ref182299869"/>
      <w:r>
        <w:t>Labels for pagelike milestones</w:t>
      </w:r>
      <w:bookmarkEnd w:id="251"/>
    </w:p>
    <w:p w14:paraId="368ABE5A" w14:textId="77777777">
      <w:pPr>
        <w:rPr>
          <w:lang w:eastAsia="en-US" w:bidi="ar-SA"/>
        </w:rPr>
      </w:pPr>
      <w:r>
        <w:t>Milestones are numbered for reference. When an XML edition is rendered for display, labels for pagelike partitions will be automatically generated from the unit and the number, as noted in the examples in this section. When these automatic headings are deemed insufficient, an optional custom label may be added to the encoding, which will replace the auto-generated label.</w:t>
      </w:r>
    </w:p>
    <w:p w14:paraId="03B55EB6" w14:textId="77777777">
      <w:pPr>
        <w:pStyle w:val="Lista"/>
      </w:pPr>
      <w:r>
        <w:t xml:space="preserve">auto-generated labels will consist of the value of </w:t>
      </w:r>
      <w:r>
        <w:rPr>
          <w:rStyle w:val="Codeattribute"/>
        </w:rPr>
        <w:t>@unit</w:t>
      </w:r>
      <w:r>
        <w:t xml:space="preserve"> (with the initial letter changed to uppercase), followed by the value of </w:t>
      </w:r>
      <w:r>
        <w:rPr>
          <w:rStyle w:val="Codeattribute"/>
        </w:rPr>
        <w:t>@n</w:t>
      </w:r>
      <w:r>
        <w:t xml:space="preserve"> (unchanged), for example as follows</w:t>
      </w:r>
    </w:p>
    <w:p w14:paraId="5FFF21B0" w14:textId="77777777">
      <w:pPr>
        <w:pStyle w:val="Lista2"/>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t xml:space="preserve"> → “Face A” </w:t>
      </w:r>
    </w:p>
    <w:p w14:paraId="59BC5845" w14:textId="77777777">
      <w:pPr>
        <w:pStyle w:val="Lista2"/>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"zone"</w:t>
      </w:r>
      <w:r>
        <w:rPr>
          <w:rStyle w:val="Code"/>
        </w:rPr>
        <w:t xml:space="preserve"> </w:t>
      </w:r>
      <w:r>
        <w:rPr>
          <w:rStyle w:val="Codeattribute"/>
        </w:rPr>
        <w:t>n</w:t>
      </w:r>
      <w:r>
        <w:rPr>
          <w:rStyle w:val="Code"/>
        </w:rPr>
        <w:t>=</w:t>
      </w:r>
      <w:r>
        <w:rPr>
          <w:rStyle w:val="Codevalue"/>
        </w:rPr>
        <w:t>"1"</w:t>
      </w:r>
      <w:r>
        <w:rPr>
          <w:rStyle w:val="Code"/>
        </w:rPr>
        <w:t>/&gt;</w:t>
      </w:r>
      <w:r>
        <w:t xml:space="preserve"> → “Zone 1” </w:t>
      </w:r>
    </w:p>
    <w:p w14:paraId="29932828" w14:textId="77777777">
      <w:pPr>
        <w:pStyle w:val="Lista"/>
      </w:pPr>
      <w:r>
        <w:lastRenderedPageBreak/>
        <w:t xml:space="preserve">to add flexibility to the titling displayed for pagelike partitions, use the optional element </w:t>
      </w:r>
      <w:r>
        <w:rPr>
          <w:rStyle w:val="Code"/>
        </w:rPr>
        <w:t xml:space="preserve">&lt;label </w:t>
      </w:r>
      <w:r>
        <w:rPr>
          <w:rStyle w:val="Codeattribute"/>
        </w:rPr>
        <w:t>xml:lang</w:t>
      </w:r>
      <w:r>
        <w:rPr>
          <w:rStyle w:val="Code"/>
        </w:rPr>
        <w:t>=</w:t>
      </w:r>
      <w:r>
        <w:rPr>
          <w:rStyle w:val="Codevalue"/>
        </w:rPr>
        <w:t>"eng"</w:t>
      </w:r>
      <w:r>
        <w:rPr>
          <w:rStyle w:val="Code"/>
        </w:rPr>
        <w:t>&gt;</w:t>
      </w:r>
      <w:r>
        <w:t xml:space="preserve"> immediately after the </w:t>
      </w:r>
      <w:r>
        <w:rPr>
          <w:rStyle w:val="Code"/>
        </w:rPr>
        <w:t>&lt;milestone/&gt;</w:t>
      </w:r>
      <w:r>
        <w:t xml:space="preserve"> element</w:t>
      </w:r>
    </w:p>
    <w:p w14:paraId="0D785F40" w14:textId="30EF829B">
      <w:pPr>
        <w:pStyle w:val="Lista2"/>
      </w:pPr>
      <w:r>
        <w:t>such elements in our editions will by default be regarded as editorial and therefore need not be marked up explicitly as such; the mandatory language attribute (§</w:t>
      </w:r>
      <w:r>
        <w:fldChar w:fldCharType="begin"/>
      </w:r>
      <w:r>
        <w:instrText xml:space="preserve"> REF _Ref233727317 \r \h </w:instrText>
      </w:r>
      <w:r>
        <w:fldChar w:fldCharType="separate"/>
      </w:r>
      <w:r>
        <w:t>14.4.1</w:t>
      </w:r>
      <w:r>
        <w:fldChar w:fldCharType="end"/>
      </w:r>
      <w:r>
        <w:t>) makes it sufficiently clear that their content is not part of the original text</w:t>
      </w:r>
    </w:p>
    <w:p w14:paraId="5DEAD01F" w14:textId="77777777">
      <w:pPr>
        <w:pStyle w:val="Lista2"/>
      </w:pPr>
      <w:r>
        <w:t xml:space="preserve">only add labels to zones if you find that the combination of </w:t>
      </w:r>
      <w:r>
        <w:rPr>
          <w:rStyle w:val="Codeattribute"/>
        </w:rPr>
        <w:t>@unit</w:t>
      </w:r>
      <w:r>
        <w:t xml:space="preserve"> and </w:t>
      </w:r>
      <w:r>
        <w:rPr>
          <w:rStyle w:val="Codeattribute"/>
        </w:rPr>
        <w:t>@n</w:t>
      </w:r>
      <w:r>
        <w:t xml:space="preserve"> cannot produce a sufficiently meaningful title; complex details such as the size and relative position of zones should be annotated, not encoded within the edition</w:t>
      </w:r>
    </w:p>
    <w:p w14:paraId="143F261B" w14:textId="77777777">
      <w:pPr>
        <w:pStyle w:val="Lista2"/>
      </w:pPr>
      <w:r>
        <w:t>for the sake of consistency it is recommended that you stick to concise labels in English</w:t>
      </w:r>
    </w:p>
    <w:p w14:paraId="55A5A26A" w14:textId="6B738EF0">
      <w:pPr>
        <w:pStyle w:val="Lista2"/>
      </w:pPr>
      <w:r>
        <w:t xml:space="preserve">see </w:t>
      </w:r>
      <w:r>
        <w:fldChar w:fldCharType="begin"/>
      </w:r>
      <w:r>
        <w:instrText xml:space="preserve"> REF _Ref44078459 \h </w:instrText>
      </w:r>
      <w:r>
        <w:fldChar w:fldCharType="separate"/>
      </w:r>
      <w:r>
        <w:t xml:space="preserve">Exhibit </w:t>
      </w:r>
      <w:r>
        <w:rPr>
          <w:noProof/>
        </w:rPr>
        <w:t>4.4</w:t>
      </w:r>
      <w:r>
        <w:t>.</w:t>
      </w:r>
      <w:r>
        <w:rPr>
          <w:noProof/>
        </w:rPr>
        <w:t>C</w:t>
      </w:r>
      <w:r>
        <w:fldChar w:fldCharType="end"/>
      </w:r>
      <w:r>
        <w:t xml:space="preserve"> for an illustration</w:t>
      </w:r>
    </w:p>
    <w:p w14:paraId="4E5496B9" w14:textId="77777777">
      <w:pPr>
        <w:pStyle w:val="Lista"/>
      </w:pPr>
      <w:r>
        <w:t xml:space="preserve">although the content of editorial labels will replace the title auto-generated from </w:t>
      </w:r>
      <w:r>
        <w:rPr>
          <w:rStyle w:val="Codeattribute"/>
        </w:rPr>
        <w:t>@unit</w:t>
      </w:r>
      <w:r>
        <w:t xml:space="preserve"> and </w:t>
      </w:r>
      <w:r>
        <w:rPr>
          <w:rStyle w:val="Codeattribute"/>
        </w:rPr>
        <w:t>@n</w:t>
      </w:r>
      <w:r>
        <w:t xml:space="preserve"> in display, the use of the attributes </w:t>
      </w:r>
      <w:r>
        <w:rPr>
          <w:rStyle w:val="Codeattribute"/>
        </w:rPr>
        <w:t>@unit</w:t>
      </w:r>
      <w:r>
        <w:t xml:space="preserve"> and </w:t>
      </w:r>
      <w:r>
        <w:rPr>
          <w:rStyle w:val="Codeattribute"/>
        </w:rPr>
        <w:t>@n</w:t>
      </w:r>
      <w:r>
        <w:t xml:space="preserve"> on the </w:t>
      </w:r>
      <w:r>
        <w:rPr>
          <w:rStyle w:val="Code"/>
        </w:rPr>
        <w:t>&lt;milestone/&gt;</w:t>
      </w:r>
      <w:r>
        <w:t xml:space="preserve"> element remains mandatory even if a </w:t>
      </w:r>
      <w:r>
        <w:rPr>
          <w:rStyle w:val="Code"/>
        </w:rPr>
        <w:t>&lt;label&gt;</w:t>
      </w:r>
      <w:r>
        <w:t xml:space="preserve"> is present</w:t>
      </w:r>
    </w:p>
    <w:p w14:paraId="1E27055C" w14:textId="77777777">
      <w:pPr>
        <w:pStyle w:val="Lista"/>
      </w:pPr>
      <w:r>
        <w:t>the contents of the label will not be altered in display, so</w:t>
      </w:r>
    </w:p>
    <w:p w14:paraId="5A055F34" w14:textId="77777777">
      <w:pPr>
        <w:pStyle w:val="Lista2"/>
      </w:pPr>
      <w:bookmarkStart w:id="252" w:name="_h6lmsgu4umfd" w:colFirst="0" w:colLast="0"/>
      <w:bookmarkEnd w:id="252"/>
      <w:r>
        <w:t>use a capital initial and feel free to include spaces, additional capitals and punctuation as necessary</w:t>
      </w:r>
    </w:p>
    <w:p w14:paraId="1B22445B" w14:textId="60315D3A">
      <w:pPr>
        <w:pStyle w:val="Lista2"/>
      </w:pPr>
      <w:r>
        <w:t xml:space="preserve">however, to avoid complications, do not use any further markup within this element, except the element </w:t>
      </w:r>
      <w:r>
        <w:rPr>
          <w:rStyle w:val="Code"/>
        </w:rPr>
        <w:t>&lt;foreign&gt;</w:t>
      </w:r>
      <w:r>
        <w:t xml:space="preserve"> </w:t>
      </w:r>
      <w:r>
        <w:rPr>
          <w:noProof/>
        </w:rPr>
        <w:t>(</w:t>
      </w:r>
      <w:r>
        <w:t>§</w:t>
      </w:r>
      <w:r>
        <w:fldChar w:fldCharType="begin"/>
      </w:r>
      <w:r>
        <w:instrText xml:space="preserve"> REF _Ref43986658 \w \h  \* MERGEFORMAT </w:instrText>
      </w:r>
      <w:r>
        <w:fldChar w:fldCharType="separate"/>
      </w:r>
      <w:r>
        <w:t>14.4.2</w:t>
      </w:r>
      <w:r>
        <w:fldChar w:fldCharType="end"/>
      </w:r>
      <w:r>
        <w:t>), which you may employ if you deem necessary</w:t>
      </w:r>
    </w:p>
    <w:p w14:paraId="0CA51135" w14:textId="77777777"/>
    <w:tbl>
      <w:tblPr>
        <w:tblStyle w:val="CodeSampleTable"/>
        <w:tblW w:w="0" w:type="auto"/>
        <w:tblLook w:val="04A0" w:firstRow="1" w:lastRow="0" w:firstColumn="1" w:lastColumn="0" w:noHBand="0" w:noVBand="1"/>
      </w:tblPr>
      <w:tblGrid>
        <w:gridCol w:w="9054"/>
      </w:tblGrid>
      <w:tr w14:paraId="7BE2C7B5" w14:textId="77777777">
        <w:trPr>
          <w:cnfStyle w:val="100000000000" w:firstRow="1" w:lastRow="0" w:firstColumn="0" w:lastColumn="0" w:oddVBand="0" w:evenVBand="0" w:oddHBand="0" w:evenHBand="0" w:firstRowFirstColumn="0" w:firstRowLastColumn="0" w:lastRowFirstColumn="0" w:lastRowLastColumn="0"/>
        </w:trPr>
        <w:tc>
          <w:tcPr>
            <w:tcW w:w="9054" w:type="dxa"/>
          </w:tcPr>
          <w:p w14:paraId="3391CFEF" w14:textId="4D7F51C3">
            <w:pPr>
              <w:pStyle w:val="Kpalrs"/>
            </w:pPr>
            <w:bookmarkStart w:id="253" w:name="_Ref44078459"/>
            <w:bookmarkStart w:id="254" w:name="_Ref182300601"/>
            <w:bookmarkStart w:id="255" w:name="_Ref182300603"/>
            <w:r>
              <w:t xml:space="preserve">Exhibit </w:t>
            </w:r>
            <w:fldSimple w:instr=" STYLEREF 2 \s ">
              <w:r>
                <w:rPr>
                  <w:noProof/>
                </w:rPr>
                <w:t>4.4</w:t>
              </w:r>
            </w:fldSimple>
            <w:r>
              <w:t>.</w:t>
            </w:r>
            <w:fldSimple w:instr=" SEQ Exhibit \* ALPHABETIC \s 2 ">
              <w:r>
                <w:rPr>
                  <w:noProof/>
                </w:rPr>
                <w:t>C</w:t>
              </w:r>
            </w:fldSimple>
            <w:bookmarkEnd w:id="253"/>
            <w:r>
              <w:t>: two doorjambs as a pagelike partition with custom headings</w:t>
            </w:r>
          </w:p>
        </w:tc>
      </w:tr>
      <w:tr w14:paraId="63917461" w14:textId="77777777">
        <w:tc>
          <w:tcPr>
            <w:tcW w:w="9054" w:type="dxa"/>
          </w:tcPr>
          <w:p w14:paraId="46145A52" w14:textId="77777777">
            <w:pPr>
              <w:pStyle w:val="CodeParagraph"/>
              <w:keepNext/>
              <w:rPr>
                <w:rStyle w:val="Codetext"/>
              </w:rPr>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"item"</w:t>
            </w:r>
            <w:r>
              <w:rPr>
                <w:rStyle w:val="Code"/>
              </w:rPr>
              <w:t xml:space="preserve"> </w:t>
            </w:r>
            <w:r>
              <w:rPr>
                <w:rStyle w:val="Codeattribute"/>
              </w:rPr>
              <w:t>n</w:t>
            </w:r>
            <w:r>
              <w:rPr>
                <w:rStyle w:val="Code"/>
              </w:rPr>
              <w:t>=</w:t>
            </w:r>
            <w:r>
              <w:rPr>
                <w:rStyle w:val="Codevalue"/>
              </w:rPr>
              <w:t>"N"</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Northern Doorjamb</w:t>
            </w:r>
            <w:r>
              <w:rPr>
                <w:rStyle w:val="Code"/>
              </w:rPr>
              <w:t>&lt;/label&gt;</w:t>
            </w:r>
            <w:r>
              <w:rPr>
                <w:rStyle w:val="Codetext"/>
              </w:rPr>
              <w:t>...</w:t>
            </w:r>
          </w:p>
          <w:p w14:paraId="15D9E777" w14:textId="77777777">
            <w:pPr>
              <w:pStyle w:val="CodeParagraph"/>
              <w:keepNext/>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"item"</w:t>
            </w:r>
            <w:r>
              <w:rPr>
                <w:rStyle w:val="Code"/>
              </w:rPr>
              <w:t xml:space="preserve"> </w:t>
            </w:r>
            <w:r>
              <w:rPr>
                <w:rStyle w:val="Codeattribute"/>
              </w:rPr>
              <w:t>n</w:t>
            </w:r>
            <w:r>
              <w:rPr>
                <w:rStyle w:val="Code"/>
              </w:rPr>
              <w:t>=</w:t>
            </w:r>
            <w:r>
              <w:rPr>
                <w:rStyle w:val="Codevalue"/>
              </w:rPr>
              <w:t>"S"</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Southern Doorjamb</w:t>
            </w:r>
            <w:r>
              <w:rPr>
                <w:rStyle w:val="Code"/>
              </w:rPr>
              <w:t>&lt;/label&gt;</w:t>
            </w:r>
            <w:r>
              <w:rPr>
                <w:rStyle w:val="Codetext"/>
              </w:rPr>
              <w:t>...</w:t>
            </w:r>
          </w:p>
        </w:tc>
      </w:tr>
      <w:tr w14:paraId="22F9C001" w14:textId="77777777">
        <w:tc>
          <w:tcPr>
            <w:tcW w:w="9054" w:type="dxa"/>
          </w:tcPr>
          <w:p w14:paraId="5E2A9743" w14:textId="77777777">
            <w:pPr>
              <w:pStyle w:val="TableNote"/>
              <w:rPr>
                <w:rStyle w:val="Code"/>
              </w:rPr>
            </w:pPr>
            <w:r>
              <w:t>explicitly encoded headings will show “Northern Doorjamb” and “Southern Doorjamb”</w:t>
            </w:r>
          </w:p>
        </w:tc>
      </w:tr>
      <w:bookmarkEnd w:id="254"/>
      <w:bookmarkEnd w:id="255"/>
    </w:tbl>
    <w:p w14:paraId="6247B7F5" w14:textId="77777777"/>
    <w:p w14:paraId="74692AC9" w14:textId="77777777">
      <w:pPr>
        <w:pStyle w:val="Cmsor3"/>
      </w:pPr>
      <w:bookmarkStart w:id="256" w:name="_tezue83pb823" w:colFirst="0" w:colLast="0"/>
      <w:bookmarkStart w:id="257" w:name="_Ref43986994"/>
      <w:bookmarkStart w:id="258" w:name="_Toc242889473"/>
      <w:bookmarkEnd w:id="256"/>
      <w:r>
        <w:t>Numbered elements in pagelike partitions</w:t>
      </w:r>
      <w:bookmarkEnd w:id="257"/>
      <w:bookmarkEnd w:id="258"/>
    </w:p>
    <w:p w14:paraId="019B59BC" w14:textId="0087FC35">
      <w:pPr>
        <w:pStyle w:val="Lista"/>
      </w:pPr>
      <w:r>
        <w:t>as set out under §</w:t>
      </w:r>
      <w:r>
        <w:fldChar w:fldCharType="begin"/>
      </w:r>
      <w:r>
        <w:instrText xml:space="preserve"> REF _Ref225761016 \r \h </w:instrText>
      </w:r>
      <w:r>
        <w:fldChar w:fldCharType="separate"/>
      </w:r>
      <w:r>
        <w:t>4.5.2</w:t>
      </w:r>
      <w:r>
        <w:fldChar w:fldCharType="end"/>
      </w:r>
      <w:r>
        <w:t>, physical line numbering may be either</w:t>
      </w:r>
    </w:p>
    <w:p w14:paraId="3FCE2663" w14:textId="77777777">
      <w:pPr>
        <w:pStyle w:val="Lista2"/>
      </w:pPr>
      <w:r>
        <w:t>consecutive throughout successive pagelike partitions, or</w:t>
      </w:r>
    </w:p>
    <w:p w14:paraId="62A37A6E" w14:textId="77777777">
      <w:pPr>
        <w:pStyle w:val="Lista2"/>
      </w:pPr>
      <w:r>
        <w:t>restarted in each pagelike partition, provided that complex line numbers are used, which incorporate the number of the page or zone</w:t>
      </w:r>
    </w:p>
    <w:p w14:paraId="349CCACB" w14:textId="77777777">
      <w:pPr>
        <w:pStyle w:val="Lista"/>
      </w:pPr>
      <w:r>
        <w:t>the numeration of any other numbered elements must ignore pagelike partitions, i.e. continue consecutively through each such partition</w:t>
      </w:r>
    </w:p>
    <w:p w14:paraId="7E1C98BF" w14:textId="77777777">
      <w:pPr>
        <w:pStyle w:val="Lista2"/>
      </w:pPr>
      <w:r>
        <w:t>this explicitly includes stanzas, whose numbering is normally reset in boxlike partitions, but never after a pagelike partition</w:t>
      </w:r>
    </w:p>
    <w:p w14:paraId="2A1CD0C6" w14:textId="77777777">
      <w:pPr>
        <w:pStyle w:val="Cmsor2"/>
      </w:pPr>
      <w:bookmarkStart w:id="259" w:name="_Ref224720139"/>
      <w:bookmarkStart w:id="260" w:name="_Ref224720155"/>
      <w:bookmarkStart w:id="261" w:name="_Toc242889474"/>
      <w:r>
        <w:t>Physical lines</w:t>
      </w:r>
      <w:bookmarkEnd w:id="199"/>
      <w:bookmarkEnd w:id="200"/>
      <w:bookmarkEnd w:id="201"/>
      <w:bookmarkEnd w:id="202"/>
      <w:bookmarkEnd w:id="203"/>
      <w:bookmarkEnd w:id="259"/>
      <w:bookmarkEnd w:id="260"/>
      <w:bookmarkEnd w:id="261"/>
    </w:p>
    <w:p w14:paraId="2E81F94C" w14:textId="5647224E">
      <w:r>
        <w:t xml:space="preserve">To make the distinction from verse lines </w:t>
      </w:r>
      <w:r>
        <w:rPr>
          <w:noProof/>
        </w:rPr>
        <w:t>(§</w:t>
      </w:r>
      <w:r>
        <w:rPr>
          <w:noProof/>
        </w:rPr>
        <w:fldChar w:fldCharType="begin"/>
      </w:r>
      <w:r>
        <w:rPr>
          <w:noProof/>
        </w:rPr>
        <w:instrText xml:space="preserve"> REF _Ref224740501 \r \h </w:instrText>
      </w:r>
      <w:r>
        <w:rPr>
          <w:noProof/>
        </w:rPr>
      </w:r>
      <w:r>
        <w:rPr>
          <w:noProof/>
        </w:rPr>
        <w:fldChar w:fldCharType="separate"/>
      </w:r>
      <w:r>
        <w:rPr>
          <w:noProof/>
        </w:rPr>
        <w:t>3.2.2</w:t>
      </w:r>
      <w:r>
        <w:rPr>
          <w:noProof/>
        </w:rPr>
        <w:fldChar w:fldCharType="end"/>
      </w:r>
      <w:r>
        <w:t xml:space="preserve">) explicit, inscribed lines are referred to in this guide as </w:t>
      </w:r>
      <w:r>
        <w:rPr>
          <w:i/>
          <w:iCs/>
        </w:rPr>
        <w:t>epigraphic lines</w:t>
      </w:r>
      <w:r>
        <w:t xml:space="preserve"> or </w:t>
      </w:r>
      <w:r>
        <w:rPr>
          <w:i/>
          <w:iCs/>
        </w:rPr>
        <w:t>physical lines</w:t>
      </w:r>
      <w:r>
        <w:t xml:space="preserve"> where ambiguity is possible. The beginning of each epigraphic line must always be marked up within the edition. For the purpose of encoding in our project, we define a physical line as a stretch of text whose glyphs comprise a spatially and textually contiguous sequence while being spatially distinct from glyphs belonging to other lines.</w:t>
      </w:r>
    </w:p>
    <w:p w14:paraId="4B45A962" w14:textId="77777777"/>
    <w:tbl>
      <w:tblPr>
        <w:tblStyle w:val="FigureTable"/>
        <w:tblW w:w="0" w:type="auto"/>
        <w:tblLook w:val="04A0" w:firstRow="1" w:lastRow="0" w:firstColumn="1" w:lastColumn="0" w:noHBand="0" w:noVBand="1"/>
      </w:tblPr>
      <w:tblGrid>
        <w:gridCol w:w="9628"/>
      </w:tblGrid>
      <w:tr w14:paraId="27D18366" w14:textId="77777777">
        <w:trPr>
          <w:cnfStyle w:val="100000000000" w:firstRow="1" w:lastRow="0" w:firstColumn="0" w:lastColumn="0" w:oddVBand="0" w:evenVBand="0" w:oddHBand="0" w:evenHBand="0" w:firstRowFirstColumn="0" w:firstRowLastColumn="0" w:lastRowFirstColumn="0" w:lastRowLastColumn="0"/>
        </w:trPr>
        <w:tc>
          <w:tcPr>
            <w:tcW w:w="9628" w:type="dxa"/>
          </w:tcPr>
          <w:p w14:paraId="4A7FE719" w14:textId="09FDF266">
            <w:pPr>
              <w:pStyle w:val="Kpalrs"/>
            </w:pPr>
            <w:bookmarkStart w:id="262" w:name="_Ref225427746"/>
            <w:r>
              <w:lastRenderedPageBreak/>
              <w:t xml:space="preserve">Exhibit </w:t>
            </w:r>
            <w:fldSimple w:instr=" STYLEREF 2 \s ">
              <w:r>
                <w:rPr>
                  <w:noProof/>
                </w:rPr>
                <w:t>4.5</w:t>
              </w:r>
            </w:fldSimple>
            <w:r>
              <w:t>.</w:t>
            </w:r>
            <w:fldSimple w:instr=" SEQ Exhibit \* ALPHABETIC \s 2 ">
              <w:r>
                <w:rPr>
                  <w:noProof/>
                </w:rPr>
                <w:t>A</w:t>
              </w:r>
            </w:fldSimple>
            <w:bookmarkEnd w:id="262"/>
            <w:r>
              <w:t>. A tidy inscription</w:t>
            </w:r>
          </w:p>
        </w:tc>
      </w:tr>
      <w:tr w14:paraId="4CE177F0" w14:textId="77777777">
        <w:tc>
          <w:tcPr>
            <w:tcW w:w="9628" w:type="dxa"/>
          </w:tcPr>
          <w:p w14:paraId="2BAAA750" w14:textId="77777777">
            <w:pPr>
              <w:pStyle w:val="Image"/>
            </w:pPr>
            <w:r>
              <w:drawing>
                <wp:inline distT="0" distB="0" distL="0" distR="0" wp14:anchorId="20074B98" wp14:editId="52EBC4A2">
                  <wp:extent cx="5400000" cy="1483200"/>
                  <wp:effectExtent l="0" t="0" r="0" b="3175"/>
                  <wp:docPr id="16"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8.png"/>
                          <pic:cNvPicPr/>
                        </pic:nvPicPr>
                        <pic:blipFill>
                          <a:blip r:embed="rId18"/>
                          <a:stretch>
                            <a:fillRect/>
                          </a:stretch>
                        </pic:blipFill>
                        <pic:spPr>
                          <a:xfrm>
                            <a:off x="0" y="0"/>
                            <a:ext cx="5400000" cy="1483200"/>
                          </a:xfrm>
                          <a:prstGeom prst="rect">
                            <a:avLst/>
                          </a:prstGeom>
                          <a:ln/>
                        </pic:spPr>
                      </pic:pic>
                    </a:graphicData>
                  </a:graphic>
                </wp:inline>
              </w:drawing>
            </w:r>
          </w:p>
        </w:tc>
      </w:tr>
    </w:tbl>
    <w:p w14:paraId="00C2FDCB" w14:textId="77777777"/>
    <w:p w14:paraId="538F12C9" w14:textId="77777777">
      <w:r>
        <w:t>This definition includes no presumptions concerning a line’s</w:t>
      </w:r>
    </w:p>
    <w:p w14:paraId="32D09225" w14:textId="6CC89537">
      <w:pPr>
        <w:pStyle w:val="Lista"/>
      </w:pPr>
      <w:r>
        <w:t xml:space="preserve">position </w:t>
      </w:r>
      <w:r>
        <w:rPr>
          <w:noProof/>
        </w:rPr>
        <w:t>(</w:t>
      </w:r>
      <w:r>
        <w:t>some lines of a text may be set off from other lines; see §</w:t>
      </w:r>
      <w:r>
        <w:fldChar w:fldCharType="begin"/>
      </w:r>
      <w:r>
        <w:instrText xml:space="preserve"> REF _Ref43978135 \r \h </w:instrText>
      </w:r>
      <w:r>
        <w:fldChar w:fldCharType="separate"/>
      </w:r>
      <w:r>
        <w:t>4.7.1.1</w:t>
      </w:r>
      <w:r>
        <w:fldChar w:fldCharType="end"/>
      </w:r>
      <w:r>
        <w:t xml:space="preserve"> and §</w:t>
      </w:r>
      <w:r>
        <w:fldChar w:fldCharType="begin"/>
      </w:r>
      <w:r>
        <w:instrText xml:space="preserve"> REF _Ref182233273 \r \h </w:instrText>
      </w:r>
      <w:r>
        <w:fldChar w:fldCharType="separate"/>
      </w:r>
      <w:r>
        <w:t>4.7.1.2</w:t>
      </w:r>
      <w:r>
        <w:fldChar w:fldCharType="end"/>
      </w:r>
      <w:r>
        <w:t xml:space="preserve"> for specific cases)</w:t>
      </w:r>
    </w:p>
    <w:p w14:paraId="068374AE" w14:textId="3EFCB3C2">
      <w:pPr>
        <w:pStyle w:val="Lista"/>
      </w:pPr>
      <w:r>
        <w:t xml:space="preserve">directionality </w:t>
      </w:r>
      <w:r>
        <w:rPr>
          <w:noProof/>
        </w:rPr>
        <w:t>(</w:t>
      </w:r>
      <w:r>
        <w:t>e.g. some lines run right to left while others run left to right; see §</w:t>
      </w:r>
      <w:r>
        <w:fldChar w:fldCharType="begin"/>
      </w:r>
      <w:r>
        <w:instrText xml:space="preserve"> REF _Ref43984782 \w \h  \* MERGEFORMAT </w:instrText>
      </w:r>
      <w:r>
        <w:fldChar w:fldCharType="separate"/>
      </w:r>
      <w:r>
        <w:t>8.5.2</w:t>
      </w:r>
      <w:r>
        <w:fldChar w:fldCharType="end"/>
      </w:r>
      <w:r>
        <w:t>)</w:t>
      </w:r>
    </w:p>
    <w:p w14:paraId="7C1FE583" w14:textId="40A101FE">
      <w:pPr>
        <w:pStyle w:val="Lista"/>
      </w:pPr>
      <w:r>
        <w:t xml:space="preserve">orientation </w:t>
      </w:r>
      <w:r>
        <w:rPr>
          <w:noProof/>
        </w:rPr>
        <w:t>(</w:t>
      </w:r>
      <w:r>
        <w:t>e.g. some lines may be vertical while others are horizontal; see §</w:t>
      </w:r>
      <w:r>
        <w:fldChar w:fldCharType="begin"/>
      </w:r>
      <w:r>
        <w:instrText xml:space="preserve"> REF _Ref43984782 \w \h  \* MERGEFORMAT </w:instrText>
      </w:r>
      <w:r>
        <w:fldChar w:fldCharType="separate"/>
      </w:r>
      <w:r>
        <w:t>8.5.2</w:t>
      </w:r>
      <w:r>
        <w:fldChar w:fldCharType="end"/>
      </w:r>
      <w:r>
        <w:t>)</w:t>
      </w:r>
    </w:p>
    <w:p w14:paraId="6EB4DC88" w14:textId="77777777">
      <w:pPr>
        <w:pStyle w:val="Lista"/>
      </w:pPr>
      <w:r>
        <w:t xml:space="preserve">shape </w:t>
      </w:r>
      <w:r>
        <w:rPr>
          <w:noProof/>
        </w:rPr>
        <w:t>(</w:t>
      </w:r>
      <w:r>
        <w:t>lines may bend in various ways to follow an uneven surface, or the ends of certain lines may bend upward or downward to accommodate extra glyphs before the margin or the edge of the support)</w:t>
      </w:r>
    </w:p>
    <w:p w14:paraId="2B7D36AF" w14:textId="77777777"/>
    <w:p w14:paraId="7DA792FD" w14:textId="42977BB6">
      <w:r>
        <w:t xml:space="preserve">The concrete topology of the inscription is, however, irrelevant, so the tidy slab in </w:t>
      </w:r>
      <w:r>
        <w:fldChar w:fldCharType="begin"/>
      </w:r>
      <w:r>
        <w:instrText xml:space="preserve"> REF _Ref225427746 \h </w:instrText>
      </w:r>
      <w:r>
        <w:fldChar w:fldCharType="separate"/>
      </w:r>
      <w:r>
        <w:t xml:space="preserve">Exhibit </w:t>
      </w:r>
      <w:r>
        <w:rPr>
          <w:noProof/>
        </w:rPr>
        <w:t>4.5</w:t>
      </w:r>
      <w:r>
        <w:t>.</w:t>
      </w:r>
      <w:r>
        <w:rPr>
          <w:noProof/>
        </w:rPr>
        <w:t>A</w:t>
      </w:r>
      <w:r>
        <w:fldChar w:fldCharType="end"/>
      </w:r>
      <w:r>
        <w:t xml:space="preserve"> and the untidy boulder in </w:t>
      </w:r>
      <w:r>
        <w:fldChar w:fldCharType="begin"/>
      </w:r>
      <w:r>
        <w:instrText xml:space="preserve"> REF _Ref225427753 \h </w:instrText>
      </w:r>
      <w:r>
        <w:fldChar w:fldCharType="separate"/>
      </w:r>
      <w:r>
        <w:t xml:space="preserve">Exhibit </w:t>
      </w:r>
      <w:r>
        <w:rPr>
          <w:noProof/>
        </w:rPr>
        <w:t>4.5</w:t>
      </w:r>
      <w:r>
        <w:t>.</w:t>
      </w:r>
      <w:r>
        <w:rPr>
          <w:noProof/>
        </w:rPr>
        <w:t>B</w:t>
      </w:r>
      <w:r>
        <w:fldChar w:fldCharType="end"/>
      </w:r>
      <w:r>
        <w:t xml:space="preserve"> are encoded in the same manner, differing only in the number of lines. The arrangement of lines can be annotated as needed, but not encoded in the edition except for some basic layout features, which will be discussed in §</w:t>
      </w:r>
      <w:r>
        <w:fldChar w:fldCharType="begin"/>
      </w:r>
      <w:r>
        <w:instrText xml:space="preserve"> REF _Ref225428243 \r \h </w:instrText>
      </w:r>
      <w:r>
        <w:fldChar w:fldCharType="separate"/>
      </w:r>
      <w:r>
        <w:t>8.2.2</w:t>
      </w:r>
      <w:r>
        <w:fldChar w:fldCharType="end"/>
      </w:r>
      <w:r>
        <w:t>.</w:t>
      </w:r>
    </w:p>
    <w:p w14:paraId="20BEF5B0" w14:textId="77777777"/>
    <w:tbl>
      <w:tblPr>
        <w:tblStyle w:val="FigureTable"/>
        <w:tblW w:w="0" w:type="auto"/>
        <w:tblLook w:val="04A0" w:firstRow="1" w:lastRow="0" w:firstColumn="1" w:lastColumn="0" w:noHBand="0" w:noVBand="1"/>
      </w:tblPr>
      <w:tblGrid>
        <w:gridCol w:w="9628"/>
      </w:tblGrid>
      <w:tr w14:paraId="44655059" w14:textId="77777777">
        <w:trPr>
          <w:cnfStyle w:val="100000000000" w:firstRow="1" w:lastRow="0" w:firstColumn="0" w:lastColumn="0" w:oddVBand="0" w:evenVBand="0" w:oddHBand="0" w:evenHBand="0" w:firstRowFirstColumn="0" w:firstRowLastColumn="0" w:lastRowFirstColumn="0" w:lastRowLastColumn="0"/>
        </w:trPr>
        <w:tc>
          <w:tcPr>
            <w:tcW w:w="9628" w:type="dxa"/>
          </w:tcPr>
          <w:p w14:paraId="58E42B7D" w14:textId="6A2CD44D">
            <w:pPr>
              <w:pStyle w:val="Kpalrs"/>
            </w:pPr>
            <w:bookmarkStart w:id="263" w:name="_Ref225427753"/>
            <w:r>
              <w:t xml:space="preserve">Exhibit </w:t>
            </w:r>
            <w:fldSimple w:instr=" STYLEREF 2 \s ">
              <w:r>
                <w:rPr>
                  <w:noProof/>
                </w:rPr>
                <w:t>4.5</w:t>
              </w:r>
            </w:fldSimple>
            <w:r>
              <w:t>.</w:t>
            </w:r>
            <w:fldSimple w:instr=" SEQ Exhibit \* ALPHABETIC \s 2 ">
              <w:r>
                <w:rPr>
                  <w:noProof/>
                </w:rPr>
                <w:t>B</w:t>
              </w:r>
            </w:fldSimple>
            <w:bookmarkEnd w:id="263"/>
            <w:r>
              <w:t>. An untidy inscription</w:t>
            </w:r>
          </w:p>
        </w:tc>
      </w:tr>
      <w:tr w14:paraId="05C2F020" w14:textId="77777777">
        <w:tc>
          <w:tcPr>
            <w:tcW w:w="9628" w:type="dxa"/>
          </w:tcPr>
          <w:p w14:paraId="7DC83C6C" w14:textId="77777777">
            <w:pPr>
              <w:pStyle w:val="Image"/>
            </w:pPr>
            <w:r>
              <w:drawing>
                <wp:inline distT="0" distB="0" distL="0" distR="0" wp14:anchorId="39E36074" wp14:editId="62F827AB">
                  <wp:extent cx="5398770" cy="194564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8770" cy="1945640"/>
                          </a:xfrm>
                          <a:prstGeom prst="rect">
                            <a:avLst/>
                          </a:prstGeom>
                          <a:noFill/>
                          <a:ln>
                            <a:noFill/>
                          </a:ln>
                        </pic:spPr>
                      </pic:pic>
                    </a:graphicData>
                  </a:graphic>
                </wp:inline>
              </w:drawing>
            </w:r>
          </w:p>
        </w:tc>
      </w:tr>
    </w:tbl>
    <w:p w14:paraId="2282BCE4" w14:textId="77777777"/>
    <w:p w14:paraId="0C953253" w14:textId="77777777">
      <w:pPr>
        <w:pStyle w:val="Cmsor3"/>
      </w:pPr>
      <w:bookmarkStart w:id="264" w:name="_xui16zrp0wzt" w:colFirst="0" w:colLast="0"/>
      <w:bookmarkStart w:id="265" w:name="_Ref43980100"/>
      <w:bookmarkStart w:id="266" w:name="_Toc242889475"/>
      <w:bookmarkEnd w:id="264"/>
      <w:r>
        <w:t>Marking up line beginnings</w:t>
      </w:r>
      <w:bookmarkEnd w:id="265"/>
      <w:bookmarkEnd w:id="266"/>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14:paraId="04CE9C6C"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52B8562B" w14:textId="650E9FC7">
            <w:pPr>
              <w:pStyle w:val="Kpalrs"/>
              <w:keepLines/>
            </w:pPr>
            <w:bookmarkStart w:id="267" w:name="_Ref225428834"/>
            <w:r>
              <w:t xml:space="preserve">Exhibit </w:t>
            </w:r>
            <w:fldSimple w:instr=" STYLEREF 2 \s ">
              <w:r>
                <w:rPr>
                  <w:noProof/>
                </w:rPr>
                <w:t>4.5</w:t>
              </w:r>
            </w:fldSimple>
            <w:r>
              <w:t>.</w:t>
            </w:r>
            <w:fldSimple w:instr=" SEQ Exhibit \* ALPHABETIC \s 2 ">
              <w:r>
                <w:rPr>
                  <w:noProof/>
                </w:rPr>
                <w:t>C</w:t>
              </w:r>
            </w:fldSimple>
            <w:bookmarkEnd w:id="267"/>
            <w:r>
              <w:t>: generic encoding for line beginnings</w:t>
            </w:r>
          </w:p>
        </w:tc>
      </w:tr>
      <w:tr w14:paraId="701B3EDC" w14:textId="77777777">
        <w:trPr>
          <w:jc w:val="right"/>
        </w:trPr>
        <w:tc>
          <w:tcPr>
            <w:tcW w:w="5000" w:type="pct"/>
          </w:tcPr>
          <w:p w14:paraId="055384D3" w14:textId="77777777">
            <w:pPr>
              <w:pStyle w:val="Image"/>
            </w:pPr>
            <w:r>
              <w:drawing>
                <wp:inline distT="0" distB="0" distL="0" distR="0" wp14:anchorId="6516A9AE" wp14:editId="31785AE5">
                  <wp:extent cx="2700000" cy="741600"/>
                  <wp:effectExtent l="0" t="0" r="5715" b="1905"/>
                  <wp:docPr id="20"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8.png"/>
                          <pic:cNvPicPr/>
                        </pic:nvPicPr>
                        <pic:blipFill>
                          <a:blip r:embed="rId18"/>
                          <a:stretch>
                            <a:fillRect/>
                          </a:stretch>
                        </pic:blipFill>
                        <pic:spPr>
                          <a:xfrm>
                            <a:off x="0" y="0"/>
                            <a:ext cx="2700000" cy="741600"/>
                          </a:xfrm>
                          <a:prstGeom prst="rect">
                            <a:avLst/>
                          </a:prstGeom>
                          <a:ln/>
                        </pic:spPr>
                      </pic:pic>
                    </a:graphicData>
                  </a:graphic>
                </wp:inline>
              </w:drawing>
            </w:r>
          </w:p>
        </w:tc>
      </w:tr>
      <w:tr w14:paraId="1610243E" w14:textId="77777777">
        <w:trPr>
          <w:jc w:val="right"/>
        </w:trPr>
        <w:tc>
          <w:tcPr>
            <w:tcW w:w="5000" w:type="pct"/>
          </w:tcPr>
          <w:p w14:paraId="60475E34" w14:textId="77777777">
            <w:pPr>
              <w:pStyle w:val="CodeParagraph"/>
              <w:keepNext/>
              <w:rPr>
                <w:rStyle w:val="Codetext"/>
              </w:rPr>
            </w:pPr>
            <w:r>
              <w:rPr>
                <w:rStyle w:val="Code"/>
              </w:rPr>
              <w:t xml:space="preserve">&lt;p&gt;&lt;lb </w:t>
            </w:r>
            <w:r>
              <w:rPr>
                <w:rStyle w:val="Codeattribute"/>
              </w:rPr>
              <w:t>n</w:t>
            </w:r>
            <w:r>
              <w:rPr>
                <w:rStyle w:val="Code"/>
              </w:rPr>
              <w:t>=</w:t>
            </w:r>
            <w:r>
              <w:rPr>
                <w:rStyle w:val="Codevalue"/>
              </w:rPr>
              <w:t>"1"</w:t>
            </w:r>
            <w:r>
              <w:rPr>
                <w:rStyle w:val="Code"/>
              </w:rPr>
              <w:t>/&gt;</w:t>
            </w:r>
            <w:r>
              <w:rPr>
                <w:rStyle w:val="Codetext"/>
              </w:rPr>
              <w:t>In a hole in the ground...</w:t>
            </w:r>
          </w:p>
          <w:p w14:paraId="2CF5DA77"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w:t>
            </w:r>
          </w:p>
          <w:p w14:paraId="6ECADE72"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"3"</w:t>
            </w:r>
            <w:r>
              <w:rPr>
                <w:rStyle w:val="Code"/>
              </w:rPr>
              <w:t>/&gt;</w:t>
            </w:r>
            <w:r>
              <w:rPr>
                <w:rStyle w:val="Codetext"/>
              </w:rPr>
              <w:t>and an oozy smell...</w:t>
            </w:r>
          </w:p>
          <w:p w14:paraId="77C4A5BC"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"4"</w:t>
            </w:r>
            <w:r>
              <w:rPr>
                <w:rStyle w:val="Code"/>
              </w:rPr>
              <w:t>/&gt;with nothing in it</w:t>
            </w:r>
            <w:r>
              <w:rPr>
                <w:rStyle w:val="Codetext"/>
              </w:rPr>
              <w:t>...</w:t>
            </w:r>
          </w:p>
          <w:p w14:paraId="4E1713E8" w14:textId="77777777">
            <w:pPr>
              <w:pStyle w:val="CodeParagraph"/>
              <w:keepNext/>
              <w:rPr>
                <w:rStyle w:val="Code"/>
              </w:rPr>
            </w:pPr>
            <w:r>
              <w:rPr>
                <w:rStyle w:val="Code"/>
              </w:rPr>
              <w:t xml:space="preserve">  &lt;lb </w:t>
            </w:r>
            <w:r>
              <w:rPr>
                <w:rStyle w:val="Codeattribute"/>
              </w:rPr>
              <w:t>n</w:t>
            </w:r>
            <w:r>
              <w:rPr>
                <w:rStyle w:val="Code"/>
              </w:rPr>
              <w:t>=</w:t>
            </w:r>
            <w:r>
              <w:rPr>
                <w:rStyle w:val="Codevalue"/>
              </w:rPr>
              <w:t>"5"</w:t>
            </w:r>
            <w:r>
              <w:rPr>
                <w:rStyle w:val="Code"/>
              </w:rPr>
              <w:t>/&gt;hobbit-hole, and</w:t>
            </w:r>
            <w:r>
              <w:rPr>
                <w:rStyle w:val="Codetext"/>
              </w:rPr>
              <w:t>...</w:t>
            </w:r>
          </w:p>
          <w:p w14:paraId="666399CC" w14:textId="77777777">
            <w:pPr>
              <w:pStyle w:val="CodeParagraph"/>
              <w:keepNext/>
              <w:rPr>
                <w:rFonts w:ascii="Consolas" w:hAnsi="Consolas" w:cs="Consolas"/>
                <w:noProof/>
                <w:color w:val="002060"/>
                <w:shd w:val="clear" w:color="auto" w:fill="F2F2F2" w:themeFill="background1" w:themeFillShade="F2"/>
              </w:rPr>
            </w:pPr>
            <w:r>
              <w:rPr>
                <w:rStyle w:val="Code"/>
              </w:rPr>
              <w:t>&lt;/p&gt;</w:t>
            </w:r>
          </w:p>
        </w:tc>
      </w:tr>
    </w:tbl>
    <w:p w14:paraId="044B1F0A" w14:textId="6AFCA65F">
      <w:pPr>
        <w:pStyle w:val="Lista"/>
      </w:pPr>
      <w:r>
        <w:t xml:space="preserve">marking up line beginnings is mandatory for all lines of all our editions, using the empty element </w:t>
      </w:r>
      <w:r>
        <w:rPr>
          <w:rStyle w:val="Code"/>
        </w:rPr>
        <w:t>&lt;lb/&gt;</w:t>
      </w:r>
      <w:r>
        <w:t xml:space="preserve"> as in </w:t>
      </w:r>
      <w:r>
        <w:fldChar w:fldCharType="begin"/>
      </w:r>
      <w:r>
        <w:instrText xml:space="preserve"> REF _Ref225428834 \h </w:instrText>
      </w:r>
      <w:r>
        <w:fldChar w:fldCharType="separate"/>
      </w:r>
      <w:r>
        <w:t xml:space="preserve">Exhibit </w:t>
      </w:r>
      <w:r>
        <w:rPr>
          <w:noProof/>
        </w:rPr>
        <w:t>4.5</w:t>
      </w:r>
      <w:r>
        <w:t>.</w:t>
      </w:r>
      <w:r>
        <w:rPr>
          <w:noProof/>
        </w:rPr>
        <w:t>C</w:t>
      </w:r>
      <w:r>
        <w:fldChar w:fldCharType="end"/>
      </w:r>
      <w:r>
        <w:t>, with the following attributes</w:t>
      </w:r>
    </w:p>
    <w:p w14:paraId="50F2852B" w14:textId="5D6EBC6B">
      <w:pPr>
        <w:pStyle w:val="Lista2"/>
      </w:pPr>
      <w:r>
        <w:t xml:space="preserve">mandatorily, </w:t>
      </w:r>
      <w:r>
        <w:rPr>
          <w:rStyle w:val="Codeattribute"/>
        </w:rPr>
        <w:t>@n</w:t>
      </w:r>
      <w:r>
        <w:t xml:space="preserve"> as per §</w:t>
      </w:r>
      <w:r>
        <w:fldChar w:fldCharType="begin"/>
      </w:r>
      <w:r>
        <w:instrText xml:space="preserve"> REF _Ref225761017 \r \h </w:instrText>
      </w:r>
      <w:r>
        <w:fldChar w:fldCharType="separate"/>
      </w:r>
      <w:r>
        <w:t>4.5.2</w:t>
      </w:r>
      <w:r>
        <w:fldChar w:fldCharType="end"/>
      </w:r>
      <w:r>
        <w:t xml:space="preserve"> </w:t>
      </w:r>
    </w:p>
    <w:p w14:paraId="02EBA7DA" w14:textId="2253E6BC">
      <w:pPr>
        <w:pStyle w:val="Lista2"/>
      </w:pPr>
      <w:r>
        <w:t xml:space="preserve">as applicable, </w:t>
      </w:r>
      <w:r>
        <w:rPr>
          <w:rStyle w:val="Codeattribute"/>
        </w:rPr>
        <w:t>@break</w:t>
      </w:r>
      <w:r>
        <w:t xml:space="preserve"> for line beginnings interrupting words as per §</w:t>
      </w:r>
      <w:r>
        <w:fldChar w:fldCharType="begin"/>
      </w:r>
      <w:r>
        <w:instrText xml:space="preserve"> REF _Ref225519777 \r \h </w:instrText>
      </w:r>
      <w:r>
        <w:fldChar w:fldCharType="separate"/>
      </w:r>
      <w:r>
        <w:t>4.3.2.1</w:t>
      </w:r>
      <w:r>
        <w:fldChar w:fldCharType="end"/>
      </w:r>
    </w:p>
    <w:p w14:paraId="259318E2" w14:textId="0BEFF265">
      <w:pPr>
        <w:pStyle w:val="Lista2"/>
      </w:pPr>
      <w:r>
        <w:t>when applicable, additional attributes representing the visual features of a line (§</w:t>
      </w:r>
      <w:r>
        <w:fldChar w:fldCharType="begin"/>
      </w:r>
      <w:r>
        <w:instrText xml:space="preserve"> REF _Ref225428243 \r \h </w:instrText>
      </w:r>
      <w:r>
        <w:fldChar w:fldCharType="separate"/>
      </w:r>
      <w:r>
        <w:t>8.2.2</w:t>
      </w:r>
      <w:r>
        <w:fldChar w:fldCharType="end"/>
      </w:r>
      <w:r>
        <w:t>)</w:t>
      </w:r>
    </w:p>
    <w:p w14:paraId="172E62E9" w14:textId="622DC9F1">
      <w:pPr>
        <w:pStyle w:val="Lista"/>
      </w:pPr>
      <w:r>
        <w:rPr>
          <w:rStyle w:val="Code"/>
        </w:rPr>
        <w:lastRenderedPageBreak/>
        <w:t>&lt;lb/&gt;</w:t>
      </w:r>
      <w:r>
        <w:t xml:space="preserve"> marks line beginnings (rather than transitions) and must thus be present at the start of each line including the first</w:t>
      </w:r>
    </w:p>
    <w:p w14:paraId="69952FBA" w14:textId="77777777">
      <w:pPr>
        <w:pStyle w:val="Lista"/>
      </w:pPr>
      <w:r>
        <w:t xml:space="preserve">since the use of this element is mandatory, it must be present even in inscriptions </w:t>
      </w:r>
      <w:r>
        <w:rPr>
          <w:noProof/>
        </w:rPr>
        <w:t>(</w:t>
      </w:r>
      <w:r>
        <w:t>or textparts) consisting of a single line</w:t>
      </w:r>
    </w:p>
    <w:p w14:paraId="1B54DD6C" w14:textId="77777777">
      <w:pPr>
        <w:pStyle w:val="Cmsor3"/>
      </w:pPr>
      <w:bookmarkStart w:id="268" w:name="_Ref225761016"/>
      <w:bookmarkStart w:id="269" w:name="_Ref225761017"/>
      <w:bookmarkStart w:id="270" w:name="_Toc242889476"/>
      <w:r>
        <w:t>Numbering lines</w:t>
      </w:r>
      <w:bookmarkEnd w:id="268"/>
      <w:bookmarkEnd w:id="269"/>
      <w:bookmarkEnd w:id="270"/>
    </w:p>
    <w:p w14:paraId="21BF2C76" w14:textId="77777777">
      <w:pPr>
        <w:pStyle w:val="Lista"/>
      </w:pPr>
      <w:r>
        <w:t xml:space="preserve">every physical line of text in your edition must have a number encoded in the </w:t>
      </w:r>
      <w:r>
        <w:rPr>
          <w:rStyle w:val="Codeattribute"/>
        </w:rPr>
        <w:t>@n</w:t>
      </w:r>
      <w:r>
        <w:t xml:space="preserve"> attribute of the corresponding </w:t>
      </w:r>
      <w:r>
        <w:rPr>
          <w:rStyle w:val="Code"/>
        </w:rPr>
        <w:t>&lt;lb/&gt;</w:t>
      </w:r>
      <w:r>
        <w:t xml:space="preserve"> element</w:t>
      </w:r>
    </w:p>
    <w:p w14:paraId="3E19757F" w14:textId="77777777">
      <w:pPr>
        <w:pStyle w:val="Lista2"/>
      </w:pPr>
      <w:r>
        <w:t xml:space="preserve">line numbering is mandatory even if an inscription </w:t>
      </w:r>
      <w:r>
        <w:rPr>
          <w:noProof/>
        </w:rPr>
        <w:t>(</w:t>
      </w:r>
      <w:r>
        <w:t>or textpart) contains only one line</w:t>
      </w:r>
    </w:p>
    <w:p w14:paraId="71BD5FAD" w14:textId="77777777">
      <w:pPr>
        <w:pStyle w:val="Lista"/>
      </w:pPr>
      <w:r>
        <w:t>in order to eliminate ambiguity in referencing, every line number in an XML edition must be unique</w:t>
      </w:r>
    </w:p>
    <w:p w14:paraId="090C6830" w14:textId="287EC93E">
      <w:pPr>
        <w:pStyle w:val="Lista2"/>
      </w:pPr>
      <w:r>
        <w:t xml:space="preserve">except that if your document has textpart divisions, then the requirement of uniqueness only applies within such a division </w:t>
      </w:r>
      <w:r>
        <w:rPr>
          <w:noProof/>
        </w:rPr>
        <w:t>(</w:t>
      </w:r>
      <w:r>
        <w:t>§</w:t>
      </w:r>
      <w:r>
        <w:fldChar w:fldCharType="begin"/>
      </w:r>
      <w:r>
        <w:instrText xml:space="preserve"> REF _Ref225324541 \r \h </w:instrText>
      </w:r>
      <w:r>
        <w:fldChar w:fldCharType="separate"/>
      </w:r>
      <w:r>
        <w:t>4.2.1.4</w:t>
      </w:r>
      <w:r>
        <w:fldChar w:fldCharType="end"/>
      </w:r>
      <w:r>
        <w:t>)</w:t>
      </w:r>
    </w:p>
    <w:p w14:paraId="3C05A220" w14:textId="3A516B1E">
      <w:pPr>
        <w:pStyle w:val="Lista"/>
      </w:pPr>
      <w:r>
        <w:t>line numbering in DHARMA editions normally follows a consecutive scheme (§</w:t>
      </w:r>
      <w:r>
        <w:fldChar w:fldCharType="begin"/>
      </w:r>
      <w:r>
        <w:instrText xml:space="preserve"> REF _Ref225429069 \r \h </w:instrText>
      </w:r>
      <w:r>
        <w:fldChar w:fldCharType="separate"/>
      </w:r>
      <w:r>
        <w:t>4.5.2.1</w:t>
      </w:r>
      <w:r>
        <w:fldChar w:fldCharType="end"/>
      </w:r>
      <w:r>
        <w:t>) but can alternatively follow a repetitive scheme (§</w:t>
      </w:r>
      <w:r>
        <w:fldChar w:fldCharType="begin"/>
      </w:r>
      <w:r>
        <w:instrText xml:space="preserve"> REF _Ref182228380 \r \h </w:instrText>
      </w:r>
      <w:r>
        <w:fldChar w:fldCharType="separate"/>
      </w:r>
      <w:r>
        <w:t>4.5.2.2</w:t>
      </w:r>
      <w:r>
        <w:fldChar w:fldCharType="end"/>
      </w:r>
      <w:r>
        <w:t>)</w:t>
      </w:r>
    </w:p>
    <w:p w14:paraId="3F29714E" w14:textId="77777777">
      <w:pPr>
        <w:pStyle w:val="Lista2"/>
      </w:pPr>
      <w:r>
        <w:t>the repetitive scheme is preferred for certain subcorpora in order to accommodate the line numbering conventions of the subfield</w:t>
      </w:r>
    </w:p>
    <w:p w14:paraId="33EC8259" w14:textId="77777777">
      <w:pPr>
        <w:pStyle w:val="Lista2"/>
      </w:pPr>
      <w:r>
        <w:t>the choice between the consecutive or repetitive system shall be determined on the level of subcorpora, but may be overridden on a case-by-case basis</w:t>
      </w:r>
    </w:p>
    <w:p w14:paraId="13514EFA" w14:textId="3E162379">
      <w:pPr>
        <w:pStyle w:val="Lista2"/>
      </w:pPr>
      <w:r>
        <w:t xml:space="preserve">in rare cases </w:t>
      </w:r>
      <w:r>
        <w:rPr>
          <w:noProof/>
        </w:rPr>
        <w:t>(</w:t>
      </w:r>
      <w:r>
        <w:t>namely, copperplate grants with a lost medial plate encoded without the use of textparts as per §</w:t>
      </w:r>
      <w:r>
        <w:fldChar w:fldCharType="begin"/>
      </w:r>
      <w:r>
        <w:instrText xml:space="preserve"> REF _Ref149918878 \r \h </w:instrText>
      </w:r>
      <w:r>
        <w:fldChar w:fldCharType="separate"/>
      </w:r>
      <w:r>
        <w:t>6.5.5.3</w:t>
      </w:r>
      <w:r>
        <w:fldChar w:fldCharType="end"/>
      </w:r>
      <w:r>
        <w:t>), you will have to resort to complex line numbering even if related editions normally use the consecutive system</w:t>
      </w:r>
    </w:p>
    <w:p w14:paraId="314F7A9A" w14:textId="77777777">
      <w:pPr>
        <w:pStyle w:val="Cmsor4"/>
      </w:pPr>
      <w:bookmarkStart w:id="271" w:name="_Ref225429069"/>
      <w:r>
        <w:t>Consecutive line numbering</w:t>
      </w:r>
      <w:bookmarkEnd w:id="271"/>
    </w:p>
    <w:p w14:paraId="511F3F1C" w14:textId="77777777">
      <w:r>
        <w:t>By default, our editions use consecutive line numbering with simple numbers.</w:t>
      </w:r>
    </w:p>
    <w:p w14:paraId="36C4F4DB" w14:textId="77777777">
      <w:pPr>
        <w:pStyle w:val="Lista"/>
      </w:pPr>
      <w:r>
        <w:t xml:space="preserve">the value of the </w:t>
      </w:r>
      <w:r>
        <w:rPr>
          <w:rStyle w:val="Codeattribute"/>
        </w:rPr>
        <w:t>@n</w:t>
      </w:r>
      <w:r>
        <w:t xml:space="preserve"> attribute shall be an Arabic numeral starting with 1 for the first line and increasing with a step of 1 for each subsequent line</w:t>
      </w:r>
    </w:p>
    <w:p w14:paraId="3CF24DAD" w14:textId="3F99F3CE">
      <w:pPr>
        <w:pStyle w:val="Lista"/>
      </w:pPr>
      <w:r>
        <w:t xml:space="preserve">line numbers for visually separate incipits may deviate from this numeration scheme </w:t>
      </w:r>
      <w:r>
        <w:rPr>
          <w:noProof/>
        </w:rPr>
        <w:t xml:space="preserve">as per </w:t>
      </w:r>
      <w:r>
        <w:t>§</w:t>
      </w:r>
      <w:r>
        <w:fldChar w:fldCharType="begin"/>
      </w:r>
      <w:r>
        <w:instrText xml:space="preserve"> REF _Ref43978135 \w \h  \* MERGEFORMAT </w:instrText>
      </w:r>
      <w:r>
        <w:fldChar w:fldCharType="separate"/>
      </w:r>
      <w:r>
        <w:t>4.7.1.1</w:t>
      </w:r>
      <w:r>
        <w:fldChar w:fldCharType="end"/>
      </w:r>
    </w:p>
    <w:p w14:paraId="369AB0B4" w14:textId="5A26FDF8">
      <w:pPr>
        <w:pStyle w:val="Lista"/>
      </w:pPr>
      <w:r>
        <w:t>line numeration must be restarted in each textpart (this is not a technical requirement but an arbitrary rule for consistency across the corpus</w:t>
      </w:r>
      <w:r>
        <w:rPr>
          <w:noProof/>
        </w:rPr>
        <w:t xml:space="preserve">, </w:t>
      </w:r>
      <w:r>
        <w:t>§</w:t>
      </w:r>
      <w:r>
        <w:fldChar w:fldCharType="begin"/>
      </w:r>
      <w:r>
        <w:instrText xml:space="preserve"> REF _Ref225324541 \r \h </w:instrText>
      </w:r>
      <w:r>
        <w:fldChar w:fldCharType="separate"/>
      </w:r>
      <w:r>
        <w:t>4.2.1.4</w:t>
      </w:r>
      <w:r>
        <w:fldChar w:fldCharType="end"/>
      </w:r>
      <w:r>
        <w:t>)</w:t>
      </w:r>
    </w:p>
    <w:p w14:paraId="6779AE79" w14:textId="40C5755F">
      <w:pPr>
        <w:pStyle w:val="Lista"/>
      </w:pPr>
      <w:r>
        <w:t xml:space="preserve">line numeration must not be restarted with pagelike partitions, so lines of copperplate inscriptions must be numbered consecutively through the pages (see the Case Study in </w:t>
      </w:r>
      <w:r>
        <w:fldChar w:fldCharType="begin"/>
      </w:r>
      <w:r>
        <w:instrText xml:space="preserve"> REF _Ref239844181 \r \h </w:instrText>
      </w:r>
      <w:r>
        <w:fldChar w:fldCharType="separate"/>
      </w:r>
      <w:r>
        <w:t>Appendix A.2</w:t>
      </w:r>
      <w:r>
        <w:fldChar w:fldCharType="end"/>
      </w:r>
      <w:r>
        <w:t xml:space="preserve"> for an illustration)</w:t>
      </w:r>
    </w:p>
    <w:p w14:paraId="422743EE" w14:textId="77777777">
      <w:pPr>
        <w:pStyle w:val="Cmsor4"/>
      </w:pPr>
      <w:bookmarkStart w:id="272" w:name="_Ref182228380"/>
      <w:r>
        <w:t>Repetitive line numbering with complex numbers</w:t>
      </w:r>
      <w:bookmarkEnd w:id="272"/>
    </w:p>
    <w:p w14:paraId="7765D17B" w14:textId="65A234BF">
      <w:r>
        <w:t xml:space="preserve">When pagelike partitions </w:t>
      </w:r>
      <w:r>
        <w:rPr>
          <w:noProof/>
        </w:rPr>
        <w:t>(</w:t>
      </w:r>
      <w:r>
        <w:t>§</w:t>
      </w:r>
      <w:r>
        <w:fldChar w:fldCharType="begin"/>
      </w:r>
      <w:r>
        <w:instrText xml:space="preserve"> REF _Ref233982406 \r \h </w:instrText>
      </w:r>
      <w:r>
        <w:fldChar w:fldCharType="separate"/>
      </w:r>
      <w:r>
        <w:t>4.4</w:t>
      </w:r>
      <w:r>
        <w:fldChar w:fldCharType="end"/>
      </w:r>
      <w:r>
        <w:t>) are present in an inscription, repetitive numeration may be used as an alternative.  In the repetitive scheme of line numbering, the numbers are reset for each successive pagelike partition.</w:t>
      </w:r>
    </w:p>
    <w:p w14:paraId="18225B97" w14:textId="77777777">
      <w:pPr>
        <w:pStyle w:val="Lista"/>
      </w:pPr>
      <w:r>
        <w:t>to ensure the uniqueness of line numbers throughout the edition, complex line numbers must be used in this system</w:t>
      </w:r>
    </w:p>
    <w:p w14:paraId="792065BA" w14:textId="7C6AAE41">
      <w:pPr>
        <w:pStyle w:val="Lista2"/>
      </w:pPr>
      <w:r>
        <w:t>complex numbers consist of a simple line number as per §</w:t>
      </w:r>
      <w:r>
        <w:fldChar w:fldCharType="begin"/>
      </w:r>
      <w:r>
        <w:instrText xml:space="preserve"> REF _Ref225429069 \r \h </w:instrText>
      </w:r>
      <w:r>
        <w:fldChar w:fldCharType="separate"/>
      </w:r>
      <w:r>
        <w:t>4.5.2.1</w:t>
      </w:r>
      <w:r>
        <w:fldChar w:fldCharType="end"/>
      </w:r>
      <w:r>
        <w:t xml:space="preserve">, preceded by a prefix that is the identifier of the current partition, i.e. the value of the </w:t>
      </w:r>
      <w:r>
        <w:rPr>
          <w:rStyle w:val="Codeattribute"/>
        </w:rPr>
        <w:t>@n</w:t>
      </w:r>
      <w:r>
        <w:t xml:space="preserve"> attribute of the “parent” </w:t>
      </w:r>
      <w:r>
        <w:rPr>
          <w:rStyle w:val="Code"/>
        </w:rPr>
        <w:t>&lt;pb/&gt;</w:t>
      </w:r>
      <w:r>
        <w:t xml:space="preserve"> or </w:t>
      </w:r>
      <w:r>
        <w:rPr>
          <w:rStyle w:val="Code"/>
        </w:rPr>
        <w:t>&lt;milestone/&gt;</w:t>
      </w:r>
      <w:r>
        <w:t xml:space="preserve"> element; for example,</w:t>
      </w:r>
    </w:p>
    <w:p w14:paraId="6AEB8169" w14:textId="3BA4DC42">
      <w:pPr>
        <w:pStyle w:val="Lista3"/>
      </w:pPr>
      <w:r>
        <w:t xml:space="preserve">for a stele inscribed on faces A and B, the lines must be numbered </w:t>
      </w:r>
      <w:r>
        <w:rPr>
          <w:rStyle w:val="Codevalue"/>
        </w:rPr>
        <w:t>"A1"</w:t>
      </w:r>
      <w:r>
        <w:t xml:space="preserve">, </w:t>
      </w:r>
      <w:r>
        <w:rPr>
          <w:rStyle w:val="Codevalue"/>
        </w:rPr>
        <w:t>"A2"</w:t>
      </w:r>
      <w:r>
        <w:t xml:space="preserve">, etc., and </w:t>
      </w:r>
      <w:r>
        <w:rPr>
          <w:rStyle w:val="Codevalue"/>
        </w:rPr>
        <w:t>"B1"</w:t>
      </w:r>
      <w:r>
        <w:t xml:space="preserve">, </w:t>
      </w:r>
      <w:r>
        <w:rPr>
          <w:rStyle w:val="Codevalue"/>
        </w:rPr>
        <w:t>"B2"</w:t>
      </w:r>
      <w:r>
        <w:t xml:space="preserve">, etc. on these faces (see </w:t>
      </w:r>
      <w:r>
        <w:fldChar w:fldCharType="begin"/>
      </w:r>
      <w:r>
        <w:instrText xml:space="preserve"> REF _Ref239844198 \r \h </w:instrText>
      </w:r>
      <w:r>
        <w:fldChar w:fldCharType="separate"/>
      </w:r>
      <w:r>
        <w:t>Appendix A.5</w:t>
      </w:r>
      <w:r>
        <w:fldChar w:fldCharType="end"/>
      </w:r>
      <w:r>
        <w:t xml:space="preserve"> and </w:t>
      </w:r>
      <w:r>
        <w:fldChar w:fldCharType="begin"/>
      </w:r>
      <w:r>
        <w:instrText xml:space="preserve"> REF _Ref239844200 \r \h </w:instrText>
      </w:r>
      <w:r>
        <w:fldChar w:fldCharType="separate"/>
      </w:r>
      <w:r>
        <w:t>Appendix A.6</w:t>
      </w:r>
      <w:r>
        <w:fldChar w:fldCharType="end"/>
      </w:r>
      <w:r>
        <w:t xml:space="preserve"> for illustrations)</w:t>
      </w:r>
    </w:p>
    <w:p w14:paraId="67D08843" w14:textId="03399301">
      <w:pPr>
        <w:pStyle w:val="Lista3"/>
      </w:pPr>
      <w:r>
        <w:t xml:space="preserve">for a set of copper plates with pages 1v and 2r, lines must be numbered </w:t>
      </w:r>
      <w:r>
        <w:rPr>
          <w:rStyle w:val="Codevalue"/>
        </w:rPr>
        <w:t>"1v1"</w:t>
      </w:r>
      <w:r>
        <w:t xml:space="preserve">, </w:t>
      </w:r>
      <w:r>
        <w:rPr>
          <w:rStyle w:val="Codevalue"/>
        </w:rPr>
        <w:t>"1v2"</w:t>
      </w:r>
      <w:r>
        <w:t xml:space="preserve">, etc., and </w:t>
      </w:r>
      <w:r>
        <w:rPr>
          <w:rStyle w:val="Codevalue"/>
        </w:rPr>
        <w:t>"2r1"</w:t>
      </w:r>
      <w:r>
        <w:t xml:space="preserve">, </w:t>
      </w:r>
      <w:r>
        <w:rPr>
          <w:rStyle w:val="Codevalue"/>
        </w:rPr>
        <w:t>"2r2"</w:t>
      </w:r>
      <w:r>
        <w:t xml:space="preserve">, etc. on these pages (see </w:t>
      </w:r>
      <w:r>
        <w:fldChar w:fldCharType="begin"/>
      </w:r>
      <w:r>
        <w:instrText xml:space="preserve"> REF _Ref239844217 \r \h </w:instrText>
      </w:r>
      <w:r>
        <w:fldChar w:fldCharType="separate"/>
      </w:r>
      <w:r>
        <w:t>Appendix A.3</w:t>
      </w:r>
      <w:r>
        <w:fldChar w:fldCharType="end"/>
      </w:r>
      <w:r>
        <w:t xml:space="preserve"> for an illustration)</w:t>
      </w:r>
    </w:p>
    <w:p w14:paraId="46085A91" w14:textId="77777777">
      <w:pPr>
        <w:pStyle w:val="Lista2"/>
      </w:pPr>
      <w:r>
        <w:t>should the number of your partitions be a numeral or end with a numeral</w:t>
      </w:r>
      <w:r>
        <w:rPr>
          <w:rStyle w:val="Lbjegyzet-hivatkozs"/>
        </w:rPr>
        <w:footnoteReference w:id="18"/>
      </w:r>
      <w:r>
        <w:t xml:space="preserve"> </w:t>
      </w:r>
      <w:r>
        <w:rPr>
          <w:noProof/>
        </w:rPr>
        <w:t>(</w:t>
      </w:r>
      <w:r>
        <w:t xml:space="preserve">including Roman numerals), add a . </w:t>
      </w:r>
      <w:r>
        <w:rPr>
          <w:noProof/>
        </w:rPr>
        <w:t>(</w:t>
      </w:r>
      <w:r>
        <w:t>period, full stop) as a separator between the partition number and the simple line number</w:t>
      </w:r>
    </w:p>
    <w:p w14:paraId="4987398D" w14:textId="77777777">
      <w:pPr>
        <w:pStyle w:val="Lista3"/>
      </w:pPr>
      <w:r>
        <w:lastRenderedPageBreak/>
        <w:t xml:space="preserve">e.g. if your partitions are numbered A1, b1, etc., then your line numbers should be </w:t>
      </w:r>
      <w:r>
        <w:rPr>
          <w:rStyle w:val="Codevalue"/>
        </w:rPr>
        <w:t>"A1.1"</w:t>
      </w:r>
      <w:r>
        <w:t xml:space="preserve">, </w:t>
      </w:r>
      <w:r>
        <w:rPr>
          <w:rStyle w:val="Codevalue"/>
        </w:rPr>
        <w:t>"A1.2"</w:t>
      </w:r>
      <w:r>
        <w:t xml:space="preserve">, etc., and </w:t>
      </w:r>
      <w:r>
        <w:rPr>
          <w:rStyle w:val="Codevalue"/>
        </w:rPr>
        <w:t>"b1.1"</w:t>
      </w:r>
      <w:r>
        <w:t xml:space="preserve">, </w:t>
      </w:r>
      <w:r>
        <w:rPr>
          <w:rStyle w:val="Codevalue"/>
        </w:rPr>
        <w:t>"b1.2"</w:t>
      </w:r>
      <w:r>
        <w:t>, etc.</w:t>
      </w:r>
    </w:p>
    <w:p w14:paraId="63B7BDFF" w14:textId="77777777">
      <w:pPr>
        <w:pStyle w:val="Lista"/>
      </w:pPr>
      <w:r>
        <w:t>if your subcorpus follows the repetitive scheme, then it is recommended that for consistency’s sake you use complex line numbers even on copper plates with just a single inscribed page</w:t>
      </w:r>
    </w:p>
    <w:p w14:paraId="1B00CF6F" w14:textId="77777777">
      <w:pPr>
        <w:pStyle w:val="Lista"/>
      </w:pPr>
      <w:r>
        <w:t>also for consistency’s sake, if your subcorpus follows the repetitive scheme, then complex numbers should be preferred for numbering lines across boxlike partitions, even though the uniqueness of line numbers is only a requirement within each such partition</w:t>
      </w:r>
    </w:p>
    <w:p w14:paraId="0922891A" w14:textId="77777777">
      <w:pPr>
        <w:pStyle w:val="Cmsor2"/>
      </w:pPr>
      <w:bookmarkStart w:id="273" w:name="_r2qg54jy8w2e" w:colFirst="0" w:colLast="0"/>
      <w:bookmarkStart w:id="274" w:name="_7n9w5r6yzssj" w:colFirst="0" w:colLast="0"/>
      <w:bookmarkStart w:id="275" w:name="_a0jia5gsgfab" w:colFirst="0" w:colLast="0"/>
      <w:bookmarkStart w:id="276" w:name="_dzwqp0ufpcn5" w:colFirst="0" w:colLast="0"/>
      <w:bookmarkStart w:id="277" w:name="_k0nurnm93lxl" w:colFirst="0" w:colLast="0"/>
      <w:bookmarkStart w:id="278" w:name="_8rycat4dh5yx" w:colFirst="0" w:colLast="0"/>
      <w:bookmarkStart w:id="279" w:name="_wf6bj4i4k83j" w:colFirst="0" w:colLast="0"/>
      <w:bookmarkStart w:id="280" w:name="_17dlwttgms9w" w:colFirst="0" w:colLast="0"/>
      <w:bookmarkStart w:id="281" w:name="_Ref43984651"/>
      <w:bookmarkStart w:id="282" w:name="_Toc242889477"/>
      <w:bookmarkEnd w:id="273"/>
      <w:bookmarkEnd w:id="274"/>
      <w:bookmarkEnd w:id="275"/>
      <w:bookmarkEnd w:id="276"/>
      <w:bookmarkEnd w:id="277"/>
      <w:bookmarkEnd w:id="278"/>
      <w:bookmarkEnd w:id="279"/>
      <w:bookmarkEnd w:id="280"/>
      <w:r>
        <w:t>Gridlike partitions</w:t>
      </w:r>
      <w:bookmarkEnd w:id="281"/>
      <w:bookmarkEnd w:id="282"/>
    </w:p>
    <w:p w14:paraId="0CF271A1" w14:textId="7ABECE82">
      <w:bookmarkStart w:id="283" w:name="_8u6cxgxomq4n" w:colFirst="0" w:colLast="0"/>
      <w:bookmarkEnd w:id="283"/>
      <w:r>
        <w:t>Recall from §</w:t>
      </w:r>
      <w:r>
        <w:fldChar w:fldCharType="begin"/>
      </w:r>
      <w:r>
        <w:instrText xml:space="preserve"> REF _Ref182923075 \r \h </w:instrText>
      </w:r>
      <w:r>
        <w:fldChar w:fldCharType="separate"/>
      </w:r>
      <w:r>
        <w:t>4.1</w:t>
      </w:r>
      <w:r>
        <w:fldChar w:fldCharType="end"/>
      </w:r>
      <w:r>
        <w:t xml:space="preserve"> that a gridlike partition is what happens when each line of the text, having reached the end </w:t>
      </w:r>
      <w:r>
        <w:rPr>
          <w:noProof/>
        </w:rPr>
        <w:t>(</w:t>
      </w:r>
      <w:r>
        <w:t xml:space="preserve">normally the right edge) of a zone, continues at the beginning </w:t>
      </w:r>
      <w:r>
        <w:rPr>
          <w:noProof/>
        </w:rPr>
        <w:t>(</w:t>
      </w:r>
      <w:r>
        <w:t xml:space="preserve">normally the left edge) of the next zone, and returns to the first zone with the next line, as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/3. A patchwork of adjacent but physically distinct zones thus together comprise a single virtual text field. We call these partitions gridlike because each zone is analogous to a cell in the grid of a table. The extrinsic boundary is usually incidental and irrelevant to the text’s semantic structure, although it may coincide with a semantic break either inadvertently or by design. Since such a partition often occurs inside a unit of intrinsic structure, the encoding equivalent of a gridlike partition is a milestone element (</w:t>
      </w:r>
      <w:r>
        <w:fldChar w:fldCharType="begin"/>
      </w:r>
      <w:r>
        <w:instrText xml:space="preserve"> REF _Ref225327729 \r \h </w:instrText>
      </w:r>
      <w:r>
        <w:fldChar w:fldCharType="separate"/>
      </w:r>
      <w:r>
        <w:t>4.3</w:t>
      </w:r>
      <w:r>
        <w:fldChar w:fldCharType="end"/>
      </w:r>
      <w:r>
        <w:t xml:space="preserve">), namely </w:t>
      </w:r>
      <w:r>
        <w:rPr>
          <w:rStyle w:val="Code"/>
        </w:rPr>
        <w:t>&lt;milestone/&gt;</w:t>
      </w:r>
      <w:r>
        <w:t xml:space="preserve"> without </w:t>
      </w:r>
      <w:r>
        <w:rPr>
          <w:rStyle w:val="Codeattribute"/>
        </w:rPr>
        <w:t>@type</w:t>
      </w:r>
      <w:r>
        <w:t xml:space="preserve"> (§</w:t>
      </w:r>
      <w:r>
        <w:fldChar w:fldCharType="begin"/>
      </w:r>
      <w:r>
        <w:instrText xml:space="preserve"> REF _Ref182310382 \r \h </w:instrText>
      </w:r>
      <w:r>
        <w:fldChar w:fldCharType="separate"/>
      </w:r>
      <w:r>
        <w:t>4.6.1</w:t>
      </w:r>
      <w:r>
        <w:fldChar w:fldCharType="end"/>
      </w:r>
      <w:r>
        <w:t>).</w:t>
      </w:r>
    </w:p>
    <w:p w14:paraId="4BFDF665" w14:textId="39ACC84A">
      <w:pPr>
        <w:pStyle w:val="Normlbehzs"/>
      </w:pPr>
      <w:r>
        <w:t>The encoding of gridlike partitions is optional in DHARMA practice, with §</w:t>
      </w:r>
      <w:r>
        <w:fldChar w:fldCharType="begin"/>
      </w:r>
      <w:r>
        <w:instrText xml:space="preserve"> REF _Ref182322267 \r \h </w:instrText>
      </w:r>
      <w:r>
        <w:fldChar w:fldCharType="separate"/>
      </w:r>
      <w:r>
        <w:t>4.7.5</w:t>
      </w:r>
      <w:r>
        <w:fldChar w:fldCharType="end"/>
      </w:r>
      <w:r>
        <w:t xml:space="preserve"> describing when it is desirable. There is no technical limit to the number of different kinds of gridlike partitions that a document may contain, and it may in certain rare cases be expedient to encode more than one gridlike structure in a text, for example when the text is laid out by design in quasi-columns and a secondary grid has been superimposed on the inscription by fragmentation. It is therefore permitted to use gridlike milestones with two (or even more) different units within a single document (or textpart). It will not, however, be possible to create a machine-actionable reference to a section of text involving a combination of gridlike partitions, and keeping track of the grids will be difficult for the encoder and thus error-prone. Therefore, given that encoding gridlike partitions is optional to begin with, consider carefully whether encoding more than one grid in an edition is worth the complication.</w:t>
      </w:r>
    </w:p>
    <w:p w14:paraId="68E2506A" w14:textId="77777777">
      <w:pPr>
        <w:pStyle w:val="Cmsor3"/>
      </w:pPr>
      <w:bookmarkStart w:id="284" w:name="_mq9ex2gduvu8" w:colFirst="0" w:colLast="0"/>
      <w:bookmarkStart w:id="285" w:name="_rs0n67ntt3ye" w:colFirst="0" w:colLast="0"/>
      <w:bookmarkStart w:id="286" w:name="_Ref181694099"/>
      <w:bookmarkStart w:id="287" w:name="_Ref182310382"/>
      <w:bookmarkStart w:id="288" w:name="_Toc242889478"/>
      <w:bookmarkEnd w:id="284"/>
      <w:bookmarkEnd w:id="285"/>
      <w:r>
        <w:t>Marking up gridlike partitions</w:t>
      </w:r>
      <w:bookmarkEnd w:id="286"/>
      <w:bookmarkEnd w:id="287"/>
      <w:bookmarkEnd w:id="288"/>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14:paraId="58BA326A"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4D33D689" w14:textId="206BE5BF">
            <w:pPr>
              <w:pStyle w:val="Kpalrs"/>
              <w:keepLines/>
            </w:pPr>
            <w:bookmarkStart w:id="289" w:name="_Ref225495852"/>
            <w:r>
              <w:t xml:space="preserve">Exhibit </w:t>
            </w:r>
            <w:fldSimple w:instr=" STYLEREF 2 \s ">
              <w:r>
                <w:rPr>
                  <w:noProof/>
                </w:rPr>
                <w:t>4.6</w:t>
              </w:r>
            </w:fldSimple>
            <w:r>
              <w:t>.</w:t>
            </w:r>
            <w:fldSimple w:instr=" SEQ Exhibit \* ALPHABETIC \s 2 ">
              <w:r>
                <w:rPr>
                  <w:noProof/>
                </w:rPr>
                <w:t>A</w:t>
              </w:r>
            </w:fldSimple>
            <w:bookmarkEnd w:id="289"/>
            <w:r>
              <w:t>: generic encoding for gridlike partitions</w:t>
            </w:r>
          </w:p>
        </w:tc>
      </w:tr>
      <w:tr w14:paraId="29BB5CEB" w14:textId="77777777">
        <w:trPr>
          <w:jc w:val="right"/>
        </w:trPr>
        <w:tc>
          <w:tcPr>
            <w:tcW w:w="5000" w:type="pct"/>
          </w:tcPr>
          <w:p w14:paraId="7A2CF4E1" w14:textId="77777777">
            <w:pPr>
              <w:pStyle w:val="Image"/>
            </w:pPr>
            <w:r>
              <w:drawing>
                <wp:inline distT="0" distB="0" distL="0" distR="0" wp14:anchorId="7143BF22" wp14:editId="4F08612E">
                  <wp:extent cx="2700000" cy="741490"/>
                  <wp:effectExtent l="0" t="0" r="5715" b="1905"/>
                  <wp:docPr id="26380711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07111" name="image27.png"/>
                          <pic:cNvPicPr/>
                        </pic:nvPicPr>
                        <pic:blipFill>
                          <a:blip r:embed="rId20"/>
                          <a:stretch>
                            <a:fillRect/>
                          </a:stretch>
                        </pic:blipFill>
                        <pic:spPr>
                          <a:xfrm>
                            <a:off x="0" y="0"/>
                            <a:ext cx="2700000" cy="741490"/>
                          </a:xfrm>
                          <a:prstGeom prst="rect">
                            <a:avLst/>
                          </a:prstGeom>
                          <a:ln/>
                        </pic:spPr>
                      </pic:pic>
                    </a:graphicData>
                  </a:graphic>
                </wp:inline>
              </w:drawing>
            </w:r>
          </w:p>
        </w:tc>
      </w:tr>
      <w:tr w14:paraId="54330AAD" w14:textId="77777777">
        <w:trPr>
          <w:jc w:val="right"/>
        </w:trPr>
        <w:tc>
          <w:tcPr>
            <w:tcW w:w="5000" w:type="pct"/>
          </w:tcPr>
          <w:p w14:paraId="13E85C8B" w14:textId="77777777">
            <w:pPr>
              <w:pStyle w:val="CodeParagraph"/>
              <w:rPr>
                <w:rFonts w:ascii="Consolas" w:hAnsi="Consolas" w:cs="Consolas"/>
                <w:noProof/>
                <w:color w:val="002060"/>
                <w:shd w:val="clear" w:color="auto" w:fill="F2F2F2" w:themeFill="background1" w:themeFillShade="F2"/>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nasty, dirty, wet hole, fil</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w:t>
            </w:r>
            <w:r>
              <w:rPr>
                <w:rStyle w:val="Codetext"/>
              </w:rPr>
              <w:t>led with the ends of worms</w:t>
            </w:r>
            <w:r>
              <w:rPr>
                <w:rStyle w:val="Codetext"/>
              </w:rPr>
              <w:br/>
              <w:t xml:space="preserve">  ...</w:t>
            </w:r>
            <w:r>
              <w:rPr>
                <w:rStyle w:val="Codetext"/>
              </w:rPr>
              <w:br/>
            </w:r>
            <w:r>
              <w:rPr>
                <w:rStyle w:val="Code"/>
              </w:rPr>
              <w:t>&lt;/p&gt;</w:t>
            </w:r>
          </w:p>
        </w:tc>
      </w:tr>
      <w:tr w14:paraId="7913453F" w14:textId="77777777">
        <w:trPr>
          <w:jc w:val="right"/>
        </w:trPr>
        <w:tc>
          <w:tcPr>
            <w:tcW w:w="5000" w:type="pct"/>
          </w:tcPr>
          <w:p w14:paraId="452D61F1" w14:textId="1B9340EC">
            <w:pPr>
              <w:pStyle w:val="TableNote"/>
              <w:rPr>
                <w:rStyle w:val="Code"/>
              </w:rPr>
            </w:pPr>
            <w:r>
              <w:t xml:space="preserve">complete encoded illustration: </w:t>
            </w:r>
            <w:r>
              <w:fldChar w:fldCharType="begin"/>
            </w:r>
            <w:r>
              <w:instrText xml:space="preserve"> REF _Ref44078533 \h </w:instrText>
            </w:r>
            <w:r>
              <w:fldChar w:fldCharType="separate"/>
            </w:r>
            <w:r>
              <w:t xml:space="preserve">Exhibit </w:t>
            </w:r>
            <w:r>
              <w:rPr>
                <w:noProof/>
              </w:rPr>
              <w:t>4.7</w:t>
            </w:r>
            <w:r>
              <w:t>.</w:t>
            </w:r>
            <w:r>
              <w:rPr>
                <w:noProof/>
              </w:rPr>
              <w:t>O</w:t>
            </w:r>
            <w:r>
              <w:fldChar w:fldCharType="end"/>
            </w:r>
          </w:p>
        </w:tc>
      </w:tr>
    </w:tbl>
    <w:p w14:paraId="735474E6" w14:textId="30AB1334">
      <w:pPr>
        <w:pStyle w:val="Lista"/>
      </w:pPr>
      <w:r>
        <w:t xml:space="preserve">gridlike partitions may be encoded with the element </w:t>
      </w:r>
      <w:r>
        <w:rPr>
          <w:rStyle w:val="Code"/>
        </w:rPr>
        <w:t>&lt;milestone/&gt;</w:t>
      </w:r>
      <w:r>
        <w:t xml:space="preserve">  as in </w:t>
      </w:r>
      <w:r>
        <w:fldChar w:fldCharType="begin"/>
      </w:r>
      <w:r>
        <w:instrText xml:space="preserve"> REF _Ref225495852 \h </w:instrText>
      </w:r>
      <w:r>
        <w:fldChar w:fldCharType="separate"/>
      </w:r>
      <w:r>
        <w:t xml:space="preserve">Exhibit </w:t>
      </w:r>
      <w:r>
        <w:rPr>
          <w:noProof/>
        </w:rPr>
        <w:t>4.6</w:t>
      </w:r>
      <w:r>
        <w:t>.</w:t>
      </w:r>
      <w:r>
        <w:rPr>
          <w:noProof/>
        </w:rPr>
        <w:t>A</w:t>
      </w:r>
      <w:r>
        <w:fldChar w:fldCharType="end"/>
      </w:r>
      <w:r>
        <w:t>, with the following attributes</w:t>
      </w:r>
    </w:p>
    <w:p w14:paraId="0A1594DE" w14:textId="77777777">
      <w:pPr>
        <w:pStyle w:val="Lista2"/>
      </w:pPr>
      <w:r>
        <w:rPr>
          <w:rStyle w:val="Codeattribute"/>
        </w:rPr>
        <w:t>@type=</w:t>
      </w:r>
      <w:r>
        <w:rPr>
          <w:rStyle w:val="Codevalue"/>
        </w:rPr>
        <w:t>"gridlike"</w:t>
      </w:r>
      <w:r>
        <w:t xml:space="preserve"> is understood by default in the DHARMA scheme, so </w:t>
      </w:r>
      <w:r>
        <w:rPr>
          <w:rStyle w:val="Codeattribute"/>
        </w:rPr>
        <w:t>@type</w:t>
      </w:r>
      <w:r>
        <w:t xml:space="preserve"> need not be explicitly present</w:t>
      </w:r>
    </w:p>
    <w:p w14:paraId="78FCBF1E" w14:textId="32C97190">
      <w:pPr>
        <w:pStyle w:val="Lista2"/>
      </w:pPr>
      <w:bookmarkStart w:id="290" w:name="_444cwmslg3uo" w:colFirst="0" w:colLast="0"/>
      <w:bookmarkStart w:id="291" w:name="_Ref63674302"/>
      <w:bookmarkEnd w:id="290"/>
      <w:r>
        <w:t xml:space="preserve">mandatorily, </w:t>
      </w:r>
      <w:r>
        <w:rPr>
          <w:rStyle w:val="Codeattribute"/>
        </w:rPr>
        <w:t>@unit</w:t>
      </w:r>
      <w:r>
        <w:t xml:space="preserve"> to encode the nature of the transition explicitly as per §</w:t>
      </w:r>
      <w:r>
        <w:fldChar w:fldCharType="begin"/>
      </w:r>
      <w:r>
        <w:instrText xml:space="preserve"> REF _Ref182815315 \r \h </w:instrText>
      </w:r>
      <w:r>
        <w:fldChar w:fldCharType="separate"/>
      </w:r>
      <w:r>
        <w:t>4.3.1</w:t>
      </w:r>
      <w:r>
        <w:fldChar w:fldCharType="end"/>
      </w:r>
    </w:p>
    <w:p w14:paraId="133CE420" w14:textId="79574628">
      <w:pPr>
        <w:pStyle w:val="Lista2"/>
      </w:pPr>
      <w:r>
        <w:t xml:space="preserve">mandatorily, </w:t>
      </w:r>
      <w:r>
        <w:rPr>
          <w:rStyle w:val="Codeattribute"/>
        </w:rPr>
        <w:t>@n</w:t>
      </w:r>
      <w:r>
        <w:t xml:space="preserve"> as per §</w:t>
      </w:r>
      <w:r>
        <w:fldChar w:fldCharType="begin"/>
      </w:r>
      <w:r>
        <w:instrText xml:space="preserve"> REF _Ref182580407 \r \h </w:instrText>
      </w:r>
      <w:r>
        <w:fldChar w:fldCharType="separate"/>
      </w:r>
      <w:r>
        <w:t>4.6.1.1</w:t>
      </w:r>
      <w:r>
        <w:fldChar w:fldCharType="end"/>
      </w:r>
    </w:p>
    <w:p w14:paraId="22086DC7" w14:textId="3147B66C">
      <w:pPr>
        <w:pStyle w:val="Lista2"/>
      </w:pPr>
      <w:r>
        <w:t xml:space="preserve">as applicable, </w:t>
      </w:r>
      <w:r>
        <w:rPr>
          <w:rStyle w:val="Codeattribute"/>
        </w:rPr>
        <w:t>@break</w:t>
      </w:r>
      <w:r>
        <w:t xml:space="preserve"> for partitions interrupting words as per §</w:t>
      </w:r>
      <w:r>
        <w:fldChar w:fldCharType="begin"/>
      </w:r>
      <w:r>
        <w:instrText xml:space="preserve"> REF _Ref225519777 \r \h </w:instrText>
      </w:r>
      <w:r>
        <w:fldChar w:fldCharType="separate"/>
      </w:r>
      <w:r>
        <w:t>4.3.2.1</w:t>
      </w:r>
      <w:r>
        <w:fldChar w:fldCharType="end"/>
      </w:r>
    </w:p>
    <w:p w14:paraId="38683014" w14:textId="2FA71880">
      <w:pPr>
        <w:pStyle w:val="Lista"/>
      </w:pPr>
      <w:r>
        <w:rPr>
          <w:rStyle w:val="Code"/>
        </w:rPr>
        <w:t>&lt;milestone/&gt;</w:t>
      </w:r>
      <w:r>
        <w:t xml:space="preserve"> marks zone beginnings (rather than transitions) and thus, when gridlike zones are present in a document, the element must be created at the start of each such zone including the first</w:t>
      </w:r>
    </w:p>
    <w:p w14:paraId="10093F5E" w14:textId="77777777">
      <w:pPr>
        <w:pStyle w:val="Lista"/>
      </w:pPr>
      <w:r>
        <w:t>since gridlike zones cut across lines, the milestones for each zone must be iterated in every line of the text that is affected by the gridlike partition</w:t>
      </w:r>
    </w:p>
    <w:p w14:paraId="4DD0B34B" w14:textId="318C6AD7">
      <w:pPr>
        <w:pStyle w:val="Lista"/>
      </w:pPr>
      <w:r>
        <w:t xml:space="preserve">gridlike features may occasionally split an </w:t>
      </w:r>
      <w:r>
        <w:rPr>
          <w:rStyle w:val="Foreign"/>
        </w:rPr>
        <w:t>akṣara</w:t>
      </w:r>
      <w:r>
        <w:t xml:space="preserve"> into parts that cannot be represented separately in transliteration; see §</w:t>
      </w:r>
      <w:r>
        <w:fldChar w:fldCharType="begin"/>
      </w:r>
      <w:r>
        <w:instrText xml:space="preserve"> REF _Ref182813737 \r \h </w:instrText>
      </w:r>
      <w:r>
        <w:fldChar w:fldCharType="separate"/>
      </w:r>
      <w:r>
        <w:t>4.7.6.1</w:t>
      </w:r>
      <w:r>
        <w:fldChar w:fldCharType="end"/>
      </w:r>
      <w:r>
        <w:t xml:space="preserve"> about encoding such cases</w:t>
      </w:r>
    </w:p>
    <w:p w14:paraId="5A7B1C49" w14:textId="5301D7CD">
      <w:pPr>
        <w:pStyle w:val="Lista"/>
      </w:pPr>
      <w:r>
        <w:t>see §</w:t>
      </w:r>
      <w:r>
        <w:fldChar w:fldCharType="begin"/>
      </w:r>
      <w:r>
        <w:instrText xml:space="preserve"> REF _Ref182322267 \r \h </w:instrText>
      </w:r>
      <w:r>
        <w:fldChar w:fldCharType="separate"/>
      </w:r>
      <w:r>
        <w:t>4.7.5</w:t>
      </w:r>
      <w:r>
        <w:fldChar w:fldCharType="end"/>
      </w:r>
      <w:r>
        <w:t xml:space="preserve"> for further discussion of when gridlike partitions should be used</w:t>
      </w:r>
    </w:p>
    <w:p w14:paraId="3FF906C5" w14:textId="77777777">
      <w:pPr>
        <w:pStyle w:val="Cmsor4"/>
      </w:pPr>
      <w:bookmarkStart w:id="292" w:name="_Ref182321707"/>
      <w:bookmarkStart w:id="293" w:name="_Ref182322544"/>
      <w:bookmarkStart w:id="294" w:name="_Ref182580407"/>
      <w:bookmarkStart w:id="295" w:name="_Ref182580433"/>
      <w:bookmarkEnd w:id="291"/>
      <w:r>
        <w:lastRenderedPageBreak/>
        <w:t>Numbering gridlike milestones</w:t>
      </w:r>
      <w:bookmarkEnd w:id="292"/>
      <w:bookmarkEnd w:id="293"/>
      <w:bookmarkEnd w:id="294"/>
      <w:bookmarkEnd w:id="295"/>
    </w:p>
    <w:p w14:paraId="4F857CC5" w14:textId="62DCA6B3">
      <w:r>
        <w:t xml:space="preserve">Milestones are numbered for reference. When an XML edition is rendered for display, labels for gridlike milestones will be automatically generated from the encoded number. Unlike pagelike milestones, the </w:t>
      </w:r>
      <w:r>
        <w:rPr>
          <w:rStyle w:val="Code"/>
        </w:rPr>
        <w:t>&lt;label&gt;</w:t>
      </w:r>
      <w:r>
        <w:t xml:space="preserve"> element (§</w:t>
      </w:r>
      <w:r>
        <w:fldChar w:fldCharType="begin"/>
      </w:r>
      <w:r>
        <w:instrText xml:space="preserve"> REF _Ref182299869 \r \h </w:instrText>
      </w:r>
      <w:r>
        <w:fldChar w:fldCharType="separate"/>
      </w:r>
      <w:r>
        <w:t>4.4.3.2</w:t>
      </w:r>
      <w:r>
        <w:fldChar w:fldCharType="end"/>
      </w:r>
      <w:r>
        <w:t>) is not permitted in conjunction with these milestones.</w:t>
      </w:r>
    </w:p>
    <w:p w14:paraId="4F107D2A" w14:textId="77777777">
      <w:pPr>
        <w:pStyle w:val="Lista"/>
      </w:pPr>
      <w:r>
        <w:t>gridlike milestones are mandatorily numbered in DHARMA editions</w:t>
      </w:r>
    </w:p>
    <w:p w14:paraId="469E87CE" w14:textId="77777777">
      <w:pPr>
        <w:pStyle w:val="Lista"/>
      </w:pPr>
      <w:r>
        <w:t xml:space="preserve">the values of </w:t>
      </w:r>
      <w:r>
        <w:rPr>
          <w:rStyle w:val="Codeattribute"/>
        </w:rPr>
        <w:t>@n</w:t>
      </w:r>
      <w:r>
        <w:t xml:space="preserve"> recommended for the identification of gridlike partitions are lowercase Latin letters beginning with “a”</w:t>
      </w:r>
    </w:p>
    <w:p w14:paraId="4ACCB19E" w14:textId="77777777">
      <w:pPr>
        <w:pStyle w:val="Lista2"/>
      </w:pPr>
      <w:r>
        <w:t>nonetheless, any numeration scheme may be used depending on your preference, the conventions of your specific field, and the idiosyncratic nature of the grid you are encoding</w:t>
      </w:r>
    </w:p>
    <w:p w14:paraId="29C6D4B0" w14:textId="77777777">
      <w:pPr>
        <w:pStyle w:val="Lista3"/>
      </w:pPr>
      <w:r>
        <w:t>in particular, feel free to use lowercase letters alternating with uppercase ones to denote major/frontal and minor/lateral faces of a three-dimensional object such as a Southeast Asian stele, e.g. A, b, C and d</w:t>
      </w:r>
    </w:p>
    <w:p w14:paraId="4BDA390E" w14:textId="77777777">
      <w:pPr>
        <w:pStyle w:val="Lista"/>
      </w:pPr>
      <w:r>
        <w:t>the number referring to every zone of the grid must be unique</w:t>
      </w:r>
    </w:p>
    <w:p w14:paraId="0DCBB51E" w14:textId="77777777">
      <w:pPr>
        <w:pStyle w:val="Lista2"/>
      </w:pPr>
      <w:r>
        <w:t xml:space="preserve">since gridlike milestones with a given combination of </w:t>
      </w:r>
      <w:r>
        <w:rPr>
          <w:rStyle w:val="Codeattribute"/>
        </w:rPr>
        <w:t>@unit</w:t>
      </w:r>
      <w:r>
        <w:t xml:space="preserve"> and </w:t>
      </w:r>
      <w:r>
        <w:rPr>
          <w:rStyle w:val="Codeattribute"/>
        </w:rPr>
        <w:t>@n</w:t>
      </w:r>
      <w:r>
        <w:t xml:space="preserve"> will normally be iterated several times in a document (namely once in every line that crosses the zone to which that combination pertains), in complicated cases feel free, at your discretion, to assign a unique number to each cell of the grid</w:t>
      </w:r>
    </w:p>
    <w:p w14:paraId="5AEFEA02" w14:textId="77777777">
      <w:pPr>
        <w:pStyle w:val="Lista2"/>
      </w:pPr>
      <w:r>
        <w:t xml:space="preserve">should you need to encode gridlike milestones with two or more different units within a single document </w:t>
      </w:r>
      <w:r>
        <w:rPr>
          <w:noProof/>
        </w:rPr>
        <w:t>(</w:t>
      </w:r>
      <w:r>
        <w:t xml:space="preserve">e.g. </w:t>
      </w:r>
      <w:r>
        <w:rPr>
          <w:rStyle w:val="Codevalue"/>
        </w:rPr>
        <w:t>"column"</w:t>
      </w:r>
      <w:r>
        <w:t xml:space="preserve"> alternating with </w:t>
      </w:r>
      <w:r>
        <w:rPr>
          <w:rStyle w:val="Codevalue"/>
        </w:rPr>
        <w:t>"fragment"</w:t>
      </w:r>
      <w:r>
        <w:t xml:space="preserve"> to encode an inscription on whose original gridlike layout a secondary gridlike layout was superimposed by fragmentation), it is recommended that you use a different numeration scheme for the two</w:t>
      </w:r>
    </w:p>
    <w:p w14:paraId="40F12BB6" w14:textId="77777777">
      <w:pPr>
        <w:pStyle w:val="Cmsor2"/>
      </w:pPr>
      <w:bookmarkStart w:id="296" w:name="_kqgib25um4gs" w:colFirst="0" w:colLast="0"/>
      <w:bookmarkStart w:id="297" w:name="_toz4tvrpqg6p" w:colFirst="0" w:colLast="0"/>
      <w:bookmarkStart w:id="298" w:name="_varsapous7ty" w:colFirst="0" w:colLast="0"/>
      <w:bookmarkStart w:id="299" w:name="_4iehglajtm57" w:colFirst="0" w:colLast="0"/>
      <w:bookmarkStart w:id="300" w:name="_Ref225242905"/>
      <w:bookmarkStart w:id="301" w:name="_Ref225350898"/>
      <w:bookmarkStart w:id="302" w:name="_Toc242889479"/>
      <w:bookmarkEnd w:id="296"/>
      <w:bookmarkEnd w:id="297"/>
      <w:bookmarkEnd w:id="298"/>
      <w:bookmarkEnd w:id="299"/>
      <w:r>
        <w:t xml:space="preserve">Dealing with the realities of extrinsic </w:t>
      </w:r>
      <w:bookmarkStart w:id="303" w:name="_Ref43990458"/>
      <w:bookmarkEnd w:id="300"/>
      <w:bookmarkEnd w:id="301"/>
      <w:r>
        <w:t>structure</w:t>
      </w:r>
      <w:bookmarkEnd w:id="302"/>
    </w:p>
    <w:p w14:paraId="7F26CEEA" w14:textId="7D0F09A5">
      <w:pPr>
        <w:rPr>
          <w:lang w:eastAsia="en-US" w:bidi="ar-SA"/>
        </w:rPr>
      </w:pPr>
      <w:r>
        <w:rPr>
          <w:lang w:eastAsia="en-US" w:bidi="ar-SA"/>
        </w:rPr>
        <w:t>As already noted (§</w:t>
      </w:r>
      <w:r>
        <w:rPr>
          <w:lang w:eastAsia="en-US" w:bidi="ar-SA"/>
        </w:rPr>
        <w:fldChar w:fldCharType="begin"/>
      </w:r>
      <w:r>
        <w:rPr>
          <w:lang w:eastAsia="en-US" w:bidi="ar-SA"/>
        </w:rPr>
        <w:instrText xml:space="preserve"> REF _Ref182923075 \r \h </w:instrText>
      </w:r>
      <w:r>
        <w:rPr>
          <w:lang w:eastAsia="en-US" w:bidi="ar-SA"/>
        </w:rPr>
      </w:r>
      <w:r>
        <w:rPr>
          <w:lang w:eastAsia="en-US" w:bidi="ar-SA"/>
        </w:rPr>
        <w:fldChar w:fldCharType="separate"/>
      </w:r>
      <w:r>
        <w:rPr>
          <w:lang w:eastAsia="en-US" w:bidi="ar-SA"/>
        </w:rPr>
        <w:t>4.1</w:t>
      </w:r>
      <w:r>
        <w:rPr>
          <w:lang w:eastAsia="en-US" w:bidi="ar-SA"/>
        </w:rPr>
        <w:fldChar w:fldCharType="end"/>
      </w:r>
      <w:r>
        <w:rPr>
          <w:lang w:eastAsia="en-US" w:bidi="ar-SA"/>
        </w:rPr>
        <w:t xml:space="preserve">), in DHARMA editions we deliberately keep the complexity of encoding within reasonable limits. In this section we discuss cases where </w:t>
      </w:r>
      <w:r>
        <w:t>the primary field of an inscription (or, as the case may be, a partition of a multipage inscription) is accompanied by one or more supplementary zones (§</w:t>
      </w:r>
      <w:r>
        <w:fldChar w:fldCharType="begin"/>
      </w:r>
      <w:r>
        <w:instrText xml:space="preserve"> REF _Ref225779703 \r \h </w:instrText>
      </w:r>
      <w:r>
        <w:fldChar w:fldCharType="separate"/>
      </w:r>
      <w:r>
        <w:t>4.7.1</w:t>
      </w:r>
      <w:r>
        <w:fldChar w:fldCharType="end"/>
      </w:r>
      <w:r>
        <w:t>) or by page or folio numeration marks (§</w:t>
      </w:r>
      <w:r>
        <w:fldChar w:fldCharType="begin"/>
      </w:r>
      <w:r>
        <w:instrText xml:space="preserve"> REF _Ref43984607 \r \h </w:instrText>
      </w:r>
      <w:r>
        <w:fldChar w:fldCharType="separate"/>
      </w:r>
      <w:r>
        <w:t>4.7.2</w:t>
      </w:r>
      <w:r>
        <w:fldChar w:fldCharType="end"/>
      </w:r>
      <w:r>
        <w:t xml:space="preserve">). We also </w:t>
      </w:r>
      <w:r>
        <w:rPr>
          <w:lang w:eastAsia="en-US" w:bidi="ar-SA"/>
        </w:rPr>
        <w:t>examine situations that are best encoded with boxlike (§</w:t>
      </w:r>
      <w:r>
        <w:rPr>
          <w:lang w:eastAsia="en-US" w:bidi="ar-SA"/>
        </w:rPr>
        <w:fldChar w:fldCharType="begin"/>
      </w:r>
      <w:r>
        <w:rPr>
          <w:lang w:eastAsia="en-US" w:bidi="ar-SA"/>
        </w:rPr>
        <w:instrText xml:space="preserve"> REF _Ref225759775 \r \h </w:instrText>
      </w:r>
      <w:r>
        <w:rPr>
          <w:lang w:eastAsia="en-US" w:bidi="ar-SA"/>
        </w:rPr>
      </w:r>
      <w:r>
        <w:rPr>
          <w:lang w:eastAsia="en-US" w:bidi="ar-SA"/>
        </w:rPr>
        <w:fldChar w:fldCharType="separate"/>
      </w:r>
      <w:r>
        <w:rPr>
          <w:lang w:eastAsia="en-US" w:bidi="ar-SA"/>
        </w:rPr>
        <w:t>4.7.3</w:t>
      </w:r>
      <w:r>
        <w:rPr>
          <w:lang w:eastAsia="en-US" w:bidi="ar-SA"/>
        </w:rPr>
        <w:fldChar w:fldCharType="end"/>
      </w:r>
      <w:r>
        <w:rPr>
          <w:lang w:eastAsia="en-US" w:bidi="ar-SA"/>
        </w:rPr>
        <w:t>), pagelike (§</w:t>
      </w:r>
      <w:r>
        <w:rPr>
          <w:lang w:eastAsia="en-US" w:bidi="ar-SA"/>
        </w:rPr>
        <w:fldChar w:fldCharType="begin"/>
      </w:r>
      <w:r>
        <w:rPr>
          <w:lang w:eastAsia="en-US" w:bidi="ar-SA"/>
        </w:rPr>
        <w:instrText xml:space="preserve"> REF _Ref225759789 \r \h </w:instrText>
      </w:r>
      <w:r>
        <w:rPr>
          <w:lang w:eastAsia="en-US" w:bidi="ar-SA"/>
        </w:rPr>
      </w:r>
      <w:r>
        <w:rPr>
          <w:lang w:eastAsia="en-US" w:bidi="ar-SA"/>
        </w:rPr>
        <w:fldChar w:fldCharType="separate"/>
      </w:r>
      <w:r>
        <w:rPr>
          <w:lang w:eastAsia="en-US" w:bidi="ar-SA"/>
        </w:rPr>
        <w:t>4.7.4</w:t>
      </w:r>
      <w:r>
        <w:rPr>
          <w:lang w:eastAsia="en-US" w:bidi="ar-SA"/>
        </w:rPr>
        <w:fldChar w:fldCharType="end"/>
      </w:r>
      <w:r>
        <w:rPr>
          <w:lang w:eastAsia="en-US" w:bidi="ar-SA"/>
        </w:rPr>
        <w:t>) and gridlike (§</w:t>
      </w:r>
      <w:r>
        <w:rPr>
          <w:lang w:eastAsia="en-US" w:bidi="ar-SA"/>
        </w:rPr>
        <w:fldChar w:fldCharType="begin"/>
      </w:r>
      <w:r>
        <w:rPr>
          <w:lang w:eastAsia="en-US" w:bidi="ar-SA"/>
        </w:rPr>
        <w:instrText xml:space="preserve"> REF _Ref225759805 \r \h </w:instrText>
      </w:r>
      <w:r>
        <w:rPr>
          <w:lang w:eastAsia="en-US" w:bidi="ar-SA"/>
        </w:rPr>
      </w:r>
      <w:r>
        <w:rPr>
          <w:lang w:eastAsia="en-US" w:bidi="ar-SA"/>
        </w:rPr>
        <w:fldChar w:fldCharType="separate"/>
      </w:r>
      <w:r>
        <w:rPr>
          <w:lang w:eastAsia="en-US" w:bidi="ar-SA"/>
        </w:rPr>
        <w:t>4.7.5</w:t>
      </w:r>
      <w:r>
        <w:rPr>
          <w:lang w:eastAsia="en-US" w:bidi="ar-SA"/>
        </w:rPr>
        <w:fldChar w:fldCharType="end"/>
      </w:r>
      <w:r>
        <w:rPr>
          <w:lang w:eastAsia="en-US" w:bidi="ar-SA"/>
        </w:rPr>
        <w:t>) partitions, and discuss some realistic cases with a less-than-neat extrinsic structure, resulting most commonly from fragmentation (§</w:t>
      </w:r>
      <w:r>
        <w:rPr>
          <w:lang w:eastAsia="en-US" w:bidi="ar-SA"/>
        </w:rPr>
        <w:fldChar w:fldCharType="begin"/>
      </w:r>
      <w:r>
        <w:rPr>
          <w:lang w:eastAsia="en-US" w:bidi="ar-SA"/>
        </w:rPr>
        <w:instrText xml:space="preserve"> REF _Ref225759925 \r \h </w:instrText>
      </w:r>
      <w:r>
        <w:rPr>
          <w:lang w:eastAsia="en-US" w:bidi="ar-SA"/>
        </w:rPr>
      </w:r>
      <w:r>
        <w:rPr>
          <w:lang w:eastAsia="en-US" w:bidi="ar-SA"/>
        </w:rPr>
        <w:fldChar w:fldCharType="separate"/>
      </w:r>
      <w:r>
        <w:rPr>
          <w:lang w:eastAsia="en-US" w:bidi="ar-SA"/>
        </w:rPr>
        <w:t>4.7.6</w:t>
      </w:r>
      <w:r>
        <w:rPr>
          <w:lang w:eastAsia="en-US" w:bidi="ar-SA"/>
        </w:rPr>
        <w:fldChar w:fldCharType="end"/>
      </w:r>
      <w:r>
        <w:rPr>
          <w:lang w:eastAsia="en-US" w:bidi="ar-SA"/>
        </w:rPr>
        <w:t>).</w:t>
      </w:r>
    </w:p>
    <w:p w14:paraId="0EDCD322" w14:textId="77777777">
      <w:pPr>
        <w:pStyle w:val="Cmsor3"/>
      </w:pPr>
      <w:bookmarkStart w:id="304" w:name="_Ref225779703"/>
      <w:bookmarkStart w:id="305" w:name="_Toc242889480"/>
      <w:r>
        <w:t>Peripheral inscribed zones</w:t>
      </w:r>
      <w:bookmarkEnd w:id="304"/>
      <w:bookmarkEnd w:id="305"/>
    </w:p>
    <w:p w14:paraId="489C7706" w14:textId="29512809">
      <w:r>
        <w:t>Smaller inscribed zones supplementing a primary inscribed field and containing, for instance, an auspicious invocation, word or symbol, are generally handled simply through the encoding of lines as explained in §</w:t>
      </w:r>
      <w:r>
        <w:fldChar w:fldCharType="begin"/>
      </w:r>
      <w:r>
        <w:instrText xml:space="preserve"> REF _Ref43978135 \r \h </w:instrText>
      </w:r>
      <w:r>
        <w:fldChar w:fldCharType="separate"/>
      </w:r>
      <w:r>
        <w:t>4.7.1.1</w:t>
      </w:r>
      <w:r>
        <w:fldChar w:fldCharType="end"/>
      </w:r>
      <w:r>
        <w:t xml:space="preserve"> and §</w:t>
      </w:r>
      <w:r>
        <w:fldChar w:fldCharType="begin"/>
      </w:r>
      <w:r>
        <w:instrText xml:space="preserve"> REF _Ref182233273 \r \h </w:instrText>
      </w:r>
      <w:r>
        <w:fldChar w:fldCharType="separate"/>
      </w:r>
      <w:r>
        <w:t>4.7.1.2</w:t>
      </w:r>
      <w:r>
        <w:fldChar w:fldCharType="end"/>
      </w:r>
      <w:r>
        <w:t>.</w:t>
      </w:r>
    </w:p>
    <w:p w14:paraId="358EF972" w14:textId="043ECE2E">
      <w:pPr>
        <w:pStyle w:val="Normlbehzs"/>
      </w:pPr>
      <w:r>
        <w:t xml:space="preserve">In the Western epigraphic and codicological tradition, opening symbols, words, phrases or stanzas in a document are called </w:t>
      </w:r>
      <w:r>
        <w:rPr>
          <w:rStyle w:val="Foreign"/>
        </w:rPr>
        <w:t>incipit</w:t>
      </w:r>
      <w:r>
        <w:t xml:space="preserve">. Concluding passages and symbols are called </w:t>
      </w:r>
      <w:r>
        <w:rPr>
          <w:rStyle w:val="Foreign"/>
        </w:rPr>
        <w:t>explicit</w:t>
      </w:r>
      <w:r>
        <w:t xml:space="preserve"> or, when recording details about the creation of the document, </w:t>
      </w:r>
      <w:r>
        <w:rPr>
          <w:i/>
          <w:iCs/>
        </w:rPr>
        <w:t>colophon</w:t>
      </w:r>
      <w:r>
        <w:t>. The last lines of inscriptions can also be visually separated from the rest of the principal inscribed field for physical rather than semantic considerations, such as when the engraver had simply run out of space and wrote the last line</w:t>
      </w:r>
      <w:r>
        <w:rPr>
          <w:noProof/>
        </w:rPr>
        <w:t>(</w:t>
      </w:r>
      <w:r>
        <w:t>s) in a margin or interpolated it between the regular lines.</w:t>
      </w:r>
    </w:p>
    <w:p w14:paraId="49046334" w14:textId="6D0E2DF6">
      <w:pPr>
        <w:pStyle w:val="Normlbehzs"/>
      </w:pPr>
      <w:r>
        <w:t xml:space="preserve">In DHARMA editions, neither incipits nor explicits (including colophons) are distinguished in the encoding. If they are semantically autonomous, then they are wrapped, like any other portion of the text, in one or more </w:t>
      </w:r>
      <w:r>
        <w:rPr>
          <w:rStyle w:val="Code"/>
        </w:rPr>
        <w:t>&lt;ab&gt;</w:t>
      </w:r>
      <w:r>
        <w:t xml:space="preserve">, </w:t>
      </w:r>
      <w:r>
        <w:rPr>
          <w:rStyle w:val="Code"/>
        </w:rPr>
        <w:t>&lt;p&gt;</w:t>
      </w:r>
      <w:r>
        <w:t xml:space="preserve"> or </w:t>
      </w:r>
      <w:r>
        <w:rPr>
          <w:rStyle w:val="Code"/>
        </w:rPr>
        <w:t>&lt;lg&gt;</w:t>
      </w:r>
      <w:r>
        <w:t xml:space="preserve"> elements as applicable </w:t>
      </w:r>
      <w:r>
        <w:rPr>
          <w:noProof/>
        </w:rPr>
        <w:t>(</w:t>
      </w:r>
      <w:r>
        <w:t>§</w:t>
      </w:r>
      <w:r>
        <w:fldChar w:fldCharType="begin"/>
      </w:r>
      <w:r>
        <w:instrText xml:space="preserve"> REF _Ref43978632 \w \h  \* MERGEFORMAT </w:instrText>
      </w:r>
      <w:r>
        <w:fldChar w:fldCharType="separate"/>
      </w:r>
      <w:r>
        <w:t>3</w:t>
      </w:r>
      <w:r>
        <w:fldChar w:fldCharType="end"/>
      </w:r>
      <w:r>
        <w:t>). If they are visually offset from the main text, we still prefer not to encode them as partitions in extrinsic structure. Recall that epigraphic lines may appear in any visual arrangement (§</w:t>
      </w:r>
      <w:r>
        <w:fldChar w:fldCharType="begin"/>
      </w:r>
      <w:r>
        <w:instrText xml:space="preserve"> REF _Ref224720139 \r \h </w:instrText>
      </w:r>
      <w:r>
        <w:fldChar w:fldCharType="separate"/>
      </w:r>
      <w:r>
        <w:t>4.5</w:t>
      </w:r>
      <w:r>
        <w:fldChar w:fldCharType="end"/>
      </w:r>
      <w:r>
        <w:t xml:space="preserve">), so if one line or a small number of lines is visually offset, it or they do not necessarily have to be conceptualised as a separate zone. Therefore, opening and closing lines are encoded just like any other line, as in </w:t>
      </w:r>
      <w:r>
        <w:fldChar w:fldCharType="begin"/>
      </w:r>
      <w:r>
        <w:instrText xml:space="preserve"> REF _Ref225762334 \h </w:instrText>
      </w:r>
      <w:r>
        <w:fldChar w:fldCharType="separate"/>
      </w:r>
      <w:r>
        <w:t xml:space="preserve">Exhibit </w:t>
      </w:r>
      <w:r>
        <w:rPr>
          <w:noProof/>
        </w:rPr>
        <w:t>4.7</w:t>
      </w:r>
      <w:r>
        <w:t>.</w:t>
      </w:r>
      <w:r>
        <w:rPr>
          <w:noProof/>
        </w:rPr>
        <w:t>A</w:t>
      </w:r>
      <w:r>
        <w:fldChar w:fldCharType="end"/>
      </w:r>
      <w:r>
        <w:t>. The fact that they are spatially offset from the principal body can be annotated, while specially aligned lines may be optionally encoded as per §</w:t>
      </w:r>
      <w:r>
        <w:fldChar w:fldCharType="begin"/>
      </w:r>
      <w:r>
        <w:instrText xml:space="preserve"> REF _Ref43987598 \r \h </w:instrText>
      </w:r>
      <w:r>
        <w:fldChar w:fldCharType="separate"/>
      </w:r>
      <w:r>
        <w:t>8.5.1</w:t>
      </w:r>
      <w:r>
        <w:fldChar w:fldCharType="end"/>
      </w:r>
      <w:r>
        <w:t>. That said, we do recommend a special numbering scheme for incipits, which shall conventionally indicate to the reader that such lines are spatially offset from the principal field.</w:t>
      </w:r>
    </w:p>
    <w:p w14:paraId="485EA518" w14:textId="77777777">
      <w:pPr>
        <w:rPr>
          <w:lang w:eastAsia="en-US" w:bidi="ar-SA"/>
        </w:rPr>
      </w:pPr>
    </w:p>
    <w:tbl>
      <w:tblPr>
        <w:tblStyle w:val="CodeSampleTable"/>
        <w:tblW w:w="5000" w:type="pct"/>
        <w:tblLook w:val="04A0" w:firstRow="1" w:lastRow="0" w:firstColumn="1" w:lastColumn="0" w:noHBand="0" w:noVBand="1"/>
      </w:tblPr>
      <w:tblGrid>
        <w:gridCol w:w="9628"/>
      </w:tblGrid>
      <w:tr w14:paraId="30FC960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1F07670" w14:textId="4203FE8E">
            <w:pPr>
              <w:pStyle w:val="Kpalrs"/>
              <w:keepLines/>
            </w:pPr>
            <w:bookmarkStart w:id="306" w:name="_Ref225762334"/>
            <w:r>
              <w:t xml:space="preserve">Exhibit </w:t>
            </w:r>
            <w:fldSimple w:instr=" STYLEREF 2 \s ">
              <w:r>
                <w:rPr>
                  <w:noProof/>
                </w:rPr>
                <w:t>4.7</w:t>
              </w:r>
            </w:fldSimple>
            <w:r>
              <w:t>.</w:t>
            </w:r>
            <w:fldSimple w:instr=" SEQ Exhibit \* ALPHABETIC \s 2 ">
              <w:r>
                <w:rPr>
                  <w:noProof/>
                </w:rPr>
                <w:t>A</w:t>
              </w:r>
            </w:fldSimple>
            <w:bookmarkEnd w:id="306"/>
            <w:r>
              <w:t>: incipit and colophon</w:t>
            </w:r>
          </w:p>
        </w:tc>
      </w:tr>
      <w:tr w14:paraId="5FA8983B" w14:textId="77777777">
        <w:tc>
          <w:tcPr>
            <w:tcW w:w="5000" w:type="pct"/>
            <w:vAlign w:val="center"/>
          </w:tcPr>
          <w:p w14:paraId="651487BF" w14:textId="77777777">
            <w:pPr>
              <w:pStyle w:val="Image"/>
              <w:keepLines/>
              <w:rPr>
                <w:rStyle w:val="Code"/>
              </w:rPr>
            </w:pPr>
            <w:r>
              <w:drawing>
                <wp:inline distT="0" distB="0" distL="0" distR="0" wp14:anchorId="0F84F5DC" wp14:editId="7AD8ABB8">
                  <wp:extent cx="5397500" cy="2593340"/>
                  <wp:effectExtent l="0" t="0" r="0" b="0"/>
                  <wp:docPr id="1460987304"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500" cy="2593340"/>
                          </a:xfrm>
                          <a:prstGeom prst="rect">
                            <a:avLst/>
                          </a:prstGeom>
                          <a:noFill/>
                          <a:ln>
                            <a:noFill/>
                          </a:ln>
                        </pic:spPr>
                      </pic:pic>
                    </a:graphicData>
                  </a:graphic>
                </wp:inline>
              </w:drawing>
            </w:r>
          </w:p>
        </w:tc>
      </w:tr>
      <w:tr w14:paraId="55D28D29" w14:textId="77777777">
        <w:tc>
          <w:tcPr>
            <w:tcW w:w="5000" w:type="pct"/>
          </w:tcPr>
          <w:p w14:paraId="61E4F436" w14:textId="77777777">
            <w:pPr>
              <w:pStyle w:val="CodeParagraph"/>
              <w:keepNext/>
              <w:keepLines/>
              <w:rPr>
                <w:rStyle w:val="Code"/>
              </w:rPr>
            </w:pPr>
            <w:r>
              <w:rPr>
                <w:rStyle w:val="Code"/>
              </w:rPr>
              <w:t>&lt;ab&gt;</w:t>
            </w:r>
          </w:p>
          <w:p w14:paraId="2779A139"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J. R. R. Tolkien: The Hobbit</w:t>
            </w:r>
          </w:p>
          <w:p w14:paraId="002AC6E0" w14:textId="77777777">
            <w:pPr>
              <w:pStyle w:val="CodeParagraph"/>
              <w:keepNext/>
              <w:keepLines/>
              <w:rPr>
                <w:rStyle w:val="Codetext"/>
              </w:rPr>
            </w:pPr>
            <w:r>
              <w:rPr>
                <w:rStyle w:val="Code"/>
              </w:rPr>
              <w:t>&lt;/ab&gt;</w:t>
            </w:r>
          </w:p>
          <w:p w14:paraId="041C3793" w14:textId="77777777">
            <w:pPr>
              <w:pStyle w:val="CodeParagraph"/>
              <w:keepNext/>
              <w:keepLines/>
              <w:rPr>
                <w:rStyle w:val="Code"/>
              </w:rPr>
            </w:pPr>
            <w:r>
              <w:rPr>
                <w:rStyle w:val="Code"/>
              </w:rPr>
              <w:t>&lt;p&gt;</w:t>
            </w:r>
          </w:p>
          <w:p w14:paraId="498CBEB9" w14:textId="77777777">
            <w:pPr>
              <w:pStyle w:val="CodeParagraph"/>
              <w:keepNext/>
              <w:keepLines/>
              <w:rPr>
                <w:rStyle w:val="Code"/>
              </w:rPr>
            </w:pPr>
            <w:r>
              <w:rPr>
                <w:rStyle w:val="Code"/>
              </w:rPr>
              <w:t xml:space="preserve">  &lt;lb </w:t>
            </w:r>
            <w:r>
              <w:rPr>
                <w:rStyle w:val="Codeattribute"/>
              </w:rPr>
              <w:t>n</w:t>
            </w:r>
            <w:r>
              <w:rPr>
                <w:rStyle w:val="Code"/>
              </w:rPr>
              <w:t>=</w:t>
            </w:r>
            <w:r>
              <w:rPr>
                <w:rStyle w:val="Codevalue"/>
              </w:rPr>
              <w:t>"2"</w:t>
            </w:r>
            <w:r>
              <w:rPr>
                <w:rStyle w:val="Code"/>
              </w:rPr>
              <w:t>/&gt;</w:t>
            </w:r>
            <w:r>
              <w:rPr>
                <w:rStyle w:val="Codetext"/>
              </w:rPr>
              <w:t>In a hole in the ground...</w:t>
            </w:r>
            <w:r>
              <w:rPr>
                <w:rStyle w:val="Codetext"/>
              </w:rPr>
              <w:br/>
            </w:r>
            <w:r>
              <w:rPr>
                <w:rStyle w:val="Code"/>
              </w:rPr>
              <w:t xml:space="preserve">  ...</w:t>
            </w:r>
          </w:p>
          <w:p w14:paraId="377D8986"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"6"</w:t>
            </w:r>
            <w:r>
              <w:rPr>
                <w:rStyle w:val="Code"/>
              </w:rPr>
              <w:t>/&gt;</w:t>
            </w:r>
            <w:r>
              <w:rPr>
                <w:rStyle w:val="Codetext"/>
              </w:rPr>
              <w:t>hobbit-hole, and that means comfort.</w:t>
            </w:r>
          </w:p>
          <w:p w14:paraId="6611A3DB" w14:textId="77777777">
            <w:pPr>
              <w:pStyle w:val="CodeParagraph"/>
              <w:keepNext/>
              <w:keepLines/>
              <w:rPr>
                <w:rStyle w:val="Codetext"/>
              </w:rPr>
            </w:pPr>
            <w:r>
              <w:rPr>
                <w:rStyle w:val="Code"/>
              </w:rPr>
              <w:t>&lt;/p&gt;</w:t>
            </w:r>
          </w:p>
          <w:p w14:paraId="4DC80204" w14:textId="77777777">
            <w:pPr>
              <w:pStyle w:val="CodeParagraph"/>
              <w:keepNext/>
              <w:keepLines/>
              <w:rPr>
                <w:rStyle w:val="Code"/>
              </w:rPr>
            </w:pPr>
            <w:r>
              <w:rPr>
                <w:rStyle w:val="Code"/>
              </w:rPr>
              <w:t>&lt;ab&gt;</w:t>
            </w:r>
          </w:p>
          <w:p w14:paraId="0D023E28"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"7"</w:t>
            </w:r>
            <w:r>
              <w:rPr>
                <w:rStyle w:val="Code"/>
              </w:rPr>
              <w:t>/&gt;</w:t>
            </w:r>
            <w:r>
              <w:rPr>
                <w:rStyle w:val="Codetext"/>
              </w:rPr>
              <w:t>23 December 2024</w:t>
            </w:r>
          </w:p>
          <w:p w14:paraId="2A172AD2" w14:textId="77777777">
            <w:pPr>
              <w:pStyle w:val="CodeParagraph"/>
              <w:keepNext/>
              <w:keepLines/>
            </w:pPr>
            <w:r>
              <w:rPr>
                <w:rStyle w:val="Code"/>
              </w:rPr>
              <w:t>&lt;/ab&gt;</w:t>
            </w:r>
          </w:p>
        </w:tc>
      </w:tr>
      <w:tr w14:paraId="777DC562" w14:textId="77777777">
        <w:tc>
          <w:tcPr>
            <w:tcW w:w="5000" w:type="pct"/>
          </w:tcPr>
          <w:p w14:paraId="097E33B1" w14:textId="52DC15DC">
            <w:pPr>
              <w:pStyle w:val="TableNote"/>
            </w:pPr>
            <w:r>
              <w:t xml:space="preserve">the alignment of the first and last line may be encoded as in </w:t>
            </w:r>
            <w:r>
              <w:fldChar w:fldCharType="begin"/>
            </w:r>
            <w:r>
              <w:instrText xml:space="preserve"> REF _Ref225762134 \h </w:instrText>
            </w:r>
            <w:r>
              <w:fldChar w:fldCharType="separate"/>
            </w:r>
            <w:r>
              <w:t xml:space="preserve">Exhibit </w:t>
            </w:r>
            <w:r>
              <w:rPr>
                <w:noProof/>
              </w:rPr>
              <w:t>8.5</w:t>
            </w:r>
            <w:r>
              <w:t>.</w:t>
            </w:r>
            <w:r>
              <w:rPr>
                <w:noProof/>
              </w:rPr>
              <w:t>A</w:t>
            </w:r>
            <w:r>
              <w:fldChar w:fldCharType="end"/>
            </w:r>
          </w:p>
          <w:p w14:paraId="4991BFF4" w14:textId="00F98849">
            <w:pPr>
              <w:pStyle w:val="TableNote"/>
            </w:pPr>
            <w:r>
              <w:t>the first line could be optionally encoded with special numeration (§</w:t>
            </w:r>
            <w:r>
              <w:fldChar w:fldCharType="begin"/>
            </w:r>
            <w:r>
              <w:instrText xml:space="preserve"> REF _Ref43978135 \r \h </w:instrText>
            </w:r>
            <w:r>
              <w:fldChar w:fldCharType="separate"/>
            </w:r>
            <w:r>
              <w:t>4.7.1.1</w:t>
            </w:r>
            <w:r>
              <w:fldChar w:fldCharType="end"/>
            </w:r>
            <w:r>
              <w:t>)</w:t>
            </w:r>
          </w:p>
        </w:tc>
      </w:tr>
    </w:tbl>
    <w:p w14:paraId="2F0A4753" w14:textId="77777777">
      <w:pPr>
        <w:pStyle w:val="Cmsor4"/>
      </w:pPr>
      <w:bookmarkStart w:id="307" w:name="_2aaf1avj18kw" w:colFirst="0" w:colLast="0"/>
      <w:bookmarkStart w:id="308" w:name="_rr8pkbi3b1cc" w:colFirst="0" w:colLast="0"/>
      <w:bookmarkStart w:id="309" w:name="_tmbjz6tt6rwk" w:colFirst="0" w:colLast="0"/>
      <w:bookmarkStart w:id="310" w:name="_Ref43978135"/>
      <w:bookmarkEnd w:id="307"/>
      <w:bookmarkEnd w:id="308"/>
      <w:bookmarkEnd w:id="309"/>
      <w:r>
        <w:t xml:space="preserve">Spatially offset opening sections </w:t>
      </w:r>
      <w:r>
        <w:rPr>
          <w:noProof/>
        </w:rPr>
        <w:t>(</w:t>
      </w:r>
      <w:r>
        <w:t>incipits)</w:t>
      </w:r>
      <w:bookmarkEnd w:id="310"/>
    </w:p>
    <w:p w14:paraId="385F0568" w14:textId="6BBEF6C1">
      <w:pPr>
        <w:pStyle w:val="Lista"/>
      </w:pPr>
      <w:r>
        <w:t xml:space="preserve">incipits are usually semantically separate from the principal inscription, and will therefore be normally enclosed in one or more separate </w:t>
      </w:r>
      <w:r>
        <w:rPr>
          <w:rStyle w:val="Code"/>
        </w:rPr>
        <w:t>&lt;ab&gt;</w:t>
      </w:r>
      <w:r>
        <w:t xml:space="preserve">, </w:t>
      </w:r>
      <w:r>
        <w:rPr>
          <w:rStyle w:val="Code"/>
        </w:rPr>
        <w:t>&lt;p&gt;</w:t>
      </w:r>
      <w:r>
        <w:t xml:space="preserve"> or </w:t>
      </w:r>
      <w:r>
        <w:rPr>
          <w:rStyle w:val="Code"/>
        </w:rPr>
        <w:t>&lt;lg&gt;</w:t>
      </w:r>
      <w:r>
        <w:t xml:space="preserve"> element as applicable </w:t>
      </w:r>
      <w:r>
        <w:rPr>
          <w:noProof/>
        </w:rPr>
        <w:t>(</w:t>
      </w:r>
      <w:r>
        <w:t>§</w:t>
      </w:r>
      <w:r>
        <w:fldChar w:fldCharType="begin"/>
      </w:r>
      <w:r>
        <w:instrText xml:space="preserve"> REF _Ref43978632 \w \h  \* MERGEFORMAT </w:instrText>
      </w:r>
      <w:r>
        <w:fldChar w:fldCharType="separate"/>
      </w:r>
      <w:r>
        <w:t>3</w:t>
      </w:r>
      <w:r>
        <w:fldChar w:fldCharType="end"/>
      </w:r>
      <w:r>
        <w:t>)</w:t>
      </w:r>
    </w:p>
    <w:p w14:paraId="305F40D9" w14:textId="57179B5A">
      <w:pPr>
        <w:pStyle w:val="Lista"/>
      </w:pPr>
      <w:r>
        <w:t xml:space="preserve">the line(s) containing an incipit may be numbered from 1, with the numeration continuing seamlessly into the main field, as in </w:t>
      </w:r>
      <w:r>
        <w:fldChar w:fldCharType="begin"/>
      </w:r>
      <w:r>
        <w:instrText xml:space="preserve"> REF _Ref225762334 \h </w:instrText>
      </w:r>
      <w:r>
        <w:fldChar w:fldCharType="separate"/>
      </w:r>
      <w:r>
        <w:t xml:space="preserve">Exhibit </w:t>
      </w:r>
      <w:r>
        <w:rPr>
          <w:noProof/>
        </w:rPr>
        <w:t>4.7</w:t>
      </w:r>
      <w:r>
        <w:t>.</w:t>
      </w:r>
      <w:r>
        <w:rPr>
          <w:noProof/>
        </w:rPr>
        <w:t>A</w:t>
      </w:r>
      <w:r>
        <w:fldChar w:fldCharType="end"/>
      </w:r>
    </w:p>
    <w:p w14:paraId="5147850B" w14:textId="77777777">
      <w:pPr>
        <w:pStyle w:val="Lista2"/>
      </w:pPr>
      <w:r>
        <w:t>this is recommended for incipits whose spatial location fits into the regular sequence of lines in the main field</w:t>
      </w:r>
    </w:p>
    <w:p w14:paraId="3FC7EA63" w14:textId="77777777">
      <w:pPr>
        <w:pStyle w:val="Lista"/>
      </w:pPr>
      <w:r>
        <w:t>optionally, the incipit’s line(s) may be given a different numeration scheme, which by DHARMA convention indicates a visually offset incipit</w:t>
      </w:r>
    </w:p>
    <w:p w14:paraId="7377A750" w14:textId="77777777">
      <w:pPr>
        <w:pStyle w:val="Lista2"/>
      </w:pPr>
      <w:r>
        <w:t>this is recommended when the incipit is outside the regular sequence of lines, such as</w:t>
      </w:r>
    </w:p>
    <w:p w14:paraId="505A8F9D" w14:textId="51B31BD4">
      <w:pPr>
        <w:pStyle w:val="Lista3"/>
      </w:pPr>
      <w:r>
        <w:t xml:space="preserve">above the principal field and conspicuously separate from it (as in </w:t>
      </w:r>
      <w:r>
        <w:fldChar w:fldCharType="begin"/>
      </w:r>
      <w:r>
        <w:instrText xml:space="preserve"> REF _Ref239843991 \r \h </w:instrText>
      </w:r>
      <w:r>
        <w:fldChar w:fldCharType="separate"/>
      </w:r>
      <w:r>
        <w:t>Appendix A.6</w:t>
      </w:r>
      <w:r>
        <w:fldChar w:fldCharType="end"/>
      </w:r>
      <w:r>
        <w:t>)</w:t>
      </w:r>
    </w:p>
    <w:p w14:paraId="1FD83036" w14:textId="2DF64ECF">
      <w:pPr>
        <w:pStyle w:val="Lista3"/>
      </w:pPr>
      <w:r>
        <w:t xml:space="preserve">inset into the principal campus at a corner, edge, or floating inside (as in </w:t>
      </w:r>
      <w:r>
        <w:fldChar w:fldCharType="begin"/>
      </w:r>
      <w:r>
        <w:instrText xml:space="preserve"> REF _Ref225765626 \h </w:instrText>
      </w:r>
      <w:r>
        <w:fldChar w:fldCharType="separate"/>
      </w:r>
      <w:r>
        <w:t xml:space="preserve">Exhibit </w:t>
      </w:r>
      <w:r>
        <w:rPr>
          <w:noProof/>
        </w:rPr>
        <w:t>4.7</w:t>
      </w:r>
      <w:r>
        <w:t>.</w:t>
      </w:r>
      <w:r>
        <w:rPr>
          <w:noProof/>
        </w:rPr>
        <w:t>B</w:t>
      </w:r>
      <w:r>
        <w:fldChar w:fldCharType="end"/>
      </w:r>
      <w:r>
        <w:t>)</w:t>
      </w:r>
    </w:p>
    <w:p w14:paraId="3D445513" w14:textId="26DA3F91">
      <w:pPr>
        <w:pStyle w:val="Lista3"/>
      </w:pPr>
      <w:r>
        <w:t xml:space="preserve">in a margin (as in </w:t>
      </w:r>
      <w:r>
        <w:fldChar w:fldCharType="begin"/>
      </w:r>
      <w:r>
        <w:instrText xml:space="preserve"> REF _Ref225765627 \h </w:instrText>
      </w:r>
      <w:r>
        <w:fldChar w:fldCharType="separate"/>
      </w:r>
      <w:r>
        <w:t xml:space="preserve">Exhibit </w:t>
      </w:r>
      <w:r>
        <w:rPr>
          <w:noProof/>
        </w:rPr>
        <w:t>4.7</w:t>
      </w:r>
      <w:r>
        <w:t>.</w:t>
      </w:r>
      <w:r>
        <w:rPr>
          <w:noProof/>
        </w:rPr>
        <w:t>C</w:t>
      </w:r>
      <w:r>
        <w:fldChar w:fldCharType="end"/>
      </w:r>
      <w:r>
        <w:t>)</w:t>
      </w:r>
    </w:p>
    <w:p w14:paraId="3AED6600" w14:textId="77777777">
      <w:pPr>
        <w:pStyle w:val="Lista2"/>
      </w:pPr>
      <w:r>
        <w:t>the recommended numeration scheme is to add a leading 0 (zero) to the numbers of offset lines, then starting the numeration of the main field’s lines normally from 1</w:t>
      </w:r>
    </w:p>
    <w:p w14:paraId="406EE239" w14:textId="5871F389">
      <w:pPr>
        <w:pStyle w:val="Lista3"/>
      </w:pPr>
      <w:r>
        <w:t xml:space="preserve">for simple line numbers, use 01, 02, etc. for visually offset incipit lines, as in </w:t>
      </w:r>
      <w:r>
        <w:fldChar w:fldCharType="begin"/>
      </w:r>
      <w:r>
        <w:instrText xml:space="preserve"> REF _Ref225765626 \h </w:instrText>
      </w:r>
      <w:r>
        <w:fldChar w:fldCharType="separate"/>
      </w:r>
      <w:r>
        <w:t xml:space="preserve">Exhibit </w:t>
      </w:r>
      <w:r>
        <w:rPr>
          <w:noProof/>
        </w:rPr>
        <w:t>4.7</w:t>
      </w:r>
      <w:r>
        <w:t>.</w:t>
      </w:r>
      <w:r>
        <w:rPr>
          <w:noProof/>
        </w:rPr>
        <w:t>B</w:t>
      </w:r>
      <w:r>
        <w:fldChar w:fldCharType="end"/>
      </w:r>
    </w:p>
    <w:p w14:paraId="73ECEF62" w14:textId="49D3F6FB">
      <w:pPr>
        <w:pStyle w:val="Lista3"/>
      </w:pPr>
      <w:r>
        <w:t>if the lines of your edition are numbered using the repetitive scheme (§</w:t>
      </w:r>
      <w:r>
        <w:fldChar w:fldCharType="begin"/>
      </w:r>
      <w:r>
        <w:instrText xml:space="preserve"> REF _Ref182228380 \r \h </w:instrText>
      </w:r>
      <w:r>
        <w:fldChar w:fldCharType="separate"/>
      </w:r>
      <w:r>
        <w:t>4.5.2.2</w:t>
      </w:r>
      <w:r>
        <w:fldChar w:fldCharType="end"/>
      </w:r>
      <w:r>
        <w:t>), use A01, A02, B01, etc. on any pagelike partition where an offset incipit is present</w:t>
      </w:r>
    </w:p>
    <w:p w14:paraId="78E969F0" w14:textId="79368BEA">
      <w:pPr>
        <w:pStyle w:val="Lista4"/>
      </w:pPr>
      <w:r>
        <w:t xml:space="preserve">see the Case Study in </w:t>
      </w:r>
      <w:r>
        <w:fldChar w:fldCharType="begin"/>
      </w:r>
      <w:r>
        <w:instrText xml:space="preserve"> REF _Ref239844234 \r \h </w:instrText>
      </w:r>
      <w:r>
        <w:fldChar w:fldCharType="separate"/>
      </w:r>
      <w:r>
        <w:t>Appendix A.6</w:t>
      </w:r>
      <w:r>
        <w:fldChar w:fldCharType="end"/>
      </w:r>
      <w:r>
        <w:t xml:space="preserve"> for a Cambodian stele as an illustration</w:t>
      </w:r>
    </w:p>
    <w:p w14:paraId="2D921619" w14:textId="77777777">
      <w:pPr>
        <w:pStyle w:val="Lista2"/>
      </w:pPr>
      <w:r>
        <w:t>if desired, you may opt for a different numeration scheme for incipit lines, so long as all line numbers remain unique through an edition (or textpart division)</w:t>
      </w:r>
    </w:p>
    <w:p w14:paraId="586684F0" w14:textId="435A044F">
      <w:pPr>
        <w:pStyle w:val="Lista"/>
      </w:pPr>
      <w:r>
        <w:lastRenderedPageBreak/>
        <w:t xml:space="preserve">if applicable </w:t>
      </w:r>
      <w:r>
        <w:rPr>
          <w:noProof/>
        </w:rPr>
        <w:t>(</w:t>
      </w:r>
      <w:r>
        <w:t>i.e. if different from the body text), optionally encode the alignment (§</w:t>
      </w:r>
      <w:r>
        <w:fldChar w:fldCharType="begin"/>
      </w:r>
      <w:r>
        <w:instrText xml:space="preserve"> REF _Ref43987598 \r \h </w:instrText>
      </w:r>
      <w:r>
        <w:fldChar w:fldCharType="separate"/>
      </w:r>
      <w:r>
        <w:t>8.5.1</w:t>
      </w:r>
      <w:r>
        <w:fldChar w:fldCharType="end"/>
      </w:r>
      <w:r>
        <w:t xml:space="preserve">) and/or orientation </w:t>
      </w:r>
      <w:r>
        <w:rPr>
          <w:noProof/>
        </w:rPr>
        <w:t>(</w:t>
      </w:r>
      <w:r>
        <w:t>§</w:t>
      </w:r>
      <w:r>
        <w:fldChar w:fldCharType="begin"/>
      </w:r>
      <w:r>
        <w:instrText xml:space="preserve"> REF _Ref43984782 \w \h  \* MERGEFORMAT </w:instrText>
      </w:r>
      <w:r>
        <w:fldChar w:fldCharType="separate"/>
      </w:r>
      <w:r>
        <w:t>8.5.2</w:t>
      </w:r>
      <w:r>
        <w:fldChar w:fldCharType="end"/>
      </w:r>
      <w:r>
        <w:t xml:space="preserve">) of the incipit lines using attributes on the </w:t>
      </w:r>
      <w:r>
        <w:rPr>
          <w:rStyle w:val="Code"/>
        </w:rPr>
        <w:t>&lt;lb/&gt;</w:t>
      </w:r>
      <w:r>
        <w:t xml:space="preserve"> element, as in </w:t>
      </w:r>
      <w:r>
        <w:fldChar w:fldCharType="begin"/>
      </w:r>
      <w:r>
        <w:instrText xml:space="preserve"> REF _Ref225765627 \h </w:instrText>
      </w:r>
      <w:r>
        <w:fldChar w:fldCharType="separate"/>
      </w:r>
      <w:r>
        <w:t xml:space="preserve">Exhibit </w:t>
      </w:r>
      <w:r>
        <w:rPr>
          <w:noProof/>
        </w:rPr>
        <w:t>4.7</w:t>
      </w:r>
      <w:r>
        <w:t>.</w:t>
      </w:r>
      <w:r>
        <w:rPr>
          <w:noProof/>
        </w:rPr>
        <w:t>C</w:t>
      </w:r>
      <w:r>
        <w:fldChar w:fldCharType="end"/>
      </w:r>
    </w:p>
    <w:p w14:paraId="7006CC71" w14:textId="77777777">
      <w:pPr>
        <w:pStyle w:val="Lista2"/>
      </w:pPr>
      <w:r>
        <w:t xml:space="preserve">all other details of presentation </w:t>
      </w:r>
      <w:r>
        <w:rPr>
          <w:noProof/>
        </w:rPr>
        <w:t>(</w:t>
      </w:r>
      <w:r>
        <w:t>e.g. line length, relative location, interference with the regular lines) shall be recorded for human readers in your annotation, but not encoded explicitly</w:t>
      </w:r>
    </w:p>
    <w:p w14:paraId="4FDE0269" w14:textId="77777777"/>
    <w:tbl>
      <w:tblPr>
        <w:tblStyle w:val="CodeSampleTable"/>
        <w:tblW w:w="5000" w:type="pct"/>
        <w:tblLook w:val="04A0" w:firstRow="1" w:lastRow="0" w:firstColumn="1" w:lastColumn="0" w:noHBand="0" w:noVBand="1"/>
      </w:tblPr>
      <w:tblGrid>
        <w:gridCol w:w="6624"/>
        <w:gridCol w:w="3004"/>
      </w:tblGrid>
      <w:tr w14:paraId="4F8770AE"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130F5DA0" w14:textId="1ED95CF5">
            <w:pPr>
              <w:pStyle w:val="Kpalrs"/>
            </w:pPr>
            <w:bookmarkStart w:id="311" w:name="_Ref225765626"/>
            <w:r>
              <w:t xml:space="preserve">Exhibit </w:t>
            </w:r>
            <w:fldSimple w:instr=" STYLEREF 2 \s ">
              <w:r>
                <w:rPr>
                  <w:noProof/>
                </w:rPr>
                <w:t>4.7</w:t>
              </w:r>
            </w:fldSimple>
            <w:r>
              <w:t>.</w:t>
            </w:r>
            <w:fldSimple w:instr=" SEQ Exhibit \* ALPHABETIC \s 2 ">
              <w:r>
                <w:rPr>
                  <w:noProof/>
                </w:rPr>
                <w:t>B</w:t>
              </w:r>
            </w:fldSimple>
            <w:bookmarkEnd w:id="311"/>
            <w:r>
              <w:t>: incipit of two lines inset in the top left corner</w:t>
            </w:r>
          </w:p>
        </w:tc>
      </w:tr>
      <w:tr w14:paraId="1341A247" w14:textId="77777777">
        <w:tc>
          <w:tcPr>
            <w:tcW w:w="3440" w:type="pct"/>
          </w:tcPr>
          <w:p w14:paraId="19FAADD6" w14:textId="77777777">
            <w:pPr>
              <w:pStyle w:val="CodeParagraph"/>
              <w:rPr>
                <w:rStyle w:val="Codetext"/>
              </w:rPr>
            </w:pP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"01"</w:t>
            </w:r>
            <w:r>
              <w:rPr>
                <w:rStyle w:val="Code"/>
              </w:rPr>
              <w:t>/&gt;&lt;ab&gt;</w:t>
            </w:r>
            <w:r>
              <w:rPr>
                <w:rStyle w:val="Codetext"/>
              </w:rPr>
              <w:t>dr̥ṣṭaM</w:t>
            </w: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"02"</w:t>
            </w:r>
            <w:r>
              <w:rPr>
                <w:rStyle w:val="Code"/>
              </w:rPr>
              <w:t>/&gt;&lt;ab&gt;</w:t>
            </w:r>
            <w:r>
              <w:rPr>
                <w:rStyle w:val="Codetext"/>
              </w:rPr>
              <w:t>siddhaM</w:t>
            </w:r>
            <w:r>
              <w:rPr>
                <w:rStyle w:val="Code"/>
              </w:rPr>
              <w:t>&lt;/ab&gt;</w:t>
            </w:r>
            <w:r>
              <w:rPr>
                <w:rStyle w:val="Codetext"/>
              </w:rPr>
              <w:br/>
            </w:r>
            <w:r>
              <w:rPr>
                <w:rStyle w:val="Code"/>
              </w:rPr>
              <w:t>&lt;/ab&gt;</w:t>
            </w:r>
            <w:r>
              <w:rPr>
                <w:rStyle w:val="Codetext"/>
              </w:rPr>
              <w:br/>
            </w: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/&gt;&lt;p&gt;</w:t>
            </w:r>
            <w:r>
              <w:rPr>
                <w:rStyle w:val="Codetext"/>
              </w:rPr>
              <w:t>agniṣṭomāpto...</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sādyaskra-catur-aśvamedha...</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m mahārāja-śrī...</w:t>
            </w:r>
            <w:r>
              <w:rPr>
                <w:rStyle w:val="Codetext"/>
              </w:rPr>
              <w:br/>
              <w:t>...</w:t>
            </w:r>
          </w:p>
          <w:p w14:paraId="40EBB06D" w14:textId="77777777">
            <w:pPr>
              <w:pStyle w:val="CodeParagraph"/>
            </w:pPr>
            <w:r>
              <w:rPr>
                <w:rStyle w:val="Code"/>
              </w:rPr>
              <w:t>&lt;/p&gt;</w:t>
            </w:r>
          </w:p>
        </w:tc>
        <w:tc>
          <w:tcPr>
            <w:tcW w:w="1560" w:type="pct"/>
            <w:vAlign w:val="bottom"/>
          </w:tcPr>
          <w:p w14:paraId="2CDC1C97" w14:textId="77777777">
            <w:pPr>
              <w:pStyle w:val="Image"/>
            </w:pPr>
            <w:r>
              <w:drawing>
                <wp:inline distT="0" distB="0" distL="0" distR="0" wp14:anchorId="6540B7E3" wp14:editId="7EDB7E04">
                  <wp:extent cx="1652905" cy="1303884"/>
                  <wp:effectExtent l="0" t="0" r="4445"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cstate="print">
                            <a:extLst>
                              <a:ext uri="{28A0092B-C50C-407E-A947-70E740481C1C}">
                                <a14:useLocalDpi xmlns:a14="http://schemas.microsoft.com/office/drawing/2010/main" val="0"/>
                              </a:ext>
                            </a:extLst>
                          </a:blip>
                          <a:srcRect/>
                          <a:stretch>
                            <a:fillRect/>
                          </a:stretch>
                        </pic:blipFill>
                        <pic:spPr>
                          <a:xfrm>
                            <a:off x="0" y="0"/>
                            <a:ext cx="1676551" cy="1322537"/>
                          </a:xfrm>
                          <a:prstGeom prst="rect">
                            <a:avLst/>
                          </a:prstGeom>
                          <a:ln/>
                        </pic:spPr>
                      </pic:pic>
                    </a:graphicData>
                  </a:graphic>
                </wp:inline>
              </w:drawing>
            </w:r>
          </w:p>
        </w:tc>
      </w:tr>
      <w:tr w14:paraId="5B057115" w14:textId="77777777">
        <w:tc>
          <w:tcPr>
            <w:tcW w:w="5000" w:type="pct"/>
            <w:gridSpan w:val="2"/>
          </w:tcPr>
          <w:p w14:paraId="57FB33F7" w14:textId="77777777">
            <w:pPr>
              <w:pStyle w:val="TableNote"/>
            </w:pPr>
            <w:r>
              <w:t>the two lines of the incipit are outside the regular sequence of the lines of the principal field, so they have been encoded with special numbering</w:t>
            </w:r>
          </w:p>
        </w:tc>
      </w:tr>
    </w:tbl>
    <w:p w14:paraId="7AD0111C" w14:textId="77777777"/>
    <w:tbl>
      <w:tblPr>
        <w:tblStyle w:val="CodeSampleTable"/>
        <w:tblW w:w="5000" w:type="pct"/>
        <w:tblLook w:val="04A0" w:firstRow="1" w:lastRow="0" w:firstColumn="1" w:lastColumn="0" w:noHBand="0" w:noVBand="1"/>
      </w:tblPr>
      <w:tblGrid>
        <w:gridCol w:w="7227"/>
        <w:gridCol w:w="2401"/>
      </w:tblGrid>
      <w:tr w14:paraId="36F89451"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1B2D6140" w14:textId="63F5642E">
            <w:pPr>
              <w:pStyle w:val="Kpalrs"/>
            </w:pPr>
            <w:bookmarkStart w:id="312" w:name="_Ref225765627"/>
            <w:r>
              <w:t xml:space="preserve">Exhibit </w:t>
            </w:r>
            <w:fldSimple w:instr=" STYLEREF 2 \s ">
              <w:r>
                <w:rPr>
                  <w:noProof/>
                </w:rPr>
                <w:t>4.7</w:t>
              </w:r>
            </w:fldSimple>
            <w:r>
              <w:t>.</w:t>
            </w:r>
            <w:fldSimple w:instr=" SEQ Exhibit \* ALPHABETIC \s 2 ">
              <w:r>
                <w:rPr>
                  <w:noProof/>
                </w:rPr>
                <w:t>C</w:t>
              </w:r>
            </w:fldSimple>
            <w:bookmarkEnd w:id="312"/>
            <w:r>
              <w:t>: incipit written vertically, with upright glyphs, in the left margin</w:t>
            </w:r>
          </w:p>
        </w:tc>
      </w:tr>
      <w:tr w14:paraId="5373D45F" w14:textId="77777777">
        <w:tc>
          <w:tcPr>
            <w:tcW w:w="3753" w:type="pct"/>
          </w:tcPr>
          <w:p w14:paraId="795EA683" w14:textId="77777777">
            <w:pPr>
              <w:pStyle w:val="CodeParagraph"/>
            </w:pP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 xml:space="preserve">"01" </w:t>
            </w:r>
            <w:r>
              <w:rPr>
                <w:rStyle w:val="Codeattribute"/>
              </w:rPr>
              <w:t>rend</w:t>
            </w:r>
            <w:r>
              <w:rPr>
                <w:rStyle w:val="Code"/>
              </w:rPr>
              <w:t>=</w:t>
            </w:r>
            <w:r>
              <w:rPr>
                <w:rStyle w:val="Codevalue"/>
              </w:rPr>
              <w:t>"tb-upright"</w:t>
            </w:r>
            <w:r>
              <w:rPr>
                <w:rStyle w:val="Code"/>
              </w:rPr>
              <w:t>/&gt;</w:t>
            </w:r>
            <w:r>
              <w:rPr>
                <w:rStyle w:val="Codetext"/>
              </w:rPr>
              <w:t>siddhaM</w:t>
            </w:r>
            <w:r>
              <w:rPr>
                <w:rStyle w:val="Codetext"/>
              </w:rPr>
              <w:br/>
            </w:r>
            <w:r>
              <w:rPr>
                <w:rStyle w:val="Code"/>
              </w:rPr>
              <w:t>&lt;/ab&gt;</w:t>
            </w:r>
            <w:r>
              <w:rPr>
                <w:rStyle w:val="Codetext"/>
              </w:rPr>
              <w:br/>
            </w: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"sragdharā"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/&gt;</w:t>
            </w:r>
            <w:r>
              <w:rPr>
                <w:rStyle w:val="Codetext"/>
              </w:rPr>
              <w:t>yasyopasthāna...</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 xml:space="preserve">/&gt;&lt;lb </w:t>
            </w:r>
            <w:r>
              <w:rPr>
                <w:rStyle w:val="Codeattribute"/>
              </w:rPr>
              <w:t>n</w:t>
            </w:r>
            <w:r>
              <w:rPr>
                <w:rStyle w:val="Code"/>
              </w:rPr>
              <w:t>=</w:t>
            </w:r>
            <w:r>
              <w:rPr>
                <w:rStyle w:val="Codevalue"/>
              </w:rPr>
              <w:t>"2"</w:t>
            </w:r>
            <w:r>
              <w:rPr>
                <w:rStyle w:val="Code"/>
              </w:rPr>
              <w:t>/&gt;</w:t>
            </w:r>
            <w:r>
              <w:rPr>
                <w:rStyle w:val="Codetext"/>
              </w:rPr>
              <w:t>guptānāṁ...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"3"</w:t>
            </w:r>
            <w:r>
              <w:rPr>
                <w:rStyle w:val="Code"/>
              </w:rPr>
              <w:t>/&gt;</w:t>
            </w:r>
            <w:r>
              <w:rPr>
                <w:rStyle w:val="Codetext"/>
              </w:rPr>
              <w:t>rājye...</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 xml:space="preserve">/&gt;&lt;lb </w:t>
            </w:r>
            <w:r>
              <w:rPr>
                <w:rStyle w:val="Codeattribute"/>
              </w:rPr>
              <w:t>n</w:t>
            </w:r>
            <w:r>
              <w:rPr>
                <w:rStyle w:val="Code"/>
              </w:rPr>
              <w:t>=</w:t>
            </w:r>
            <w:r>
              <w:rPr>
                <w:rStyle w:val="Codevalue"/>
              </w:rPr>
              <w:t>"4"</w:t>
            </w:r>
            <w:r>
              <w:rPr>
                <w:rStyle w:val="Code"/>
              </w:rPr>
              <w:t>/&gt;</w:t>
            </w:r>
            <w:r>
              <w:rPr>
                <w:rStyle w:val="Codetext"/>
              </w:rPr>
              <w:t>varṣe...</w:t>
            </w:r>
            <w:r>
              <w:rPr>
                <w:rStyle w:val="Code"/>
              </w:rPr>
              <w:t>&lt;/l&gt;</w:t>
            </w:r>
            <w:r>
              <w:rPr>
                <w:rStyle w:val="Codetext"/>
              </w:rPr>
              <w:br/>
            </w:r>
            <w:r>
              <w:rPr>
                <w:rStyle w:val="Code"/>
              </w:rPr>
              <w:t>&lt;/lg&gt;</w:t>
            </w:r>
          </w:p>
        </w:tc>
        <w:tc>
          <w:tcPr>
            <w:tcW w:w="1247" w:type="pct"/>
            <w:vAlign w:val="bottom"/>
          </w:tcPr>
          <w:p w14:paraId="3F26ED8B" w14:textId="77777777">
            <w:pPr>
              <w:pStyle w:val="Image"/>
            </w:pPr>
            <w:r>
              <w:drawing>
                <wp:inline distT="0" distB="0" distL="0" distR="0" wp14:anchorId="457E57A3" wp14:editId="1AF4EF8B">
                  <wp:extent cx="1254125" cy="1198832"/>
                  <wp:effectExtent l="0" t="0" r="3175" b="1905"/>
                  <wp:docPr id="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cstate="print">
                            <a:extLst>
                              <a:ext uri="{28A0092B-C50C-407E-A947-70E740481C1C}">
                                <a14:useLocalDpi xmlns:a14="http://schemas.microsoft.com/office/drawing/2010/main" val="0"/>
                              </a:ext>
                            </a:extLst>
                          </a:blip>
                          <a:srcRect/>
                          <a:stretch>
                            <a:fillRect/>
                          </a:stretch>
                        </pic:blipFill>
                        <pic:spPr>
                          <a:xfrm>
                            <a:off x="0" y="0"/>
                            <a:ext cx="1280196" cy="1223753"/>
                          </a:xfrm>
                          <a:prstGeom prst="rect">
                            <a:avLst/>
                          </a:prstGeom>
                          <a:ln/>
                        </pic:spPr>
                      </pic:pic>
                    </a:graphicData>
                  </a:graphic>
                </wp:inline>
              </w:drawing>
            </w:r>
          </w:p>
        </w:tc>
      </w:tr>
      <w:tr w14:paraId="7E20081C" w14:textId="77777777">
        <w:tc>
          <w:tcPr>
            <w:tcW w:w="5000" w:type="pct"/>
            <w:gridSpan w:val="2"/>
          </w:tcPr>
          <w:p w14:paraId="1DA7296A" w14:textId="77777777">
            <w:pPr>
              <w:pStyle w:val="TableNote"/>
            </w:pPr>
            <w:r>
              <w:t>the incipit is outside the regular sequence of the lines, so it has been encoded with special numbering</w:t>
            </w:r>
          </w:p>
          <w:p w14:paraId="30EC8660" w14:textId="77777777">
            <w:pPr>
              <w:pStyle w:val="TableNote"/>
            </w:pPr>
            <w:r>
              <w:t>in the edition, the line with the incipit is placed before the lines of the body</w:t>
            </w:r>
          </w:p>
          <w:p w14:paraId="7CEBD38F" w14:textId="6F229C14">
            <w:pPr>
              <w:pStyle w:val="TableNote"/>
            </w:pPr>
            <w:r>
              <w:t>the directionality of this line has been encoded as per §</w:t>
            </w:r>
            <w:r>
              <w:fldChar w:fldCharType="begin"/>
            </w:r>
            <w:r>
              <w:instrText xml:space="preserve"> REF _Ref43984782 \r \h </w:instrText>
            </w:r>
            <w:r>
              <w:fldChar w:fldCharType="separate"/>
            </w:r>
            <w:r>
              <w:t>8.5.2</w:t>
            </w:r>
            <w:r>
              <w:fldChar w:fldCharType="end"/>
            </w:r>
          </w:p>
        </w:tc>
      </w:tr>
    </w:tbl>
    <w:p w14:paraId="2DE4216B" w14:textId="77777777">
      <w:bookmarkStart w:id="313" w:name="_tg7yz01k2pc5" w:colFirst="0" w:colLast="0"/>
      <w:bookmarkStart w:id="314" w:name="_Ref43984537"/>
      <w:bookmarkEnd w:id="313"/>
    </w:p>
    <w:p w14:paraId="23E2DA78" w14:textId="77777777">
      <w:pPr>
        <w:pStyle w:val="Cmsor4"/>
      </w:pPr>
      <w:bookmarkStart w:id="315" w:name="_Ref182233273"/>
      <w:r>
        <w:t xml:space="preserve">Spatially offset closing lines </w:t>
      </w:r>
      <w:r>
        <w:rPr>
          <w:noProof/>
        </w:rPr>
        <w:t>(</w:t>
      </w:r>
      <w:r>
        <w:t>colophons)</w:t>
      </w:r>
      <w:bookmarkEnd w:id="314"/>
      <w:bookmarkEnd w:id="315"/>
    </w:p>
    <w:p w14:paraId="50E3E3D7" w14:textId="025D7524">
      <w:pPr>
        <w:pStyle w:val="Lista"/>
      </w:pPr>
      <w:r>
        <w:t xml:space="preserve">colophons are usually semantically separate from the principal inscription, and will therefore be normally enclosed in one or more separate </w:t>
      </w:r>
      <w:r>
        <w:rPr>
          <w:rStyle w:val="Code"/>
        </w:rPr>
        <w:t>&lt;ab&gt;</w:t>
      </w:r>
      <w:r>
        <w:t xml:space="preserve">, </w:t>
      </w:r>
      <w:r>
        <w:rPr>
          <w:rStyle w:val="Code"/>
        </w:rPr>
        <w:t>&lt;p&gt;</w:t>
      </w:r>
      <w:r>
        <w:t xml:space="preserve"> or </w:t>
      </w:r>
      <w:r>
        <w:rPr>
          <w:rStyle w:val="Code"/>
        </w:rPr>
        <w:t>&lt;lg&gt;</w:t>
      </w:r>
      <w:r>
        <w:t xml:space="preserve"> element as applicable </w:t>
      </w:r>
      <w:r>
        <w:rPr>
          <w:noProof/>
        </w:rPr>
        <w:t>(</w:t>
      </w:r>
      <w:r>
        <w:t>§</w:t>
      </w:r>
      <w:r>
        <w:fldChar w:fldCharType="begin"/>
      </w:r>
      <w:r>
        <w:instrText xml:space="preserve"> REF _Ref43978632 \w \h  \* MERGEFORMAT </w:instrText>
      </w:r>
      <w:r>
        <w:fldChar w:fldCharType="separate"/>
      </w:r>
      <w:r>
        <w:t>3</w:t>
      </w:r>
      <w:r>
        <w:fldChar w:fldCharType="end"/>
      </w:r>
      <w:r>
        <w:t>)</w:t>
      </w:r>
    </w:p>
    <w:p w14:paraId="51A89C6D" w14:textId="77777777">
      <w:pPr>
        <w:pStyle w:val="Lista"/>
      </w:pPr>
      <w:r>
        <w:t>colophons in our texts often begin midline, contiguously with the end of the preceding text</w:t>
      </w:r>
    </w:p>
    <w:p w14:paraId="4C85DBF6" w14:textId="6990A4B2">
      <w:pPr>
        <w:pStyle w:val="Lista"/>
      </w:pPr>
      <w:r>
        <w:t>even when a colophon occupies a line or lines on its own, such lines shall usually not be distinguished in the encoding from regular lines</w:t>
      </w:r>
    </w:p>
    <w:p w14:paraId="46544874" w14:textId="77777777">
      <w:pPr>
        <w:pStyle w:val="Lista2"/>
      </w:pPr>
      <w:r>
        <w:t>passages interpreted as colophons but physically integrated with the partition and line structure of the main field shall not be marked up in any special manner</w:t>
      </w:r>
    </w:p>
    <w:p w14:paraId="2A6C6D0C" w14:textId="77777777">
      <w:pPr>
        <w:pStyle w:val="Lista3"/>
      </w:pPr>
      <w:r>
        <w:t>number their lines consecutively after the last regular line</w:t>
      </w:r>
    </w:p>
    <w:p w14:paraId="1CA03636" w14:textId="6BCB197A">
      <w:pPr>
        <w:pStyle w:val="Lista2"/>
      </w:pPr>
      <w:r>
        <w:t xml:space="preserve">when one or a few last lines are aligned or oriented differently than the lines of the main field, as in </w:t>
      </w:r>
      <w:r>
        <w:fldChar w:fldCharType="begin"/>
      </w:r>
      <w:r>
        <w:instrText xml:space="preserve"> REF _Ref182232568 \h </w:instrText>
      </w:r>
      <w:r>
        <w:fldChar w:fldCharType="separate"/>
      </w:r>
      <w:r>
        <w:t xml:space="preserve">Exhibit </w:t>
      </w:r>
      <w:r>
        <w:rPr>
          <w:noProof/>
        </w:rPr>
        <w:t>4.7</w:t>
      </w:r>
      <w:r>
        <w:t>.</w:t>
      </w:r>
      <w:r>
        <w:rPr>
          <w:noProof/>
        </w:rPr>
        <w:t>D</w:t>
      </w:r>
      <w:r>
        <w:fldChar w:fldCharType="end"/>
      </w:r>
    </w:p>
    <w:p w14:paraId="494C68B8" w14:textId="285CEEFB">
      <w:pPr>
        <w:pStyle w:val="Lista3"/>
      </w:pPr>
      <w:r>
        <w:t>then regardless of whether these lines comprise a colophon, these visual layout features can be optionally encoded as per §</w:t>
      </w:r>
      <w:r>
        <w:fldChar w:fldCharType="begin"/>
      </w:r>
      <w:r>
        <w:instrText xml:space="preserve"> REF _Ref43987598 \r \h </w:instrText>
      </w:r>
      <w:r>
        <w:fldChar w:fldCharType="separate"/>
      </w:r>
      <w:r>
        <w:t>8.5.1</w:t>
      </w:r>
      <w:r>
        <w:fldChar w:fldCharType="end"/>
      </w:r>
      <w:r>
        <w:t xml:space="preserve"> and §</w:t>
      </w:r>
      <w:r>
        <w:fldChar w:fldCharType="begin"/>
      </w:r>
      <w:r>
        <w:instrText xml:space="preserve"> REF _Ref43984782 \w \h  \* MERGEFORMAT </w:instrText>
      </w:r>
      <w:r>
        <w:fldChar w:fldCharType="separate"/>
      </w:r>
      <w:r>
        <w:t>8.5.2</w:t>
      </w:r>
      <w:r>
        <w:fldChar w:fldCharType="end"/>
      </w:r>
    </w:p>
    <w:p w14:paraId="135A300A" w14:textId="51483A22">
      <w:pPr>
        <w:pStyle w:val="Lista"/>
      </w:pPr>
      <w:r>
        <w:t xml:space="preserve">however, when a smaller piece of text that is deemed to belong rather to the end than to the beginning of the text (i.e. to be an explicit rather than an incipit) is inset into the principal campus at a corner, edge, or floating inside (as in </w:t>
      </w:r>
      <w:r>
        <w:fldChar w:fldCharType="begin"/>
      </w:r>
      <w:r>
        <w:instrText xml:space="preserve"> REF _Ref225765628 \h </w:instrText>
      </w:r>
      <w:r>
        <w:fldChar w:fldCharType="separate"/>
      </w:r>
      <w:r>
        <w:t xml:space="preserve">Exhibit </w:t>
      </w:r>
      <w:r>
        <w:rPr>
          <w:noProof/>
        </w:rPr>
        <w:t>4.7</w:t>
      </w:r>
      <w:r>
        <w:t>.</w:t>
      </w:r>
      <w:r>
        <w:rPr>
          <w:noProof/>
        </w:rPr>
        <w:t>E</w:t>
      </w:r>
      <w:r>
        <w:fldChar w:fldCharType="end"/>
      </w:r>
      <w:r>
        <w:t>), this may be represented by a different numeration scheme, which by DHARMA convention indicates a visually offset explicit</w:t>
      </w:r>
    </w:p>
    <w:p w14:paraId="05F1B745" w14:textId="77777777">
      <w:pPr>
        <w:pStyle w:val="Lista2"/>
      </w:pPr>
      <w:r>
        <w:t>the recommended numeration scheme is to add a leading 0 (zero) to the numbers of offset lines</w:t>
      </w:r>
    </w:p>
    <w:p w14:paraId="2510780F" w14:textId="5B9A2683">
      <w:pPr>
        <w:pStyle w:val="Lista3"/>
      </w:pPr>
      <w:r>
        <w:t xml:space="preserve">for simple line numbers, use 01, 02, etc. for visually offset explicit lines, as in </w:t>
      </w:r>
      <w:r>
        <w:fldChar w:fldCharType="begin"/>
      </w:r>
      <w:r>
        <w:instrText xml:space="preserve"> REF _Ref225765626 \h </w:instrText>
      </w:r>
      <w:r>
        <w:fldChar w:fldCharType="separate"/>
      </w:r>
      <w:r>
        <w:t xml:space="preserve">Exhibit </w:t>
      </w:r>
      <w:r>
        <w:rPr>
          <w:noProof/>
        </w:rPr>
        <w:t>4.7</w:t>
      </w:r>
      <w:r>
        <w:t>.</w:t>
      </w:r>
      <w:r>
        <w:rPr>
          <w:noProof/>
        </w:rPr>
        <w:t>B</w:t>
      </w:r>
      <w:r>
        <w:fldChar w:fldCharType="end"/>
      </w:r>
    </w:p>
    <w:p w14:paraId="03DA8E73" w14:textId="5EC2D5CB">
      <w:pPr>
        <w:pStyle w:val="Lista3"/>
      </w:pPr>
      <w:r>
        <w:t>if the lines of your edition are numbered using the repetitive scheme (§</w:t>
      </w:r>
      <w:r>
        <w:fldChar w:fldCharType="begin"/>
      </w:r>
      <w:r>
        <w:instrText xml:space="preserve"> REF _Ref182228380 \r \h </w:instrText>
      </w:r>
      <w:r>
        <w:fldChar w:fldCharType="separate"/>
      </w:r>
      <w:r>
        <w:t>4.5.2.2</w:t>
      </w:r>
      <w:r>
        <w:fldChar w:fldCharType="end"/>
      </w:r>
      <w:r>
        <w:t>), use A01, A02, B01, etc. on any pagelike partition where an offset explicit is present</w:t>
      </w:r>
    </w:p>
    <w:p w14:paraId="729791B0" w14:textId="33A95245">
      <w:pPr>
        <w:pStyle w:val="Lista2"/>
      </w:pPr>
      <w:r>
        <w:lastRenderedPageBreak/>
        <w:t>if desired, you may opt for a different numeration scheme for explicit lines, so long as all line numbers remain unique through an edition (or textpart division)</w:t>
      </w:r>
    </w:p>
    <w:p w14:paraId="3BBD0AD1" w14:textId="497C83AF">
      <w:pPr>
        <w:pStyle w:val="Lista"/>
      </w:pPr>
      <w:r>
        <w:t xml:space="preserve">all other details of presentation </w:t>
      </w:r>
      <w:r>
        <w:rPr>
          <w:noProof/>
        </w:rPr>
        <w:t>(</w:t>
      </w:r>
      <w:r>
        <w:t>e.g. line length, relative location, interference with the regular lines) shall be recorded for human readers in your annotation, but not encoded expressly</w:t>
      </w:r>
    </w:p>
    <w:tbl>
      <w:tblPr>
        <w:tblStyle w:val="CodeSampleTable"/>
        <w:tblW w:w="5000" w:type="pct"/>
        <w:tblLook w:val="04A0" w:firstRow="1" w:lastRow="0" w:firstColumn="1" w:lastColumn="0" w:noHBand="0" w:noVBand="1"/>
      </w:tblPr>
      <w:tblGrid>
        <w:gridCol w:w="4814"/>
        <w:gridCol w:w="4814"/>
      </w:tblGrid>
      <w:tr w14:paraId="774C9F87"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5E54D3C2" w14:textId="49E945E2">
            <w:pPr>
              <w:pStyle w:val="Kpalrs"/>
              <w:keepLines/>
            </w:pPr>
            <w:bookmarkStart w:id="316" w:name="_Ref182232568"/>
            <w:r>
              <w:t xml:space="preserve">Exhibit </w:t>
            </w:r>
            <w:fldSimple w:instr=" STYLEREF 2 \s ">
              <w:r>
                <w:rPr>
                  <w:noProof/>
                </w:rPr>
                <w:t>4.7</w:t>
              </w:r>
            </w:fldSimple>
            <w:r>
              <w:t>.</w:t>
            </w:r>
            <w:fldSimple w:instr=" SEQ Exhibit \* ALPHABETIC \s 2 ">
              <w:r>
                <w:rPr>
                  <w:noProof/>
                </w:rPr>
                <w:t>D</w:t>
              </w:r>
            </w:fldSimple>
            <w:bookmarkEnd w:id="316"/>
            <w:r>
              <w:t>: last line inscribed vertically in the right margin</w:t>
            </w:r>
          </w:p>
        </w:tc>
      </w:tr>
      <w:tr w14:paraId="603839B7" w14:textId="77777777">
        <w:tc>
          <w:tcPr>
            <w:tcW w:w="2500" w:type="pct"/>
          </w:tcPr>
          <w:p w14:paraId="5190E704" w14:textId="77777777">
            <w:pPr>
              <w:pStyle w:val="CodeParagraph"/>
              <w:rPr>
                <w:rStyle w:val="Codetext"/>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/&gt;there lived a hobbit. Not</w:t>
            </w:r>
          </w:p>
          <w:p w14:paraId="3EFB70BA"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a nasty, dirty, wet hole,</w:t>
            </w:r>
          </w:p>
          <w:p w14:paraId="4F20551A"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filled with the ends of</w:t>
            </w:r>
          </w:p>
          <w:p w14:paraId="266DB5DE"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worms and an oozy</w:t>
            </w:r>
          </w:p>
          <w:p w14:paraId="59E6BCF2"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smell, nor yet a dry, bare,</w:t>
            </w:r>
          </w:p>
          <w:p w14:paraId="03EB6BB5"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sandy hole with nothing</w:t>
            </w:r>
          </w:p>
          <w:p w14:paraId="798F9F6B" w14:textId="77777777">
            <w:pPr>
              <w:pStyle w:val="CodeParagraph"/>
            </w:pPr>
            <w:r>
              <w:rPr>
                <w:rStyle w:val="Codetext"/>
              </w:rPr>
              <w:t xml:space="preserve">  </w:t>
            </w:r>
            <w:r>
              <w:rPr>
                <w:rStyle w:val="Code"/>
              </w:rPr>
              <w:t xml:space="preserve">&lt;lb </w:t>
            </w:r>
            <w:r>
              <w:rPr>
                <w:rStyle w:val="Codeattribute"/>
              </w:rPr>
              <w:t>n</w:t>
            </w:r>
            <w:r>
              <w:rPr>
                <w:rStyle w:val="Code"/>
              </w:rPr>
              <w:t>=</w:t>
            </w:r>
            <w:r>
              <w:rPr>
                <w:rStyle w:val="Codevalue"/>
              </w:rPr>
              <w:t>"8"</w:t>
            </w:r>
            <w:r>
              <w:rPr>
                <w:rStyle w:val="Code"/>
              </w:rPr>
              <w:t>/&gt;</w:t>
            </w:r>
            <w:r>
              <w:rPr>
                <w:rStyle w:val="Codetext"/>
              </w:rPr>
              <w:t>in it to sit down on or to</w:t>
            </w:r>
            <w:r>
              <w:rPr>
                <w:rStyle w:val="Codetext"/>
              </w:rPr>
              <w:br/>
              <w:t xml:space="preserve">  </w:t>
            </w:r>
            <w:r>
              <w:rPr>
                <w:rStyle w:val="Code"/>
              </w:rPr>
              <w:t xml:space="preserve">&lt;lb </w:t>
            </w:r>
            <w:r>
              <w:rPr>
                <w:rStyle w:val="Codeattribute"/>
              </w:rPr>
              <w:t>n</w:t>
            </w:r>
            <w:r>
              <w:rPr>
                <w:rStyle w:val="Code"/>
              </w:rPr>
              <w:t>=</w:t>
            </w:r>
            <w:r>
              <w:rPr>
                <w:rStyle w:val="Codevalue"/>
              </w:rPr>
              <w:t>"9"</w:t>
            </w:r>
            <w:r>
              <w:rPr>
                <w:rStyle w:val="Code"/>
              </w:rPr>
              <w:t>/&gt;</w:t>
            </w:r>
            <w:r>
              <w:rPr>
                <w:rStyle w:val="Codetext"/>
              </w:rPr>
              <w:t>eat: it was a hobbit-hole</w:t>
            </w:r>
            <w:r>
              <w:rPr>
                <w:rStyle w:val="Codetext"/>
              </w:rPr>
              <w:br/>
              <w:t xml:space="preserve">  </w:t>
            </w:r>
            <w:r>
              <w:rPr>
                <w:rStyle w:val="Code"/>
              </w:rPr>
              <w:t xml:space="preserve">&lt;lb </w:t>
            </w:r>
            <w:r>
              <w:rPr>
                <w:rStyle w:val="Codeattribute"/>
              </w:rPr>
              <w:t>n</w:t>
            </w:r>
            <w:r>
              <w:rPr>
                <w:rStyle w:val="Code"/>
              </w:rPr>
              <w:t>=</w:t>
            </w:r>
            <w:r>
              <w:rPr>
                <w:rStyle w:val="Codevalue"/>
              </w:rPr>
              <w:t>"10"</w:t>
            </w:r>
            <w:r>
              <w:rPr>
                <w:rStyle w:val="Code"/>
              </w:rPr>
              <w:t xml:space="preserve"> </w:t>
            </w:r>
            <w:r>
              <w:rPr>
                <w:rStyle w:val="Codeattribute"/>
              </w:rPr>
              <w:t>rend</w:t>
            </w:r>
            <w:r>
              <w:rPr>
                <w:rStyle w:val="Code"/>
              </w:rPr>
              <w:t>=</w:t>
            </w:r>
            <w:r>
              <w:rPr>
                <w:rStyle w:val="Codevalue"/>
              </w:rPr>
              <w:t>"bt-rotated"</w:t>
            </w:r>
            <w:r>
              <w:rPr>
                <w:rStyle w:val="Code"/>
              </w:rPr>
              <w:t>/&gt;</w:t>
            </w:r>
            <w:r>
              <w:rPr>
                <w:rStyle w:val="Codetext"/>
              </w:rPr>
              <w:t>and that means comfort.</w:t>
            </w:r>
            <w:r>
              <w:rPr>
                <w:rStyle w:val="Codetext"/>
              </w:rPr>
              <w:br/>
            </w:r>
            <w:r>
              <w:rPr>
                <w:rStyle w:val="Code"/>
              </w:rPr>
              <w:t>&lt;/p&gt;</w:t>
            </w:r>
          </w:p>
        </w:tc>
        <w:tc>
          <w:tcPr>
            <w:tcW w:w="2500" w:type="pct"/>
            <w:vAlign w:val="bottom"/>
          </w:tcPr>
          <w:p w14:paraId="15E3D392" w14:textId="77777777">
            <w:pPr>
              <w:pStyle w:val="Image"/>
            </w:pPr>
            <w:r>
              <w:drawing>
                <wp:inline distT="0" distB="0" distL="0" distR="0" wp14:anchorId="41966D7B" wp14:editId="42F2D42F">
                  <wp:extent cx="2879725" cy="2381250"/>
                  <wp:effectExtent l="0" t="0" r="0" b="0"/>
                  <wp:docPr id="156394400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79725" cy="2381250"/>
                          </a:xfrm>
                          <a:prstGeom prst="rect">
                            <a:avLst/>
                          </a:prstGeom>
                          <a:noFill/>
                          <a:ln>
                            <a:noFill/>
                          </a:ln>
                        </pic:spPr>
                      </pic:pic>
                    </a:graphicData>
                  </a:graphic>
                </wp:inline>
              </w:drawing>
            </w:r>
          </w:p>
        </w:tc>
      </w:tr>
      <w:tr w14:paraId="419AD09C" w14:textId="77777777">
        <w:tc>
          <w:tcPr>
            <w:tcW w:w="5000" w:type="pct"/>
            <w:gridSpan w:val="2"/>
          </w:tcPr>
          <w:p w14:paraId="680B0BBA" w14:textId="77777777">
            <w:pPr>
              <w:pStyle w:val="TableNote"/>
            </w:pPr>
            <w:r>
              <w:t>the last line was presumably written in the margin because the engraver had run out of space</w:t>
            </w:r>
          </w:p>
          <w:p w14:paraId="0ACDCE24" w14:textId="77777777">
            <w:pPr>
              <w:pStyle w:val="TableNote"/>
            </w:pPr>
            <w:r>
              <w:t>no encoding indicates this quirk of layout</w:t>
            </w:r>
          </w:p>
          <w:p w14:paraId="146A0051" w14:textId="0F8477F8">
            <w:pPr>
              <w:pStyle w:val="TableNote"/>
            </w:pPr>
            <w:r>
              <w:t>but the directionality of the last line is encoded as per §</w:t>
            </w:r>
            <w:r>
              <w:fldChar w:fldCharType="begin"/>
            </w:r>
            <w:r>
              <w:instrText xml:space="preserve"> REF _Ref43984782 \w \h  \* MERGEFORMAT </w:instrText>
            </w:r>
            <w:r>
              <w:fldChar w:fldCharType="separate"/>
            </w:r>
            <w:r>
              <w:t>8.5.2</w:t>
            </w:r>
            <w:r>
              <w:fldChar w:fldCharType="end"/>
            </w:r>
          </w:p>
        </w:tc>
      </w:tr>
    </w:tbl>
    <w:p w14:paraId="6B41B873" w14:textId="77777777"/>
    <w:tbl>
      <w:tblPr>
        <w:tblStyle w:val="CodeSampleTable"/>
        <w:tblW w:w="5000" w:type="pct"/>
        <w:tblLook w:val="04A0" w:firstRow="1" w:lastRow="0" w:firstColumn="1" w:lastColumn="0" w:noHBand="0" w:noVBand="1"/>
      </w:tblPr>
      <w:tblGrid>
        <w:gridCol w:w="9628"/>
      </w:tblGrid>
      <w:tr w14:paraId="7572952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34E146E" w14:textId="693A8F83">
            <w:pPr>
              <w:pStyle w:val="Kpalrs"/>
            </w:pPr>
            <w:bookmarkStart w:id="317" w:name="_Ref225765628"/>
            <w:r>
              <w:t xml:space="preserve">Exhibit </w:t>
            </w:r>
            <w:fldSimple w:instr=" STYLEREF 2 \s ">
              <w:r>
                <w:rPr>
                  <w:noProof/>
                </w:rPr>
                <w:t>4.7</w:t>
              </w:r>
            </w:fldSimple>
            <w:r>
              <w:t>.</w:t>
            </w:r>
            <w:fldSimple w:instr=" SEQ Exhibit \* ALPHABETIC \s 2 ">
              <w:r>
                <w:rPr>
                  <w:noProof/>
                </w:rPr>
                <w:t>E</w:t>
              </w:r>
            </w:fldSimple>
            <w:bookmarkEnd w:id="317"/>
            <w:r>
              <w:t>: explicit floating within the principal inscribed field</w:t>
            </w:r>
          </w:p>
        </w:tc>
      </w:tr>
      <w:tr w14:paraId="3441029C" w14:textId="77777777">
        <w:tc>
          <w:tcPr>
            <w:tcW w:w="5000" w:type="pct"/>
          </w:tcPr>
          <w:p w14:paraId="47D0E72A" w14:textId="77777777">
            <w:pPr>
              <w:pStyle w:val="Image"/>
            </w:pPr>
            <w:r>
              <w:drawing>
                <wp:inline distT="0" distB="0" distL="0" distR="0" wp14:anchorId="78C2FA5E" wp14:editId="6B0BEC8B">
                  <wp:extent cx="6120765" cy="1167130"/>
                  <wp:effectExtent l="0" t="0" r="0" b="0"/>
                  <wp:docPr id="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0765" cy="1167130"/>
                          </a:xfrm>
                          <a:prstGeom prst="rect">
                            <a:avLst/>
                          </a:prstGeom>
                          <a:noFill/>
                          <a:ln>
                            <a:noFill/>
                          </a:ln>
                        </pic:spPr>
                      </pic:pic>
                    </a:graphicData>
                  </a:graphic>
                </wp:inline>
              </w:drawing>
            </w:r>
          </w:p>
        </w:tc>
      </w:tr>
      <w:tr w14:paraId="19F0AEE6" w14:textId="77777777">
        <w:tc>
          <w:tcPr>
            <w:tcW w:w="5000" w:type="pct"/>
          </w:tcPr>
          <w:p w14:paraId="3D0DF808" w14:textId="77777777">
            <w:pPr>
              <w:pStyle w:val="CodeParagraph"/>
              <w:rPr>
                <w:rStyle w:val="Code"/>
              </w:rPr>
            </w:pPr>
            <w:r>
              <w:rPr>
                <w:rStyle w:val="Code"/>
              </w:rPr>
              <w:t>&lt;p&gt;</w:t>
            </w:r>
          </w:p>
          <w:p w14:paraId="5BF1312F" w14:textId="77777777">
            <w:pPr>
              <w:pStyle w:val="CodeParagraph"/>
              <w:rPr>
                <w:rStyle w:val="Code"/>
              </w:rPr>
            </w:pPr>
            <w:r>
              <w:rPr>
                <w:rStyle w:val="Code"/>
              </w:rPr>
              <w:t xml:space="preserve">  ...</w:t>
            </w:r>
          </w:p>
          <w:p w14:paraId="4EF8AF97" w14:textId="77777777">
            <w:pPr>
              <w:pStyle w:val="CodeParagraph"/>
              <w:rPr>
                <w:rStyle w:val="Code"/>
              </w:rPr>
            </w:pPr>
            <w:r>
              <w:rPr>
                <w:rStyle w:val="Code"/>
              </w:rPr>
              <w:t xml:space="preserve">  &lt;lb </w:t>
            </w:r>
            <w:r>
              <w:rPr>
                <w:rStyle w:val="Codeattribute"/>
              </w:rPr>
              <w:t>n=</w:t>
            </w:r>
            <w:r>
              <w:rPr>
                <w:rStyle w:val="Codevalue"/>
              </w:rPr>
              <w:t>"60"</w:t>
            </w:r>
            <w:r>
              <w:rPr>
                <w:rStyle w:val="Code"/>
              </w:rPr>
              <w:t xml:space="preserve"> </w:t>
            </w:r>
            <w:r>
              <w:rPr>
                <w:rStyle w:val="Codeattribute"/>
              </w:rPr>
              <w:t>break=</w:t>
            </w:r>
            <w:r>
              <w:rPr>
                <w:rStyle w:val="Codevalue"/>
              </w:rPr>
              <w:t>"no"</w:t>
            </w:r>
            <w:r>
              <w:rPr>
                <w:rStyle w:val="Code"/>
              </w:rPr>
              <w:t>/&gt;āṉat=tuk=ku=M&lt;/p&gt;</w:t>
            </w:r>
          </w:p>
          <w:p w14:paraId="357513B1" w14:textId="77777777">
            <w:pPr>
              <w:pStyle w:val="CodeParagraph"/>
              <w:rPr>
                <w:rStyle w:val="Code"/>
              </w:rPr>
            </w:pPr>
            <w:r>
              <w:rPr>
                <w:rStyle w:val="Code"/>
              </w:rPr>
              <w:t>&lt;p&gt;civayōka-ṉāyaki A</w:t>
            </w:r>
          </w:p>
          <w:p w14:paraId="67812CFD" w14:textId="77777777">
            <w:pPr>
              <w:pStyle w:val="CodeParagraph"/>
              <w:rPr>
                <w:rStyle w:val="Code"/>
              </w:rPr>
            </w:pPr>
            <w:r>
              <w:rPr>
                <w:rStyle w:val="Code"/>
              </w:rPr>
              <w:t xml:space="preserve">  &lt;lb </w:t>
            </w:r>
            <w:r>
              <w:rPr>
                <w:rStyle w:val="Codeattribute"/>
              </w:rPr>
              <w:t>n=</w:t>
            </w:r>
            <w:r>
              <w:rPr>
                <w:rStyle w:val="Codevalue"/>
              </w:rPr>
              <w:t>"61"</w:t>
            </w:r>
            <w:r>
              <w:rPr>
                <w:rStyle w:val="Code"/>
              </w:rPr>
              <w:t xml:space="preserve"> </w:t>
            </w:r>
            <w:r>
              <w:rPr>
                <w:rStyle w:val="Codeattribute"/>
              </w:rPr>
              <w:t>break=</w:t>
            </w:r>
            <w:r>
              <w:rPr>
                <w:rStyle w:val="Code"/>
              </w:rPr>
              <w:t>"</w:t>
            </w:r>
            <w:r>
              <w:rPr>
                <w:rStyle w:val="Codevalue"/>
              </w:rPr>
              <w:t>no"</w:t>
            </w:r>
            <w:r>
              <w:rPr>
                <w:rStyle w:val="Code"/>
              </w:rPr>
              <w:t>/&gt;mmaṉuk=ku=M Aṭap=pa-varicai Āparaṇat=tu=k=ku=M</w:t>
            </w:r>
          </w:p>
          <w:p w14:paraId="61A7CEE2" w14:textId="77777777">
            <w:pPr>
              <w:pStyle w:val="CodeParagraph"/>
              <w:rPr>
                <w:rStyle w:val="Code"/>
              </w:rPr>
            </w:pPr>
            <w:r>
              <w:rPr>
                <w:rStyle w:val="Code"/>
              </w:rPr>
              <w:t xml:space="preserve">  ...</w:t>
            </w:r>
          </w:p>
          <w:p w14:paraId="7DB8A04B" w14:textId="77777777">
            <w:pPr>
              <w:pStyle w:val="CodeParagraph"/>
              <w:rPr>
                <w:rStyle w:val="Code"/>
              </w:rPr>
            </w:pPr>
            <w:r>
              <w:rPr>
                <w:rStyle w:val="Code"/>
              </w:rPr>
              <w:t>&lt;/p&gt;</w:t>
            </w:r>
          </w:p>
          <w:p w14:paraId="2EEA688A" w14:textId="77777777">
            <w:pPr>
              <w:pStyle w:val="CodeParagraph"/>
              <w:rPr>
                <w:rStyle w:val="Code"/>
              </w:rPr>
            </w:pPr>
            <w:r>
              <w:rPr>
                <w:rStyle w:val="Code"/>
              </w:rPr>
              <w:t>&lt;ab&gt;</w:t>
            </w:r>
          </w:p>
          <w:p w14:paraId="71B94362" w14:textId="77777777">
            <w:pPr>
              <w:pStyle w:val="CodeParagraph"/>
              <w:rPr>
                <w:rStyle w:val="Code"/>
              </w:rPr>
            </w:pPr>
            <w:r>
              <w:rPr>
                <w:rStyle w:val="Code"/>
              </w:rPr>
              <w:t xml:space="preserve">  &lt;lb </w:t>
            </w:r>
            <w:r>
              <w:rPr>
                <w:rStyle w:val="Codeattribute"/>
              </w:rPr>
              <w:t>n=</w:t>
            </w:r>
            <w:r>
              <w:rPr>
                <w:rStyle w:val="Codevalue"/>
              </w:rPr>
              <w:t>"01"</w:t>
            </w:r>
            <w:r>
              <w:rPr>
                <w:rStyle w:val="Code"/>
              </w:rPr>
              <w:t xml:space="preserve">/&gt;&lt;seg </w:t>
            </w:r>
            <w:r>
              <w:rPr>
                <w:rStyle w:val="Codeattribute"/>
              </w:rPr>
              <w:t>rendition</w:t>
            </w:r>
            <w:r>
              <w:rPr>
                <w:rStyle w:val="Codetext"/>
              </w:rPr>
              <w:t>=</w:t>
            </w:r>
            <w:r>
              <w:rPr>
                <w:rStyle w:val="Codevalue"/>
              </w:rPr>
              <w:t>"class:36768 maturity:83213"</w:t>
            </w:r>
            <w:r>
              <w:rPr>
                <w:rStyle w:val="Code"/>
              </w:rPr>
              <w:t>&gt;śrī-śaṁkaran·&lt;/seg&gt; tuṇai</w:t>
            </w:r>
          </w:p>
          <w:p w14:paraId="6B5AEADA" w14:textId="77777777">
            <w:pPr>
              <w:pStyle w:val="CodeParagraph"/>
              <w:rPr>
                <w:rStyle w:val="Code"/>
              </w:rPr>
            </w:pPr>
            <w:r>
              <w:rPr>
                <w:rStyle w:val="Code"/>
              </w:rPr>
              <w:t>&lt;/ab&gt;</w:t>
            </w:r>
          </w:p>
        </w:tc>
      </w:tr>
      <w:tr w14:paraId="217F2364" w14:textId="77777777">
        <w:tc>
          <w:tcPr>
            <w:tcW w:w="5000" w:type="pct"/>
          </w:tcPr>
          <w:p w14:paraId="41727137" w14:textId="77777777">
            <w:pPr>
              <w:pStyle w:val="TableNote"/>
            </w:pPr>
            <w:r>
              <w:t>the text in the frame is a blessing that is not connected to the adjacent text</w:t>
            </w:r>
          </w:p>
          <w:p w14:paraId="5E6E25A4" w14:textId="77777777">
            <w:pPr>
              <w:pStyle w:val="TableNote"/>
            </w:pPr>
            <w:r>
              <w:t>the frame is located in the lower third of the verso of a copper plate</w:t>
            </w:r>
          </w:p>
          <w:p w14:paraId="42A6FC8A" w14:textId="77777777">
            <w:pPr>
              <w:pStyle w:val="TableNote"/>
            </w:pPr>
            <w:r>
              <w:t>the contents of the frame have been represented as a specially numbered explicit</w:t>
            </w:r>
          </w:p>
          <w:p w14:paraId="1B330C8E" w14:textId="77777777">
            <w:pPr>
              <w:pStyle w:val="TableNote"/>
            </w:pPr>
            <w:r>
              <w:t>in the edition, it is placed in logical sequence after the lines of the body</w:t>
            </w:r>
          </w:p>
          <w:p w14:paraId="107575EF" w14:textId="77777777">
            <w:pPr>
              <w:pStyle w:val="TableNote"/>
            </w:pPr>
            <w:r>
              <w:t>at the physical location of the inset, only the regular body lines are represented in the edition</w:t>
            </w:r>
          </w:p>
          <w:p w14:paraId="053A1D35" w14:textId="27DBDFD9">
            <w:pPr>
              <w:pStyle w:val="TableNote"/>
            </w:pPr>
            <w:r>
              <w:t>the Grantha script used in part of the blessing is encoded as per §</w:t>
            </w:r>
            <w:r>
              <w:fldChar w:fldCharType="begin"/>
            </w:r>
            <w:r>
              <w:instrText xml:space="preserve"> REF _Ref232173895 \r \h </w:instrText>
            </w:r>
            <w:r>
              <w:fldChar w:fldCharType="separate"/>
            </w:r>
            <w:r>
              <w:t>8.2.3.4</w:t>
            </w:r>
            <w:r>
              <w:fldChar w:fldCharType="end"/>
            </w:r>
            <w:r>
              <w:t xml:space="preserve"> </w:t>
            </w:r>
          </w:p>
        </w:tc>
      </w:tr>
    </w:tbl>
    <w:p w14:paraId="257D8274" w14:textId="77777777"/>
    <w:p w14:paraId="5B026EC9" w14:textId="77777777">
      <w:pPr>
        <w:pStyle w:val="Cmsor3"/>
      </w:pPr>
      <w:bookmarkStart w:id="318" w:name="_l370o66akj7v" w:colFirst="0" w:colLast="0"/>
      <w:bookmarkStart w:id="319" w:name="_Ref43984607"/>
      <w:bookmarkStart w:id="320" w:name="_Toc242889481"/>
      <w:bookmarkEnd w:id="318"/>
      <w:r>
        <w:t>Pagination or foliation: “forme work”</w:t>
      </w:r>
      <w:bookmarkEnd w:id="319"/>
      <w:bookmarkEnd w:id="320"/>
    </w:p>
    <w:p w14:paraId="0760FC46" w14:textId="7427AC62">
      <w:r>
        <w:t>Copperplate sets sometimes bear numbers to indicate the reading order of folios. In principle, other inscriptions involving pagelike partitions (§</w:t>
      </w:r>
      <w:r>
        <w:fldChar w:fldCharType="begin"/>
      </w:r>
      <w:r>
        <w:instrText xml:space="preserve"> REF _Ref233982406 \r \h </w:instrText>
      </w:r>
      <w:r>
        <w:fldChar w:fldCharType="separate"/>
      </w:r>
      <w:r>
        <w:t>4.4</w:t>
      </w:r>
      <w:r>
        <w:fldChar w:fldCharType="end"/>
      </w:r>
      <w:r>
        <w:t xml:space="preserve">) might also include labels or numeration outside the principal field of one or more pages. The generic term for such items is </w:t>
      </w:r>
      <w:r>
        <w:rPr>
          <w:i/>
          <w:iCs/>
        </w:rPr>
        <w:t>forme work</w:t>
      </w:r>
      <w:r>
        <w:t xml:space="preserve">, borrowed from printing jargon, where </w:t>
      </w:r>
      <w:r>
        <w:rPr>
          <w:rStyle w:val="Foreign"/>
        </w:rPr>
        <w:lastRenderedPageBreak/>
        <w:t>forme</w:t>
      </w:r>
      <w:r>
        <w:t xml:space="preserve"> means the frame constructed to hold the blocks of movable type that constitute a page. In our encoding practice, the use of forme work shall be restricted to cases where very short, identical or similar pieces of text (typically for numeration) appear in conjunction with one or more pages of a document involving pagelike partitions. In other cases, consider whether the text item you are dealing with is rather an incipit (§</w:t>
      </w:r>
      <w:r>
        <w:fldChar w:fldCharType="begin"/>
      </w:r>
      <w:r>
        <w:instrText xml:space="preserve"> REF _Ref43978135 \r \h </w:instrText>
      </w:r>
      <w:r>
        <w:fldChar w:fldCharType="separate"/>
      </w:r>
      <w:r>
        <w:t>4.7.1.1</w:t>
      </w:r>
      <w:r>
        <w:fldChar w:fldCharType="end"/>
      </w:r>
      <w:r>
        <w:t>) or a colophon (§</w:t>
      </w:r>
      <w:r>
        <w:fldChar w:fldCharType="begin"/>
      </w:r>
      <w:r>
        <w:instrText xml:space="preserve"> REF _Ref182233273 \r \h </w:instrText>
      </w:r>
      <w:r>
        <w:fldChar w:fldCharType="separate"/>
      </w:r>
      <w:r>
        <w:t>4.7.1.2</w:t>
      </w:r>
      <w:r>
        <w:fldChar w:fldCharType="end"/>
      </w:r>
      <w:r>
        <w:t xml:space="preserve">). The encoding of forme work is illustrated in </w:t>
      </w:r>
      <w:r>
        <w:fldChar w:fldCharType="begin"/>
      </w:r>
      <w:r>
        <w:instrText xml:space="preserve"> REF _Ref182234393 \h </w:instrText>
      </w:r>
      <w:r>
        <w:fldChar w:fldCharType="separate"/>
      </w:r>
      <w:r>
        <w:t xml:space="preserve">Exhibit </w:t>
      </w:r>
      <w:r>
        <w:rPr>
          <w:noProof/>
        </w:rPr>
        <w:t>4.7</w:t>
      </w:r>
      <w:r>
        <w:t>.</w:t>
      </w:r>
      <w:r>
        <w:rPr>
          <w:noProof/>
        </w:rPr>
        <w:t>G</w:t>
      </w:r>
      <w:r>
        <w:fldChar w:fldCharType="end"/>
      </w:r>
      <w:r>
        <w:t>.</w:t>
      </w:r>
    </w:p>
    <w:p w14:paraId="2EBAC872" w14:textId="77777777">
      <w:pPr>
        <w:pStyle w:val="Cmsor4"/>
      </w:pPr>
      <w:r>
        <w:t>Encoding forme work</w:t>
      </w:r>
    </w:p>
    <w:tbl>
      <w:tblPr>
        <w:tblStyle w:val="FigureTable"/>
        <w:tblpPr w:leftFromText="181" w:rightFromText="181" w:vertAnchor="text" w:horzAnchor="margin" w:tblpXSpec="right" w:tblpY="92"/>
        <w:tblW w:w="4536" w:type="dxa"/>
        <w:jc w:val="right"/>
        <w:tblLook w:val="04A0" w:firstRow="1" w:lastRow="0" w:firstColumn="1" w:lastColumn="0" w:noHBand="0" w:noVBand="1"/>
      </w:tblPr>
      <w:tblGrid>
        <w:gridCol w:w="4536"/>
      </w:tblGrid>
      <w:tr w14:paraId="335DDA31" w14:textId="77777777">
        <w:trPr>
          <w:cnfStyle w:val="100000000000" w:firstRow="1" w:lastRow="0" w:firstColumn="0" w:lastColumn="0" w:oddVBand="0" w:evenVBand="0" w:oddHBand="0" w:evenHBand="0" w:firstRowFirstColumn="0" w:firstRowLastColumn="0" w:lastRowFirstColumn="0" w:lastRowLastColumn="0"/>
          <w:jc w:val="right"/>
        </w:trPr>
        <w:tc>
          <w:tcPr>
            <w:tcW w:w="0" w:type="auto"/>
          </w:tcPr>
          <w:p w14:paraId="4EA88E09" w14:textId="089D96B2">
            <w:pPr>
              <w:pStyle w:val="Kpalrs"/>
            </w:pPr>
            <w:bookmarkStart w:id="321" w:name="_Ref225777931"/>
            <w:r>
              <w:t xml:space="preserve">Exhibit </w:t>
            </w:r>
            <w:fldSimple w:instr=" STYLEREF 2 \s ">
              <w:r>
                <w:rPr>
                  <w:noProof/>
                </w:rPr>
                <w:t>4.7</w:t>
              </w:r>
            </w:fldSimple>
            <w:r>
              <w:t>.</w:t>
            </w:r>
            <w:fldSimple w:instr=" SEQ Exhibit \* ALPHABETIC \s 2 ">
              <w:r>
                <w:rPr>
                  <w:noProof/>
                </w:rPr>
                <w:t>F</w:t>
              </w:r>
            </w:fldSimple>
            <w:bookmarkEnd w:id="321"/>
            <w:r>
              <w:t>. Location of forme work with respect to the principal field</w:t>
            </w:r>
          </w:p>
        </w:tc>
      </w:tr>
      <w:tr w14:paraId="063852BC" w14:textId="77777777">
        <w:trPr>
          <w:jc w:val="right"/>
        </w:trPr>
        <w:tc>
          <w:tcPr>
            <w:tcW w:w="0" w:type="auto"/>
          </w:tcPr>
          <w:tbl>
            <w:tblPr>
              <w:tblStyle w:val="77"/>
              <w:tblW w:w="4253"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75"/>
              <w:gridCol w:w="1524"/>
              <w:gridCol w:w="1454"/>
            </w:tblGrid>
            <w:tr w14:paraId="048F92B1" w14:textId="77777777">
              <w:trPr>
                <w:jc w:val="center"/>
              </w:trPr>
              <w:tc>
                <w:tcPr>
                  <w:tcW w:w="0" w:type="auto"/>
                  <w:tcBorders>
                    <w:top w:val="single" w:sz="8" w:space="0" w:color="auto"/>
                  </w:tcBorders>
                  <w:tcMar>
                    <w:top w:w="100" w:type="dxa"/>
                    <w:left w:w="100" w:type="dxa"/>
                    <w:bottom w:w="100" w:type="dxa"/>
                    <w:right w:w="100" w:type="dxa"/>
                  </w:tcMar>
                </w:tcPr>
                <w:p w14:paraId="32886B5C" w14:textId="77777777">
                  <w:pPr>
                    <w:pStyle w:val="Tabletext"/>
                    <w:keepNext/>
                    <w:keepLines/>
                    <w:framePr w:hSpace="181" w:wrap="around" w:vAnchor="text" w:hAnchor="margin" w:xAlign="right" w:y="92"/>
                    <w:jc w:val="right"/>
                  </w:pPr>
                  <w:r>
                    <w:t>top-left</w:t>
                  </w:r>
                </w:p>
              </w:tc>
              <w:tc>
                <w:tcPr>
                  <w:tcW w:w="0" w:type="auto"/>
                  <w:tcBorders>
                    <w:top w:val="single" w:sz="8" w:space="0" w:color="auto"/>
                  </w:tcBorders>
                  <w:tcMar>
                    <w:top w:w="100" w:type="dxa"/>
                    <w:left w:w="100" w:type="dxa"/>
                    <w:bottom w:w="100" w:type="dxa"/>
                    <w:right w:w="100" w:type="dxa"/>
                  </w:tcMar>
                </w:tcPr>
                <w:p w14:paraId="368B6EEE" w14:textId="77777777">
                  <w:pPr>
                    <w:pStyle w:val="Tabletext"/>
                    <w:keepNext/>
                    <w:keepLines/>
                    <w:framePr w:hSpace="181" w:wrap="around" w:vAnchor="text" w:hAnchor="margin" w:xAlign="right" w:y="92"/>
                    <w:jc w:val="center"/>
                  </w:pPr>
                  <w:r>
                    <w:t>top</w:t>
                  </w:r>
                </w:p>
              </w:tc>
              <w:tc>
                <w:tcPr>
                  <w:tcW w:w="0" w:type="auto"/>
                  <w:tcBorders>
                    <w:top w:val="single" w:sz="8" w:space="0" w:color="auto"/>
                  </w:tcBorders>
                  <w:tcMar>
                    <w:top w:w="100" w:type="dxa"/>
                    <w:left w:w="100" w:type="dxa"/>
                    <w:bottom w:w="100" w:type="dxa"/>
                    <w:right w:w="100" w:type="dxa"/>
                  </w:tcMar>
                </w:tcPr>
                <w:p w14:paraId="1E2B7761" w14:textId="77777777">
                  <w:pPr>
                    <w:pStyle w:val="Tabletext"/>
                    <w:keepNext/>
                    <w:keepLines/>
                    <w:framePr w:hSpace="181" w:wrap="around" w:vAnchor="text" w:hAnchor="margin" w:xAlign="right" w:y="92"/>
                  </w:pPr>
                  <w:r>
                    <w:t>top-right</w:t>
                  </w:r>
                </w:p>
              </w:tc>
            </w:tr>
            <w:tr w14:paraId="6FFB441B" w14:textId="77777777">
              <w:trPr>
                <w:jc w:val="center"/>
              </w:trPr>
              <w:tc>
                <w:tcPr>
                  <w:tcW w:w="0" w:type="auto"/>
                  <w:tcMar>
                    <w:top w:w="100" w:type="dxa"/>
                    <w:left w:w="100" w:type="dxa"/>
                    <w:bottom w:w="100" w:type="dxa"/>
                    <w:right w:w="100" w:type="dxa"/>
                  </w:tcMar>
                  <w:vAlign w:val="center"/>
                </w:tcPr>
                <w:p w14:paraId="12FB4A99" w14:textId="77777777">
                  <w:pPr>
                    <w:pStyle w:val="Tabletext"/>
                    <w:keepNext/>
                    <w:keepLines/>
                    <w:framePr w:hSpace="181" w:wrap="around" w:vAnchor="text" w:hAnchor="margin" w:xAlign="right" w:y="92"/>
                    <w:jc w:val="center"/>
                  </w:pPr>
                </w:p>
                <w:p w14:paraId="4D698F32" w14:textId="77777777">
                  <w:pPr>
                    <w:pStyle w:val="Tabletext"/>
                    <w:keepNext/>
                    <w:keepLines/>
                    <w:framePr w:hSpace="181" w:wrap="around" w:vAnchor="text" w:hAnchor="margin" w:xAlign="right" w:y="92"/>
                    <w:jc w:val="center"/>
                  </w:pPr>
                  <w:r>
                    <w:t>left</w:t>
                  </w:r>
                </w:p>
              </w:tc>
              <w:tc>
                <w:tcPr>
                  <w:tcW w:w="0" w:type="auto"/>
                  <w:shd w:val="clear" w:color="auto" w:fill="D0E0E3"/>
                  <w:tcMar>
                    <w:top w:w="100" w:type="dxa"/>
                    <w:left w:w="100" w:type="dxa"/>
                    <w:bottom w:w="100" w:type="dxa"/>
                    <w:right w:w="100" w:type="dxa"/>
                  </w:tcMar>
                  <w:vAlign w:val="center"/>
                </w:tcPr>
                <w:p w14:paraId="65A7532B" w14:textId="77777777">
                  <w:pPr>
                    <w:pStyle w:val="Tabletext"/>
                    <w:keepNext/>
                    <w:keepLines/>
                    <w:framePr w:hSpace="181" w:wrap="around" w:vAnchor="text" w:hAnchor="margin" w:xAlign="right" w:y="92"/>
                    <w:jc w:val="center"/>
                    <w:rPr>
                      <w:rFonts w:ascii="Gentium" w:hAnsi="Gentium" w:cs="Gentium"/>
                    </w:rPr>
                  </w:pPr>
                  <w:r>
                    <w:rPr>
                      <w:rFonts w:ascii="Gentium" w:hAnsi="Gentium" w:cs="Gentium"/>
                    </w:rPr>
                    <w:t>principal</w:t>
                  </w:r>
                </w:p>
                <w:p w14:paraId="5F2E88F0" w14:textId="77777777">
                  <w:pPr>
                    <w:pStyle w:val="Tabletext"/>
                    <w:keepNext/>
                    <w:keepLines/>
                    <w:framePr w:hSpace="181" w:wrap="around" w:vAnchor="text" w:hAnchor="margin" w:xAlign="right" w:y="92"/>
                    <w:jc w:val="center"/>
                    <w:rPr>
                      <w:rFonts w:ascii="Gentium" w:hAnsi="Gentium" w:cs="Gentium"/>
                    </w:rPr>
                  </w:pPr>
                </w:p>
                <w:p w14:paraId="174843BE" w14:textId="77777777">
                  <w:pPr>
                    <w:pStyle w:val="Tabletext"/>
                    <w:keepNext/>
                    <w:keepLines/>
                    <w:framePr w:hSpace="181" w:wrap="around" w:vAnchor="text" w:hAnchor="margin" w:xAlign="right" w:y="92"/>
                    <w:jc w:val="center"/>
                    <w:rPr>
                      <w:rFonts w:ascii="Gentium" w:hAnsi="Gentium" w:cs="Gentium"/>
                    </w:rPr>
                  </w:pPr>
                  <w:r>
                    <w:rPr>
                      <w:rFonts w:ascii="Gentium" w:hAnsi="Gentium" w:cs="Gentium"/>
                    </w:rPr>
                    <w:t>inscribed</w:t>
                  </w:r>
                </w:p>
                <w:p w14:paraId="4A5BA0B9" w14:textId="77777777">
                  <w:pPr>
                    <w:pStyle w:val="Tabletext"/>
                    <w:keepNext/>
                    <w:keepLines/>
                    <w:framePr w:hSpace="181" w:wrap="around" w:vAnchor="text" w:hAnchor="margin" w:xAlign="right" w:y="92"/>
                    <w:jc w:val="center"/>
                    <w:rPr>
                      <w:rFonts w:ascii="Gentium" w:hAnsi="Gentium" w:cs="Gentium"/>
                    </w:rPr>
                  </w:pPr>
                </w:p>
                <w:p w14:paraId="3831A4BC" w14:textId="77777777">
                  <w:pPr>
                    <w:pStyle w:val="Tabletext"/>
                    <w:keepNext/>
                    <w:keepLines/>
                    <w:framePr w:hSpace="181" w:wrap="around" w:vAnchor="text" w:hAnchor="margin" w:xAlign="right" w:y="92"/>
                    <w:jc w:val="center"/>
                  </w:pPr>
                  <w:r>
                    <w:rPr>
                      <w:rFonts w:ascii="Gentium" w:hAnsi="Gentium" w:cs="Gentium"/>
                    </w:rPr>
                    <w:t>field</w:t>
                  </w:r>
                </w:p>
              </w:tc>
              <w:tc>
                <w:tcPr>
                  <w:tcW w:w="0" w:type="auto"/>
                  <w:tcMar>
                    <w:top w:w="100" w:type="dxa"/>
                    <w:left w:w="100" w:type="dxa"/>
                    <w:bottom w:w="100" w:type="dxa"/>
                    <w:right w:w="100" w:type="dxa"/>
                  </w:tcMar>
                  <w:vAlign w:val="center"/>
                </w:tcPr>
                <w:p w14:paraId="63899DBB" w14:textId="77777777">
                  <w:pPr>
                    <w:pStyle w:val="Tabletext"/>
                    <w:keepNext/>
                    <w:keepLines/>
                    <w:framePr w:hSpace="181" w:wrap="around" w:vAnchor="text" w:hAnchor="margin" w:xAlign="right" w:y="92"/>
                    <w:jc w:val="center"/>
                  </w:pPr>
                </w:p>
                <w:p w14:paraId="3174FC2E" w14:textId="77777777">
                  <w:pPr>
                    <w:pStyle w:val="Tabletext"/>
                    <w:keepNext/>
                    <w:keepLines/>
                    <w:framePr w:hSpace="181" w:wrap="around" w:vAnchor="text" w:hAnchor="margin" w:xAlign="right" w:y="92"/>
                    <w:jc w:val="center"/>
                  </w:pPr>
                  <w:r>
                    <w:t>right</w:t>
                  </w:r>
                </w:p>
              </w:tc>
            </w:tr>
            <w:tr w14:paraId="3D928D14" w14:textId="77777777">
              <w:trPr>
                <w:jc w:val="center"/>
              </w:trPr>
              <w:tc>
                <w:tcPr>
                  <w:tcW w:w="0" w:type="auto"/>
                  <w:tcMar>
                    <w:top w:w="100" w:type="dxa"/>
                    <w:left w:w="100" w:type="dxa"/>
                    <w:bottom w:w="100" w:type="dxa"/>
                    <w:right w:w="100" w:type="dxa"/>
                  </w:tcMar>
                </w:tcPr>
                <w:p w14:paraId="1570A005" w14:textId="77777777">
                  <w:pPr>
                    <w:pStyle w:val="Tabletext"/>
                    <w:keepNext/>
                    <w:keepLines/>
                    <w:framePr w:hSpace="181" w:wrap="around" w:vAnchor="text" w:hAnchor="margin" w:xAlign="right" w:y="92"/>
                    <w:jc w:val="right"/>
                  </w:pPr>
                  <w:r>
                    <w:t>bot-left</w:t>
                  </w:r>
                </w:p>
              </w:tc>
              <w:tc>
                <w:tcPr>
                  <w:tcW w:w="0" w:type="auto"/>
                  <w:tcMar>
                    <w:top w:w="100" w:type="dxa"/>
                    <w:left w:w="100" w:type="dxa"/>
                    <w:bottom w:w="100" w:type="dxa"/>
                    <w:right w:w="100" w:type="dxa"/>
                  </w:tcMar>
                </w:tcPr>
                <w:p w14:paraId="1CB79BFC" w14:textId="77777777">
                  <w:pPr>
                    <w:pStyle w:val="Tabletext"/>
                    <w:keepNext/>
                    <w:keepLines/>
                    <w:framePr w:hSpace="181" w:wrap="around" w:vAnchor="text" w:hAnchor="margin" w:xAlign="right" w:y="92"/>
                    <w:jc w:val="center"/>
                  </w:pPr>
                  <w:r>
                    <w:t>bottom</w:t>
                  </w:r>
                </w:p>
              </w:tc>
              <w:tc>
                <w:tcPr>
                  <w:tcW w:w="0" w:type="auto"/>
                  <w:tcMar>
                    <w:top w:w="100" w:type="dxa"/>
                    <w:left w:w="100" w:type="dxa"/>
                    <w:bottom w:w="100" w:type="dxa"/>
                    <w:right w:w="100" w:type="dxa"/>
                  </w:tcMar>
                </w:tcPr>
                <w:p w14:paraId="4AE7E6EA" w14:textId="77777777">
                  <w:pPr>
                    <w:pStyle w:val="Tabletext"/>
                    <w:keepNext/>
                    <w:keepLines/>
                    <w:framePr w:hSpace="181" w:wrap="around" w:vAnchor="text" w:hAnchor="margin" w:xAlign="right" w:y="92"/>
                  </w:pPr>
                  <w:r>
                    <w:t>bot-right</w:t>
                  </w:r>
                </w:p>
              </w:tc>
            </w:tr>
          </w:tbl>
          <w:p w14:paraId="3A3B0B96" w14:textId="77777777">
            <w:pPr>
              <w:keepLines/>
            </w:pPr>
          </w:p>
        </w:tc>
      </w:tr>
    </w:tbl>
    <w:p w14:paraId="39CAB696" w14:textId="77777777">
      <w:pPr>
        <w:pStyle w:val="Lista"/>
      </w:pPr>
      <w:r>
        <w:t xml:space="preserve">forme work items shall be wrapped in the element </w:t>
      </w:r>
      <w:r>
        <w:rPr>
          <w:rStyle w:val="Code"/>
        </w:rPr>
        <w:t>&lt;fw&gt;</w:t>
      </w:r>
      <w:r>
        <w:t>, with the following attributes</w:t>
      </w:r>
    </w:p>
    <w:p w14:paraId="30CB6C7D" w14:textId="77777777">
      <w:pPr>
        <w:pStyle w:val="Lista2"/>
      </w:pPr>
      <w:r>
        <w:t xml:space="preserve">mandatorily, </w:t>
      </w:r>
      <w:r>
        <w:rPr>
          <w:rStyle w:val="Codeattribute"/>
        </w:rPr>
        <w:t>@n</w:t>
      </w:r>
      <w:r>
        <w:t xml:space="preserve"> </w:t>
      </w:r>
      <w:r>
        <w:rPr>
          <w:noProof/>
        </w:rPr>
        <w:t>(</w:t>
      </w:r>
      <w:r>
        <w:t>even if there is only one forme work item in your document)</w:t>
      </w:r>
    </w:p>
    <w:p w14:paraId="070DC2A4" w14:textId="77777777">
      <w:pPr>
        <w:pStyle w:val="Lista3"/>
      </w:pPr>
      <w:r>
        <w:t xml:space="preserve">the value of </w:t>
      </w:r>
      <w:r>
        <w:rPr>
          <w:rStyle w:val="Codeattribute"/>
        </w:rPr>
        <w:t>@n</w:t>
      </w:r>
      <w:r>
        <w:t xml:space="preserve"> shall be the same as the </w:t>
      </w:r>
      <w:r>
        <w:rPr>
          <w:rStyle w:val="Codeattribute"/>
        </w:rPr>
        <w:t>@n</w:t>
      </w:r>
      <w:r>
        <w:t xml:space="preserve"> of the </w:t>
      </w:r>
      <w:r>
        <w:rPr>
          <w:rStyle w:val="Code"/>
        </w:rPr>
        <w:t>&lt;pb&gt;</w:t>
      </w:r>
      <w:r>
        <w:t xml:space="preserve"> (or </w:t>
      </w:r>
      <w:r>
        <w:rPr>
          <w:rStyle w:val="Code"/>
        </w:rPr>
        <w:t>&lt;milestone/&gt;</w:t>
      </w:r>
      <w:r>
        <w:t>) element marking the beginning of the page on which the forme work item appears, e.g. “1v”, “2v”, etc.</w:t>
      </w:r>
    </w:p>
    <w:p w14:paraId="35F0CF24" w14:textId="4257DF49">
      <w:pPr>
        <w:pStyle w:val="Lista2"/>
      </w:pPr>
      <w:r>
        <w:t xml:space="preserve">mandatorily, </w:t>
      </w:r>
      <w:r>
        <w:rPr>
          <w:rStyle w:val="Codeattribute"/>
        </w:rPr>
        <w:t>@place</w:t>
      </w:r>
      <w:r>
        <w:t xml:space="preserve"> relative to the principal inscribed field, with values as shown in </w:t>
      </w:r>
      <w:r>
        <w:fldChar w:fldCharType="begin"/>
      </w:r>
      <w:r>
        <w:instrText xml:space="preserve"> REF _Ref225777931 \h </w:instrText>
      </w:r>
      <w:r>
        <w:fldChar w:fldCharType="separate"/>
      </w:r>
      <w:r>
        <w:t xml:space="preserve">Exhibit </w:t>
      </w:r>
      <w:r>
        <w:rPr>
          <w:noProof/>
        </w:rPr>
        <w:t>4.7</w:t>
      </w:r>
      <w:r>
        <w:t>.</w:t>
      </w:r>
      <w:r>
        <w:rPr>
          <w:noProof/>
        </w:rPr>
        <w:t>F</w:t>
      </w:r>
      <w:r>
        <w:fldChar w:fldCharType="end"/>
      </w:r>
    </w:p>
    <w:p w14:paraId="72476F71" w14:textId="77777777">
      <w:pPr>
        <w:pStyle w:val="Lista3"/>
      </w:pPr>
      <w:r>
        <w:t>should forme work be partly or wholly inside the principal field, use the value that best describes its location relative to the centre of the inscribed field</w:t>
      </w:r>
    </w:p>
    <w:p w14:paraId="398B3A50" w14:textId="77777777">
      <w:pPr>
        <w:pStyle w:val="Lista"/>
      </w:pPr>
      <w:r>
        <w:t xml:space="preserve">details of presentation </w:t>
      </w:r>
      <w:r>
        <w:rPr>
          <w:noProof/>
        </w:rPr>
        <w:t>(</w:t>
      </w:r>
      <w:r>
        <w:t xml:space="preserve">e.g. precise location, interference with the regular lines) shall be recorded for human readers in your metadata </w:t>
      </w:r>
      <w:r>
        <w:rPr>
          <w:noProof/>
        </w:rPr>
        <w:t>(</w:t>
      </w:r>
      <w:r>
        <w:t>layout description), but not encoded explicitly</w:t>
      </w:r>
    </w:p>
    <w:tbl>
      <w:tblPr>
        <w:tblStyle w:val="CodeSampleTable"/>
        <w:tblW w:w="5000" w:type="pct"/>
        <w:tblLook w:val="04A0" w:firstRow="1" w:lastRow="0" w:firstColumn="1" w:lastColumn="0" w:noHBand="0" w:noVBand="1"/>
      </w:tblPr>
      <w:tblGrid>
        <w:gridCol w:w="2763"/>
        <w:gridCol w:w="6865"/>
      </w:tblGrid>
      <w:tr w14:paraId="5E6F965E"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2D48D712" w14:textId="2254BD80">
            <w:pPr>
              <w:pStyle w:val="Kpalrs"/>
              <w:keepLines/>
            </w:pPr>
            <w:bookmarkStart w:id="322" w:name="_Ref182234393"/>
            <w:bookmarkStart w:id="323" w:name="_Ref182234390"/>
            <w:r>
              <w:t xml:space="preserve">Exhibit </w:t>
            </w:r>
            <w:fldSimple w:instr=" STYLEREF 2 \s ">
              <w:r>
                <w:rPr>
                  <w:noProof/>
                </w:rPr>
                <w:t>4.7</w:t>
              </w:r>
            </w:fldSimple>
            <w:r>
              <w:t>.</w:t>
            </w:r>
            <w:fldSimple w:instr=" SEQ Exhibit \* ALPHABETIC \s 2 ">
              <w:r>
                <w:rPr>
                  <w:noProof/>
                </w:rPr>
                <w:t>G</w:t>
              </w:r>
            </w:fldSimple>
            <w:bookmarkEnd w:id="322"/>
            <w:r>
              <w:t>: foliation in the right margin</w:t>
            </w:r>
            <w:bookmarkEnd w:id="323"/>
          </w:p>
        </w:tc>
      </w:tr>
      <w:tr w14:paraId="5872A5F9" w14:textId="77777777">
        <w:tc>
          <w:tcPr>
            <w:tcW w:w="1435" w:type="pct"/>
          </w:tcPr>
          <w:p w14:paraId="79E88344" w14:textId="77777777">
            <w:pPr>
              <w:pStyle w:val="CodeParagraph"/>
              <w:rPr>
                <w:rStyle w:val="Code"/>
              </w:rPr>
            </w:pPr>
            <w:r>
              <w:rPr>
                <w:rStyle w:val="Code"/>
              </w:rPr>
              <w:t>&lt;p&gt;</w:t>
            </w:r>
            <w:r>
              <w:rPr>
                <w:rStyle w:val="Codetext"/>
              </w:rPr>
              <w:br/>
            </w:r>
            <w:r>
              <w:rPr>
                <w:rStyle w:val="Code"/>
              </w:rPr>
              <w:t xml:space="preserve">&lt;pb </w:t>
            </w:r>
            <w:r>
              <w:rPr>
                <w:rStyle w:val="Codeattribute"/>
              </w:rPr>
              <w:t>n</w:t>
            </w:r>
            <w:r>
              <w:rPr>
                <w:rStyle w:val="Code"/>
              </w:rPr>
              <w:t>=</w:t>
            </w:r>
            <w:r>
              <w:rPr>
                <w:rStyle w:val="Codevalue"/>
              </w:rPr>
              <w:t>"1r"</w:t>
            </w:r>
            <w:r>
              <w:rPr>
                <w:rStyle w:val="Code"/>
              </w:rPr>
              <w:t>/&gt;</w:t>
            </w:r>
            <w:r>
              <w:rPr>
                <w:rStyle w:val="Codetext"/>
              </w:rPr>
              <w:br/>
            </w:r>
            <w:r>
              <w:rPr>
                <w:rStyle w:val="Code"/>
              </w:rPr>
              <w:t>&lt;fw</w:t>
            </w:r>
            <w:r>
              <w:rPr>
                <w:rStyle w:val="Codeattribute"/>
              </w:rPr>
              <w:t xml:space="preserve"> n</w:t>
            </w:r>
            <w:r>
              <w:rPr>
                <w:rStyle w:val="Code"/>
              </w:rPr>
              <w:t>=</w:t>
            </w:r>
            <w:r>
              <w:rPr>
                <w:rStyle w:val="Codevalue"/>
              </w:rPr>
              <w:t>"1r"</w:t>
            </w:r>
            <w:r>
              <w:rPr>
                <w:rStyle w:val="Code"/>
              </w:rPr>
              <w:t xml:space="preserve"> </w:t>
            </w:r>
            <w:r>
              <w:rPr>
                <w:rStyle w:val="Codeattribute"/>
              </w:rPr>
              <w:t>place</w:t>
            </w:r>
            <w:r>
              <w:rPr>
                <w:rStyle w:val="Code"/>
              </w:rPr>
              <w:t>=</w:t>
            </w:r>
            <w:r>
              <w:rPr>
                <w:rStyle w:val="Codevalue"/>
              </w:rPr>
              <w:t>"right"</w:t>
            </w:r>
            <w:r>
              <w:rPr>
                <w:rStyle w:val="Code"/>
              </w:rPr>
              <w:t>&gt;</w:t>
            </w:r>
          </w:p>
          <w:p w14:paraId="6800AFDA" w14:textId="77777777">
            <w:pPr>
              <w:pStyle w:val="CodeParagraph"/>
              <w:rPr>
                <w:rStyle w:val="Code"/>
              </w:rPr>
            </w:pPr>
            <w:r>
              <w:rPr>
                <w:rStyle w:val="Code"/>
              </w:rPr>
              <w:t xml:space="preserve">  &lt;num </w:t>
            </w:r>
            <w:r>
              <w:rPr>
                <w:rStyle w:val="Codeattribute"/>
              </w:rPr>
              <w:t>value</w:t>
            </w:r>
            <w:r>
              <w:rPr>
                <w:rStyle w:val="Code"/>
              </w:rPr>
              <w:t>=</w:t>
            </w:r>
            <w:r>
              <w:rPr>
                <w:rStyle w:val="Codevalue"/>
              </w:rPr>
              <w:t>"1"</w:t>
            </w:r>
            <w:r>
              <w:rPr>
                <w:rStyle w:val="Code"/>
              </w:rPr>
              <w:t>&gt;</w:t>
            </w:r>
            <w:r>
              <w:rPr>
                <w:rStyle w:val="Codetext"/>
              </w:rPr>
              <w:t>1</w:t>
            </w:r>
            <w:r>
              <w:rPr>
                <w:rStyle w:val="Code"/>
              </w:rPr>
              <w:t>&lt;/num&gt;</w:t>
            </w:r>
          </w:p>
          <w:p w14:paraId="7D672A9D" w14:textId="77777777">
            <w:pPr>
              <w:pStyle w:val="CodeParagraph"/>
            </w:pPr>
            <w:r>
              <w:rPr>
                <w:rStyle w:val="Code"/>
              </w:rPr>
              <w:t>&lt;/fw&gt;</w:t>
            </w:r>
            <w:r>
              <w:rPr>
                <w:rStyle w:val="Codetext"/>
              </w:rPr>
              <w:br/>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r>
            <w:r>
              <w:rPr>
                <w:rStyle w:val="Code"/>
              </w:rPr>
              <w:t xml:space="preserve">&lt;lb </w:t>
            </w:r>
            <w:r>
              <w:rPr>
                <w:rStyle w:val="Codeattribute"/>
              </w:rPr>
              <w:t>n</w:t>
            </w:r>
            <w:r>
              <w:rPr>
                <w:rStyle w:val="Code"/>
              </w:rPr>
              <w:t>=</w:t>
            </w:r>
            <w:r>
              <w:rPr>
                <w:rStyle w:val="Codevalue"/>
              </w:rPr>
              <w:t>"2"</w:t>
            </w:r>
            <w:r>
              <w:rPr>
                <w:rStyle w:val="Code"/>
              </w:rPr>
              <w:t>/&gt;</w:t>
            </w:r>
            <w:r>
              <w:rPr>
                <w:rStyle w:val="Codetext"/>
              </w:rPr>
              <w:t>nasty, dirty...</w:t>
            </w:r>
            <w:r>
              <w:rPr>
                <w:rStyle w:val="Codetext"/>
              </w:rPr>
              <w:br/>
              <w:t>...</w:t>
            </w:r>
            <w:r>
              <w:rPr>
                <w:rStyle w:val="Codetext"/>
              </w:rPr>
              <w:br/>
            </w:r>
            <w:r>
              <w:rPr>
                <w:rStyle w:val="Code"/>
              </w:rPr>
              <w:t>&lt;/p&gt;</w:t>
            </w:r>
          </w:p>
        </w:tc>
        <w:tc>
          <w:tcPr>
            <w:tcW w:w="3565" w:type="pct"/>
            <w:vAlign w:val="center"/>
          </w:tcPr>
          <w:p w14:paraId="79DAC2DE" w14:textId="77777777">
            <w:pPr>
              <w:pStyle w:val="Image"/>
            </w:pPr>
            <w:r>
              <w:drawing>
                <wp:inline distT="114300" distB="114300" distL="114300" distR="114300" wp14:anchorId="437E8F33" wp14:editId="6948775C">
                  <wp:extent cx="4064400" cy="1206000"/>
                  <wp:effectExtent l="0" t="0" r="0" b="0"/>
                  <wp:docPr id="11"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10.png"/>
                          <pic:cNvPicPr/>
                        </pic:nvPicPr>
                        <pic:blipFill>
                          <a:blip r:embed="rId26"/>
                          <a:stretch>
                            <a:fillRect/>
                          </a:stretch>
                        </pic:blipFill>
                        <pic:spPr>
                          <a:xfrm>
                            <a:off x="0" y="0"/>
                            <a:ext cx="4064400" cy="1206000"/>
                          </a:xfrm>
                          <a:prstGeom prst="rect">
                            <a:avLst/>
                          </a:prstGeom>
                          <a:ln/>
                        </pic:spPr>
                      </pic:pic>
                    </a:graphicData>
                  </a:graphic>
                </wp:inline>
              </w:drawing>
            </w:r>
          </w:p>
        </w:tc>
      </w:tr>
      <w:tr w14:paraId="222AE436" w14:textId="77777777">
        <w:tc>
          <w:tcPr>
            <w:tcW w:w="5000" w:type="pct"/>
            <w:gridSpan w:val="2"/>
          </w:tcPr>
          <w:p w14:paraId="41562DE1" w14:textId="50D245D0">
            <w:pPr>
              <w:pStyle w:val="TableNote"/>
            </w:pPr>
            <w:r>
              <w:t xml:space="preserve">for a complete encoded example see the Case Study in </w:t>
            </w:r>
            <w:r>
              <w:fldChar w:fldCharType="begin"/>
            </w:r>
            <w:r>
              <w:instrText xml:space="preserve"> REF _Ref239844274 \r \h </w:instrText>
            </w:r>
            <w:r>
              <w:fldChar w:fldCharType="separate"/>
            </w:r>
            <w:r>
              <w:t>Appendix A.2</w:t>
            </w:r>
            <w:r>
              <w:fldChar w:fldCharType="end"/>
            </w:r>
            <w:r>
              <w:t xml:space="preserve"> </w:t>
            </w:r>
          </w:p>
        </w:tc>
      </w:tr>
    </w:tbl>
    <w:p w14:paraId="6281AC6E" w14:textId="77777777">
      <w:pPr>
        <w:pStyle w:val="Cmsor4"/>
      </w:pPr>
      <w:r>
        <w:t>The position of forme work in the encoded edition</w:t>
      </w:r>
    </w:p>
    <w:p w14:paraId="23C0D65F" w14:textId="2E2F329F">
      <w:pPr>
        <w:pStyle w:val="Lista"/>
      </w:pPr>
      <w:r>
        <w:t xml:space="preserve">as in the case of boxlike partitions </w:t>
      </w:r>
      <w:r>
        <w:rPr>
          <w:noProof/>
        </w:rPr>
        <w:t>(</w:t>
      </w:r>
      <w:r>
        <w:t>§</w:t>
      </w:r>
      <w:r>
        <w:fldChar w:fldCharType="begin"/>
      </w:r>
      <w:r>
        <w:instrText xml:space="preserve"> REF _Ref225778181 \r \h </w:instrText>
      </w:r>
      <w:r>
        <w:fldChar w:fldCharType="separate"/>
      </w:r>
      <w:r>
        <w:t>4.2</w:t>
      </w:r>
      <w:r>
        <w:fldChar w:fldCharType="end"/>
      </w:r>
      <w:r>
        <w:t xml:space="preserve">), the content of forme work is a complete and meaningful unit in itself, but unlike a textpart division, forme work is a supplement to </w:t>
      </w:r>
      <w:r>
        <w:rPr>
          <w:noProof/>
        </w:rPr>
        <w:t>(</w:t>
      </w:r>
      <w:r>
        <w:t>rather than a subunit of) the principal text of an inscription and is associated with a specific page</w:t>
      </w:r>
    </w:p>
    <w:p w14:paraId="37ECCF42" w14:textId="77777777">
      <w:pPr>
        <w:pStyle w:val="Lista2"/>
      </w:pPr>
      <w:r>
        <w:t xml:space="preserve">the </w:t>
      </w:r>
      <w:r>
        <w:rPr>
          <w:rStyle w:val="Code"/>
        </w:rPr>
        <w:t>&lt;fw&gt;</w:t>
      </w:r>
      <w:r>
        <w:t xml:space="preserve"> element shall be placed immediately after the </w:t>
      </w:r>
      <w:r>
        <w:rPr>
          <w:rStyle w:val="Code"/>
        </w:rPr>
        <w:t>&lt;pb/&gt;</w:t>
      </w:r>
      <w:r>
        <w:t xml:space="preserve">  (or </w:t>
      </w:r>
      <w:r>
        <w:rPr>
          <w:rStyle w:val="Code"/>
        </w:rPr>
        <w:t>&lt;milestone/&gt;</w:t>
      </w:r>
      <w:r>
        <w:t>) element marking the start of the page on which the forme work item is found, therefore</w:t>
      </w:r>
    </w:p>
    <w:p w14:paraId="12D7DB2A" w14:textId="77777777">
      <w:pPr>
        <w:pStyle w:val="Lista3"/>
      </w:pPr>
      <w:r>
        <w:t xml:space="preserve">it must come before the first </w:t>
      </w:r>
      <w:r>
        <w:rPr>
          <w:rStyle w:val="Code"/>
        </w:rPr>
        <w:t>&lt;lb/&gt;</w:t>
      </w:r>
      <w:r>
        <w:t xml:space="preserve">  element on that page</w:t>
      </w:r>
    </w:p>
    <w:p w14:paraId="7DFF98F8" w14:textId="4D90D4FE">
      <w:pPr>
        <w:pStyle w:val="Lista3"/>
      </w:pPr>
      <w:r>
        <w:t xml:space="preserve">it will normally appear inside block-level containers for intrinsic structure </w:t>
      </w:r>
      <w:r>
        <w:rPr>
          <w:noProof/>
        </w:rPr>
        <w:t>(</w:t>
      </w:r>
      <w:r>
        <w:t>§</w:t>
      </w:r>
      <w:r>
        <w:fldChar w:fldCharType="begin"/>
      </w:r>
      <w:r>
        <w:instrText xml:space="preserve"> REF _Ref43978632 \w \h  \* MERGEFORMAT </w:instrText>
      </w:r>
      <w:r>
        <w:fldChar w:fldCharType="separate"/>
      </w:r>
      <w:r>
        <w:t>3</w:t>
      </w:r>
      <w:r>
        <w:fldChar w:fldCharType="end"/>
      </w:r>
      <w:r>
        <w:t>), often interrupting the course of the text within such containers</w:t>
      </w:r>
    </w:p>
    <w:p w14:paraId="519C6392" w14:textId="77777777">
      <w:pPr>
        <w:pStyle w:val="Lista4"/>
      </w:pPr>
      <w:r>
        <w:t>the occurrence of such an interruption is encoded on the page and line beginnings and does not affect the markup for forme work</w:t>
      </w:r>
    </w:p>
    <w:p w14:paraId="77A4AD14" w14:textId="51EDCD77">
      <w:pPr>
        <w:pStyle w:val="Lista3"/>
      </w:pPr>
      <w:r>
        <w:t xml:space="preserve">the </w:t>
      </w:r>
      <w:r>
        <w:rPr>
          <w:rStyle w:val="Code"/>
        </w:rPr>
        <w:t>&lt;fw&gt;</w:t>
      </w:r>
      <w:r>
        <w:t xml:space="preserve"> element may be outside block-level containers when forme work is present on a page whose </w:t>
      </w:r>
      <w:r>
        <w:rPr>
          <w:rStyle w:val="Code"/>
        </w:rPr>
        <w:t>&lt;pb/&gt;</w:t>
      </w:r>
      <w:r>
        <w:t xml:space="preserve"> element is outside block-level containers, i.e. in the rare but potentially possible cases where a page bears forme work, but the rest of the page is blank </w:t>
      </w:r>
      <w:r>
        <w:rPr>
          <w:noProof/>
        </w:rPr>
        <w:t>(</w:t>
      </w:r>
      <w:r>
        <w:t>§</w:t>
      </w:r>
      <w:r>
        <w:fldChar w:fldCharType="begin"/>
      </w:r>
      <w:r>
        <w:instrText xml:space="preserve"> REF _Ref182318940 \r \h </w:instrText>
      </w:r>
      <w:r>
        <w:fldChar w:fldCharType="separate"/>
      </w:r>
      <w:r>
        <w:t>4.4.2.2</w:t>
      </w:r>
      <w:r>
        <w:fldChar w:fldCharType="end"/>
      </w:r>
      <w:r>
        <w:t xml:space="preserve">) or lacunose </w:t>
      </w:r>
      <w:r>
        <w:rPr>
          <w:noProof/>
        </w:rPr>
        <w:t>(</w:t>
      </w:r>
      <w:r>
        <w:t>§</w:t>
      </w:r>
      <w:r>
        <w:fldChar w:fldCharType="begin"/>
      </w:r>
      <w:r>
        <w:instrText xml:space="preserve"> REF _Ref43981711 \w \h  \* MERGEFORMAT </w:instrText>
      </w:r>
      <w:r>
        <w:fldChar w:fldCharType="separate"/>
      </w:r>
      <w:r>
        <w:t>6.5.4</w:t>
      </w:r>
      <w:r>
        <w:fldChar w:fldCharType="end"/>
      </w:r>
      <w:r>
        <w:t>)</w:t>
      </w:r>
    </w:p>
    <w:p w14:paraId="0390DEB1" w14:textId="77777777">
      <w:pPr>
        <w:pStyle w:val="Lista"/>
      </w:pPr>
      <w:r>
        <w:t xml:space="preserve">should your inscription have two </w:t>
      </w:r>
      <w:r>
        <w:rPr>
          <w:noProof/>
        </w:rPr>
        <w:t>(</w:t>
      </w:r>
      <w:r>
        <w:t xml:space="preserve">or more) foliation marks on a single page, encode two </w:t>
      </w:r>
      <w:r>
        <w:rPr>
          <w:noProof/>
        </w:rPr>
        <w:t>(</w:t>
      </w:r>
      <w:r>
        <w:t xml:space="preserve">or more) </w:t>
      </w:r>
      <w:r>
        <w:rPr>
          <w:rStyle w:val="Code"/>
        </w:rPr>
        <w:t>&lt;fw&gt;</w:t>
      </w:r>
      <w:r>
        <w:t xml:space="preserve"> elements one after the other, in an order that seems most logical</w:t>
      </w:r>
    </w:p>
    <w:p w14:paraId="67BBDAAE" w14:textId="77777777">
      <w:pPr>
        <w:pStyle w:val="Lista2"/>
      </w:pPr>
      <w:r>
        <w:lastRenderedPageBreak/>
        <w:t xml:space="preserve">in this case, add trailing numbers to the number generated from the page number, e.g. </w:t>
      </w:r>
      <w:r>
        <w:rPr>
          <w:rStyle w:val="Code"/>
        </w:rPr>
        <w:t>&lt;fw</w:t>
      </w:r>
      <w:r>
        <w:rPr>
          <w:rStyle w:val="Codeattribute"/>
        </w:rPr>
        <w:t xml:space="preserve"> n</w:t>
      </w:r>
      <w:r>
        <w:rPr>
          <w:rStyle w:val="Code"/>
        </w:rPr>
        <w:t>=</w:t>
      </w:r>
      <w:r>
        <w:rPr>
          <w:rStyle w:val="Codevalue"/>
        </w:rPr>
        <w:t>"2v1"</w:t>
      </w:r>
      <w:r>
        <w:rPr>
          <w:rStyle w:val="Code"/>
        </w:rPr>
        <w:t>&gt;</w:t>
      </w:r>
      <w:r>
        <w:t xml:space="preserve">, </w:t>
      </w:r>
      <w:r>
        <w:rPr>
          <w:rStyle w:val="Code"/>
        </w:rPr>
        <w:t>&lt;fw</w:t>
      </w:r>
      <w:r>
        <w:rPr>
          <w:rStyle w:val="Codeattribute"/>
        </w:rPr>
        <w:t xml:space="preserve"> n</w:t>
      </w:r>
      <w:r>
        <w:rPr>
          <w:rStyle w:val="Code"/>
        </w:rPr>
        <w:t>=</w:t>
      </w:r>
      <w:r>
        <w:rPr>
          <w:rStyle w:val="Codevalue"/>
        </w:rPr>
        <w:t>"2v2"</w:t>
      </w:r>
      <w:r>
        <w:rPr>
          <w:rStyle w:val="Code"/>
        </w:rPr>
        <w:t>&gt;</w:t>
      </w:r>
      <w:r>
        <w:t>, etc.</w:t>
      </w:r>
    </w:p>
    <w:p w14:paraId="2CC12FC3" w14:textId="7E4F14F4">
      <w:pPr>
        <w:pStyle w:val="Cmsor4"/>
      </w:pPr>
      <w:r>
        <w:t>The content of forme work</w:t>
      </w:r>
    </w:p>
    <w:p w14:paraId="0A520A8F" w14:textId="77777777">
      <w:pPr>
        <w:pStyle w:val="Lista"/>
      </w:pPr>
      <w:r>
        <w:t xml:space="preserve">the </w:t>
      </w:r>
      <w:r>
        <w:rPr>
          <w:rStyle w:val="Code"/>
        </w:rPr>
        <w:t>&lt;fw&gt;</w:t>
      </w:r>
      <w:r>
        <w:t xml:space="preserve"> element shall by default be the direct parent of the text of the forme work, without an additional text container such as </w:t>
      </w:r>
      <w:r>
        <w:rPr>
          <w:rStyle w:val="Code"/>
        </w:rPr>
        <w:t>&lt;ab&gt;</w:t>
      </w:r>
    </w:p>
    <w:p w14:paraId="086BC4B4" w14:textId="77777777">
      <w:pPr>
        <w:pStyle w:val="Lista"/>
      </w:pPr>
      <w:r>
        <w:t>as a rule, line beginnings  shall not be marked up within forme work, with the following exceptions</w:t>
      </w:r>
    </w:p>
    <w:p w14:paraId="2965DC13" w14:textId="5C96D12E">
      <w:pPr>
        <w:pStyle w:val="Lista2"/>
      </w:pPr>
      <w:r>
        <w:t xml:space="preserve">should you encounter forme work written in two or more distinct lines, use an </w:t>
      </w:r>
      <w:r>
        <w:rPr>
          <w:rStyle w:val="Code"/>
        </w:rPr>
        <w:t>&lt;lb/&gt;</w:t>
      </w:r>
      <w:r>
        <w:t xml:space="preserve"> element (§</w:t>
      </w:r>
      <w:r>
        <w:fldChar w:fldCharType="begin"/>
      </w:r>
      <w:r>
        <w:instrText xml:space="preserve"> REF _Ref224720139 \r \h </w:instrText>
      </w:r>
      <w:r>
        <w:fldChar w:fldCharType="separate"/>
      </w:r>
      <w:r>
        <w:t>4.5</w:t>
      </w:r>
      <w:r>
        <w:fldChar w:fldCharType="end"/>
      </w:r>
      <w:r>
        <w:t>) to encode each line beginning</w:t>
      </w:r>
    </w:p>
    <w:p w14:paraId="43B87E99" w14:textId="77777777">
      <w:pPr>
        <w:pStyle w:val="Lista3"/>
      </w:pPr>
      <w:r>
        <w:t xml:space="preserve">in this case we recommend using line numbers prefixed with the number of the </w:t>
      </w:r>
      <w:r>
        <w:rPr>
          <w:rStyle w:val="Code"/>
        </w:rPr>
        <w:t>&lt;fw&gt;</w:t>
      </w:r>
      <w:r>
        <w:t xml:space="preserve"> element, e.g. “1r-1”, “1r-2”, etc.</w:t>
      </w:r>
    </w:p>
    <w:p w14:paraId="17DD882E" w14:textId="5C4F8E54">
      <w:pPr>
        <w:pStyle w:val="Lista2"/>
      </w:pPr>
      <w:r>
        <w:t xml:space="preserve">if the orientation of the forme work is different from that of the principal field, then this can be encoded optionally, but only on </w:t>
      </w:r>
      <w:r>
        <w:rPr>
          <w:rStyle w:val="Code"/>
        </w:rPr>
        <w:t>&lt;lb/&gt;</w:t>
      </w:r>
      <w:r>
        <w:t xml:space="preserve"> elements, therefore if you wish to avail of the option, create a line beginning within the forme work and encode orientation on this </w:t>
      </w:r>
      <w:r>
        <w:rPr>
          <w:rStyle w:val="Code"/>
        </w:rPr>
        <w:t>&lt;lb/&gt;</w:t>
      </w:r>
      <w:r>
        <w:t xml:space="preserve"> element as per §</w:t>
      </w:r>
      <w:r>
        <w:fldChar w:fldCharType="begin"/>
      </w:r>
      <w:r>
        <w:instrText xml:space="preserve"> REF _Ref43984782 \r \h </w:instrText>
      </w:r>
      <w:r>
        <w:fldChar w:fldCharType="separate"/>
      </w:r>
      <w:r>
        <w:t>8.5.2</w:t>
      </w:r>
      <w:r>
        <w:fldChar w:fldCharType="end"/>
      </w:r>
    </w:p>
    <w:p w14:paraId="28BE02F6" w14:textId="77777777">
      <w:pPr>
        <w:pStyle w:val="Lista"/>
      </w:pPr>
      <w:r>
        <w:t>numeral signs used in foliation/pagination must be marked up as usual</w:t>
      </w:r>
    </w:p>
    <w:p w14:paraId="1C845E54" w14:textId="64D6E51D">
      <w:pPr>
        <w:pStyle w:val="Lista2"/>
      </w:pPr>
      <w:r>
        <w:t>for numeric glyphs other than decimal digits (§</w:t>
      </w:r>
      <w:r>
        <w:fldChar w:fldCharType="begin"/>
      </w:r>
      <w:r>
        <w:instrText xml:space="preserve"> REF _Ref225950738 \r \h </w:instrText>
      </w:r>
      <w:r>
        <w:fldChar w:fldCharType="separate"/>
      </w:r>
      <w:r>
        <w:t>5.3.1</w:t>
      </w:r>
      <w:r>
        <w:fldChar w:fldCharType="end"/>
      </w:r>
      <w:r>
        <w:t>)</w:t>
      </w:r>
    </w:p>
    <w:p w14:paraId="1D237085" w14:textId="2ED011AF">
      <w:pPr>
        <w:pStyle w:val="Lista2"/>
      </w:pPr>
      <w:r>
        <w:t>for the number denoted by the signs (§</w:t>
      </w:r>
      <w:r>
        <w:fldChar w:fldCharType="begin"/>
      </w:r>
      <w:r>
        <w:instrText xml:space="preserve"> REF _Ref43980607 \r \h  \* MERGEFORMAT </w:instrText>
      </w:r>
      <w:r>
        <w:fldChar w:fldCharType="separate"/>
      </w:r>
      <w:r>
        <w:t>9.1</w:t>
      </w:r>
      <w:r>
        <w:fldChar w:fldCharType="end"/>
      </w:r>
      <w:r>
        <w:t>)</w:t>
      </w:r>
    </w:p>
    <w:p w14:paraId="73A0540A" w14:textId="77777777">
      <w:pPr>
        <w:pStyle w:val="Cmsor3"/>
      </w:pPr>
      <w:bookmarkStart w:id="324" w:name="_Ref225759775"/>
      <w:bookmarkStart w:id="325" w:name="_Toc242889482"/>
      <w:r>
        <w:t>When to use textpart divisions</w:t>
      </w:r>
      <w:bookmarkEnd w:id="324"/>
      <w:bookmarkEnd w:id="325"/>
    </w:p>
    <w:p w14:paraId="68C4E689" w14:textId="1B0E4ACF">
      <w:r>
        <w:t xml:space="preserve">Since most of the texts for which we create documentary editions are not long enough to warrant division into chapters on a purely semantic basis, in DHARMA encoding practice we strive to keep complexity down by restricting the use of textpart divisions to well-warranted situations where a major semantic division coincides with a conspicuous break in extrinsic structure. To continue our book analogy for structural elements, we prefer to create textpart divisions for units whose semantic independence is not merely like that of chapters in any book, but more like that of short stories in an anthology or scholarly articles in a compiled volume. This section identifies the specific situations for which we consider textpart divisions ideal or acceptable. </w:t>
      </w:r>
    </w:p>
    <w:p w14:paraId="64CD0CFB" w14:textId="4F30D507">
      <w:pPr>
        <w:pStyle w:val="Normlbehzs"/>
      </w:pPr>
      <w:r>
        <w:t>In any other case where you feel that textpart partitions may be relevant for a text partitioned into physical and semantic sections, consider carefully whether this encoding method is ideal, or if alternatives would be feasible (on which see also §</w:t>
      </w:r>
      <w:r>
        <w:fldChar w:fldCharType="begin"/>
      </w:r>
      <w:r>
        <w:instrText xml:space="preserve"> REF _Ref225781091 \r \h </w:instrText>
      </w:r>
      <w:r>
        <w:fldChar w:fldCharType="separate"/>
      </w:r>
      <w:r>
        <w:t>4.7.4.2</w:t>
      </w:r>
      <w:r>
        <w:fldChar w:fldCharType="end"/>
      </w:r>
      <w:r>
        <w:t>).</w:t>
      </w:r>
    </w:p>
    <w:p w14:paraId="2977D2A6" w14:textId="77777777">
      <w:pPr>
        <w:pStyle w:val="Cmsor4"/>
      </w:pPr>
      <w:r>
        <w:t>Copperplate sets with an inscribed seal</w:t>
      </w:r>
    </w:p>
    <w:p w14:paraId="74D8FF7F" w14:textId="192B5AF5">
      <w:r>
        <w:t xml:space="preserve">Since the seal text is not an integral part of the text of a copperplate charter, we always encode copperplate sets with inscribed seals as textpart divisions, as shown in </w:t>
      </w:r>
      <w:r>
        <w:fldChar w:fldCharType="begin"/>
      </w:r>
      <w:r>
        <w:instrText xml:space="preserve"> REF _Ref44078277 \h </w:instrText>
      </w:r>
      <w:r>
        <w:fldChar w:fldCharType="separate"/>
      </w:r>
      <w:r>
        <w:t xml:space="preserve">Exhibit </w:t>
      </w:r>
      <w:r>
        <w:rPr>
          <w:noProof/>
        </w:rPr>
        <w:t>4.7</w:t>
      </w:r>
      <w:r>
        <w:t>.</w:t>
      </w:r>
      <w:r>
        <w:rPr>
          <w:noProof/>
        </w:rPr>
        <w:t>H</w:t>
      </w:r>
      <w:r>
        <w:fldChar w:fldCharType="end"/>
      </w:r>
      <w:r>
        <w:t>.</w:t>
      </w:r>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14:paraId="67D579B4"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43CE9922" w14:textId="40C799B5">
            <w:pPr>
              <w:pStyle w:val="Kpalrs"/>
            </w:pPr>
            <w:bookmarkStart w:id="326" w:name="_Ref44078277"/>
            <w:r>
              <w:t xml:space="preserve">Exhibit </w:t>
            </w:r>
            <w:fldSimple w:instr=" STYLEREF 2 \s ">
              <w:r>
                <w:rPr>
                  <w:noProof/>
                </w:rPr>
                <w:t>4.7</w:t>
              </w:r>
            </w:fldSimple>
            <w:r>
              <w:t>.</w:t>
            </w:r>
            <w:fldSimple w:instr=" SEQ Exhibit \* ALPHABETIC \s 2 ">
              <w:r>
                <w:rPr>
                  <w:noProof/>
                </w:rPr>
                <w:t>H</w:t>
              </w:r>
            </w:fldSimple>
            <w:bookmarkEnd w:id="326"/>
            <w:r>
              <w:t>: copper plates with inscribed seal</w:t>
            </w:r>
          </w:p>
        </w:tc>
      </w:tr>
      <w:tr w14:paraId="4A576B07" w14:textId="77777777">
        <w:trPr>
          <w:jc w:val="right"/>
        </w:trPr>
        <w:tc>
          <w:tcPr>
            <w:tcW w:w="5000" w:type="pct"/>
          </w:tcPr>
          <w:p w14:paraId="03AACBC1" w14:textId="77777777">
            <w:pPr>
              <w:pStyle w:val="Image"/>
              <w:rPr>
                <w:rStyle w:val="Code"/>
              </w:rPr>
            </w:pPr>
            <w:r>
              <w:rPr>
                <w:rStyle w:val="Code"/>
              </w:rPr>
              <w:drawing>
                <wp:inline distT="0" distB="0" distL="0" distR="0" wp14:anchorId="1C17EA7A" wp14:editId="5C8B0CEE">
                  <wp:extent cx="2674800" cy="802800"/>
                  <wp:effectExtent l="0" t="0" r="0" b="0"/>
                  <wp:docPr id="710604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74800" cy="802800"/>
                          </a:xfrm>
                          <a:prstGeom prst="rect">
                            <a:avLst/>
                          </a:prstGeom>
                          <a:noFill/>
                          <a:ln>
                            <a:noFill/>
                          </a:ln>
                        </pic:spPr>
                      </pic:pic>
                    </a:graphicData>
                  </a:graphic>
                </wp:inline>
              </w:drawing>
            </w:r>
          </w:p>
        </w:tc>
      </w:tr>
      <w:tr w14:paraId="5E8B8BB3" w14:textId="77777777">
        <w:trPr>
          <w:jc w:val="right"/>
        </w:trPr>
        <w:tc>
          <w:tcPr>
            <w:tcW w:w="5000" w:type="pct"/>
          </w:tcPr>
          <w:p w14:paraId="16B1C310" w14:textId="77777777">
            <w:pPr>
              <w:pStyle w:val="CodeParagraph"/>
              <w:keepNext/>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14:paraId="3C94F648" w14:textId="77777777">
            <w:pPr>
              <w:pStyle w:val="CodeParagraph"/>
              <w:keepNext/>
              <w:rPr>
                <w:rStyle w:val="Code"/>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p>
          <w:p w14:paraId="39B90E36" w14:textId="77777777">
            <w:pPr>
              <w:pStyle w:val="CodeParagraph"/>
              <w:keepNext/>
              <w:rPr>
                <w:rStyle w:val="Code"/>
              </w:rPr>
            </w:pPr>
            <w:r>
              <w:rPr>
                <w:rStyle w:val="Code"/>
              </w:rPr>
              <w:t xml:space="preserve">    &lt;head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text"/>
              </w:rPr>
              <w:br/>
              <w:t xml:space="preserve">    ...</w:t>
            </w:r>
            <w:r>
              <w:rPr>
                <w:rStyle w:val="Codetext"/>
              </w:rPr>
              <w:br/>
            </w:r>
            <w:r>
              <w:rPr>
                <w:rStyle w:val="Code"/>
              </w:rPr>
              <w:t xml:space="preserve">  &lt;/div&gt;</w:t>
            </w:r>
          </w:p>
          <w:p w14:paraId="0B62F03B" w14:textId="77777777">
            <w:pPr>
              <w:pStyle w:val="CodeParagraph"/>
              <w:keepNext/>
              <w:rPr>
                <w:rStyle w:val="Code"/>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&gt;</w:t>
            </w:r>
          </w:p>
          <w:p w14:paraId="6DA6CD44" w14:textId="77777777">
            <w:pPr>
              <w:pStyle w:val="CodeParagraph"/>
              <w:keepNext/>
              <w:rPr>
                <w:rStyle w:val="Codetext"/>
              </w:rPr>
            </w:pPr>
            <w:r>
              <w:rPr>
                <w:rStyle w:val="Code"/>
              </w:rPr>
              <w:t xml:space="preserve">    &lt;head </w:t>
            </w:r>
            <w:r>
              <w:rPr>
                <w:rStyle w:val="Codeattribute"/>
              </w:rPr>
              <w:t>xml:lang</w:t>
            </w:r>
            <w:r>
              <w:rPr>
                <w:rStyle w:val="Code"/>
              </w:rPr>
              <w:t>=</w:t>
            </w:r>
            <w:r>
              <w:rPr>
                <w:rStyle w:val="Codevalue"/>
              </w:rPr>
              <w:t>"eng"</w:t>
            </w:r>
            <w:r>
              <w:rPr>
                <w:rStyle w:val="Code"/>
              </w:rPr>
              <w:t>&gt;</w:t>
            </w:r>
            <w:r>
              <w:rPr>
                <w:rStyle w:val="Codetext"/>
              </w:rPr>
              <w:t>Plates</w:t>
            </w:r>
            <w:r>
              <w:rPr>
                <w:rStyle w:val="Code"/>
              </w:rPr>
              <w:t>&lt;/head&gt;</w:t>
            </w:r>
            <w:r>
              <w:rPr>
                <w:rStyle w:val="Codetext"/>
              </w:rPr>
              <w:br/>
              <w:t xml:space="preserve">    ...</w:t>
            </w:r>
          </w:p>
          <w:p w14:paraId="331D8EA2" w14:textId="77777777">
            <w:pPr>
              <w:pStyle w:val="CodeParagraph"/>
              <w:keepNext/>
              <w:rPr>
                <w:rStyle w:val="Code"/>
              </w:rPr>
            </w:pPr>
            <w:r>
              <w:rPr>
                <w:rStyle w:val="Code"/>
              </w:rPr>
              <w:t xml:space="preserve">  &lt;/div&gt;</w:t>
            </w:r>
          </w:p>
          <w:p w14:paraId="0FF5AA1B" w14:textId="77777777">
            <w:pPr>
              <w:pStyle w:val="CodeParagraph"/>
              <w:keepNext/>
              <w:rPr>
                <w:rFonts w:ascii="Consolas" w:hAnsi="Consolas" w:cs="Consolas"/>
                <w:noProof/>
                <w:color w:val="002060"/>
                <w:shd w:val="clear" w:color="auto" w:fill="F2F2F2" w:themeFill="background1" w:themeFillShade="F2"/>
              </w:rPr>
            </w:pPr>
            <w:r>
              <w:rPr>
                <w:rStyle w:val="Code"/>
              </w:rPr>
              <w:t>&lt;/div&gt;</w:t>
            </w:r>
          </w:p>
        </w:tc>
      </w:tr>
      <w:tr w14:paraId="528272FE" w14:textId="77777777">
        <w:trPr>
          <w:jc w:val="right"/>
        </w:trPr>
        <w:tc>
          <w:tcPr>
            <w:tcW w:w="5000" w:type="pct"/>
          </w:tcPr>
          <w:p w14:paraId="2A7B2D37" w14:textId="3DE579DD">
            <w:pPr>
              <w:pStyle w:val="TableNote"/>
              <w:rPr>
                <w:rStyle w:val="Code"/>
              </w:rPr>
            </w:pPr>
            <w:r>
              <w:t xml:space="preserve">complete encoded illustration: </w:t>
            </w:r>
            <w:r>
              <w:fldChar w:fldCharType="begin"/>
            </w:r>
            <w:r>
              <w:instrText xml:space="preserve"> REF _Ref239844290 \r \h </w:instrText>
            </w:r>
            <w:r>
              <w:fldChar w:fldCharType="separate"/>
            </w:r>
            <w:r>
              <w:t>Appendix A.2</w:t>
            </w:r>
            <w:r>
              <w:fldChar w:fldCharType="end"/>
            </w:r>
          </w:p>
        </w:tc>
      </w:tr>
    </w:tbl>
    <w:p w14:paraId="71825635" w14:textId="44A91E98">
      <w:pPr>
        <w:pStyle w:val="Lista"/>
      </w:pPr>
      <w:r>
        <w:t>this applies to single or multiple plates provided with a seal inscription that is represented in the edition, regardless of whether the seal is soldered to a plate, attached with a ring to a set of plates, or currently detached</w:t>
      </w:r>
    </w:p>
    <w:p w14:paraId="30322A96" w14:textId="77777777">
      <w:pPr>
        <w:pStyle w:val="Lista2"/>
      </w:pPr>
      <w:r>
        <w:t>including seal inscriptions which are completely illegible and represented only as a lacuna</w:t>
      </w:r>
    </w:p>
    <w:p w14:paraId="6BB50D95" w14:textId="65F38854">
      <w:pPr>
        <w:pStyle w:val="Lista2"/>
      </w:pPr>
      <w:r>
        <w:t>but excluding cases where no seal inscription is represented in the edition for any reason, such as</w:t>
      </w:r>
    </w:p>
    <w:p w14:paraId="0C8CCA98" w14:textId="71746E74">
      <w:pPr>
        <w:pStyle w:val="Lista3"/>
      </w:pPr>
      <w:r>
        <w:t>when the seal never bore an inscription</w:t>
      </w:r>
    </w:p>
    <w:p w14:paraId="0F9B6465" w14:textId="27A9EC26">
      <w:pPr>
        <w:pStyle w:val="Lista3"/>
      </w:pPr>
      <w:r>
        <w:t>when the seal as a whole is lost</w:t>
      </w:r>
    </w:p>
    <w:p w14:paraId="1BD7077D" w14:textId="609927BB">
      <w:pPr>
        <w:pStyle w:val="Lista"/>
      </w:pPr>
      <w:r>
        <w:t>for the sake of consistency throughout the corpus, the textpart for the seal text shall precede the textpart for the plates</w:t>
      </w:r>
    </w:p>
    <w:p w14:paraId="234711B7" w14:textId="77777777">
      <w:pPr>
        <w:pStyle w:val="Lista2"/>
      </w:pPr>
      <w:r>
        <w:t>unless the seal’s point of attachment is at the bottom of a single plate</w:t>
      </w:r>
    </w:p>
    <w:p w14:paraId="787F6202" w14:textId="3D31E25F">
      <w:pPr>
        <w:pStyle w:val="Lista"/>
      </w:pPr>
      <w:r>
        <w:lastRenderedPageBreak/>
        <w:t>should more than one inscribed seal be present, create separate textparts for each, in the sequence you deem most appropriate</w:t>
      </w:r>
    </w:p>
    <w:p w14:paraId="49DFE056" w14:textId="0FFE93B9">
      <w:pPr>
        <w:pStyle w:val="Lista"/>
      </w:pPr>
      <w:r>
        <w:t xml:space="preserve">the textparts shall be numbered normally, without </w:t>
      </w:r>
      <w:r>
        <w:rPr>
          <w:rStyle w:val="Codeattribute"/>
        </w:rPr>
        <w:t>@subtype</w:t>
      </w:r>
      <w:r>
        <w:t xml:space="preserve">, but with custom headings “Seal” and “Plates” as shown in </w:t>
      </w:r>
      <w:r>
        <w:fldChar w:fldCharType="begin"/>
      </w:r>
      <w:r>
        <w:instrText xml:space="preserve"> REF _Ref44078277 \h </w:instrText>
      </w:r>
      <w:r>
        <w:fldChar w:fldCharType="separate"/>
      </w:r>
      <w:r>
        <w:t xml:space="preserve">Exhibit </w:t>
      </w:r>
      <w:r>
        <w:rPr>
          <w:noProof/>
        </w:rPr>
        <w:t>4.7</w:t>
      </w:r>
      <w:r>
        <w:t>.</w:t>
      </w:r>
      <w:r>
        <w:rPr>
          <w:noProof/>
        </w:rPr>
        <w:t>H</w:t>
      </w:r>
      <w:r>
        <w:fldChar w:fldCharType="end"/>
      </w:r>
    </w:p>
    <w:p w14:paraId="2CAE1597" w14:textId="77777777">
      <w:pPr>
        <w:pStyle w:val="Lista2"/>
      </w:pPr>
      <w:r>
        <w:t>for more than one inscribed seal, use “First seal,” “Second seal,” etc. in the headings</w:t>
      </w:r>
    </w:p>
    <w:p w14:paraId="2D7F0D3C" w14:textId="77777777">
      <w:pPr>
        <w:pStyle w:val="Cmsor4"/>
      </w:pPr>
      <w:bookmarkStart w:id="327" w:name="_Ref225346692"/>
      <w:r>
        <w:t>Non-contiguous fragments</w:t>
      </w:r>
      <w:bookmarkEnd w:id="327"/>
    </w:p>
    <w:p w14:paraId="7E2B864B" w14:textId="08803C8E">
      <w:pPr>
        <w:rPr>
          <w:lang w:eastAsia="en-US" w:bidi="ar-SA"/>
        </w:rPr>
      </w:pPr>
      <w:r>
        <w:rPr>
          <w:lang w:eastAsia="en-US" w:bidi="ar-SA"/>
        </w:rPr>
        <w:t xml:space="preserve">When an inscription survives in two or more fragments which were not physically contiguous on the unbroken support, it is usually not possible to reconstruct how many lines of text were lost between the two fragments. Sometimes, even the order in which the extant fragments were meant to be read may be doubtful. In such cases it is best to encode each fragment as a standalone textpart as in </w:t>
      </w:r>
      <w:r>
        <w:fldChar w:fldCharType="begin"/>
      </w:r>
      <w:r>
        <w:instrText xml:space="preserve"> REF _Ref44078070 \h </w:instrText>
      </w:r>
      <w:r>
        <w:fldChar w:fldCharType="separate"/>
      </w:r>
      <w:r>
        <w:t xml:space="preserve">Exhibit </w:t>
      </w:r>
      <w:r>
        <w:rPr>
          <w:noProof/>
        </w:rPr>
        <w:t>4.7</w:t>
      </w:r>
      <w:r>
        <w:t>.</w:t>
      </w:r>
      <w:r>
        <w:rPr>
          <w:noProof/>
        </w:rPr>
        <w:t>I</w:t>
      </w:r>
      <w:r>
        <w:fldChar w:fldCharType="end"/>
      </w:r>
      <w:r>
        <w:rPr>
          <w:lang w:eastAsia="en-US" w:bidi="ar-SA"/>
        </w:rPr>
        <w:t>, with the lines numbered separately in each.</w:t>
      </w:r>
    </w:p>
    <w:tbl>
      <w:tblPr>
        <w:tblStyle w:val="CodeSampleTable"/>
        <w:tblpPr w:leftFromText="180" w:rightFromText="180" w:vertAnchor="text" w:tblpXSpec="right" w:tblpY="1"/>
        <w:tblOverlap w:val="never"/>
        <w:tblW w:w="5103" w:type="dxa"/>
        <w:jc w:val="right"/>
        <w:tblLook w:val="04A0" w:firstRow="1" w:lastRow="0" w:firstColumn="1" w:lastColumn="0" w:noHBand="0" w:noVBand="1"/>
      </w:tblPr>
      <w:tblGrid>
        <w:gridCol w:w="5112"/>
      </w:tblGrid>
      <w:tr w14:paraId="36795EF2"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66CBE0BB" w14:textId="30FD4B0D">
            <w:pPr>
              <w:pStyle w:val="Kpalrs"/>
              <w:keepLines/>
            </w:pPr>
            <w:bookmarkStart w:id="328" w:name="_Ref44078070"/>
            <w:r>
              <w:t xml:space="preserve">Exhibit </w:t>
            </w:r>
            <w:fldSimple w:instr=" STYLEREF 2 \s ">
              <w:r>
                <w:rPr>
                  <w:noProof/>
                </w:rPr>
                <w:t>4.7</w:t>
              </w:r>
            </w:fldSimple>
            <w:r>
              <w:t>.</w:t>
            </w:r>
            <w:fldSimple w:instr=" SEQ Exhibit \* ALPHABETIC \s 2 ">
              <w:r>
                <w:rPr>
                  <w:noProof/>
                </w:rPr>
                <w:t>I</w:t>
              </w:r>
            </w:fldSimple>
            <w:bookmarkEnd w:id="328"/>
            <w:r>
              <w:t>: non-contiguous fragments</w:t>
            </w:r>
          </w:p>
        </w:tc>
      </w:tr>
      <w:tr w14:paraId="4442DFDA" w14:textId="77777777">
        <w:trPr>
          <w:jc w:val="right"/>
        </w:trPr>
        <w:tc>
          <w:tcPr>
            <w:tcW w:w="5000" w:type="pct"/>
          </w:tcPr>
          <w:p w14:paraId="693C2ACD" w14:textId="77777777">
            <w:pPr>
              <w:pStyle w:val="Image"/>
            </w:pPr>
            <w:r>
              <w:drawing>
                <wp:inline distT="0" distB="0" distL="0" distR="0" wp14:anchorId="5D7BF2A8" wp14:editId="7718FBF5">
                  <wp:extent cx="3240000" cy="2203200"/>
                  <wp:effectExtent l="0" t="0" r="0" b="6985"/>
                  <wp:docPr id="87249328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203200"/>
                          </a:xfrm>
                          <a:prstGeom prst="rect">
                            <a:avLst/>
                          </a:prstGeom>
                          <a:noFill/>
                          <a:ln>
                            <a:noFill/>
                          </a:ln>
                        </pic:spPr>
                      </pic:pic>
                    </a:graphicData>
                  </a:graphic>
                </wp:inline>
              </w:drawing>
            </w:r>
          </w:p>
        </w:tc>
      </w:tr>
      <w:tr w14:paraId="325E4E21" w14:textId="77777777">
        <w:trPr>
          <w:jc w:val="right"/>
        </w:trPr>
        <w:tc>
          <w:tcPr>
            <w:tcW w:w="5000" w:type="pct"/>
          </w:tcPr>
          <w:p w14:paraId="54927ED1" w14:textId="77777777">
            <w:pPr>
              <w:pStyle w:val="CodeParagraph"/>
              <w:keepLines/>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14:paraId="131802DA" w14:textId="77777777">
            <w:pPr>
              <w:pStyle w:val="CodeParagraph"/>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p>
          <w:p w14:paraId="1B322064" w14:textId="77777777">
            <w:pPr>
              <w:pStyle w:val="CodeParagraph"/>
              <w:keepLines/>
              <w:rPr>
                <w:rStyle w:val="Code"/>
              </w:rPr>
            </w:pPr>
            <w:r>
              <w:rPr>
                <w:rStyle w:val="Code"/>
              </w:rPr>
              <w:t xml:space="preserve">  &lt;/div&gt;</w:t>
            </w:r>
          </w:p>
          <w:p w14:paraId="6D1162D5" w14:textId="77777777">
            <w:pPr>
              <w:pStyle w:val="CodeParagraph"/>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p>
          <w:p w14:paraId="4F0982A9" w14:textId="77777777">
            <w:pPr>
              <w:pStyle w:val="CodeParagraph"/>
              <w:keepLines/>
              <w:rPr>
                <w:rStyle w:val="Code"/>
              </w:rPr>
            </w:pPr>
            <w:r>
              <w:rPr>
                <w:rStyle w:val="Code"/>
              </w:rPr>
              <w:t xml:space="preserve">  &lt;/div&gt;</w:t>
            </w:r>
          </w:p>
          <w:p w14:paraId="3AE65BD8" w14:textId="77777777">
            <w:pPr>
              <w:pStyle w:val="CodeParagraph"/>
              <w:keepLines/>
              <w:rPr>
                <w:rFonts w:ascii="Consolas" w:hAnsi="Consolas" w:cs="Consolas"/>
                <w:noProof/>
                <w:color w:val="002060"/>
                <w:shd w:val="clear" w:color="auto" w:fill="F2F2F2" w:themeFill="background1" w:themeFillShade="F2"/>
              </w:rPr>
            </w:pPr>
            <w:r>
              <w:rPr>
                <w:rStyle w:val="Code"/>
              </w:rPr>
              <w:t>&lt;/div&gt;</w:t>
            </w:r>
          </w:p>
        </w:tc>
      </w:tr>
      <w:tr w14:paraId="6E7880F3" w14:textId="77777777">
        <w:trPr>
          <w:jc w:val="right"/>
        </w:trPr>
        <w:tc>
          <w:tcPr>
            <w:tcW w:w="5000" w:type="pct"/>
          </w:tcPr>
          <w:p w14:paraId="66E8079A" w14:textId="20EEE81B">
            <w:pPr>
              <w:pStyle w:val="TableNote"/>
              <w:rPr>
                <w:rStyle w:val="Code"/>
              </w:rPr>
            </w:pPr>
            <w:r>
              <w:t xml:space="preserve">complete encoded illustration: </w:t>
            </w:r>
            <w:r>
              <w:fldChar w:fldCharType="begin"/>
            </w:r>
            <w:r>
              <w:instrText xml:space="preserve"> REF _Ref239844299 \r \h </w:instrText>
            </w:r>
            <w:r>
              <w:fldChar w:fldCharType="separate"/>
            </w:r>
            <w:r>
              <w:t>Appendix A.1</w:t>
            </w:r>
            <w:r>
              <w:fldChar w:fldCharType="end"/>
            </w:r>
          </w:p>
        </w:tc>
      </w:tr>
    </w:tbl>
    <w:p w14:paraId="1FF7DA99" w14:textId="77777777">
      <w:pPr>
        <w:pStyle w:val="Lista"/>
      </w:pPr>
      <w:r>
        <w:t>this applies whenever the text connecting the extant parts of the text is not represented at all in the edition</w:t>
      </w:r>
    </w:p>
    <w:p w14:paraId="0289DDDA" w14:textId="3D296309">
      <w:pPr>
        <w:pStyle w:val="Lista2"/>
      </w:pPr>
      <w:r>
        <w:t>such a situation might also come about in an inscription that is not fragmented, but so thoroughly worn in the middle that its lines cannot even be counted, much less read</w:t>
      </w:r>
    </w:p>
    <w:p w14:paraId="7E10A57F" w14:textId="77777777">
      <w:pPr>
        <w:pStyle w:val="Lista2"/>
      </w:pPr>
      <w:r>
        <w:t>however, if the connecting text is represented, even if only so far as its basic structure (e.g. lines, copperplate pages), then the fragments need not and should not be encoded as textparts</w:t>
      </w:r>
    </w:p>
    <w:p w14:paraId="5FA9E6E8" w14:textId="41D08847">
      <w:pPr>
        <w:pStyle w:val="Lista2"/>
      </w:pPr>
      <w:r>
        <w:t>see also §</w:t>
      </w:r>
      <w:r>
        <w:fldChar w:fldCharType="begin"/>
      </w:r>
      <w:r>
        <w:instrText xml:space="preserve"> REF _Ref43981711 \w \h  \* MERGEFORMAT </w:instrText>
      </w:r>
      <w:r>
        <w:fldChar w:fldCharType="separate"/>
      </w:r>
      <w:r>
        <w:t>6.5.4</w:t>
      </w:r>
      <w:r>
        <w:fldChar w:fldCharType="end"/>
      </w:r>
      <w:r>
        <w:t xml:space="preserve"> about encoding massive lacunae without resorting to textparts</w:t>
      </w:r>
    </w:p>
    <w:p w14:paraId="36104461" w14:textId="7D490372">
      <w:pPr>
        <w:pStyle w:val="Lista"/>
      </w:pPr>
      <w:r>
        <w:t>the textparts shall be created in the sequence you deem most appropriate</w:t>
      </w:r>
    </w:p>
    <w:p w14:paraId="291BFCDB" w14:textId="38FCBB9B">
      <w:pPr>
        <w:pStyle w:val="Lista"/>
        <w:rPr>
          <w:rStyle w:val="Codevalue"/>
          <w:rFonts w:ascii="Gentium" w:eastAsiaTheme="minorEastAsia" w:hAnsi="Gentium" w:cs="Tiro Devanagari Sanskrit"/>
          <w:noProof w:val="0"/>
          <w:color w:val="auto"/>
          <w:shd w:val="clear" w:color="auto" w:fill="auto"/>
        </w:rPr>
      </w:pPr>
      <w:r>
        <w:t xml:space="preserve">the textparts shall be numbered normally, with </w:t>
      </w:r>
      <w:r>
        <w:rPr>
          <w:rStyle w:val="Codeattribute"/>
        </w:rPr>
        <w:t>@subtype=</w:t>
      </w:r>
      <w:r>
        <w:rPr>
          <w:rStyle w:val="Codevalue"/>
        </w:rPr>
        <w:t>"fragment"</w:t>
      </w:r>
      <w:r>
        <w:t xml:space="preserve"> as shown in </w:t>
      </w:r>
      <w:r>
        <w:fldChar w:fldCharType="begin"/>
      </w:r>
      <w:r>
        <w:instrText xml:space="preserve"> REF _Ref44078070 \h </w:instrText>
      </w:r>
      <w:r>
        <w:fldChar w:fldCharType="separate"/>
      </w:r>
      <w:r>
        <w:t xml:space="preserve">Exhibit </w:t>
      </w:r>
      <w:r>
        <w:rPr>
          <w:noProof/>
        </w:rPr>
        <w:t>4.7</w:t>
      </w:r>
      <w:r>
        <w:t>.</w:t>
      </w:r>
      <w:r>
        <w:rPr>
          <w:noProof/>
        </w:rPr>
        <w:t>I</w:t>
      </w:r>
      <w:r>
        <w:fldChar w:fldCharType="end"/>
      </w:r>
    </w:p>
    <w:p w14:paraId="31C01934" w14:textId="77777777">
      <w:pPr>
        <w:pStyle w:val="Lista2"/>
      </w:pPr>
      <w:r>
        <w:t>resulting in auto-generated headings such as “Fragment A”</w:t>
      </w:r>
    </w:p>
    <w:p w14:paraId="3193A9D9" w14:textId="11C730E8">
      <w:pPr>
        <w:pStyle w:val="Lista2"/>
      </w:pPr>
      <w:r>
        <w:t xml:space="preserve">alternatively, you may choose to use descriptive custom headings, for example as shown in </w:t>
      </w:r>
      <w:r>
        <w:fldChar w:fldCharType="begin"/>
      </w:r>
      <w:r>
        <w:instrText xml:space="preserve"> REF _Ref44078271 \h </w:instrText>
      </w:r>
      <w:r>
        <w:fldChar w:fldCharType="separate"/>
      </w:r>
      <w:r>
        <w:t xml:space="preserve">Exhibit </w:t>
      </w:r>
      <w:r>
        <w:rPr>
          <w:noProof/>
        </w:rPr>
        <w:t>4.2</w:t>
      </w:r>
      <w:r>
        <w:t>.</w:t>
      </w:r>
      <w:r>
        <w:rPr>
          <w:noProof/>
        </w:rPr>
        <w:t>B</w:t>
      </w:r>
      <w:r>
        <w:fldChar w:fldCharType="end"/>
      </w:r>
    </w:p>
    <w:p w14:paraId="612AFE15" w14:textId="5CEC37DE">
      <w:pPr>
        <w:pStyle w:val="Lista"/>
      </w:pPr>
      <w:r>
        <w:t>incomplete block-level containers on any fragment shall be encoded as per §</w:t>
      </w:r>
      <w:r>
        <w:fldChar w:fldCharType="begin"/>
      </w:r>
      <w:r>
        <w:instrText xml:space="preserve"> REF _Ref228980509 \r \h </w:instrText>
      </w:r>
      <w:r>
        <w:fldChar w:fldCharType="separate"/>
      </w:r>
      <w:r>
        <w:t>3.2.3.1</w:t>
      </w:r>
      <w:r>
        <w:fldChar w:fldCharType="end"/>
      </w:r>
    </w:p>
    <w:p w14:paraId="08E7A807" w14:textId="77777777">
      <w:pPr>
        <w:pStyle w:val="Cmsor4"/>
      </w:pPr>
      <w:bookmarkStart w:id="329" w:name="_Ref225178060"/>
      <w:r>
        <w:t>Trial engravings</w:t>
      </w:r>
      <w:bookmarkEnd w:id="329"/>
      <w:r>
        <w:t xml:space="preserve"> </w:t>
      </w:r>
    </w:p>
    <w:p w14:paraId="3A25BEE1" w14:textId="77777777">
      <w:r>
        <w:t>Trial engravings are short, often unintelligible, pieces of text outside the campus of the main inscription, which were presumably created for testing purposes before engraving the actual inscriptions and were probably not visible when the finished inscription was displayed in its original setting. We always encode trial engravings as textpart divisions.</w:t>
      </w:r>
    </w:p>
    <w:p w14:paraId="55188944" w14:textId="77777777">
      <w:pPr>
        <w:pStyle w:val="Lista"/>
      </w:pPr>
      <w:r>
        <w:t>textparts for trial engravings may be created before or after the textpart for the main inscription as you deem fit</w:t>
      </w:r>
    </w:p>
    <w:p w14:paraId="2956D324" w14:textId="77777777">
      <w:pPr>
        <w:pStyle w:val="Lista"/>
      </w:pPr>
      <w:r>
        <w:t xml:space="preserve">the textparts shall be numbered normally, with </w:t>
      </w:r>
      <w:r>
        <w:rPr>
          <w:rStyle w:val="Codeattribute"/>
        </w:rPr>
        <w:t>@subtype=</w:t>
      </w:r>
      <w:r>
        <w:rPr>
          <w:rStyle w:val="Codevalue"/>
        </w:rPr>
        <w:t>"trial"</w:t>
      </w:r>
      <w:r>
        <w:t xml:space="preserve"> for the trial engravings and no </w:t>
      </w:r>
      <w:r>
        <w:rPr>
          <w:rStyle w:val="Codeattribute"/>
        </w:rPr>
        <w:t>@subtype</w:t>
      </w:r>
      <w:r>
        <w:t xml:space="preserve"> for the main inscription (unless one is warranted for some reason beyond the fact that it is accompanied by trial engravings)</w:t>
      </w:r>
    </w:p>
    <w:p w14:paraId="02EED2F7" w14:textId="77777777">
      <w:pPr>
        <w:pStyle w:val="Lista2"/>
      </w:pPr>
      <w:r>
        <w:t xml:space="preserve">this value of </w:t>
      </w:r>
      <w:r>
        <w:rPr>
          <w:rStyle w:val="Codeattribute"/>
        </w:rPr>
        <w:t>@subtype</w:t>
      </w:r>
      <w:r>
        <w:t xml:space="preserve"> is an exception to the general preference for classifying textparts purely on the basis of physical nature, in order to facilitate searching the corpus for trial engravings</w:t>
      </w:r>
    </w:p>
    <w:p w14:paraId="1F1FFAC4" w14:textId="77777777">
      <w:pPr>
        <w:pStyle w:val="Lista"/>
      </w:pPr>
      <w:r>
        <w:t xml:space="preserve">a custom heading may be created at your discretion, but </w:t>
      </w:r>
      <w:r>
        <w:rPr>
          <w:rStyle w:val="Codeattribute"/>
        </w:rPr>
        <w:t>@subtype=</w:t>
      </w:r>
      <w:r>
        <w:rPr>
          <w:rStyle w:val="Codevalue"/>
        </w:rPr>
        <w:t>"trial"</w:t>
      </w:r>
      <w:r>
        <w:t xml:space="preserve"> must always be present on the trial textparts</w:t>
      </w:r>
    </w:p>
    <w:p w14:paraId="28E3EB0D" w14:textId="77777777">
      <w:pPr>
        <w:pStyle w:val="Cmsor4"/>
      </w:pPr>
      <w:bookmarkStart w:id="330" w:name="_gwyk1jzb0av6" w:colFirst="0" w:colLast="0"/>
      <w:bookmarkStart w:id="331" w:name="_Ref231898382"/>
      <w:bookmarkStart w:id="332" w:name="_Ref43990385"/>
      <w:bookmarkEnd w:id="330"/>
      <w:r>
        <w:lastRenderedPageBreak/>
        <w:t>Same message in different languages</w:t>
      </w:r>
      <w:bookmarkEnd w:id="331"/>
    </w:p>
    <w:p w14:paraId="4ABD24E5" w14:textId="77777777">
      <w:pPr>
        <w:rPr>
          <w:lang w:eastAsia="en-US" w:bidi="ar-SA"/>
        </w:rPr>
      </w:pPr>
      <w:r>
        <w:rPr>
          <w:lang w:eastAsia="en-US" w:bidi="ar-SA"/>
        </w:rPr>
        <w:t>When two inscriptions on the same support or on associated supports carry an identical (or closely related) message in two (or more) separate languages, these can be encoded as textpart divisions.</w:t>
      </w:r>
    </w:p>
    <w:p w14:paraId="553D307E" w14:textId="77777777">
      <w:pPr>
        <w:pStyle w:val="Lista"/>
      </w:pPr>
      <w:r>
        <w:t>this applies whenever the two inscriptions are connected closely enough to be recognised as parts of a single epigraphic installation, but nonetheless separate in layout</w:t>
      </w:r>
    </w:p>
    <w:p w14:paraId="277A40AB" w14:textId="140F8EEF">
      <w:pPr>
        <w:pStyle w:val="Lista2"/>
      </w:pPr>
      <w:r>
        <w:t>language change within a single integral inscription must not be encoded with textpart divisions</w:t>
      </w:r>
    </w:p>
    <w:p w14:paraId="180FB35F" w14:textId="3A26B6E3">
      <w:pPr>
        <w:pStyle w:val="Lista2"/>
      </w:pPr>
      <w:r>
        <w:t>for further guidance on multilingual inscriptions, including the encoding of language, see §</w:t>
      </w:r>
      <w:r>
        <w:fldChar w:fldCharType="begin"/>
      </w:r>
      <w:r>
        <w:instrText xml:space="preserve"> REF _Ref232089615 \r \h </w:instrText>
      </w:r>
      <w:r>
        <w:fldChar w:fldCharType="separate"/>
      </w:r>
      <w:r>
        <w:t>8.1.2</w:t>
      </w:r>
      <w:r>
        <w:fldChar w:fldCharType="end"/>
      </w:r>
      <w:r>
        <w:t xml:space="preserve"> </w:t>
      </w:r>
    </w:p>
    <w:p w14:paraId="2D60EF6C" w14:textId="386C3CB4">
      <w:pPr>
        <w:pStyle w:val="Lista"/>
      </w:pPr>
      <w:r>
        <w:t>create the textparts in the order you deem most appropriate</w:t>
      </w:r>
    </w:p>
    <w:p w14:paraId="7ACDC6A4" w14:textId="77777777">
      <w:pPr>
        <w:pStyle w:val="Lista"/>
      </w:pPr>
      <w:r>
        <w:t xml:space="preserve">the textparts shall be numbered normally, with </w:t>
      </w:r>
      <w:r>
        <w:rPr>
          <w:rStyle w:val="Codeattribute"/>
        </w:rPr>
        <w:t>@subtype</w:t>
      </w:r>
      <w:r>
        <w:t xml:space="preserve"> or custom headings at your discretion</w:t>
      </w:r>
    </w:p>
    <w:p w14:paraId="434A7B90" w14:textId="77777777">
      <w:pPr>
        <w:pStyle w:val="Cmsor4"/>
      </w:pPr>
      <w:r>
        <w:t>No obvious reading order</w:t>
      </w:r>
    </w:p>
    <w:p w14:paraId="1B731211" w14:textId="77777777">
      <w:r>
        <w:t>When, for whatever reason, there is no obvious order in which physically and semantically distinct zones of text ought to be read, but there is nevertheless good reason for treating them as a single document rather than as separate inscriptions, you may choose to encode them as textpart divisions.</w:t>
      </w:r>
    </w:p>
    <w:p w14:paraId="2888C5FB" w14:textId="77777777">
      <w:pPr>
        <w:pStyle w:val="Lista"/>
      </w:pPr>
      <w:r>
        <w:t>this applies in particular to multiple short inscriptions engraved on various parts of a support such as a rock face, a monument or a sculpture</w:t>
      </w:r>
    </w:p>
    <w:p w14:paraId="222003AE" w14:textId="77777777">
      <w:pPr>
        <w:pStyle w:val="Lista2"/>
      </w:pPr>
      <w:r>
        <w:t>if there is reason to believe that the inscriptions do not constitute a semantic whole and/or that they were engraved on separate occasions (as for instance various graffiti on a monument), then it is preferable to encode each as a separate edition</w:t>
      </w:r>
    </w:p>
    <w:p w14:paraId="4139E75A" w14:textId="006B4572">
      <w:pPr>
        <w:pStyle w:val="Lista"/>
      </w:pPr>
      <w:r>
        <w:t>create the textparts in the order you deem most appopriate</w:t>
      </w:r>
    </w:p>
    <w:p w14:paraId="656D49ED" w14:textId="77777777">
      <w:pPr>
        <w:pStyle w:val="Lista"/>
      </w:pPr>
      <w:r>
        <w:t xml:space="preserve">the textparts shall be numbered normally, with </w:t>
      </w:r>
      <w:r>
        <w:rPr>
          <w:rStyle w:val="Codeattribute"/>
        </w:rPr>
        <w:t>@subtype</w:t>
      </w:r>
      <w:r>
        <w:t xml:space="preserve"> or custom headings at your discretion</w:t>
      </w:r>
    </w:p>
    <w:p w14:paraId="2CB9E7F5" w14:textId="77777777">
      <w:pPr>
        <w:pStyle w:val="Lista2"/>
      </w:pPr>
      <w:r>
        <w:t xml:space="preserve">custom headers such as “Head”, “Halo”, “Back” and “Pedestal” </w:t>
      </w:r>
      <w:r>
        <w:rPr>
          <w:noProof/>
        </w:rPr>
        <w:t>(</w:t>
      </w:r>
      <w:r>
        <w:t>etc.) are recommended for inscriptions on various parts of a statue</w:t>
      </w:r>
    </w:p>
    <w:p w14:paraId="73047A31" w14:textId="77777777">
      <w:pPr>
        <w:pStyle w:val="Cmsor4"/>
      </w:pPr>
      <w:bookmarkStart w:id="333" w:name="_Ref225782390"/>
      <w:r>
        <w:t>Complex, hierarchical extrinsic structure</w:t>
      </w:r>
      <w:bookmarkEnd w:id="333"/>
    </w:p>
    <w:p w14:paraId="0DD0A1FD" w14:textId="777706C3">
      <w:r>
        <w:t>If an inscription is written in several distinct zones and one or more of these zones are further subdivided, this cannot be represented in our encoding because for practical reasons we have chosen not to employ more than one kind of pagelike partition in a division (§</w:t>
      </w:r>
      <w:r>
        <w:fldChar w:fldCharType="begin"/>
      </w:r>
      <w:r>
        <w:instrText xml:space="preserve"> REF _Ref182923075 \r \h </w:instrText>
      </w:r>
      <w:r>
        <w:fldChar w:fldCharType="separate"/>
      </w:r>
      <w:r>
        <w:t>4.1</w:t>
      </w:r>
      <w:r>
        <w:fldChar w:fldCharType="end"/>
      </w:r>
      <w:r>
        <w:t xml:space="preserve">). If you are certain that the hierarchical structure must be reflected in your encoded edition, you may choose to employ textpart divisions for the top level of such a hierarchical structure, and pagelike partitions within one or more of the divisions as applicable. Keep in mind, however, that there is no solid advantage to attempting to faithfully represent every detail of a structurally complex document in your encoding. Creating separate editions </w:t>
      </w:r>
      <w:r>
        <w:rPr>
          <w:noProof/>
        </w:rPr>
        <w:t>(</w:t>
      </w:r>
      <w:r>
        <w:t>in separate XML documents) is also a viable alternative to creating textparts in a single edition, especially if the parts concerned are integral in themselves, if they have little semantic connection, and especially if they were engraved on separate occasions or on separate objects.</w:t>
      </w:r>
    </w:p>
    <w:p w14:paraId="17E327E0" w14:textId="77777777">
      <w:pPr>
        <w:pStyle w:val="Cmsor3"/>
      </w:pPr>
      <w:bookmarkStart w:id="334" w:name="_Ref225759789"/>
      <w:bookmarkStart w:id="335" w:name="_Toc242889483"/>
      <w:bookmarkEnd w:id="332"/>
      <w:r>
        <w:t>When to use pagelike partitions</w:t>
      </w:r>
      <w:bookmarkEnd w:id="334"/>
      <w:bookmarkEnd w:id="335"/>
    </w:p>
    <w:p w14:paraId="007D825D" w14:textId="77777777">
      <w:r>
        <w:t xml:space="preserve">The use of the </w:t>
      </w:r>
      <w:r>
        <w:rPr>
          <w:rStyle w:val="Code"/>
        </w:rPr>
        <w:t>&lt;pb/&gt;</w:t>
      </w:r>
      <w:r>
        <w:t xml:space="preserve"> element is restricted in DHARMA practice to genuine pages, i.e. the sides of effectively two-dimensional sheets of a thin material. Other pagelike partitions, encoded with </w:t>
      </w:r>
      <w:r>
        <w:rPr>
          <w:rStyle w:val="Code"/>
        </w:rPr>
        <w:t xml:space="preserve">&lt;milestone </w:t>
      </w:r>
      <w:r>
        <w:rPr>
          <w:rStyle w:val="Codeattribute"/>
        </w:rPr>
        <w:t>type=</w:t>
      </w:r>
      <w:r>
        <w:rPr>
          <w:rStyle w:val="Codevalue"/>
        </w:rPr>
        <w:t>"pagelike"</w:t>
      </w:r>
      <w:r>
        <w:rPr>
          <w:rStyle w:val="Code"/>
        </w:rPr>
        <w:t>&gt;</w:t>
      </w:r>
      <w:r>
        <w:t>, can also occur on stone and other supports. When deciding whether to encode a pagelike partition, the questions to ask yourself is whether the visual separation of the zones is strong enough to warrant a partition at all, and if yes, whether the semantic distinctness of the zones is strong enough to warrant a boxlike (rather than a pagelike) partition.</w:t>
      </w:r>
    </w:p>
    <w:p w14:paraId="69FECFEC" w14:textId="77777777">
      <w:pPr>
        <w:pStyle w:val="Cmsor4"/>
      </w:pPr>
      <w:bookmarkStart w:id="336" w:name="_Ref225781502"/>
      <w:r>
        <w:t>A pagelike partition is not always necessary</w:t>
      </w:r>
      <w:bookmarkEnd w:id="336"/>
    </w:p>
    <w:p w14:paraId="6F7B7C08" w14:textId="639A644B">
      <w:r>
        <w:t xml:space="preserve">Sections of a reasonably coherent text are sometimes separated by vertical </w:t>
      </w:r>
      <w:r>
        <w:rPr>
          <w:noProof/>
        </w:rPr>
        <w:t>(</w:t>
      </w:r>
      <w:r>
        <w:t>interlinear) space in what is otherwise a fairly well-defined single zone. If the first or last line (or few lines) of an inscription are set apart visually from the rest, see §</w:t>
      </w:r>
      <w:r>
        <w:fldChar w:fldCharType="begin"/>
      </w:r>
      <w:r>
        <w:instrText xml:space="preserve"> REF _Ref225779703 \r \h </w:instrText>
      </w:r>
      <w:r>
        <w:fldChar w:fldCharType="separate"/>
      </w:r>
      <w:r>
        <w:t>4.7.1</w:t>
      </w:r>
      <w:r>
        <w:fldChar w:fldCharType="end"/>
      </w:r>
      <w:r>
        <w:t xml:space="preserve"> for the relevant encoding. Otherwise, choose one of the following options depending on your judgement of the degree to which the sections are semantically and physically distinct.</w:t>
      </w:r>
    </w:p>
    <w:p w14:paraId="6F522867" w14:textId="7502D0F6">
      <w:pPr>
        <w:pStyle w:val="Lista"/>
      </w:pPr>
      <w:r>
        <w:lastRenderedPageBreak/>
        <w:t xml:space="preserve">if there is </w:t>
      </w:r>
      <w:r>
        <w:rPr>
          <w:b/>
          <w:bCs/>
        </w:rPr>
        <w:t>little to no</w:t>
      </w:r>
      <w:r>
        <w:t xml:space="preserve"> semantic discontinuity between the sections, and the physical separation is not very emphatic, as in </w:t>
      </w:r>
      <w:r>
        <w:fldChar w:fldCharType="begin"/>
      </w:r>
      <w:r>
        <w:instrText xml:space="preserve"> REF _Ref225779765 \h </w:instrText>
      </w:r>
      <w:r>
        <w:fldChar w:fldCharType="separate"/>
      </w:r>
      <w:r>
        <w:t xml:space="preserve">Exhibit </w:t>
      </w:r>
      <w:r>
        <w:rPr>
          <w:noProof/>
        </w:rPr>
        <w:t>4.7</w:t>
      </w:r>
      <w:r>
        <w:t>.</w:t>
      </w:r>
      <w:r>
        <w:rPr>
          <w:noProof/>
        </w:rPr>
        <w:t>J</w:t>
      </w:r>
      <w:r>
        <w:fldChar w:fldCharType="end"/>
      </w:r>
      <w:r>
        <w:t>, then encode the text as a single unit, ignoring the interlinear space in your edition and only describing it in your annotation</w:t>
      </w:r>
    </w:p>
    <w:p w14:paraId="3DE4EE08" w14:textId="04801B0D">
      <w:pPr>
        <w:pStyle w:val="Lista2"/>
      </w:pPr>
      <w:r>
        <w:t>since epigraphic lines may appear in any visual arrangement (§</w:t>
      </w:r>
      <w:r>
        <w:fldChar w:fldCharType="begin"/>
      </w:r>
      <w:r>
        <w:instrText xml:space="preserve"> REF _Ref224720139 \r \h </w:instrText>
      </w:r>
      <w:r>
        <w:fldChar w:fldCharType="separate"/>
      </w:r>
      <w:r>
        <w:t>4.5</w:t>
      </w:r>
      <w:r>
        <w:fldChar w:fldCharType="end"/>
      </w:r>
      <w:r>
        <w:t>), encoding one line after another does not assert that the lines are equidistant</w:t>
      </w:r>
    </w:p>
    <w:p w14:paraId="128C7111" w14:textId="5CABE16A">
      <w:pPr>
        <w:pStyle w:val="Lista"/>
      </w:pPr>
      <w:r>
        <w:t xml:space="preserve">if the sections are </w:t>
      </w:r>
      <w:r>
        <w:rPr>
          <w:b/>
          <w:bCs/>
        </w:rPr>
        <w:t>semantically separate</w:t>
      </w:r>
      <w:r>
        <w:t xml:space="preserve"> and/or the </w:t>
      </w:r>
      <w:r>
        <w:rPr>
          <w:b/>
          <w:bCs/>
        </w:rPr>
        <w:t>physical separation is emphasized</w:t>
      </w:r>
      <w:r>
        <w:t xml:space="preserve"> (for instance by a large space or by a carved feature), then encode pagelike partitions as per §</w:t>
      </w:r>
      <w:r>
        <w:fldChar w:fldCharType="begin"/>
      </w:r>
      <w:r>
        <w:instrText xml:space="preserve"> REF _Ref233982406 \r \h </w:instrText>
      </w:r>
      <w:r>
        <w:fldChar w:fldCharType="separate"/>
      </w:r>
      <w:r>
        <w:t>4.4</w:t>
      </w:r>
      <w:r>
        <w:fldChar w:fldCharType="end"/>
      </w:r>
    </w:p>
    <w:p w14:paraId="30DA4995" w14:textId="423D9D94">
      <w:pPr>
        <w:pStyle w:val="Lista"/>
      </w:pPr>
      <w:r>
        <w:t>if the sections are completely independent, then boxlike partitions may be applicable, but before encoding such a partition, consider the guidelines in §</w:t>
      </w:r>
      <w:r>
        <w:fldChar w:fldCharType="begin"/>
      </w:r>
      <w:r>
        <w:instrText xml:space="preserve"> REF _Ref225781091 \r \h </w:instrText>
      </w:r>
      <w:r>
        <w:fldChar w:fldCharType="separate"/>
      </w:r>
      <w:r>
        <w:t>4.7.4.2</w:t>
      </w:r>
      <w:r>
        <w:fldChar w:fldCharType="end"/>
      </w:r>
      <w:r>
        <w:t xml:space="preserve"> </w:t>
      </w:r>
    </w:p>
    <w:tbl>
      <w:tblPr>
        <w:tblStyle w:val="CodeSampleTable"/>
        <w:tblW w:w="5000" w:type="pct"/>
        <w:tblLook w:val="04A0" w:firstRow="1" w:lastRow="0" w:firstColumn="1" w:lastColumn="0" w:noHBand="0" w:noVBand="1"/>
      </w:tblPr>
      <w:tblGrid>
        <w:gridCol w:w="9628"/>
      </w:tblGrid>
      <w:tr w14:paraId="2624117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14599A4" w14:textId="7FC4AB62">
            <w:pPr>
              <w:pStyle w:val="Kpalrs"/>
              <w:keepLines/>
            </w:pPr>
            <w:bookmarkStart w:id="337" w:name="_Ref225779765"/>
            <w:r>
              <w:t xml:space="preserve">Exhibit </w:t>
            </w:r>
            <w:fldSimple w:instr=" STYLEREF 2 \s ">
              <w:r>
                <w:rPr>
                  <w:noProof/>
                </w:rPr>
                <w:t>4.7</w:t>
              </w:r>
            </w:fldSimple>
            <w:r>
              <w:t>.</w:t>
            </w:r>
            <w:fldSimple w:instr=" SEQ Exhibit \* ALPHABETIC \s 2 ">
              <w:r>
                <w:rPr>
                  <w:noProof/>
                </w:rPr>
                <w:t>J</w:t>
              </w:r>
            </w:fldSimple>
            <w:bookmarkEnd w:id="337"/>
            <w:r>
              <w:t>: a quasi-partition with interlinear space</w:t>
            </w:r>
          </w:p>
        </w:tc>
      </w:tr>
      <w:tr w14:paraId="580195E8" w14:textId="77777777">
        <w:tc>
          <w:tcPr>
            <w:tcW w:w="5000" w:type="pct"/>
            <w:vAlign w:val="center"/>
          </w:tcPr>
          <w:p w14:paraId="50BF5A8C" w14:textId="77777777">
            <w:pPr>
              <w:pStyle w:val="Image"/>
              <w:keepLines/>
              <w:rPr>
                <w:rStyle w:val="Code"/>
              </w:rPr>
            </w:pPr>
            <w:r>
              <w:drawing>
                <wp:inline distT="0" distB="0" distL="0" distR="0" wp14:anchorId="1486D98C" wp14:editId="145486EF">
                  <wp:extent cx="4497070" cy="2702560"/>
                  <wp:effectExtent l="0" t="0" r="0" b="2540"/>
                  <wp:docPr id="79382766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97070" cy="2702560"/>
                          </a:xfrm>
                          <a:prstGeom prst="rect">
                            <a:avLst/>
                          </a:prstGeom>
                          <a:noFill/>
                          <a:ln>
                            <a:noFill/>
                          </a:ln>
                        </pic:spPr>
                      </pic:pic>
                    </a:graphicData>
                  </a:graphic>
                </wp:inline>
              </w:drawing>
            </w:r>
          </w:p>
        </w:tc>
      </w:tr>
      <w:tr w14:paraId="257F4CA1" w14:textId="77777777">
        <w:tc>
          <w:tcPr>
            <w:tcW w:w="5000" w:type="pct"/>
          </w:tcPr>
          <w:p w14:paraId="4FE0D872" w14:textId="77777777">
            <w:pPr>
              <w:pStyle w:val="CodeParagraph"/>
              <w:rPr>
                <w:rStyle w:val="Code"/>
              </w:rPr>
            </w:pPr>
            <w:r>
              <w:rPr>
                <w:rStyle w:val="Code"/>
              </w:rPr>
              <w:t>&lt;p&gt;</w:t>
            </w:r>
          </w:p>
          <w:p w14:paraId="7FDC6E38" w14:textId="77777777">
            <w:pPr>
              <w:pStyle w:val="CodeParagraph"/>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 xml:space="preserve"> In a hole in the ground there lived a hobbit. Not a</w:t>
            </w:r>
          </w:p>
          <w:p w14:paraId="467D4E42" w14:textId="77777777">
            <w:pPr>
              <w:pStyle w:val="CodeParagraph"/>
              <w:rPr>
                <w:rStyle w:val="Code"/>
              </w:rPr>
            </w:pPr>
            <w:r>
              <w:rPr>
                <w:rStyle w:val="Code"/>
              </w:rPr>
              <w:t xml:space="preserve">  ...</w:t>
            </w:r>
          </w:p>
          <w:p w14:paraId="503013D1" w14:textId="77777777">
            <w:pPr>
              <w:pStyle w:val="CodeParagraph"/>
              <w:rPr>
                <w:rStyle w:val="Codetext"/>
              </w:rPr>
            </w:pPr>
            <w:r>
              <w:rPr>
                <w:rStyle w:val="Code"/>
              </w:rPr>
              <w:t xml:space="preserve">  &lt;lb </w:t>
            </w:r>
            <w:r>
              <w:rPr>
                <w:rStyle w:val="Codeattribute"/>
              </w:rPr>
              <w:t>n</w:t>
            </w:r>
            <w:r>
              <w:rPr>
                <w:rStyle w:val="Code"/>
              </w:rPr>
              <w:t>=</w:t>
            </w:r>
            <w:r>
              <w:rPr>
                <w:rStyle w:val="Codevalue"/>
              </w:rPr>
              <w:t>"5"</w:t>
            </w:r>
            <w:r>
              <w:rPr>
                <w:rStyle w:val="Code"/>
              </w:rPr>
              <w:t>/&gt;&lt;p&gt;</w:t>
            </w:r>
            <w:r>
              <w:rPr>
                <w:rStyle w:val="Codetext"/>
              </w:rPr>
              <w:t>hobbit-hole, and that means comfort.</w:t>
            </w:r>
          </w:p>
          <w:p w14:paraId="282468F9" w14:textId="77777777">
            <w:pPr>
              <w:pStyle w:val="CodeParagraph"/>
              <w:rPr>
                <w:rStyle w:val="Code"/>
              </w:rPr>
            </w:pPr>
            <w:r>
              <w:rPr>
                <w:rStyle w:val="Code"/>
              </w:rPr>
              <w:t>&lt;/p&gt;</w:t>
            </w:r>
          </w:p>
          <w:p w14:paraId="17DBE6AF" w14:textId="77777777">
            <w:pPr>
              <w:pStyle w:val="CodeParagraph"/>
              <w:rPr>
                <w:rStyle w:val="Code"/>
              </w:rPr>
            </w:pPr>
            <w:r>
              <w:rPr>
                <w:rStyle w:val="Code"/>
              </w:rPr>
              <w:t>&lt;p&gt;</w:t>
            </w:r>
          </w:p>
          <w:p w14:paraId="6A2D9353" w14:textId="77777777">
            <w:pPr>
              <w:pStyle w:val="CodeParagraph"/>
              <w:rPr>
                <w:rStyle w:val="Codetext"/>
              </w:rPr>
            </w:pPr>
            <w:r>
              <w:rPr>
                <w:rStyle w:val="Code"/>
              </w:rPr>
              <w:t xml:space="preserve">  &lt;lb </w:t>
            </w:r>
            <w:r>
              <w:rPr>
                <w:rStyle w:val="Codeattribute"/>
              </w:rPr>
              <w:t>n</w:t>
            </w:r>
            <w:r>
              <w:rPr>
                <w:rStyle w:val="Code"/>
              </w:rPr>
              <w:t>=</w:t>
            </w:r>
            <w:r>
              <w:rPr>
                <w:rStyle w:val="Codevalue"/>
              </w:rPr>
              <w:t>"6"</w:t>
            </w:r>
            <w:r>
              <w:rPr>
                <w:rStyle w:val="Code"/>
              </w:rPr>
              <w:t>/&gt;</w:t>
            </w:r>
            <w:r>
              <w:rPr>
                <w:rStyle w:val="Codetext"/>
              </w:rPr>
              <w:t>It had a perfectly round door like a porthole, painted</w:t>
            </w:r>
          </w:p>
          <w:p w14:paraId="7179C97D" w14:textId="77777777">
            <w:pPr>
              <w:pStyle w:val="CodeParagraph"/>
              <w:rPr>
                <w:rStyle w:val="Codetext"/>
              </w:rPr>
            </w:pPr>
            <w:r>
              <w:rPr>
                <w:rStyle w:val="Code"/>
              </w:rPr>
              <w:t xml:space="preserve">  ...</w:t>
            </w:r>
          </w:p>
          <w:p w14:paraId="6833C7A7" w14:textId="77777777">
            <w:pPr>
              <w:pStyle w:val="CodeParagraph"/>
            </w:pPr>
            <w:r>
              <w:rPr>
                <w:rStyle w:val="Code"/>
              </w:rPr>
              <w:t>&lt;/p&gt;</w:t>
            </w:r>
          </w:p>
        </w:tc>
      </w:tr>
      <w:tr w14:paraId="3A9BFAED" w14:textId="77777777">
        <w:tc>
          <w:tcPr>
            <w:tcW w:w="5000" w:type="pct"/>
          </w:tcPr>
          <w:p w14:paraId="1FAB72BD" w14:textId="77777777">
            <w:pPr>
              <w:pStyle w:val="TableNote"/>
            </w:pPr>
            <w:r>
              <w:t>this inscription can be perceived as a single inscribed field</w:t>
            </w:r>
          </w:p>
          <w:p w14:paraId="0F5D839F" w14:textId="77777777">
            <w:pPr>
              <w:pStyle w:val="TableNote"/>
            </w:pPr>
            <w:r>
              <w:t>the two blocks of writing are semantically cohesive and their visual separation is moderate</w:t>
            </w:r>
          </w:p>
          <w:p w14:paraId="118F1EC4" w14:textId="77777777">
            <w:pPr>
              <w:pStyle w:val="TableNote"/>
            </w:pPr>
            <w:r>
              <w:t>therefore the text has been encoded simply as a sequence of lines</w:t>
            </w:r>
          </w:p>
        </w:tc>
      </w:tr>
    </w:tbl>
    <w:p w14:paraId="0CF63902" w14:textId="77777777"/>
    <w:p w14:paraId="5CF5AC36" w14:textId="77777777">
      <w:pPr>
        <w:pStyle w:val="Cmsor4"/>
      </w:pPr>
      <w:bookmarkStart w:id="338" w:name="_Ref225781091"/>
      <w:r>
        <w:t>Pagelike partitions are preferable to boxlike partitions</w:t>
      </w:r>
      <w:bookmarkEnd w:id="338"/>
    </w:p>
    <w:p w14:paraId="57DC6D15" w14:textId="77777777">
      <w:pPr>
        <w:pStyle w:val="Lista"/>
      </w:pPr>
      <w:r>
        <w:t>pagelike partitions are normally applicable when the text of an inscription is laid out in two or more zones which are to be read consecutively and are not genuine pages on a thin, effectively two-dimensional support</w:t>
      </w:r>
    </w:p>
    <w:p w14:paraId="3E5193D3" w14:textId="77777777">
      <w:pPr>
        <w:pStyle w:val="Lista"/>
      </w:pPr>
      <w:r>
        <w:t>pagelike zones may be presented in any arrangement on one or more surfaces, e.g.</w:t>
      </w:r>
    </w:p>
    <w:p w14:paraId="5AA0CD48" w14:textId="72FB50DE">
      <w:pPr>
        <w:pStyle w:val="Lista2"/>
      </w:pPr>
      <w:r>
        <w:t xml:space="preserve">one below the other on a single surface, as in </w:t>
      </w:r>
      <w:r>
        <w:fldChar w:fldCharType="begin"/>
      </w:r>
      <w:r>
        <w:instrText xml:space="preserve"> REF _Ref225779765 \h </w:instrText>
      </w:r>
      <w:r>
        <w:fldChar w:fldCharType="separate"/>
      </w:r>
      <w:r>
        <w:t xml:space="preserve">Exhibit </w:t>
      </w:r>
      <w:r>
        <w:rPr>
          <w:noProof/>
        </w:rPr>
        <w:t>4.7</w:t>
      </w:r>
      <w:r>
        <w:t>.</w:t>
      </w:r>
      <w:r>
        <w:rPr>
          <w:noProof/>
        </w:rPr>
        <w:t>J</w:t>
      </w:r>
      <w:r>
        <w:fldChar w:fldCharType="end"/>
      </w:r>
    </w:p>
    <w:p w14:paraId="65F035DF" w14:textId="33D9C1DD">
      <w:pPr>
        <w:pStyle w:val="Lista2"/>
      </w:pPr>
      <w:r>
        <w:t xml:space="preserve">one beside the other on a single surface, as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p>
    <w:p w14:paraId="4B4F895F" w14:textId="6B48524F">
      <w:pPr>
        <w:pStyle w:val="Lista2"/>
      </w:pPr>
      <w:r>
        <w:t xml:space="preserve">on adjacent faces (or face-pairs) of a three-dimensional object </w:t>
      </w:r>
      <w:r>
        <w:rPr>
          <w:noProof/>
        </w:rPr>
        <w:t>(</w:t>
      </w:r>
      <w:r>
        <w:t xml:space="preserve">e.g. stele or pillar), as in </w:t>
      </w:r>
      <w:r>
        <w:fldChar w:fldCharType="begin"/>
      </w:r>
      <w:r>
        <w:instrText xml:space="preserve"> REF _Ref239844313 \r \h </w:instrText>
      </w:r>
      <w:r>
        <w:fldChar w:fldCharType="separate"/>
      </w:r>
      <w:r>
        <w:t>Appendix A.5</w:t>
      </w:r>
      <w:r>
        <w:fldChar w:fldCharType="end"/>
      </w:r>
      <w:r>
        <w:t xml:space="preserve"> and </w:t>
      </w:r>
      <w:r>
        <w:fldChar w:fldCharType="begin"/>
      </w:r>
      <w:r>
        <w:instrText xml:space="preserve"> REF _Ref239844315 \r \h </w:instrText>
      </w:r>
      <w:r>
        <w:fldChar w:fldCharType="separate"/>
      </w:r>
      <w:r>
        <w:t>Appendix A.6</w:t>
      </w:r>
      <w:r>
        <w:fldChar w:fldCharType="end"/>
      </w:r>
      <w:r>
        <w:t>)</w:t>
      </w:r>
    </w:p>
    <w:p w14:paraId="4555E7CA" w14:textId="74F3F8A5">
      <w:pPr>
        <w:pStyle w:val="Lista2"/>
      </w:pPr>
      <w:r>
        <w:t xml:space="preserve">on multiple linked objects </w:t>
      </w:r>
      <w:r>
        <w:rPr>
          <w:noProof/>
        </w:rPr>
        <w:t>(</w:t>
      </w:r>
      <w:r>
        <w:t xml:space="preserve">e.g. two jambs of a doorway, as in </w:t>
      </w:r>
      <w:r>
        <w:fldChar w:fldCharType="begin"/>
      </w:r>
      <w:r>
        <w:instrText xml:space="preserve"> REF _Ref182924299 \h </w:instrText>
      </w:r>
      <w:r>
        <w:fldChar w:fldCharType="separate"/>
      </w:r>
      <w:r>
        <w:t xml:space="preserve">Exhibit </w:t>
      </w:r>
      <w:r>
        <w:rPr>
          <w:noProof/>
        </w:rPr>
        <w:t>4.7</w:t>
      </w:r>
      <w:r>
        <w:t>.</w:t>
      </w:r>
      <w:r>
        <w:rPr>
          <w:noProof/>
        </w:rPr>
        <w:t>L</w:t>
      </w:r>
      <w:r>
        <w:fldChar w:fldCharType="end"/>
      </w:r>
      <w:r>
        <w:t>)</w:t>
      </w:r>
    </w:p>
    <w:p w14:paraId="0BAA07E7" w14:textId="0A0BB293">
      <w:pPr>
        <w:pStyle w:val="Lista"/>
      </w:pPr>
      <w:r>
        <w:t>if you deem the zones to be visually distinct enough to warrant encoding a partition (cf. §</w:t>
      </w:r>
      <w:r>
        <w:fldChar w:fldCharType="begin"/>
      </w:r>
      <w:r>
        <w:instrText xml:space="preserve"> REF _Ref225781502 \r \h </w:instrText>
      </w:r>
      <w:r>
        <w:fldChar w:fldCharType="separate"/>
      </w:r>
      <w:r>
        <w:t>4.7.4.1</w:t>
      </w:r>
      <w:r>
        <w:fldChar w:fldCharType="end"/>
      </w:r>
      <w:r>
        <w:t>), then, regardless of their topology, the appropriate encoding must be selected on the basis of the zones’ semantic distinctness:</w:t>
      </w:r>
    </w:p>
    <w:p w14:paraId="14FDE264" w14:textId="4D2C5B3B">
      <w:pPr>
        <w:pStyle w:val="Lista2"/>
      </w:pPr>
      <w:r>
        <w:lastRenderedPageBreak/>
        <w:t xml:space="preserve">if a unit of intrinsic structure begins at the end of one zone and continues in the next as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r>
        <w:t>,</w:t>
      </w:r>
    </w:p>
    <w:p w14:paraId="6AE2D604" w14:textId="77777777">
      <w:pPr>
        <w:pStyle w:val="Lista3"/>
      </w:pPr>
      <w:r>
        <w:t>a boxlike partition cannot be created, because its boundaries would overlap the boundaries of the intrinsic unit</w:t>
      </w:r>
    </w:p>
    <w:p w14:paraId="1B39406E" w14:textId="77777777">
      <w:pPr>
        <w:pStyle w:val="Lista3"/>
      </w:pPr>
      <w:r>
        <w:t>the only suitable encoding for such a case is thus a pagelike partition</w:t>
      </w:r>
    </w:p>
    <w:p w14:paraId="7E6981DE" w14:textId="5501F8B5">
      <w:pPr>
        <w:pStyle w:val="Lista3"/>
      </w:pPr>
      <w:r>
        <w:t xml:space="preserve">this applies regardless of how conspicuously the zones are separated in space, so the two doorjambs in </w:t>
      </w:r>
      <w:r>
        <w:fldChar w:fldCharType="begin"/>
      </w:r>
      <w:r>
        <w:instrText xml:space="preserve"> REF _Ref182924299 \h </w:instrText>
      </w:r>
      <w:r>
        <w:fldChar w:fldCharType="separate"/>
      </w:r>
      <w:r>
        <w:t xml:space="preserve">Exhibit </w:t>
      </w:r>
      <w:r>
        <w:rPr>
          <w:noProof/>
        </w:rPr>
        <w:t>4.7</w:t>
      </w:r>
      <w:r>
        <w:t>.</w:t>
      </w:r>
      <w:r>
        <w:rPr>
          <w:noProof/>
        </w:rPr>
        <w:t>L</w:t>
      </w:r>
      <w:r>
        <w:fldChar w:fldCharType="end"/>
      </w:r>
      <w:r>
        <w:t xml:space="preserve"> must be encoded along the same lines</w:t>
      </w:r>
    </w:p>
    <w:p w14:paraId="30A80D8C" w14:textId="6EDC616E">
      <w:pPr>
        <w:pStyle w:val="Lista2"/>
      </w:pPr>
      <w:r>
        <w:t xml:space="preserve">if the extrinsic partition coincides with a semantic boundary as in </w:t>
      </w:r>
      <w:r>
        <w:fldChar w:fldCharType="begin"/>
      </w:r>
      <w:r>
        <w:instrText xml:space="preserve"> REF _Ref225781841 \h </w:instrText>
      </w:r>
      <w:r>
        <w:fldChar w:fldCharType="separate"/>
      </w:r>
      <w:r>
        <w:t xml:space="preserve">Exhibit </w:t>
      </w:r>
      <w:r>
        <w:rPr>
          <w:noProof/>
        </w:rPr>
        <w:t>4.7</w:t>
      </w:r>
      <w:r>
        <w:t>.</w:t>
      </w:r>
      <w:r>
        <w:rPr>
          <w:noProof/>
        </w:rPr>
        <w:t>M</w:t>
      </w:r>
      <w:r>
        <w:fldChar w:fldCharType="end"/>
      </w:r>
      <w:r>
        <w:t>,</w:t>
      </w:r>
    </w:p>
    <w:p w14:paraId="3A1C7CEA" w14:textId="77777777">
      <w:pPr>
        <w:pStyle w:val="Lista3"/>
      </w:pPr>
      <w:r>
        <w:t>it is technically possible to encode a boxlike partition</w:t>
      </w:r>
    </w:p>
    <w:p w14:paraId="71F0FAAA" w14:textId="735D6C00">
      <w:pPr>
        <w:pStyle w:val="Lista3"/>
      </w:pPr>
      <w:r>
        <w:t>but we nonetheless prefer to treat such a partition as pagelike and encode boxlike partitions only in well-warranted cases (§</w:t>
      </w:r>
      <w:r>
        <w:fldChar w:fldCharType="begin"/>
      </w:r>
      <w:r>
        <w:instrText xml:space="preserve"> REF _Ref225759775 \r \h </w:instrText>
      </w:r>
      <w:r>
        <w:fldChar w:fldCharType="separate"/>
      </w:r>
      <w:r>
        <w:t>4.7.3</w:t>
      </w:r>
      <w:r>
        <w:fldChar w:fldCharType="end"/>
      </w:r>
      <w:r>
        <w:t>)</w:t>
      </w:r>
    </w:p>
    <w:p w14:paraId="44CD4DE9" w14:textId="2F84EAA7">
      <w:pPr>
        <w:pStyle w:val="Lista2"/>
      </w:pPr>
      <w:r>
        <w:t xml:space="preserve">however, if the text of the two zones is semantically independent, so the two are basically two separate (though related) texts, as in </w:t>
      </w:r>
      <w:r>
        <w:fldChar w:fldCharType="begin"/>
      </w:r>
      <w:r>
        <w:instrText xml:space="preserve"> REF _Ref242694905 \h </w:instrText>
      </w:r>
      <w:r>
        <w:fldChar w:fldCharType="separate"/>
      </w:r>
      <w:r>
        <w:t xml:space="preserve">Exhibit </w:t>
      </w:r>
      <w:r>
        <w:rPr>
          <w:noProof/>
        </w:rPr>
        <w:t>4.7</w:t>
      </w:r>
      <w:r>
        <w:t>.</w:t>
      </w:r>
      <w:r>
        <w:rPr>
          <w:noProof/>
        </w:rPr>
        <w:t>N</w:t>
      </w:r>
      <w:r>
        <w:fldChar w:fldCharType="end"/>
      </w:r>
      <w:r>
        <w:t>,</w:t>
      </w:r>
    </w:p>
    <w:p w14:paraId="1332AAC1" w14:textId="1E1DC872">
      <w:pPr>
        <w:pStyle w:val="Lista3"/>
      </w:pPr>
      <w:r>
        <w:t>then the encoding of a boxlike partition is technically possible and permitted under §</w:t>
      </w:r>
      <w:r>
        <w:fldChar w:fldCharType="begin"/>
      </w:r>
      <w:r>
        <w:instrText xml:space="preserve"> REF _Ref225759775 \r \h </w:instrText>
      </w:r>
      <w:r>
        <w:fldChar w:fldCharType="separate"/>
      </w:r>
      <w:r>
        <w:t>4.7.3</w:t>
      </w:r>
      <w:r>
        <w:fldChar w:fldCharType="end"/>
      </w:r>
    </w:p>
    <w:p w14:paraId="19CD700E" w14:textId="77777777">
      <w:pPr>
        <w:pStyle w:val="Lista3"/>
      </w:pPr>
      <w:r>
        <w:t>encoding as a pagelike partition does, however, remain a viable alternative</w:t>
      </w:r>
    </w:p>
    <w:p w14:paraId="79507690" w14:textId="77777777">
      <w:pPr>
        <w:pStyle w:val="Lista3"/>
      </w:pPr>
      <w:r>
        <w:t>a case-by-case judgement must be made at your discretion, based on the degree of semantic connection perceived between the zones</w:t>
      </w:r>
    </w:p>
    <w:p w14:paraId="1EE17C55" w14:textId="3B4BD5F8">
      <w:pPr>
        <w:pStyle w:val="Lista4"/>
      </w:pPr>
      <w:r>
        <w:t>in a structurally complex inscription, the presence of subdivisions within one or more zones may also warrant the use of boxlike partitions (§</w:t>
      </w:r>
      <w:r>
        <w:fldChar w:fldCharType="begin"/>
      </w:r>
      <w:r>
        <w:instrText xml:space="preserve"> REF _Ref225782390 \r \h </w:instrText>
      </w:r>
      <w:r>
        <w:fldChar w:fldCharType="separate"/>
      </w:r>
      <w:r>
        <w:t>4.7.3.6</w:t>
      </w:r>
      <w:r>
        <w:fldChar w:fldCharType="end"/>
      </w:r>
      <w:r>
        <w:t>)</w:t>
      </w:r>
    </w:p>
    <w:p w14:paraId="4B6B92D5" w14:textId="77777777">
      <w:pPr>
        <w:rPr>
          <w:lang w:eastAsia="en-US" w:bidi="ar-SA"/>
        </w:rPr>
      </w:pPr>
    </w:p>
    <w:tbl>
      <w:tblPr>
        <w:tblStyle w:val="CodeSampleTable"/>
        <w:tblW w:w="5000" w:type="pct"/>
        <w:tblLook w:val="04A0" w:firstRow="1" w:lastRow="0" w:firstColumn="1" w:lastColumn="0" w:noHBand="0" w:noVBand="1"/>
      </w:tblPr>
      <w:tblGrid>
        <w:gridCol w:w="9628"/>
      </w:tblGrid>
      <w:tr w14:paraId="3171768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8ECD9EE" w14:textId="26761F83">
            <w:pPr>
              <w:pStyle w:val="Kpalrs"/>
              <w:keepLines/>
            </w:pPr>
            <w:bookmarkStart w:id="339" w:name="_w6aiimbh4273" w:colFirst="0" w:colLast="0"/>
            <w:bookmarkStart w:id="340" w:name="_Ref44078357"/>
            <w:bookmarkEnd w:id="339"/>
            <w:r>
              <w:t xml:space="preserve">Exhibit </w:t>
            </w:r>
            <w:fldSimple w:instr=" STYLEREF 2 \s ">
              <w:r>
                <w:rPr>
                  <w:noProof/>
                </w:rPr>
                <w:t>4.7</w:t>
              </w:r>
            </w:fldSimple>
            <w:r>
              <w:t>.</w:t>
            </w:r>
            <w:fldSimple w:instr=" SEQ Exhibit \* ALPHABETIC \s 2 ">
              <w:r>
                <w:rPr>
                  <w:noProof/>
                </w:rPr>
                <w:t>K</w:t>
              </w:r>
            </w:fldSimple>
            <w:bookmarkEnd w:id="340"/>
            <w:r>
              <w:t>: two pagelike zones on a slab</w:t>
            </w:r>
          </w:p>
        </w:tc>
      </w:tr>
      <w:tr w14:paraId="777CB48F" w14:textId="77777777">
        <w:tc>
          <w:tcPr>
            <w:tcW w:w="5000" w:type="pct"/>
          </w:tcPr>
          <w:p w14:paraId="68DCBE48" w14:textId="77777777">
            <w:pPr>
              <w:pStyle w:val="Image"/>
            </w:pPr>
            <w:r>
              <w:drawing>
                <wp:inline distT="0" distB="0" distL="0" distR="0" wp14:anchorId="09C945B6" wp14:editId="09840427">
                  <wp:extent cx="4500000" cy="2700000"/>
                  <wp:effectExtent l="0" t="0" r="0" b="5715"/>
                  <wp:docPr id="1707098164" name="image5.png"/>
                  <wp:cNvGraphicFramePr/>
                  <a:graphic xmlns:a="http://schemas.openxmlformats.org/drawingml/2006/main">
                    <a:graphicData uri="http://schemas.openxmlformats.org/drawingml/2006/picture">
                      <pic:pic xmlns:pic="http://schemas.openxmlformats.org/drawingml/2006/picture">
                        <pic:nvPicPr>
                          <pic:cNvPr id="1707098164" name="image5.png"/>
                          <pic:cNvPicPr preferRelativeResize="0"/>
                        </pic:nvPicPr>
                        <pic:blipFill>
                          <a:blip r:embed="rId30"/>
                          <a:stretch>
                            <a:fillRect/>
                          </a:stretch>
                        </pic:blipFill>
                        <pic:spPr>
                          <a:xfrm>
                            <a:off x="0" y="0"/>
                            <a:ext cx="4500000" cy="2700000"/>
                          </a:xfrm>
                          <a:prstGeom prst="rect">
                            <a:avLst/>
                          </a:prstGeom>
                          <a:ln/>
                        </pic:spPr>
                      </pic:pic>
                    </a:graphicData>
                  </a:graphic>
                </wp:inline>
              </w:drawing>
            </w:r>
          </w:p>
        </w:tc>
      </w:tr>
      <w:tr w14:paraId="77AB5F2A" w14:textId="77777777">
        <w:tc>
          <w:tcPr>
            <w:tcW w:w="5000" w:type="pct"/>
          </w:tcPr>
          <w:p w14:paraId="0627BB14" w14:textId="22F75B90">
            <w:pPr>
              <w:pStyle w:val="CodeParagraph"/>
              <w:keepNext/>
              <w:rPr>
                <w:rStyle w:val="Codetext"/>
              </w:rPr>
            </w:pPr>
            <w:r>
              <w:rPr>
                <w:rStyle w:val="Code"/>
              </w:rPr>
              <w:t>&lt;p&gt;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there lived a hobbit.</w:t>
            </w:r>
            <w:r>
              <w:rPr>
                <w:rStyle w:val="Codetext"/>
              </w:rPr>
              <w:br/>
              <w:t xml:space="preserve">  ...</w:t>
            </w:r>
          </w:p>
          <w:p w14:paraId="72A3D20A" w14:textId="3AA68402">
            <w:pPr>
              <w:pStyle w:val="CodeParagraph"/>
              <w:keepNext/>
              <w:rPr>
                <w:rStyle w:val="Code"/>
              </w:rPr>
            </w:pPr>
            <w:r>
              <w:rPr>
                <w:rStyle w:val="Codetext"/>
              </w:rPr>
              <w:t xml:space="preserve">  </w:t>
            </w:r>
            <w:r>
              <w:rPr>
                <w:rStyle w:val="Code"/>
              </w:rPr>
              <w:t xml:space="preserve">&lt;lb </w:t>
            </w:r>
            <w:r>
              <w:rPr>
                <w:rStyle w:val="Codeattribute"/>
              </w:rPr>
              <w:t>n</w:t>
            </w:r>
            <w:r>
              <w:rPr>
                <w:rStyle w:val="Code"/>
              </w:rPr>
              <w:t>=</w:t>
            </w:r>
            <w:r>
              <w:rPr>
                <w:rStyle w:val="Codevalue"/>
              </w:rPr>
              <w:t>"10"</w:t>
            </w:r>
            <w:r>
              <w:rPr>
                <w:rStyle w:val="Code"/>
              </w:rPr>
              <w:t>/&gt;</w:t>
            </w:r>
            <w:r>
              <w:rPr>
                <w:rStyle w:val="Codetext"/>
              </w:rPr>
              <w:t>a hobbit-hole, and that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 xml:space="preserve">"column" </w:t>
            </w:r>
            <w:r>
              <w:rPr>
                <w:rStyle w:val="Codeattribute"/>
              </w:rPr>
              <w:t>n</w:t>
            </w:r>
            <w:r>
              <w:rPr>
                <w:rStyle w:val="Code"/>
              </w:rPr>
              <w:t>=</w:t>
            </w:r>
            <w:r>
              <w:rPr>
                <w:rStyle w:val="Codevalue"/>
              </w:rPr>
              <w:t>"B"</w:t>
            </w:r>
            <w:r>
              <w:rPr>
                <w:rStyle w:val="Code"/>
              </w:rPr>
              <w:t>/&gt;</w:t>
            </w:r>
          </w:p>
          <w:p w14:paraId="368DC42A" w14:textId="068058F7">
            <w:pPr>
              <w:pStyle w:val="CodeParagraph"/>
              <w:keepNext/>
            </w:pPr>
            <w:r>
              <w:rPr>
                <w:rStyle w:val="Code"/>
              </w:rPr>
              <w:t xml:space="preserve">  &lt;lb </w:t>
            </w:r>
            <w:r>
              <w:rPr>
                <w:rStyle w:val="Codeattribute"/>
              </w:rPr>
              <w:t>n</w:t>
            </w:r>
            <w:r>
              <w:rPr>
                <w:rStyle w:val="Code"/>
              </w:rPr>
              <w:t>=</w:t>
            </w:r>
            <w:r>
              <w:rPr>
                <w:rStyle w:val="Codevalue"/>
              </w:rPr>
              <w:t>"11"</w:t>
            </w:r>
            <w:r>
              <w:rPr>
                <w:rStyle w:val="Code"/>
              </w:rPr>
              <w:t>/&gt;</w:t>
            </w:r>
            <w:r>
              <w:rPr>
                <w:rStyle w:val="Codetext"/>
              </w:rPr>
              <w:t>means comfort. It had a</w:t>
            </w:r>
            <w:r>
              <w:rPr>
                <w:rStyle w:val="Codetext"/>
              </w:rPr>
              <w:br/>
              <w:t xml:space="preserve">  </w:t>
            </w:r>
            <w:r>
              <w:rPr>
                <w:rStyle w:val="Code"/>
              </w:rPr>
              <w:t xml:space="preserve">&lt;lb </w:t>
            </w:r>
            <w:r>
              <w:rPr>
                <w:rStyle w:val="Codeattribute"/>
              </w:rPr>
              <w:t>n</w:t>
            </w:r>
            <w:r>
              <w:rPr>
                <w:rStyle w:val="Code"/>
              </w:rPr>
              <w:t>=</w:t>
            </w:r>
            <w:r>
              <w:rPr>
                <w:rStyle w:val="Codevalue"/>
              </w:rPr>
              <w:t>"12"</w:t>
            </w:r>
            <w:r>
              <w:rPr>
                <w:rStyle w:val="Code"/>
              </w:rPr>
              <w:t>/&gt;</w:t>
            </w:r>
            <w:r>
              <w:rPr>
                <w:rStyle w:val="Codetext"/>
              </w:rPr>
              <w:t>perfectly round door like</w:t>
            </w:r>
            <w:r>
              <w:rPr>
                <w:rStyle w:val="Codetext"/>
              </w:rPr>
              <w:br/>
              <w:t xml:space="preserve">  ...</w:t>
            </w:r>
            <w:r>
              <w:rPr>
                <w:rStyle w:val="Codetext"/>
              </w:rPr>
              <w:br/>
              <w:t xml:space="preserve">  </w:t>
            </w:r>
            <w:r>
              <w:rPr>
                <w:rStyle w:val="Code"/>
              </w:rPr>
              <w:t xml:space="preserve">&lt;lb </w:t>
            </w:r>
            <w:r>
              <w:rPr>
                <w:rStyle w:val="Codeattribute"/>
              </w:rPr>
              <w:t>n</w:t>
            </w:r>
            <w:r>
              <w:rPr>
                <w:rStyle w:val="Code"/>
              </w:rPr>
              <w:t>=</w:t>
            </w:r>
            <w:r>
              <w:rPr>
                <w:rStyle w:val="Codevalue"/>
              </w:rPr>
              <w:t>"20"</w:t>
            </w:r>
            <w:r>
              <w:rPr>
                <w:rStyle w:val="Code"/>
              </w:rPr>
              <w:t>/&gt;</w:t>
            </w:r>
            <w:r>
              <w:rPr>
                <w:rStyle w:val="Codetext"/>
              </w:rPr>
              <w:t>without smoke.</w:t>
            </w:r>
            <w:r>
              <w:rPr>
                <w:rStyle w:val="Codetext"/>
              </w:rPr>
              <w:br/>
            </w:r>
            <w:r>
              <w:rPr>
                <w:rStyle w:val="Code"/>
              </w:rPr>
              <w:t>&lt;/p&gt;</w:t>
            </w:r>
          </w:p>
        </w:tc>
      </w:tr>
      <w:tr w14:paraId="52DBA9E3" w14:textId="77777777">
        <w:tc>
          <w:tcPr>
            <w:tcW w:w="5000" w:type="pct"/>
          </w:tcPr>
          <w:p w14:paraId="046EBB48" w14:textId="77777777">
            <w:pPr>
              <w:pStyle w:val="TableNote"/>
            </w:pPr>
            <w:r>
              <w:t>the partition occurs within a sentence, and it is therefore technically impossible to encode a boxlike partition</w:t>
            </w:r>
          </w:p>
          <w:p w14:paraId="271377B9" w14:textId="77777777">
            <w:pPr>
              <w:pStyle w:val="TableNote"/>
            </w:pPr>
            <w:r>
              <w:t>therefore, pagelike milestones are used</w:t>
            </w:r>
          </w:p>
          <w:p w14:paraId="30E4C162" w14:textId="5EF59329">
            <w:pPr>
              <w:pStyle w:val="TableNote"/>
            </w:pPr>
            <w:r>
              <w:t>line numbers continue in the second column; alternatively, complex line numbers (§</w:t>
            </w:r>
            <w:r>
              <w:fldChar w:fldCharType="begin"/>
            </w:r>
            <w:r>
              <w:instrText xml:space="preserve"> REF _Ref182228380 \r \h </w:instrText>
            </w:r>
            <w:r>
              <w:fldChar w:fldCharType="separate"/>
            </w:r>
            <w:r>
              <w:t>4.5.2.2</w:t>
            </w:r>
            <w:r>
              <w:fldChar w:fldCharType="end"/>
            </w:r>
            <w:r>
              <w:t xml:space="preserve">) could be used, as illustrated in the Case Study in </w:t>
            </w:r>
            <w:r>
              <w:fldChar w:fldCharType="begin"/>
            </w:r>
            <w:r>
              <w:instrText xml:space="preserve"> REF _Ref239844333 \r \h </w:instrText>
            </w:r>
            <w:r>
              <w:fldChar w:fldCharType="separate"/>
            </w:r>
            <w:r>
              <w:t>Appendix A.5</w:t>
            </w:r>
            <w:r>
              <w:fldChar w:fldCharType="end"/>
            </w:r>
            <w:r>
              <w:t xml:space="preserve"> </w:t>
            </w:r>
          </w:p>
        </w:tc>
      </w:tr>
    </w:tbl>
    <w:p w14:paraId="501148C6" w14:textId="77777777">
      <w:pPr>
        <w:rPr>
          <w:lang w:eastAsia="en-US" w:bidi="ar-SA"/>
        </w:rPr>
      </w:pPr>
      <w:bookmarkStart w:id="341" w:name="_xbyjw7atziy5" w:colFirst="0" w:colLast="0"/>
      <w:bookmarkEnd w:id="341"/>
    </w:p>
    <w:tbl>
      <w:tblPr>
        <w:tblStyle w:val="CodeSampleTable"/>
        <w:tblW w:w="5000" w:type="pct"/>
        <w:tblLook w:val="04A0" w:firstRow="1" w:lastRow="0" w:firstColumn="1" w:lastColumn="0" w:noHBand="0" w:noVBand="1"/>
      </w:tblPr>
      <w:tblGrid>
        <w:gridCol w:w="9628"/>
      </w:tblGrid>
      <w:tr w14:paraId="21592D23"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221AF91" w14:textId="3FADC2FF">
            <w:pPr>
              <w:pStyle w:val="Kpalrs"/>
              <w:keepLines/>
            </w:pPr>
            <w:bookmarkStart w:id="342" w:name="_Ref182924299"/>
            <w:r>
              <w:lastRenderedPageBreak/>
              <w:t xml:space="preserve">Exhibit </w:t>
            </w:r>
            <w:fldSimple w:instr=" STYLEREF 2 \s ">
              <w:r>
                <w:rPr>
                  <w:noProof/>
                </w:rPr>
                <w:t>4.7</w:t>
              </w:r>
            </w:fldSimple>
            <w:r>
              <w:t>.</w:t>
            </w:r>
            <w:fldSimple w:instr=" SEQ Exhibit \* ALPHABETIC \s 2 ">
              <w:r>
                <w:rPr>
                  <w:noProof/>
                </w:rPr>
                <w:t>L</w:t>
              </w:r>
            </w:fldSimple>
            <w:bookmarkEnd w:id="342"/>
            <w:r>
              <w:t>: doorjambs as pagelike zones</w:t>
            </w:r>
          </w:p>
        </w:tc>
      </w:tr>
      <w:tr w14:paraId="351E0D51" w14:textId="77777777">
        <w:tc>
          <w:tcPr>
            <w:tcW w:w="5000" w:type="pct"/>
          </w:tcPr>
          <w:p w14:paraId="75255AEC" w14:textId="77777777">
            <w:pPr>
              <w:pStyle w:val="Image"/>
              <w:keepLines/>
            </w:pPr>
            <w:r>
              <w:drawing>
                <wp:inline distT="0" distB="0" distL="0" distR="0" wp14:anchorId="28A00604" wp14:editId="1E13839F">
                  <wp:extent cx="5397500" cy="2852420"/>
                  <wp:effectExtent l="0" t="0" r="0" b="5080"/>
                  <wp:docPr id="16670289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7500" cy="2852420"/>
                          </a:xfrm>
                          <a:prstGeom prst="rect">
                            <a:avLst/>
                          </a:prstGeom>
                          <a:noFill/>
                          <a:ln>
                            <a:noFill/>
                          </a:ln>
                        </pic:spPr>
                      </pic:pic>
                    </a:graphicData>
                  </a:graphic>
                </wp:inline>
              </w:drawing>
            </w:r>
          </w:p>
        </w:tc>
      </w:tr>
      <w:tr w14:paraId="244B6FB9" w14:textId="77777777">
        <w:tc>
          <w:tcPr>
            <w:tcW w:w="5000" w:type="pct"/>
          </w:tcPr>
          <w:p w14:paraId="5CF1A062" w14:textId="77777777">
            <w:pPr>
              <w:pStyle w:val="CodeParagraph"/>
              <w:keepNext/>
              <w:rPr>
                <w:rStyle w:val="Codetext"/>
              </w:rPr>
            </w:pPr>
            <w:r>
              <w:rPr>
                <w:rStyle w:val="Code"/>
              </w:rPr>
              <w:t>&lt;p&gt;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"item"</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there lived a hobbit.</w:t>
            </w:r>
          </w:p>
          <w:p w14:paraId="3CA2C623" w14:textId="77777777">
            <w:pPr>
              <w:pStyle w:val="CodeParagraph"/>
              <w:keepNext/>
              <w:rPr>
                <w:rStyle w:val="Codetext"/>
              </w:rPr>
            </w:pPr>
            <w:r>
              <w:rPr>
                <w:rStyle w:val="Codetext"/>
              </w:rPr>
              <w:t xml:space="preserve">  ...</w:t>
            </w:r>
            <w:r>
              <w:rPr>
                <w:rStyle w:val="Codetext"/>
              </w:rPr>
              <w:br/>
              <w:t xml:space="preserve">  </w:t>
            </w:r>
            <w:r>
              <w:rPr>
                <w:rStyle w:val="Code"/>
              </w:rPr>
              <w:t xml:space="preserve">&lt;lb </w:t>
            </w:r>
            <w:r>
              <w:rPr>
                <w:rStyle w:val="Codeattribute"/>
              </w:rPr>
              <w:t>n</w:t>
            </w:r>
            <w:r>
              <w:rPr>
                <w:rStyle w:val="Code"/>
              </w:rPr>
              <w:t>=</w:t>
            </w:r>
            <w:r>
              <w:rPr>
                <w:rStyle w:val="Codevalue"/>
              </w:rPr>
              <w:t>"10"</w:t>
            </w:r>
            <w:r>
              <w:rPr>
                <w:rStyle w:val="Code"/>
              </w:rPr>
              <w:t>/&gt;</w:t>
            </w:r>
            <w:r>
              <w:rPr>
                <w:rStyle w:val="Codetext"/>
              </w:rPr>
              <w:t>a hobbit-hole, and that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 xml:space="preserve">"item" </w:t>
            </w:r>
            <w:r>
              <w:rPr>
                <w:rStyle w:val="Codeattribute"/>
              </w:rPr>
              <w:t>n</w:t>
            </w:r>
            <w:r>
              <w:rPr>
                <w:rStyle w:val="Code"/>
              </w:rPr>
              <w:t>=</w:t>
            </w:r>
            <w:r>
              <w:rPr>
                <w:rStyle w:val="Codevalue"/>
              </w:rPr>
              <w:t>"B"</w:t>
            </w:r>
            <w:r>
              <w:rPr>
                <w:rStyle w:val="Code"/>
              </w:rPr>
              <w:t>/&gt;</w:t>
            </w:r>
            <w:r>
              <w:rPr>
                <w:rStyle w:val="Codetext"/>
              </w:rPr>
              <w:br/>
            </w:r>
            <w:r>
              <w:rPr>
                <w:rStyle w:val="Code"/>
              </w:rPr>
              <w:t xml:space="preserve">  &lt;lb </w:t>
            </w:r>
            <w:r>
              <w:rPr>
                <w:rStyle w:val="Codeattribute"/>
              </w:rPr>
              <w:t>n</w:t>
            </w:r>
            <w:r>
              <w:rPr>
                <w:rStyle w:val="Code"/>
              </w:rPr>
              <w:t>=</w:t>
            </w:r>
            <w:r>
              <w:rPr>
                <w:rStyle w:val="Codevalue"/>
              </w:rPr>
              <w:t>"11"</w:t>
            </w:r>
            <w:r>
              <w:rPr>
                <w:rStyle w:val="Code"/>
              </w:rPr>
              <w:t>/&gt;</w:t>
            </w:r>
            <w:r>
              <w:rPr>
                <w:rStyle w:val="Codetext"/>
              </w:rPr>
              <w:t>means comfort. It had a</w:t>
            </w:r>
            <w:r>
              <w:rPr>
                <w:rStyle w:val="Codetext"/>
              </w:rPr>
              <w:br/>
              <w:t xml:space="preserve">  </w:t>
            </w:r>
            <w:r>
              <w:rPr>
                <w:rStyle w:val="Code"/>
              </w:rPr>
              <w:t xml:space="preserve">&lt;lb </w:t>
            </w:r>
            <w:r>
              <w:rPr>
                <w:rStyle w:val="Codeattribute"/>
              </w:rPr>
              <w:t>n</w:t>
            </w:r>
            <w:r>
              <w:rPr>
                <w:rStyle w:val="Code"/>
              </w:rPr>
              <w:t>=</w:t>
            </w:r>
            <w:r>
              <w:rPr>
                <w:rStyle w:val="Codevalue"/>
              </w:rPr>
              <w:t>"12"</w:t>
            </w:r>
            <w:r>
              <w:rPr>
                <w:rStyle w:val="Code"/>
              </w:rPr>
              <w:t>/&gt;</w:t>
            </w:r>
            <w:r>
              <w:rPr>
                <w:rStyle w:val="Codetext"/>
              </w:rPr>
              <w:t>perfectly round door like</w:t>
            </w:r>
            <w:r>
              <w:rPr>
                <w:rStyle w:val="Codetext"/>
              </w:rPr>
              <w:br/>
              <w:t xml:space="preserve">  ...</w:t>
            </w:r>
          </w:p>
          <w:p w14:paraId="4B981431" w14:textId="77777777">
            <w:pPr>
              <w:pStyle w:val="CodeParagraph"/>
              <w:keepNext/>
            </w:pPr>
            <w:r>
              <w:rPr>
                <w:rStyle w:val="Codetext"/>
              </w:rPr>
              <w:t xml:space="preserve">  </w:t>
            </w:r>
            <w:r>
              <w:rPr>
                <w:rStyle w:val="Code"/>
              </w:rPr>
              <w:t xml:space="preserve">&lt;lb </w:t>
            </w:r>
            <w:r>
              <w:rPr>
                <w:rStyle w:val="Codeattribute"/>
              </w:rPr>
              <w:t>n</w:t>
            </w:r>
            <w:r>
              <w:rPr>
                <w:rStyle w:val="Code"/>
              </w:rPr>
              <w:t>=</w:t>
            </w:r>
            <w:r>
              <w:rPr>
                <w:rStyle w:val="Codevalue"/>
              </w:rPr>
              <w:t>"20"</w:t>
            </w:r>
            <w:r>
              <w:rPr>
                <w:rStyle w:val="Code"/>
              </w:rPr>
              <w:t>/&gt;</w:t>
            </w:r>
            <w:r>
              <w:rPr>
                <w:rStyle w:val="Codetext"/>
              </w:rPr>
              <w:t>without smoke.</w:t>
            </w:r>
            <w:r>
              <w:rPr>
                <w:rStyle w:val="Codetext"/>
              </w:rPr>
              <w:br/>
            </w:r>
            <w:r>
              <w:rPr>
                <w:rStyle w:val="Code"/>
              </w:rPr>
              <w:t>&lt;/p&gt;</w:t>
            </w:r>
          </w:p>
        </w:tc>
      </w:tr>
      <w:tr w14:paraId="00155BE1" w14:textId="77777777">
        <w:tc>
          <w:tcPr>
            <w:tcW w:w="5000" w:type="pct"/>
          </w:tcPr>
          <w:p w14:paraId="7D09D077" w14:textId="429F83AE">
            <w:pPr>
              <w:pStyle w:val="TableNote"/>
            </w:pPr>
            <w:r>
              <w:t xml:space="preserve">the structure of this inscription is identical to that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r>
              <w:t>, differing only in topology</w:t>
            </w:r>
          </w:p>
          <w:p w14:paraId="7C8F5146" w14:textId="77777777">
            <w:pPr>
              <w:pStyle w:val="TableNote"/>
            </w:pPr>
            <w:r>
              <w:t>the partition occurs within a sentence, and it is therefore technically impossible to encode a boxlike partition</w:t>
            </w:r>
          </w:p>
          <w:p w14:paraId="212DE7F0" w14:textId="77777777">
            <w:pPr>
              <w:pStyle w:val="TableNote"/>
            </w:pPr>
            <w:r>
              <w:t>therefore, pagelike milestones are used</w:t>
            </w:r>
          </w:p>
          <w:p w14:paraId="79279F40" w14:textId="11BAD4CC">
            <w:pPr>
              <w:pStyle w:val="TableNote"/>
              <w:rPr>
                <w:noProof/>
              </w:rPr>
            </w:pPr>
            <w:r>
              <w:t>line numbers continue in the second column; alternatively, complex line numbers (§</w:t>
            </w:r>
            <w:r>
              <w:fldChar w:fldCharType="begin"/>
            </w:r>
            <w:r>
              <w:instrText xml:space="preserve"> REF _Ref182228380 \r \h </w:instrText>
            </w:r>
            <w:r>
              <w:fldChar w:fldCharType="separate"/>
            </w:r>
            <w:r>
              <w:t>4.5.2.2</w:t>
            </w:r>
            <w:r>
              <w:fldChar w:fldCharType="end"/>
            </w:r>
            <w:r>
              <w:t xml:space="preserve">) could be used, as illustrated in the Case Study in </w:t>
            </w:r>
            <w:r>
              <w:fldChar w:fldCharType="begin"/>
            </w:r>
            <w:r>
              <w:instrText xml:space="preserve"> REF _Ref239844348 \r \h </w:instrText>
            </w:r>
            <w:r>
              <w:fldChar w:fldCharType="separate"/>
            </w:r>
            <w:r>
              <w:t>Appendix A.5</w:t>
            </w:r>
            <w:r>
              <w:fldChar w:fldCharType="end"/>
            </w:r>
            <w:r>
              <w:rPr>
                <w:noProof/>
              </w:rPr>
              <w:t xml:space="preserve"> </w:t>
            </w:r>
          </w:p>
        </w:tc>
      </w:tr>
    </w:tbl>
    <w:p w14:paraId="4E728381" w14:textId="77777777">
      <w:pPr>
        <w:rPr>
          <w:lang w:eastAsia="en-US" w:bidi="ar-SA"/>
        </w:rPr>
      </w:pPr>
    </w:p>
    <w:tbl>
      <w:tblPr>
        <w:tblStyle w:val="CodeSampleTable"/>
        <w:tblW w:w="5000" w:type="pct"/>
        <w:tblLook w:val="04A0" w:firstRow="1" w:lastRow="0" w:firstColumn="1" w:lastColumn="0" w:noHBand="0" w:noVBand="1"/>
      </w:tblPr>
      <w:tblGrid>
        <w:gridCol w:w="9628"/>
      </w:tblGrid>
      <w:tr w14:paraId="1E15752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A2BD19F" w14:textId="16C78DDF">
            <w:pPr>
              <w:pStyle w:val="Kpalrs"/>
              <w:keepLines/>
            </w:pPr>
            <w:bookmarkStart w:id="343" w:name="_Ref225781841"/>
            <w:r>
              <w:lastRenderedPageBreak/>
              <w:t xml:space="preserve">Exhibit </w:t>
            </w:r>
            <w:fldSimple w:instr=" STYLEREF 2 \s ">
              <w:r>
                <w:rPr>
                  <w:noProof/>
                </w:rPr>
                <w:t>4.7</w:t>
              </w:r>
            </w:fldSimple>
            <w:r>
              <w:t>.</w:t>
            </w:r>
            <w:fldSimple w:instr=" SEQ Exhibit \* ALPHABETIC \s 2 ">
              <w:r>
                <w:rPr>
                  <w:noProof/>
                </w:rPr>
                <w:t>M</w:t>
              </w:r>
            </w:fldSimple>
            <w:bookmarkEnd w:id="343"/>
            <w:r>
              <w:t>: pagelike partition at semantic boundary</w:t>
            </w:r>
          </w:p>
        </w:tc>
      </w:tr>
      <w:tr w14:paraId="614DD074" w14:textId="77777777">
        <w:tc>
          <w:tcPr>
            <w:tcW w:w="5000" w:type="pct"/>
          </w:tcPr>
          <w:p w14:paraId="383B9848" w14:textId="77777777">
            <w:pPr>
              <w:pStyle w:val="Image"/>
              <w:keepLines/>
              <w:rPr>
                <w:rStyle w:val="Code"/>
                <w:rFonts w:ascii="Gentium" w:hAnsi="Gentium" w:cs="Tiro Devanagari Sanskrit"/>
                <w:color w:val="auto"/>
                <w:shd w:val="clear" w:color="auto" w:fill="auto"/>
              </w:rPr>
            </w:pPr>
            <w:r>
              <w:drawing>
                <wp:inline distT="0" distB="0" distL="0" distR="0" wp14:anchorId="6DAD3F21" wp14:editId="2A5BC30F">
                  <wp:extent cx="4492800" cy="2692800"/>
                  <wp:effectExtent l="0" t="0" r="3175" b="0"/>
                  <wp:docPr id="556124011"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92800" cy="2692800"/>
                          </a:xfrm>
                          <a:prstGeom prst="rect">
                            <a:avLst/>
                          </a:prstGeom>
                          <a:noFill/>
                          <a:ln>
                            <a:noFill/>
                          </a:ln>
                        </pic:spPr>
                      </pic:pic>
                    </a:graphicData>
                  </a:graphic>
                </wp:inline>
              </w:drawing>
            </w:r>
          </w:p>
        </w:tc>
      </w:tr>
      <w:tr w14:paraId="4F06FF98" w14:textId="77777777">
        <w:tc>
          <w:tcPr>
            <w:tcW w:w="5000" w:type="pct"/>
          </w:tcPr>
          <w:p w14:paraId="0142EB3B" w14:textId="77777777">
            <w:pPr>
              <w:pStyle w:val="TableNote"/>
            </w:pPr>
            <w:r>
              <w:t>the partition occurs between sentences, where a new unit of intrinsic structure can be started</w:t>
            </w:r>
          </w:p>
          <w:p w14:paraId="7F46D7EC" w14:textId="77777777">
            <w:pPr>
              <w:pStyle w:val="TableNote"/>
            </w:pPr>
            <w:r>
              <w:t>encoding as a boxlike partition is technically possible, but not warranted</w:t>
            </w:r>
          </w:p>
          <w:p w14:paraId="5BD6805B" w14:textId="77777777">
            <w:pPr>
              <w:pStyle w:val="TableNote"/>
            </w:pPr>
            <w:r>
              <w:t>this inscription must be encoded with a pagelike partition</w:t>
            </w:r>
          </w:p>
        </w:tc>
      </w:tr>
    </w:tbl>
    <w:p w14:paraId="5A885092" w14:textId="77777777">
      <w:pPr>
        <w:rPr>
          <w:lang w:eastAsia="en-US" w:bidi="ar-SA"/>
        </w:rPr>
      </w:pPr>
    </w:p>
    <w:tbl>
      <w:tblPr>
        <w:tblStyle w:val="CodeSampleTable"/>
        <w:tblW w:w="5000" w:type="pct"/>
        <w:tblLook w:val="04A0" w:firstRow="1" w:lastRow="0" w:firstColumn="1" w:lastColumn="0" w:noHBand="0" w:noVBand="1"/>
      </w:tblPr>
      <w:tblGrid>
        <w:gridCol w:w="9628"/>
      </w:tblGrid>
      <w:tr w14:paraId="07312365"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A87CF86" w14:textId="06F61612">
            <w:pPr>
              <w:pStyle w:val="Kpalrs"/>
              <w:keepLines/>
            </w:pPr>
            <w:bookmarkStart w:id="344" w:name="_Ref242694905"/>
            <w:r>
              <w:t xml:space="preserve">Exhibit </w:t>
            </w:r>
            <w:fldSimple w:instr=" STYLEREF 2 \s ">
              <w:r>
                <w:rPr>
                  <w:noProof/>
                </w:rPr>
                <w:t>4.7</w:t>
              </w:r>
            </w:fldSimple>
            <w:r>
              <w:t>.</w:t>
            </w:r>
            <w:fldSimple w:instr=" SEQ Exhibit \* ALPHABETIC \s 2 ">
              <w:r>
                <w:rPr>
                  <w:noProof/>
                </w:rPr>
                <w:t>N</w:t>
              </w:r>
            </w:fldSimple>
            <w:bookmarkEnd w:id="344"/>
            <w:r>
              <w:t>: pagelike or boxlike partition at major semantic discontinuity</w:t>
            </w:r>
          </w:p>
        </w:tc>
      </w:tr>
      <w:tr w14:paraId="21426692" w14:textId="77777777">
        <w:tc>
          <w:tcPr>
            <w:tcW w:w="5000" w:type="pct"/>
          </w:tcPr>
          <w:p w14:paraId="032799C2" w14:textId="77777777">
            <w:pPr>
              <w:pStyle w:val="Image"/>
              <w:keepLines/>
              <w:rPr>
                <w:rStyle w:val="Code"/>
              </w:rPr>
            </w:pPr>
            <w:r>
              <w:drawing>
                <wp:inline distT="0" distB="0" distL="0" distR="0" wp14:anchorId="1D56E9D9" wp14:editId="2A55E3AE">
                  <wp:extent cx="4492800" cy="2692800"/>
                  <wp:effectExtent l="0" t="0" r="3175" b="0"/>
                  <wp:docPr id="894074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92800" cy="2692800"/>
                          </a:xfrm>
                          <a:prstGeom prst="rect">
                            <a:avLst/>
                          </a:prstGeom>
                          <a:noFill/>
                          <a:ln>
                            <a:noFill/>
                          </a:ln>
                        </pic:spPr>
                      </pic:pic>
                    </a:graphicData>
                  </a:graphic>
                </wp:inline>
              </w:drawing>
            </w:r>
          </w:p>
        </w:tc>
      </w:tr>
      <w:tr w14:paraId="3D4AAA18" w14:textId="77777777">
        <w:tc>
          <w:tcPr>
            <w:tcW w:w="5000" w:type="pct"/>
          </w:tcPr>
          <w:p w14:paraId="0B65A046" w14:textId="77777777">
            <w:pPr>
              <w:pStyle w:val="TableNote"/>
            </w:pPr>
            <w:r>
              <w:rPr>
                <w:lang w:eastAsia="en-US" w:bidi="ar-SA"/>
              </w:rPr>
              <w:t>the partition coincides with a major semantic discontinuity</w:t>
            </w:r>
          </w:p>
          <w:p w14:paraId="54C24E82" w14:textId="77777777">
            <w:pPr>
              <w:pStyle w:val="TableNote"/>
            </w:pPr>
            <w:r>
              <w:rPr>
                <w:lang w:eastAsia="en-US" w:bidi="ar-SA"/>
              </w:rPr>
              <w:t>encoding as a boxlike partition is technically possible and may be warranted, at your discretion</w:t>
            </w:r>
          </w:p>
        </w:tc>
      </w:tr>
    </w:tbl>
    <w:p w14:paraId="746C1E87" w14:textId="77777777">
      <w:pPr>
        <w:rPr>
          <w:lang w:eastAsia="en-US" w:bidi="ar-SA"/>
        </w:rPr>
      </w:pPr>
    </w:p>
    <w:p w14:paraId="72DC09A4" w14:textId="77777777">
      <w:pPr>
        <w:pStyle w:val="Cmsor3"/>
      </w:pPr>
      <w:bookmarkStart w:id="345" w:name="_Ref182322267"/>
      <w:bookmarkStart w:id="346" w:name="_Ref225759805"/>
      <w:bookmarkStart w:id="347" w:name="_Toc242889484"/>
      <w:r>
        <w:t>When to use gridlike partitions</w:t>
      </w:r>
      <w:bookmarkEnd w:id="345"/>
      <w:bookmarkEnd w:id="346"/>
      <w:bookmarkEnd w:id="347"/>
    </w:p>
    <w:p w14:paraId="7E6AC84B" w14:textId="6D78C3B6">
      <w:r>
        <w:t>The encoding of gridlike partitions with milestones is, as already noted in §</w:t>
      </w:r>
      <w:r>
        <w:fldChar w:fldCharType="begin"/>
      </w:r>
      <w:r>
        <w:instrText xml:space="preserve"> REF _Ref182923075 \r \h </w:instrText>
      </w:r>
      <w:r>
        <w:fldChar w:fldCharType="separate"/>
      </w:r>
      <w:r>
        <w:t>4.1</w:t>
      </w:r>
      <w:r>
        <w:fldChar w:fldCharType="end"/>
      </w:r>
      <w:r>
        <w:t xml:space="preserve">, not mandatory and should be applied on a case-by-case basis, judging the feasibility of encoding versus the anticipated usefulness of having the partitions represented in the edition. Representing such partitions in the encoding can be especially advantageous if some elements of description apply only to specific partitions </w:t>
      </w:r>
      <w:r>
        <w:rPr>
          <w:noProof/>
        </w:rPr>
        <w:t>(</w:t>
      </w:r>
      <w:r>
        <w:t xml:space="preserve">e.g. certain fragments are kept in a different place, or certain facets of the support are in a different state of preservation), because each partition can then be referred to unambiguously, and the edition will show which parts of the text correspond to which partition. If you opt not to encode gridlike milestones, treat the text straightforwardly as if it occupied a simple surface, and describe the layout in as much detail as you wish in your annotation. </w:t>
      </w:r>
    </w:p>
    <w:p w14:paraId="6192DEDA" w14:textId="0AD870B2">
      <w:pPr>
        <w:pStyle w:val="Normlbehzs"/>
      </w:pPr>
      <w:r>
        <w:lastRenderedPageBreak/>
        <w:t>This section discusses neat gridlike structures that involve vertical or near-vertical grid lines. Guidance is provided separately in §</w:t>
      </w:r>
      <w:r>
        <w:fldChar w:fldCharType="begin"/>
      </w:r>
      <w:r>
        <w:instrText xml:space="preserve"> REF _Ref225759925 \r \h </w:instrText>
      </w:r>
      <w:r>
        <w:fldChar w:fldCharType="separate"/>
      </w:r>
      <w:r>
        <w:t>4.7.6</w:t>
      </w:r>
      <w:r>
        <w:fldChar w:fldCharType="end"/>
      </w:r>
      <w:r>
        <w:t xml:space="preserve"> for untidy structures, most often (but not always) generated by fragmentation, and also usually amenable to encoding as gridlike partitions.</w:t>
      </w:r>
    </w:p>
    <w:p w14:paraId="5A7C49E7" w14:textId="77777777">
      <w:pPr>
        <w:pStyle w:val="Cmsor4"/>
      </w:pPr>
      <w:r>
        <w:t>Grids of architectural blocks</w:t>
      </w:r>
    </w:p>
    <w:p w14:paraId="6D2C14A8" w14:textId="1CD826D4">
      <w:r>
        <w:t xml:space="preserve">A gridlike extrinsic structure may be the result of physically separate (or at least separable) objects constituting a complex support. This most commonly happens with blocks of masonry constituting part of a wall which bears an inscription, as in </w:t>
      </w:r>
      <w:r>
        <w:fldChar w:fldCharType="begin"/>
      </w:r>
      <w:r>
        <w:instrText xml:space="preserve"> REF _Ref44078533 \h  \* MERGEFORMAT </w:instrText>
      </w:r>
      <w:r>
        <w:fldChar w:fldCharType="separate"/>
      </w:r>
      <w:r>
        <w:t xml:space="preserve">Exhibit </w:t>
      </w:r>
      <w:r>
        <w:rPr>
          <w:noProof/>
        </w:rPr>
        <w:t>4.7.O</w:t>
      </w:r>
      <w:r>
        <w:fldChar w:fldCharType="end"/>
      </w:r>
      <w:r>
        <w:t xml:space="preserve">. </w:t>
      </w:r>
    </w:p>
    <w:p w14:paraId="4F2166E5" w14:textId="77777777">
      <w:pPr>
        <w:pStyle w:val="Lista"/>
      </w:pPr>
      <w:r>
        <w:t>encoding gridlike partitions is recommended for</w:t>
      </w:r>
      <w:r>
        <w:rPr>
          <w:b/>
          <w:bCs/>
        </w:rPr>
        <w:t xml:space="preserve"> </w:t>
      </w:r>
      <w:r>
        <w:t>building blocks, especially if they are not currently integrated into a structure</w:t>
      </w:r>
    </w:p>
    <w:p w14:paraId="4F752E64" w14:textId="27B2E342">
      <w:pPr>
        <w:pStyle w:val="Lista2"/>
      </w:pPr>
      <w:r>
        <w:t xml:space="preserve">the milestones shall be encoded with </w:t>
      </w:r>
      <w:r>
        <w:rPr>
          <w:rStyle w:val="Codeattribute"/>
        </w:rPr>
        <w:t>@unit=</w:t>
      </w:r>
      <w:r>
        <w:rPr>
          <w:rStyle w:val="Codevalue"/>
        </w:rPr>
        <w:t>"block"</w:t>
      </w:r>
      <w:r>
        <w:t xml:space="preserve"> (§</w:t>
      </w:r>
      <w:r>
        <w:fldChar w:fldCharType="begin"/>
      </w:r>
      <w:r>
        <w:instrText xml:space="preserve"> REF _Ref182815315 \r \h </w:instrText>
      </w:r>
      <w:r>
        <w:fldChar w:fldCharType="separate"/>
      </w:r>
      <w:r>
        <w:t>4.3.1</w:t>
      </w:r>
      <w:r>
        <w:fldChar w:fldCharType="end"/>
      </w:r>
      <w:r>
        <w:t>)</w:t>
      </w:r>
    </w:p>
    <w:p w14:paraId="5D818BF1" w14:textId="77777777"/>
    <w:tbl>
      <w:tblPr>
        <w:tblStyle w:val="CodeSampleTable"/>
        <w:tblW w:w="5000" w:type="pct"/>
        <w:tblLook w:val="04A0" w:firstRow="1" w:lastRow="0" w:firstColumn="1" w:lastColumn="0" w:noHBand="0" w:noVBand="1"/>
      </w:tblPr>
      <w:tblGrid>
        <w:gridCol w:w="9628"/>
      </w:tblGrid>
      <w:tr w14:paraId="05491BF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DE27FAE" w14:textId="799A0FC0">
            <w:pPr>
              <w:pStyle w:val="Kpalrs"/>
              <w:keepLines/>
            </w:pPr>
            <w:bookmarkStart w:id="348" w:name="_Ref44078533"/>
            <w:bookmarkStart w:id="349" w:name="_Ref225495068"/>
            <w:r>
              <w:t xml:space="preserve">Exhibit </w:t>
            </w:r>
            <w:fldSimple w:instr=" STYLEREF 2 \s ">
              <w:r>
                <w:rPr>
                  <w:noProof/>
                </w:rPr>
                <w:t>4.7</w:t>
              </w:r>
            </w:fldSimple>
            <w:r>
              <w:t>.</w:t>
            </w:r>
            <w:fldSimple w:instr=" SEQ Exhibit \* ALPHABETIC \s 2 ">
              <w:r>
                <w:rPr>
                  <w:noProof/>
                </w:rPr>
                <w:t>O</w:t>
              </w:r>
            </w:fldSimple>
            <w:bookmarkEnd w:id="348"/>
            <w:r>
              <w:t>: gridlike partitions for text inscribed across architectural blocks</w:t>
            </w:r>
            <w:bookmarkEnd w:id="349"/>
          </w:p>
        </w:tc>
      </w:tr>
      <w:tr w14:paraId="257A84B3" w14:textId="77777777">
        <w:tc>
          <w:tcPr>
            <w:tcW w:w="5000" w:type="pct"/>
          </w:tcPr>
          <w:p w14:paraId="60C29FD4" w14:textId="77777777">
            <w:pPr>
              <w:pStyle w:val="Image"/>
              <w:keepLines/>
            </w:pPr>
            <w:r>
              <w:drawing>
                <wp:inline distT="0" distB="0" distL="0" distR="0" wp14:anchorId="3C0C4661" wp14:editId="3DF4CB9C">
                  <wp:extent cx="5404485" cy="1801495"/>
                  <wp:effectExtent l="0" t="0" r="5715" b="8255"/>
                  <wp:docPr id="170247771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4485" cy="1801495"/>
                          </a:xfrm>
                          <a:prstGeom prst="rect">
                            <a:avLst/>
                          </a:prstGeom>
                          <a:noFill/>
                          <a:ln>
                            <a:noFill/>
                          </a:ln>
                        </pic:spPr>
                      </pic:pic>
                    </a:graphicData>
                  </a:graphic>
                </wp:inline>
              </w:drawing>
            </w:r>
          </w:p>
        </w:tc>
      </w:tr>
      <w:tr w14:paraId="347567FC" w14:textId="77777777">
        <w:tc>
          <w:tcPr>
            <w:tcW w:w="5000" w:type="pct"/>
          </w:tcPr>
          <w:p w14:paraId="68418417" w14:textId="77777777">
            <w:pPr>
              <w:pStyle w:val="CodeParagraph"/>
              <w:keepNext/>
              <w:keepLines/>
              <w:spacing w:line="240" w:lineRule="auto"/>
              <w:rPr>
                <w:rStyle w:val="Code"/>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 ground there lived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/&gt;</w:t>
            </w:r>
            <w:r>
              <w:rPr>
                <w:rStyle w:val="Codetext"/>
              </w:rPr>
              <w:t>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nasty, dirty, wet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hole, filled with the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/&gt;</w:t>
            </w:r>
            <w:r>
              <w:rPr>
                <w:rStyle w:val="Codetext"/>
              </w:rPr>
              <w:t>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and an oozy sm</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 xml:space="preserve"> </w:t>
            </w:r>
            <w:r>
              <w:rPr>
                <w:rStyle w:val="Codeattribute"/>
              </w:rPr>
              <w:t>break</w:t>
            </w:r>
            <w:r>
              <w:rPr>
                <w:rStyle w:val="Code"/>
              </w:rPr>
              <w:t>=</w:t>
            </w:r>
            <w:r>
              <w:rPr>
                <w:rStyle w:val="Codevalue"/>
              </w:rPr>
              <w:t>"no"</w:t>
            </w:r>
            <w:r>
              <w:rPr>
                <w:rStyle w:val="Code"/>
              </w:rPr>
              <w:t>/&gt;</w:t>
            </w:r>
            <w:r>
              <w:rPr>
                <w:rStyle w:val="Codetext"/>
              </w:rPr>
              <w:t>ell, nor yet a dry, b</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 xml:space="preserve"> </w:t>
            </w:r>
            <w:r>
              <w:rPr>
                <w:rStyle w:val="Codeattribute"/>
              </w:rPr>
              <w:t>break</w:t>
            </w:r>
            <w:r>
              <w:rPr>
                <w:rStyle w:val="Code"/>
              </w:rPr>
              <w:t>=</w:t>
            </w:r>
            <w:r>
              <w:rPr>
                <w:rStyle w:val="Codevalue"/>
              </w:rPr>
              <w:t>"no"</w:t>
            </w:r>
            <w:r>
              <w:rPr>
                <w:rStyle w:val="Code"/>
              </w:rPr>
              <w:t>/&gt;</w:t>
            </w:r>
            <w:r>
              <w:rPr>
                <w:rStyle w:val="Codetext"/>
              </w:rPr>
              <w:t>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it to sit down on or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/&gt;</w:t>
            </w:r>
            <w:r>
              <w:rPr>
                <w:rStyle w:val="Codetext"/>
              </w:rPr>
              <w:t>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hobbit-hole, and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that means comfort.</w:t>
            </w:r>
            <w:r>
              <w:rPr>
                <w:rStyle w:val="Codetext"/>
              </w:rPr>
              <w:br/>
            </w:r>
            <w:r>
              <w:rPr>
                <w:rStyle w:val="Code"/>
              </w:rPr>
              <w:t>&lt;/p&gt;</w:t>
            </w:r>
          </w:p>
        </w:tc>
      </w:tr>
      <w:tr w14:paraId="31A48213" w14:textId="77777777">
        <w:tc>
          <w:tcPr>
            <w:tcW w:w="5000" w:type="pct"/>
          </w:tcPr>
          <w:p w14:paraId="1722EB2B" w14:textId="699CA938">
            <w:pPr>
              <w:pStyle w:val="TableNote"/>
            </w:pPr>
            <w:r>
              <w:t xml:space="preserve">notice the use of </w:t>
            </w:r>
            <w:r>
              <w:rPr>
                <w:rStyle w:val="Codeattribute"/>
              </w:rPr>
              <w:t>@break</w:t>
            </w:r>
            <w:r>
              <w:rPr>
                <w:rStyle w:val="Code"/>
              </w:rPr>
              <w:t>=</w:t>
            </w:r>
            <w:r>
              <w:rPr>
                <w:rStyle w:val="Codevalue"/>
              </w:rPr>
              <w:t>"no"</w:t>
            </w:r>
            <w:r>
              <w:t xml:space="preserve"> for the two milestones in line 3, which interrupt a word (§</w:t>
            </w:r>
            <w:r>
              <w:fldChar w:fldCharType="begin"/>
            </w:r>
            <w:r>
              <w:instrText xml:space="preserve"> REF _Ref225519777 \r \h </w:instrText>
            </w:r>
            <w:r>
              <w:fldChar w:fldCharType="separate"/>
            </w:r>
            <w:r>
              <w:t>4.3.2.1</w:t>
            </w:r>
            <w:r>
              <w:fldChar w:fldCharType="end"/>
            </w:r>
            <w:r>
              <w:t>)</w:t>
            </w:r>
          </w:p>
        </w:tc>
      </w:tr>
    </w:tbl>
    <w:p w14:paraId="0F1EE840" w14:textId="77777777">
      <w:pPr>
        <w:pStyle w:val="Cmsor4"/>
      </w:pPr>
      <w:r>
        <w:t>Grids of fragments</w:t>
      </w:r>
    </w:p>
    <w:p w14:paraId="2FC08E75" w14:textId="12B1755E">
      <w:r>
        <w:t xml:space="preserve">The breakage of an inscription’s support can result in a gridlike partition, as in </w:t>
      </w:r>
      <w:r>
        <w:fldChar w:fldCharType="begin"/>
      </w:r>
      <w:r>
        <w:instrText xml:space="preserve"> REF _Ref225859267 \h </w:instrText>
      </w:r>
      <w:r>
        <w:fldChar w:fldCharType="separate"/>
      </w:r>
      <w:r>
        <w:t xml:space="preserve">Exhibit </w:t>
      </w:r>
      <w:r>
        <w:rPr>
          <w:noProof/>
        </w:rPr>
        <w:t>4.7</w:t>
      </w:r>
      <w:r>
        <w:t>.</w:t>
      </w:r>
      <w:r>
        <w:rPr>
          <w:noProof/>
        </w:rPr>
        <w:t>P</w:t>
      </w:r>
      <w:r>
        <w:fldChar w:fldCharType="end"/>
      </w:r>
      <w:r>
        <w:t>. Situations where fragmentation produces a more disorderly structure are discussed separately in §</w:t>
      </w:r>
      <w:r>
        <w:fldChar w:fldCharType="begin"/>
      </w:r>
      <w:r>
        <w:instrText xml:space="preserve"> REF _Ref225759925 \r \h </w:instrText>
      </w:r>
      <w:r>
        <w:fldChar w:fldCharType="separate"/>
      </w:r>
      <w:r>
        <w:t>4.7.6</w:t>
      </w:r>
      <w:r>
        <w:fldChar w:fldCharType="end"/>
      </w:r>
      <w:r>
        <w:t xml:space="preserve"> below.</w:t>
      </w:r>
    </w:p>
    <w:p w14:paraId="0925E29E" w14:textId="77777777">
      <w:pPr>
        <w:pStyle w:val="Lista"/>
      </w:pPr>
      <w:r>
        <w:t>encoding gridlike partitions is recommended for</w:t>
      </w:r>
      <w:r>
        <w:rPr>
          <w:b/>
          <w:bCs/>
        </w:rPr>
        <w:t xml:space="preserve"> </w:t>
      </w:r>
      <w:r>
        <w:t>fragments, especially if the pieces have different proveniences, custodial histories or are preserved at different locations</w:t>
      </w:r>
    </w:p>
    <w:p w14:paraId="0D737F26" w14:textId="6BCA3282">
      <w:pPr>
        <w:pStyle w:val="Lista2"/>
      </w:pPr>
      <w:r>
        <w:t xml:space="preserve">the milestones shall be encoded with </w:t>
      </w:r>
      <w:r>
        <w:rPr>
          <w:rStyle w:val="Codeattribute"/>
        </w:rPr>
        <w:t>@unit=</w:t>
      </w:r>
      <w:r>
        <w:rPr>
          <w:rStyle w:val="Codevalue"/>
        </w:rPr>
        <w:t>"fragment"</w:t>
      </w:r>
      <w:r>
        <w:t xml:space="preserve"> (§</w:t>
      </w:r>
      <w:r>
        <w:fldChar w:fldCharType="begin"/>
      </w:r>
      <w:r>
        <w:instrText xml:space="preserve"> REF _Ref182815315 \r \h </w:instrText>
      </w:r>
      <w:r>
        <w:fldChar w:fldCharType="separate"/>
      </w:r>
      <w:r>
        <w:t>4.3.1</w:t>
      </w:r>
      <w:r>
        <w:fldChar w:fldCharType="end"/>
      </w:r>
      <w:r>
        <w:t>)</w:t>
      </w:r>
    </w:p>
    <w:p w14:paraId="22E18DAD" w14:textId="77777777"/>
    <w:tbl>
      <w:tblPr>
        <w:tblStyle w:val="CodeSampleTable"/>
        <w:tblW w:w="5000" w:type="pct"/>
        <w:tblLook w:val="04A0" w:firstRow="1" w:lastRow="0" w:firstColumn="1" w:lastColumn="0" w:noHBand="0" w:noVBand="1"/>
      </w:tblPr>
      <w:tblGrid>
        <w:gridCol w:w="9628"/>
      </w:tblGrid>
      <w:tr w14:paraId="540B7D8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204FA84" w14:textId="0EFE618C">
            <w:pPr>
              <w:pStyle w:val="Kpalrs"/>
              <w:keepLines/>
            </w:pPr>
            <w:bookmarkStart w:id="350" w:name="_Ref225859267"/>
            <w:r>
              <w:lastRenderedPageBreak/>
              <w:t xml:space="preserve">Exhibit </w:t>
            </w:r>
            <w:fldSimple w:instr=" STYLEREF 2 \s ">
              <w:r>
                <w:rPr>
                  <w:noProof/>
                </w:rPr>
                <w:t>4.7</w:t>
              </w:r>
            </w:fldSimple>
            <w:r>
              <w:t>.</w:t>
            </w:r>
            <w:fldSimple w:instr=" SEQ Exhibit \* ALPHABETIC \s 2 ">
              <w:r>
                <w:rPr>
                  <w:noProof/>
                </w:rPr>
                <w:t>P</w:t>
              </w:r>
            </w:fldSimple>
            <w:bookmarkEnd w:id="350"/>
            <w:r>
              <w:t>: gridlike partitions for text inscribed across contiguous fragments</w:t>
            </w:r>
          </w:p>
        </w:tc>
      </w:tr>
      <w:tr w14:paraId="22861C0D" w14:textId="77777777">
        <w:tc>
          <w:tcPr>
            <w:tcW w:w="5000" w:type="pct"/>
          </w:tcPr>
          <w:p w14:paraId="57DBB39B" w14:textId="77777777">
            <w:pPr>
              <w:pStyle w:val="Image"/>
              <w:keepLines/>
            </w:pPr>
            <w:r>
              <w:drawing>
                <wp:inline distT="0" distB="0" distL="0" distR="0" wp14:anchorId="7333E760" wp14:editId="6B8CBC99">
                  <wp:extent cx="5397500" cy="1480820"/>
                  <wp:effectExtent l="0" t="0" r="0" b="5080"/>
                  <wp:docPr id="1285174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14:paraId="1DD1E266" w14:textId="77777777">
        <w:tc>
          <w:tcPr>
            <w:tcW w:w="5000" w:type="pct"/>
          </w:tcPr>
          <w:p w14:paraId="0DEED0EE" w14:textId="77777777">
            <w:pPr>
              <w:pStyle w:val="CodeParagraph"/>
              <w:keepNext/>
              <w:keepLines/>
              <w:spacing w:line="240" w:lineRule="auto"/>
              <w:rPr>
                <w:rStyle w:val="Code"/>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nasty, dirty, wet hole, fil</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w:t>
            </w:r>
            <w:r>
              <w:rPr>
                <w:rStyle w:val="Codetext"/>
              </w:rPr>
              <w:t>led with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and an oozy sm</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 xml:space="preserve"> </w:t>
            </w:r>
            <w:r>
              <w:rPr>
                <w:rStyle w:val="Codeattribute"/>
              </w:rPr>
              <w:t>break</w:t>
            </w:r>
            <w:r>
              <w:rPr>
                <w:rStyle w:val="Code"/>
              </w:rPr>
              <w:t>=</w:t>
            </w:r>
            <w:r>
              <w:rPr>
                <w:rStyle w:val="Codevalue"/>
              </w:rPr>
              <w:t>"no"</w:t>
            </w:r>
            <w:r>
              <w:rPr>
                <w:rStyle w:val="Code"/>
              </w:rPr>
              <w:t>/&gt;</w:t>
            </w:r>
            <w:r>
              <w:rPr>
                <w:rStyle w:val="Codetext"/>
              </w:rPr>
              <w:t xml:space="preserve">ell, nor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yet a dry, b</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"c"</w:t>
            </w:r>
            <w:r>
              <w:rPr>
                <w:rStyle w:val="Code"/>
              </w:rPr>
              <w:t xml:space="preserve"> </w:t>
            </w:r>
            <w:r>
              <w:rPr>
                <w:rStyle w:val="Codeattribute"/>
              </w:rPr>
              <w:t>break</w:t>
            </w:r>
            <w:r>
              <w:rPr>
                <w:rStyle w:val="Code"/>
              </w:rPr>
              <w:t>=</w:t>
            </w:r>
            <w:r>
              <w:rPr>
                <w:rStyle w:val="Codevalue"/>
              </w:rPr>
              <w:t>"no"</w:t>
            </w:r>
            <w:r>
              <w:rPr>
                <w:rStyle w:val="Code"/>
              </w:rPr>
              <w:t>/&gt;</w:t>
            </w:r>
            <w:r>
              <w:rPr>
                <w:rStyle w:val="Codetext"/>
              </w:rPr>
              <w:t>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it to sit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hobbit-hole, and that me</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w:t>
            </w:r>
            <w:r>
              <w:rPr>
                <w:rStyle w:val="Codetext"/>
              </w:rPr>
              <w:t>ans comfort.</w:t>
            </w:r>
            <w:r>
              <w:rPr>
                <w:rStyle w:val="Codetext"/>
              </w:rPr>
              <w:br/>
            </w:r>
            <w:r>
              <w:rPr>
                <w:rStyle w:val="Code"/>
              </w:rPr>
              <w:t>&lt;/p&gt;</w:t>
            </w:r>
          </w:p>
        </w:tc>
      </w:tr>
      <w:tr w14:paraId="1C06DB27" w14:textId="77777777">
        <w:tc>
          <w:tcPr>
            <w:tcW w:w="5000" w:type="pct"/>
          </w:tcPr>
          <w:p w14:paraId="17E735C7" w14:textId="7AF1CB81">
            <w:pPr>
              <w:pStyle w:val="TableNote"/>
            </w:pPr>
            <w:r>
              <w:t xml:space="preserve">notice the use of </w:t>
            </w:r>
            <w:r>
              <w:rPr>
                <w:rStyle w:val="Codeattribute"/>
              </w:rPr>
              <w:t>@break</w:t>
            </w:r>
            <w:r>
              <w:rPr>
                <w:rStyle w:val="Code"/>
              </w:rPr>
              <w:t>=</w:t>
            </w:r>
            <w:r>
              <w:rPr>
                <w:rStyle w:val="Codevalue"/>
              </w:rPr>
              <w:t>"no"</w:t>
            </w:r>
            <w:r>
              <w:t xml:space="preserve"> for milestones in lines 2 and 5, which interrupt a word (§</w:t>
            </w:r>
            <w:r>
              <w:fldChar w:fldCharType="begin"/>
            </w:r>
            <w:r>
              <w:instrText xml:space="preserve"> REF _Ref225519777 \r \h  \* MERGEFORMAT </w:instrText>
            </w:r>
            <w:r>
              <w:fldChar w:fldCharType="separate"/>
            </w:r>
            <w:r>
              <w:t>4.3.2.1</w:t>
            </w:r>
            <w:r>
              <w:fldChar w:fldCharType="end"/>
            </w:r>
            <w:r>
              <w:t>)</w:t>
            </w:r>
          </w:p>
        </w:tc>
      </w:tr>
    </w:tbl>
    <w:p w14:paraId="4E122210" w14:textId="77777777"/>
    <w:p w14:paraId="28B190D0" w14:textId="77777777">
      <w:pPr>
        <w:pStyle w:val="Cmsor4"/>
      </w:pPr>
      <w:bookmarkStart w:id="351" w:name="_Ref225865506"/>
      <w:r>
        <w:t>Grids of quasi-columns</w:t>
      </w:r>
      <w:bookmarkEnd w:id="351"/>
    </w:p>
    <w:p w14:paraId="3F0D3C9A" w14:textId="6CE2CCD4">
      <w:r>
        <w:t>When an inscription on a single surface is divided into several zones, this usually produces a pagelike or, occasionally, a boxlike partition (§</w:t>
      </w:r>
      <w:r>
        <w:fldChar w:fldCharType="begin"/>
      </w:r>
      <w:r>
        <w:instrText xml:space="preserve"> REF _Ref225781091 \r \h </w:instrText>
      </w:r>
      <w:r>
        <w:fldChar w:fldCharType="separate"/>
      </w:r>
      <w:r>
        <w:t>4.7.4.2</w:t>
      </w:r>
      <w:r>
        <w:fldChar w:fldCharType="end"/>
      </w:r>
      <w:r>
        <w:t xml:space="preserve">). However, especially when an inscription consists of many stanzas of verse following an identical or similar metre, the text may be arranged in the form of quasi-columns with a horizontal space between them, as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 We call these ‘quasi-columns’ because in true columns the reading sequence is from the top to the bottom of one column, then proceeding to the next (which is a pagelike partition, §</w:t>
      </w:r>
      <w:r>
        <w:fldChar w:fldCharType="begin"/>
      </w:r>
      <w:r>
        <w:instrText xml:space="preserve"> REF _Ref225781091 \r \h </w:instrText>
      </w:r>
      <w:r>
        <w:fldChar w:fldCharType="separate"/>
      </w:r>
      <w:r>
        <w:t>4.7.4.2</w:t>
      </w:r>
      <w:r>
        <w:fldChar w:fldCharType="end"/>
      </w:r>
      <w:r>
        <w:t>), while here each line crosses over into the next column before continuing with the next line of the first column.</w:t>
      </w:r>
    </w:p>
    <w:p w14:paraId="79DAACE5" w14:textId="0ADBDD06">
      <w:pPr>
        <w:pStyle w:val="Normlbehzs"/>
      </w:pPr>
      <w:r>
        <w:t xml:space="preserve">The boundaries of stanzas and their subunits are often emphasised with spaces in inscriptions, but if the layout is not deliberately designed with quasi-columns, these spaces will be staggered throughout the lines instead of constituting a grid (illustrated in </w:t>
      </w:r>
      <w:r>
        <w:fldChar w:fldCharType="begin"/>
      </w:r>
      <w:r>
        <w:instrText xml:space="preserve"> REF _Ref182995673 \h </w:instrText>
      </w:r>
      <w:r>
        <w:fldChar w:fldCharType="separate"/>
      </w:r>
      <w:r>
        <w:t xml:space="preserve">Exhibit </w:t>
      </w:r>
      <w:r>
        <w:rPr>
          <w:noProof/>
        </w:rPr>
        <w:t>5.5</w:t>
      </w:r>
      <w:r>
        <w:t>.</w:t>
      </w:r>
      <w:r>
        <w:rPr>
          <w:noProof/>
        </w:rPr>
        <w:t>A</w:t>
      </w:r>
      <w:r>
        <w:fldChar w:fldCharType="end"/>
      </w:r>
      <w:r>
        <w:t>). In such a case, a gridlike partition is not present.</w:t>
      </w:r>
    </w:p>
    <w:p w14:paraId="5527BBEF" w14:textId="77777777">
      <w:pPr>
        <w:pStyle w:val="Lista"/>
      </w:pPr>
      <w:r>
        <w:t>encoding gridlike partitions is recommended for quasi-columns only if the columns are a neat and salient feature of the inscription’s layout</w:t>
      </w:r>
    </w:p>
    <w:p w14:paraId="7061ABA5" w14:textId="2EF24013">
      <w:pPr>
        <w:pStyle w:val="Lista2"/>
      </w:pPr>
      <w:r>
        <w:t xml:space="preserve">in this case, the milestones shall be encoded with </w:t>
      </w:r>
      <w:r>
        <w:rPr>
          <w:rStyle w:val="Codeattribute"/>
        </w:rPr>
        <w:t>@unit=</w:t>
      </w:r>
      <w:r>
        <w:rPr>
          <w:rStyle w:val="Codevalue"/>
        </w:rPr>
        <w:t>"column"</w:t>
      </w:r>
      <w:r>
        <w:t xml:space="preserve"> (§</w:t>
      </w:r>
      <w:r>
        <w:fldChar w:fldCharType="begin"/>
      </w:r>
      <w:r>
        <w:instrText xml:space="preserve"> REF _Ref182815315 \r \h </w:instrText>
      </w:r>
      <w:r>
        <w:fldChar w:fldCharType="separate"/>
      </w:r>
      <w:r>
        <w:t>4.3.1</w:t>
      </w:r>
      <w:r>
        <w:fldChar w:fldCharType="end"/>
      </w:r>
      <w:r>
        <w:t>)</w:t>
      </w:r>
    </w:p>
    <w:p w14:paraId="6E02C164" w14:textId="6287166D">
      <w:pPr>
        <w:pStyle w:val="Lista2"/>
      </w:pPr>
      <w:r>
        <w:t>if quasi-columns are present only in a part of the inscribed field, then encode gridlike milestones only for the lines affected by the quasi-columns (cf. §</w:t>
      </w:r>
      <w:r>
        <w:fldChar w:fldCharType="begin"/>
      </w:r>
      <w:r>
        <w:instrText xml:space="preserve"> REF _Ref225860329 \r \h </w:instrText>
      </w:r>
      <w:r>
        <w:fldChar w:fldCharType="separate"/>
      </w:r>
      <w:r>
        <w:t>4.7.6.1</w:t>
      </w:r>
      <w:r>
        <w:fldChar w:fldCharType="end"/>
      </w:r>
      <w:r>
        <w:t>)</w:t>
      </w:r>
    </w:p>
    <w:p w14:paraId="7AC1FB42" w14:textId="4DF1117A">
      <w:pPr>
        <w:pStyle w:val="Lista"/>
      </w:pPr>
      <w:r>
        <w:t>if quasi-columns are encoded with milestones, then the space between them shall not be represented as space (§</w:t>
      </w:r>
      <w:r>
        <w:fldChar w:fldCharType="begin"/>
      </w:r>
      <w:r>
        <w:instrText xml:space="preserve"> REF _Ref183011891 \r \h </w:instrText>
      </w:r>
      <w:r>
        <w:fldChar w:fldCharType="separate"/>
      </w:r>
      <w:r>
        <w:t>5.5.1</w:t>
      </w:r>
      <w:r>
        <w:fldChar w:fldCharType="end"/>
      </w:r>
      <w:r>
        <w:t>) in your edition</w:t>
      </w:r>
    </w:p>
    <w:p w14:paraId="7ED0FC66" w14:textId="6E5BB3E9">
      <w:pPr>
        <w:pStyle w:val="Lista"/>
      </w:pPr>
      <w:r>
        <w:t>if you choose not to encode a gridlike partition for spaced verse (whether because you consider it unnecessary or because the spacing is irregular), the spaces shall be encoded as per §</w:t>
      </w:r>
      <w:r>
        <w:fldChar w:fldCharType="begin"/>
      </w:r>
      <w:r>
        <w:instrText xml:space="preserve"> REF _Ref183011891 \r \h </w:instrText>
      </w:r>
      <w:r>
        <w:fldChar w:fldCharType="separate"/>
      </w:r>
      <w:r>
        <w:t>5.5.1</w:t>
      </w:r>
      <w:r>
        <w:fldChar w:fldCharType="end"/>
      </w:r>
    </w:p>
    <w:p w14:paraId="326FC4C6" w14:textId="77777777"/>
    <w:tbl>
      <w:tblPr>
        <w:tblStyle w:val="CodeSampleTable"/>
        <w:tblW w:w="5000" w:type="pct"/>
        <w:tblLook w:val="04A0" w:firstRow="1" w:lastRow="0" w:firstColumn="1" w:lastColumn="0" w:noHBand="0" w:noVBand="1"/>
      </w:tblPr>
      <w:tblGrid>
        <w:gridCol w:w="9628"/>
      </w:tblGrid>
      <w:tr w14:paraId="21D2979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4DCB32E" w14:textId="1451B9F8">
            <w:pPr>
              <w:pStyle w:val="Kpalrs"/>
              <w:keepLines/>
            </w:pPr>
            <w:bookmarkStart w:id="352" w:name="_Ref44078509"/>
            <w:r>
              <w:lastRenderedPageBreak/>
              <w:t xml:space="preserve">Exhibit </w:t>
            </w:r>
            <w:fldSimple w:instr=" STYLEREF 2 \s ">
              <w:r>
                <w:rPr>
                  <w:noProof/>
                </w:rPr>
                <w:t>4.7</w:t>
              </w:r>
            </w:fldSimple>
            <w:r>
              <w:t>.</w:t>
            </w:r>
            <w:fldSimple w:instr=" SEQ Exhibit \* ALPHABETIC \s 2 ">
              <w:r>
                <w:rPr>
                  <w:noProof/>
                </w:rPr>
                <w:t>Q</w:t>
              </w:r>
            </w:fldSimple>
            <w:bookmarkEnd w:id="352"/>
            <w:r>
              <w:t>: gridlike partitions for verse inscribed in quasi-columns</w:t>
            </w:r>
          </w:p>
        </w:tc>
      </w:tr>
      <w:tr w14:paraId="16C2329B" w14:textId="77777777">
        <w:tc>
          <w:tcPr>
            <w:tcW w:w="5000" w:type="pct"/>
          </w:tcPr>
          <w:p w14:paraId="270F732C" w14:textId="77777777">
            <w:pPr>
              <w:pStyle w:val="Image"/>
              <w:keepLines/>
            </w:pPr>
            <w:r>
              <w:drawing>
                <wp:inline distT="0" distB="0" distL="0" distR="0" wp14:anchorId="22061231" wp14:editId="5DF4A216">
                  <wp:extent cx="5397500" cy="148780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7500" cy="1487805"/>
                          </a:xfrm>
                          <a:prstGeom prst="rect">
                            <a:avLst/>
                          </a:prstGeom>
                          <a:noFill/>
                          <a:ln>
                            <a:noFill/>
                          </a:ln>
                        </pic:spPr>
                      </pic:pic>
                    </a:graphicData>
                  </a:graphic>
                </wp:inline>
              </w:drawing>
            </w:r>
          </w:p>
        </w:tc>
      </w:tr>
      <w:tr w14:paraId="5BDF9C9E" w14:textId="77777777">
        <w:tc>
          <w:tcPr>
            <w:tcW w:w="5000" w:type="pct"/>
          </w:tcPr>
          <w:p w14:paraId="331C330F" w14:textId="77777777">
            <w:pPr>
              <w:pStyle w:val="CodeParagraph"/>
              <w:rPr>
                <w:rStyle w:val="Code"/>
              </w:rPr>
            </w:pPr>
            <w:r>
              <w:rPr>
                <w:rStyle w:val="Code"/>
              </w:rPr>
              <w:t xml:space="preserve">&lt;lg </w:t>
            </w:r>
            <w:r>
              <w:rPr>
                <w:rStyle w:val="Codeattribute"/>
              </w:rPr>
              <w:t>n</w:t>
            </w:r>
            <w:r>
              <w:rPr>
                <w:rStyle w:val="Code"/>
              </w:rPr>
              <w:t>=</w:t>
            </w:r>
            <w:r>
              <w:rPr>
                <w:rStyle w:val="Codevalue"/>
              </w:rPr>
              <w:t>"1"</w:t>
            </w:r>
            <w:r>
              <w:rPr>
                <w:rStyle w:val="Code"/>
              </w:rPr>
              <w:t>&gt;</w:t>
            </w:r>
            <w:r>
              <w:rPr>
                <w:rStyle w:val="Codetext"/>
              </w:rPr>
              <w:br/>
              <w:t xml:space="preserve">  </w:t>
            </w:r>
            <w:r>
              <w:rPr>
                <w:rStyle w:val="Code"/>
              </w:rPr>
              <w:t>&lt;l</w:t>
            </w:r>
            <w:r>
              <w:rPr>
                <w:rStyle w:val="Codeattribute"/>
              </w:rPr>
              <w:t xml:space="preserve"> 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t xml:space="preserve"> </w:t>
            </w:r>
            <w:r>
              <w:rPr>
                <w:rStyle w:val="Codetext"/>
              </w:rPr>
              <w:t xml:space="preserve">Chip the glasses and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crack the plates!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"b"</w:t>
            </w:r>
            <w:r>
              <w:rPr>
                <w:rStyle w:val="Code"/>
              </w:rPr>
              <w:t xml:space="preserve">&gt;&lt;lb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Blunt the knives and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bend the forks!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"c"</w:t>
            </w:r>
            <w:r>
              <w:rPr>
                <w:rStyle w:val="Code"/>
              </w:rPr>
              <w:t xml:space="preserve">&gt;&lt;lb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That’s what Bilbo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 Baggins hates—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"d"</w:t>
            </w:r>
            <w:r>
              <w:rPr>
                <w:rStyle w:val="Code"/>
              </w:rPr>
              <w:t xml:space="preserve">&gt;&lt;lb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Smash the bottles and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burn the corks!</w:t>
            </w:r>
            <w:r>
              <w:rPr>
                <w:rStyle w:val="Code"/>
              </w:rPr>
              <w:t>&lt;/l&gt;</w:t>
            </w:r>
            <w:r>
              <w:rPr>
                <w:rStyle w:val="Codetext"/>
              </w:rPr>
              <w:br/>
            </w:r>
            <w:r>
              <w:rPr>
                <w:rStyle w:val="Code"/>
              </w:rPr>
              <w:t>&lt;/lg&gt;</w:t>
            </w:r>
          </w:p>
        </w:tc>
      </w:tr>
      <w:tr w14:paraId="05D5C2F9" w14:textId="77777777">
        <w:tc>
          <w:tcPr>
            <w:tcW w:w="5000" w:type="pct"/>
          </w:tcPr>
          <w:p w14:paraId="2C882EE5" w14:textId="77777777">
            <w:pPr>
              <w:pStyle w:val="TableNote"/>
              <w:keepNext/>
              <w:keepLines/>
            </w:pPr>
            <w:r>
              <w:t>in this inscription, spacing at the caesura in each line arranges the text into neat columns</w:t>
            </w:r>
          </w:p>
          <w:p w14:paraId="7F7BC454" w14:textId="77777777">
            <w:pPr>
              <w:pStyle w:val="TableNote"/>
              <w:keepNext/>
              <w:keepLines/>
            </w:pPr>
            <w:r>
              <w:t>the start of each column has been marked up with a gridlike milestone</w:t>
            </w:r>
          </w:p>
          <w:p w14:paraId="4A27D31C" w14:textId="77777777">
            <w:pPr>
              <w:pStyle w:val="TableNote"/>
              <w:keepNext/>
              <w:keepLines/>
            </w:pPr>
            <w:r>
              <w:t>if some or all subsequent column beginnings coincide with the beginning of a verse line (rather than just a caesura within a line), then the milestone for the applicable column must be within the container for the new line</w:t>
            </w:r>
          </w:p>
          <w:p w14:paraId="74DAB81A" w14:textId="49852DD1">
            <w:pPr>
              <w:pStyle w:val="TableNote"/>
              <w:keepNext/>
              <w:keepLines/>
            </w:pPr>
            <w:r>
              <w:t xml:space="preserve">compare </w:t>
            </w:r>
            <w:r>
              <w:fldChar w:fldCharType="begin"/>
            </w:r>
            <w:r>
              <w:instrText xml:space="preserve"> REF _Ref182995673 \h </w:instrText>
            </w:r>
            <w:r>
              <w:fldChar w:fldCharType="separate"/>
            </w:r>
            <w:r>
              <w:t xml:space="preserve">Exhibit </w:t>
            </w:r>
            <w:r>
              <w:rPr>
                <w:noProof/>
              </w:rPr>
              <w:t>5.5</w:t>
            </w:r>
            <w:r>
              <w:t>.</w:t>
            </w:r>
            <w:r>
              <w:rPr>
                <w:noProof/>
              </w:rPr>
              <w:t>A</w:t>
            </w:r>
            <w:r>
              <w:fldChar w:fldCharType="end"/>
            </w:r>
            <w:r>
              <w:t xml:space="preserve"> where the same stanza’s spacing does not result in the text laid out in columns, so encoding with gridlike milestones is not applicable</w:t>
            </w:r>
          </w:p>
        </w:tc>
      </w:tr>
      <w:tr w14:paraId="4E0CB22B" w14:textId="77777777">
        <w:tc>
          <w:tcPr>
            <w:tcW w:w="5000" w:type="pct"/>
          </w:tcPr>
          <w:p w14:paraId="74A571F1" w14:textId="77777777">
            <w:pPr>
              <w:pStyle w:val="TableNote"/>
            </w:pPr>
            <w:r>
              <w:t>alternative encoding without milestones:</w:t>
            </w:r>
          </w:p>
          <w:p w14:paraId="0A112031" w14:textId="63481FC2">
            <w:pPr>
              <w:pStyle w:val="CodeParagraph"/>
              <w:rPr>
                <w:rFonts w:ascii="Consolas" w:hAnsi="Consolas" w:cs="Consolas"/>
                <w:noProof/>
                <w:color w:val="002060"/>
                <w:shd w:val="clear" w:color="auto" w:fill="F2F2F2" w:themeFill="background1" w:themeFillShade="F2"/>
              </w:rPr>
            </w:pPr>
            <w:r>
              <w:rPr>
                <w:rStyle w:val="Code"/>
              </w:rPr>
              <w:t xml:space="preserve">&lt;lg </w:t>
            </w:r>
            <w:r>
              <w:rPr>
                <w:rStyle w:val="Codeattribute"/>
              </w:rPr>
              <w:t>n</w:t>
            </w:r>
            <w:r>
              <w:rPr>
                <w:rStyle w:val="Code"/>
              </w:rPr>
              <w:t>=</w:t>
            </w:r>
            <w:r>
              <w:rPr>
                <w:rStyle w:val="Codevalue"/>
              </w:rPr>
              <w:t>"1"</w:t>
            </w:r>
            <w:r>
              <w:rPr>
                <w:rStyle w:val="Code"/>
              </w:rPr>
              <w:t>&gt;</w:t>
            </w:r>
            <w:r>
              <w:rPr>
                <w:rStyle w:val="Codetext"/>
              </w:rPr>
              <w:br/>
              <w:t xml:space="preserve">  </w:t>
            </w:r>
            <w:r>
              <w:rPr>
                <w:rStyle w:val="Code"/>
              </w:rPr>
              <w:t>&lt;l</w:t>
            </w:r>
            <w:r>
              <w:rPr>
                <w:rStyle w:val="Codeattribute"/>
              </w:rPr>
              <w:t xml:space="preserve"> 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/&gt;</w:t>
            </w:r>
            <w:r>
              <w:t xml:space="preserve"> </w:t>
            </w:r>
            <w:r>
              <w:rPr>
                <w:rStyle w:val="Codetext"/>
              </w:rPr>
              <w:t xml:space="preserve">Chip the glasses and </w:t>
            </w:r>
            <w:r>
              <w:rPr>
                <w:rStyle w:val="Code"/>
              </w:rPr>
              <w:t>&lt;space/&gt;</w:t>
            </w:r>
            <w:r>
              <w:rPr>
                <w:rStyle w:val="Codetext"/>
              </w:rPr>
              <w:t>crack the plates!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"b"</w:t>
            </w:r>
            <w:r>
              <w:rPr>
                <w:rStyle w:val="Code"/>
              </w:rPr>
              <w:t xml:space="preserve">&gt;&lt;lb </w:t>
            </w:r>
            <w:r>
              <w:rPr>
                <w:rStyle w:val="Codeattribute"/>
              </w:rPr>
              <w:t>n</w:t>
            </w:r>
            <w:r>
              <w:rPr>
                <w:rStyle w:val="Code"/>
              </w:rPr>
              <w:t>=</w:t>
            </w:r>
            <w:r>
              <w:rPr>
                <w:rStyle w:val="Codevalue"/>
              </w:rPr>
              <w:t>"2"</w:t>
            </w:r>
            <w:r>
              <w:rPr>
                <w:rStyle w:val="Code"/>
              </w:rPr>
              <w:t>/&gt;</w:t>
            </w:r>
            <w:r>
              <w:rPr>
                <w:rStyle w:val="Codetext"/>
              </w:rPr>
              <w:t xml:space="preserve">Blunt the knives and </w:t>
            </w:r>
            <w:r>
              <w:rPr>
                <w:rStyle w:val="Code"/>
              </w:rPr>
              <w:t>&lt;space/&gt;</w:t>
            </w:r>
            <w:r>
              <w:rPr>
                <w:rStyle w:val="Codetext"/>
              </w:rPr>
              <w:t>bend the forks!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"c"</w:t>
            </w:r>
            <w:r>
              <w:rPr>
                <w:rStyle w:val="Code"/>
              </w:rPr>
              <w:t xml:space="preserve">&gt;&lt;lb </w:t>
            </w:r>
            <w:r>
              <w:rPr>
                <w:rStyle w:val="Codeattribute"/>
              </w:rPr>
              <w:t>n</w:t>
            </w:r>
            <w:r>
              <w:rPr>
                <w:rStyle w:val="Code"/>
              </w:rPr>
              <w:t>=</w:t>
            </w:r>
            <w:r>
              <w:rPr>
                <w:rStyle w:val="Codevalue"/>
              </w:rPr>
              <w:t>"3"</w:t>
            </w:r>
            <w:r>
              <w:rPr>
                <w:rStyle w:val="Code"/>
              </w:rPr>
              <w:t>/&gt;</w:t>
            </w:r>
            <w:r>
              <w:rPr>
                <w:rStyle w:val="Codetext"/>
              </w:rPr>
              <w:t xml:space="preserve">That’s what Bilbo </w:t>
            </w:r>
            <w:r>
              <w:rPr>
                <w:rStyle w:val="Code"/>
              </w:rPr>
              <w:t>&lt;space/&gt;</w:t>
            </w:r>
            <w:r>
              <w:rPr>
                <w:rStyle w:val="Codetext"/>
              </w:rPr>
              <w:t>Baggins hates—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"d"</w:t>
            </w:r>
            <w:r>
              <w:rPr>
                <w:rStyle w:val="Code"/>
              </w:rPr>
              <w:t xml:space="preserve">&gt;&lt;lb </w:t>
            </w:r>
            <w:r>
              <w:rPr>
                <w:rStyle w:val="Codeattribute"/>
              </w:rPr>
              <w:t>n</w:t>
            </w:r>
            <w:r>
              <w:rPr>
                <w:rStyle w:val="Code"/>
              </w:rPr>
              <w:t>=</w:t>
            </w:r>
            <w:r>
              <w:rPr>
                <w:rStyle w:val="Codevalue"/>
              </w:rPr>
              <w:t>"4"</w:t>
            </w:r>
            <w:r>
              <w:rPr>
                <w:rStyle w:val="Code"/>
              </w:rPr>
              <w:t>/&gt;</w:t>
            </w:r>
            <w:r>
              <w:rPr>
                <w:rStyle w:val="Codetext"/>
              </w:rPr>
              <w:t xml:space="preserve">Smash the bottles and </w:t>
            </w:r>
            <w:r>
              <w:rPr>
                <w:rStyle w:val="Code"/>
              </w:rPr>
              <w:t>&lt;space/&gt;</w:t>
            </w:r>
            <w:r>
              <w:rPr>
                <w:rStyle w:val="Codetext"/>
              </w:rPr>
              <w:t>burn the corks!</w:t>
            </w:r>
            <w:r>
              <w:rPr>
                <w:rStyle w:val="Code"/>
              </w:rPr>
              <w:t>&lt;/l&gt;</w:t>
            </w:r>
            <w:r>
              <w:rPr>
                <w:rStyle w:val="Codetext"/>
              </w:rPr>
              <w:br/>
            </w:r>
            <w:r>
              <w:rPr>
                <w:rStyle w:val="Code"/>
              </w:rPr>
              <w:t>&lt;/lg&gt;</w:t>
            </w:r>
          </w:p>
        </w:tc>
      </w:tr>
    </w:tbl>
    <w:p w14:paraId="581C0891" w14:textId="77777777"/>
    <w:p w14:paraId="46818090" w14:textId="77777777">
      <w:pPr>
        <w:pStyle w:val="Cmsor4"/>
      </w:pPr>
      <w:r>
        <w:t>Grids of subsurfaces</w:t>
      </w:r>
    </w:p>
    <w:p w14:paraId="712DDEA4" w14:textId="64400A9B">
      <w:r>
        <w:t xml:space="preserve">Complex three-dimensional surfaces such as those of a polygonal pillar or a stele may be inscribed in such a way that each line runs across two or more subsurfaces, as in </w:t>
      </w:r>
      <w:r>
        <w:fldChar w:fldCharType="begin"/>
      </w:r>
      <w:r>
        <w:instrText xml:space="preserve"> REF _Ref182822234 \h </w:instrText>
      </w:r>
      <w:r>
        <w:fldChar w:fldCharType="separate"/>
      </w:r>
      <w:r>
        <w:t xml:space="preserve">Exhibit </w:t>
      </w:r>
      <w:r>
        <w:rPr>
          <w:noProof/>
        </w:rPr>
        <w:t>4.7</w:t>
      </w:r>
      <w:r>
        <w:t>.</w:t>
      </w:r>
      <w:r>
        <w:rPr>
          <w:noProof/>
        </w:rPr>
        <w:t>R</w:t>
      </w:r>
      <w:r>
        <w:fldChar w:fldCharType="end"/>
      </w:r>
      <w:r>
        <w:t xml:space="preserve"> and </w:t>
      </w:r>
      <w:r>
        <w:fldChar w:fldCharType="begin"/>
      </w:r>
      <w:r>
        <w:instrText xml:space="preserve"> REF _Ref239844365 \r \h </w:instrText>
      </w:r>
      <w:r>
        <w:fldChar w:fldCharType="separate"/>
      </w:r>
      <w:r>
        <w:t>Appendix A.5</w:t>
      </w:r>
      <w:r>
        <w:fldChar w:fldCharType="end"/>
      </w:r>
      <w:r>
        <w:t>.  The edges separating the faces constituting the surface produce a gridlike partition.</w:t>
      </w:r>
    </w:p>
    <w:p w14:paraId="07C31A9D" w14:textId="77777777">
      <w:pPr>
        <w:pStyle w:val="Lista"/>
      </w:pPr>
      <w:r>
        <w:t>encoding gridlike partitions is generally not recommended for complex surfaces, but may be applied if such encoding is deemed useful</w:t>
      </w:r>
    </w:p>
    <w:p w14:paraId="62E0B533" w14:textId="4A3C2E86">
      <w:pPr>
        <w:pStyle w:val="Lista2"/>
      </w:pPr>
      <w:r>
        <w:t xml:space="preserve">the milestones shall be encoded with </w:t>
      </w:r>
      <w:r>
        <w:rPr>
          <w:rStyle w:val="Codeattribute"/>
        </w:rPr>
        <w:t>@unit=</w:t>
      </w:r>
      <w:r>
        <w:rPr>
          <w:rStyle w:val="Codevalue"/>
        </w:rPr>
        <w:t>"face"</w:t>
      </w:r>
      <w:r>
        <w:t xml:space="preserve"> (§</w:t>
      </w:r>
      <w:r>
        <w:fldChar w:fldCharType="begin"/>
      </w:r>
      <w:r>
        <w:instrText xml:space="preserve"> REF _Ref182815315 \r \h </w:instrText>
      </w:r>
      <w:r>
        <w:fldChar w:fldCharType="separate"/>
      </w:r>
      <w:r>
        <w:t>4.3.1</w:t>
      </w:r>
      <w:r>
        <w:fldChar w:fldCharType="end"/>
      </w:r>
      <w:r>
        <w:t>)</w:t>
      </w:r>
    </w:p>
    <w:p w14:paraId="61946042" w14:textId="60B2EA3B">
      <w:pPr>
        <w:pStyle w:val="Lista"/>
      </w:pPr>
      <w:r>
        <w:t>if you choose not to encode a gridlike partition for a complex surface, and the lines contain conspicuous spaces around the transitions from one subsurface to another, these spaces shall be encoded as per §</w:t>
      </w:r>
      <w:r>
        <w:fldChar w:fldCharType="begin"/>
      </w:r>
      <w:r>
        <w:instrText xml:space="preserve"> REF _Ref183011891 \r \h </w:instrText>
      </w:r>
      <w:r>
        <w:fldChar w:fldCharType="separate"/>
      </w:r>
      <w:r>
        <w:t>5.5.1</w:t>
      </w:r>
      <w:r>
        <w:fldChar w:fldCharType="end"/>
      </w:r>
    </w:p>
    <w:p w14:paraId="143DB20D" w14:textId="77777777">
      <w:bookmarkStart w:id="353" w:name="_mtlzzef8q66a" w:colFirst="0" w:colLast="0"/>
      <w:bookmarkStart w:id="354" w:name="_r2vovj8fm87l" w:colFirst="0" w:colLast="0"/>
      <w:bookmarkStart w:id="355" w:name="_mssvwla5qx2o" w:colFirst="0" w:colLast="0"/>
      <w:bookmarkEnd w:id="353"/>
      <w:bookmarkEnd w:id="354"/>
      <w:bookmarkEnd w:id="355"/>
    </w:p>
    <w:tbl>
      <w:tblPr>
        <w:tblStyle w:val="CodeSampleTable"/>
        <w:tblW w:w="5000" w:type="pct"/>
        <w:tblLook w:val="04A0" w:firstRow="1" w:lastRow="0" w:firstColumn="1" w:lastColumn="0" w:noHBand="0" w:noVBand="1"/>
      </w:tblPr>
      <w:tblGrid>
        <w:gridCol w:w="9628"/>
      </w:tblGrid>
      <w:tr w14:paraId="59EB7173"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DE449AF" w14:textId="197F7A52">
            <w:pPr>
              <w:pStyle w:val="Kpalrs"/>
              <w:keepLines/>
            </w:pPr>
            <w:bookmarkStart w:id="356" w:name="_Ref182822234"/>
            <w:r>
              <w:lastRenderedPageBreak/>
              <w:t xml:space="preserve">Exhibit </w:t>
            </w:r>
            <w:fldSimple w:instr=" STYLEREF 2 \s ">
              <w:r>
                <w:rPr>
                  <w:noProof/>
                </w:rPr>
                <w:t>4.7</w:t>
              </w:r>
            </w:fldSimple>
            <w:r>
              <w:t>.</w:t>
            </w:r>
            <w:fldSimple w:instr=" SEQ Exhibit \* ALPHABETIC \s 2 ">
              <w:r>
                <w:rPr>
                  <w:noProof/>
                </w:rPr>
                <w:t>R</w:t>
              </w:r>
            </w:fldSimple>
            <w:bookmarkEnd w:id="356"/>
            <w:r>
              <w:t>: gridlike partitions for adjacent faces of a polygonal pillar</w:t>
            </w:r>
          </w:p>
        </w:tc>
      </w:tr>
      <w:tr w14:paraId="296462F5" w14:textId="77777777">
        <w:tc>
          <w:tcPr>
            <w:tcW w:w="5000" w:type="pct"/>
          </w:tcPr>
          <w:p w14:paraId="386C2F6E" w14:textId="77777777">
            <w:pPr>
              <w:pStyle w:val="Image"/>
              <w:keepLines/>
            </w:pPr>
            <w:r>
              <w:drawing>
                <wp:inline distT="0" distB="0" distL="0" distR="0" wp14:anchorId="0CFB205B" wp14:editId="7A856BFD">
                  <wp:extent cx="5397500" cy="3173095"/>
                  <wp:effectExtent l="0" t="0" r="0" b="8255"/>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7500" cy="3173095"/>
                          </a:xfrm>
                          <a:prstGeom prst="rect">
                            <a:avLst/>
                          </a:prstGeom>
                          <a:noFill/>
                          <a:ln>
                            <a:noFill/>
                          </a:ln>
                        </pic:spPr>
                      </pic:pic>
                    </a:graphicData>
                  </a:graphic>
                </wp:inline>
              </w:drawing>
            </w:r>
          </w:p>
        </w:tc>
      </w:tr>
      <w:tr w14:paraId="0F88EB5D" w14:textId="77777777">
        <w:tc>
          <w:tcPr>
            <w:tcW w:w="5000" w:type="pct"/>
          </w:tcPr>
          <w:p w14:paraId="0B351C3C" w14:textId="77777777">
            <w:pPr>
              <w:pStyle w:val="CodeParagraph"/>
              <w:keepNext/>
              <w:keepLines/>
              <w:spacing w:line="240" w:lineRule="auto"/>
              <w:rPr>
                <w:rFonts w:ascii="Consolas" w:hAnsi="Consolas" w:cs="Consolas"/>
                <w:noProof/>
                <w:color w:val="002060"/>
                <w:shd w:val="clear" w:color="auto" w:fill="F2F2F2" w:themeFill="background1" w:themeFillShade="F2"/>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nasty, dirty, wet hole, filled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with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and an oozy smell, nor yet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a dry, bare,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it to sit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hobbit-hole, and that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means comfort.</w:t>
            </w:r>
            <w:r>
              <w:rPr>
                <w:rStyle w:val="Codetext"/>
              </w:rPr>
              <w:br/>
            </w:r>
            <w:r>
              <w:rPr>
                <w:rStyle w:val="Code"/>
              </w:rPr>
              <w:t>&lt;/p&gt;</w:t>
            </w:r>
          </w:p>
        </w:tc>
      </w:tr>
    </w:tbl>
    <w:p w14:paraId="12B9FFCB" w14:textId="77777777"/>
    <w:p w14:paraId="0496BA49" w14:textId="77777777">
      <w:pPr>
        <w:pStyle w:val="Cmsor3"/>
      </w:pPr>
      <w:bookmarkStart w:id="357" w:name="_Ref225759925"/>
      <w:bookmarkStart w:id="358" w:name="_Toc242889485"/>
      <w:r>
        <w:t>Untidy extrinsic structure</w:t>
      </w:r>
      <w:bookmarkStart w:id="359" w:name="_Ref182811945"/>
      <w:bookmarkEnd w:id="357"/>
      <w:bookmarkEnd w:id="358"/>
    </w:p>
    <w:p w14:paraId="25752417" w14:textId="3264F8A9">
      <w:r>
        <w:t>Certain aspects of extrinsic structure – typically fragmentation, but occasionally also the surfaces of complex three-dimensional objects – result in partitions that do not constitute a neat grid covering the entire campus of an inscription. This section describes good practice for such untidy situations. In addition to the specific guidelines below, keep in mind that when some extant pieces of a fragmented inscription cannot be fitted together, then boxlike partitions are called for (§</w:t>
      </w:r>
      <w:r>
        <w:fldChar w:fldCharType="begin"/>
      </w:r>
      <w:r>
        <w:instrText xml:space="preserve"> REF _Ref225346692 \r \h </w:instrText>
      </w:r>
      <w:r>
        <w:fldChar w:fldCharType="separate"/>
      </w:r>
      <w:r>
        <w:t>4.7.3.2</w:t>
      </w:r>
      <w:r>
        <w:fldChar w:fldCharType="end"/>
      </w:r>
      <w:r>
        <w:t>). Also keep in mind that in cases where fragments (or surfaces) do join up, as in the situations covered in this section, the encoding normally involves gridlike partitions, and the encoding of such partitions is always optional (§</w:t>
      </w:r>
      <w:r>
        <w:fldChar w:fldCharType="begin"/>
      </w:r>
      <w:r>
        <w:instrText xml:space="preserve"> REF _Ref182322267 \r \h </w:instrText>
      </w:r>
      <w:r>
        <w:fldChar w:fldCharType="separate"/>
      </w:r>
      <w:r>
        <w:t>4.7.5</w:t>
      </w:r>
      <w:r>
        <w:fldChar w:fldCharType="end"/>
      </w:r>
      <w:r>
        <w:t>). Thus, before complicating your encoding in an attempt to represent an untidy original document’s structure, consider whether doing so serves a useful purpose.</w:t>
      </w:r>
    </w:p>
    <w:p w14:paraId="19F64838" w14:textId="77777777">
      <w:pPr>
        <w:pStyle w:val="Cmsor4"/>
      </w:pPr>
      <w:bookmarkStart w:id="360" w:name="_Ref182813737"/>
      <w:bookmarkStart w:id="361" w:name="_Ref225860329"/>
      <w:r>
        <w:t xml:space="preserve">Features inadvertently splitting </w:t>
      </w:r>
      <w:r>
        <w:rPr>
          <w:rStyle w:val="Foreign"/>
        </w:rPr>
        <w:t>akṣara</w:t>
      </w:r>
      <w:r>
        <w:rPr>
          <w:rStyle w:val="Foreign"/>
          <w:i w:val="0"/>
          <w:iCs w:val="0"/>
        </w:rPr>
        <w:t>s</w:t>
      </w:r>
      <w:bookmarkEnd w:id="360"/>
    </w:p>
    <w:p w14:paraId="183D5939" w14:textId="3A610D53">
      <w:r>
        <w:t>Three-dimensional features of the support, such as a crack, may split a glyph inadvertently. When the feature is encoded as a partition (usually a gridlike one, possibly a pagelike one), then the graphemes of the text need to be assigned to one side of the partition or another. Such a situation must be handled differently from cases where a theoretically atomic glyph was deliberately split into parts by the engraver in order to accommodate a feature, for which see §</w:t>
      </w:r>
      <w:r>
        <w:fldChar w:fldCharType="begin"/>
      </w:r>
      <w:r>
        <w:instrText xml:space="preserve"> REF _Ref43987165 \r \h </w:instrText>
      </w:r>
      <w:r>
        <w:fldChar w:fldCharType="separate"/>
      </w:r>
      <w:r>
        <w:t>5.2.4</w:t>
      </w:r>
      <w:r>
        <w:fldChar w:fldCharType="end"/>
      </w:r>
      <w:r>
        <w:t xml:space="preserve">. For inadvertently split glyphs, make a case-by-case decision based on the following guidelines. </w:t>
      </w:r>
    </w:p>
    <w:p w14:paraId="0494A120" w14:textId="77777777">
      <w:pPr>
        <w:pStyle w:val="Lista"/>
      </w:pPr>
      <w:r>
        <w:t>by default, treat the partition as if it did not split any glyphs, and thus</w:t>
      </w:r>
    </w:p>
    <w:p w14:paraId="54F5EBB1" w14:textId="633E44DE">
      <w:pPr>
        <w:pStyle w:val="Lista2"/>
      </w:pPr>
      <w:r>
        <w:lastRenderedPageBreak/>
        <w:t>if all or most of a line is split in a largely horizontal direction by a pagelike partition, arbitrarily assign the entire line to the side on which there is more of it and encode the partition before or after that line as applicable (see also §</w:t>
      </w:r>
      <w:r>
        <w:fldChar w:fldCharType="begin"/>
      </w:r>
      <w:r>
        <w:instrText xml:space="preserve"> REF _Ref182836682 \r \h </w:instrText>
      </w:r>
      <w:r>
        <w:fldChar w:fldCharType="separate"/>
      </w:r>
      <w:r>
        <w:t>4.7.6.4</w:t>
      </w:r>
      <w:r>
        <w:fldChar w:fldCharType="end"/>
      </w:r>
      <w:r>
        <w:t>)</w:t>
      </w:r>
    </w:p>
    <w:p w14:paraId="795FBF70" w14:textId="603FE07D">
      <w:pPr>
        <w:pStyle w:val="Lista2"/>
      </w:pPr>
      <w:r>
        <w:t xml:space="preserve">if an </w:t>
      </w:r>
      <w:r>
        <w:rPr>
          <w:rStyle w:val="Foreign"/>
        </w:rPr>
        <w:t>akṣara</w:t>
      </w:r>
      <w:r>
        <w:t xml:space="preserve"> is split in a largely vertical direction by a gridlike partition as in </w:t>
      </w:r>
      <w:r>
        <w:fldChar w:fldCharType="begin"/>
      </w:r>
      <w:r>
        <w:instrText xml:space="preserve"> REF _Ref182386652 \h </w:instrText>
      </w:r>
      <w:r>
        <w:fldChar w:fldCharType="separate"/>
      </w:r>
      <w:r>
        <w:t xml:space="preserve">Exhibit </w:t>
      </w:r>
      <w:r>
        <w:rPr>
          <w:noProof/>
        </w:rPr>
        <w:t>4.7</w:t>
      </w:r>
      <w:r>
        <w:t>.</w:t>
      </w:r>
      <w:r>
        <w:rPr>
          <w:noProof/>
        </w:rPr>
        <w:t>S</w:t>
      </w:r>
      <w:r>
        <w:fldChar w:fldCharType="end"/>
      </w:r>
      <w:r>
        <w:t xml:space="preserve">, arbitrarily assign the entire </w:t>
      </w:r>
      <w:r>
        <w:rPr>
          <w:rStyle w:val="Foreign"/>
        </w:rPr>
        <w:t>akṣara</w:t>
      </w:r>
      <w:r>
        <w:t xml:space="preserve"> to the side on which there is more of it and encode the partition before or after that </w:t>
      </w:r>
      <w:r>
        <w:rPr>
          <w:rStyle w:val="Foreign"/>
        </w:rPr>
        <w:t>akṣara</w:t>
      </w:r>
      <w:r>
        <w:t xml:space="preserve"> as applicable</w:t>
      </w:r>
    </w:p>
    <w:p w14:paraId="6940193B" w14:textId="77777777">
      <w:pPr>
        <w:pStyle w:val="Lista3"/>
      </w:pPr>
      <w:r>
        <w:t xml:space="preserve">if the split is more or less equal, make your choice based on the diagnostically more useful part of the </w:t>
      </w:r>
      <w:r>
        <w:rPr>
          <w:rStyle w:val="Foreign"/>
        </w:rPr>
        <w:t>akṣara</w:t>
      </w:r>
      <w:r>
        <w:t xml:space="preserve"> and/or the location of morpheme boundaries</w:t>
      </w:r>
    </w:p>
    <w:p w14:paraId="5B14DBDA" w14:textId="0317D533">
      <w:pPr>
        <w:pStyle w:val="Lista"/>
      </w:pPr>
      <w:r>
        <w:t xml:space="preserve">however, if the feature is sufficiently fine and great accuracy is desirable, individual graphs (which correspond to individual graphemes and are thus separable in transliteration) may be allocated to one side as in or another even if they belong to a single glyph of the original, as in </w:t>
      </w:r>
      <w:r>
        <w:fldChar w:fldCharType="begin"/>
      </w:r>
      <w:r>
        <w:instrText xml:space="preserve"> REF _Ref225864286 \h </w:instrText>
      </w:r>
      <w:r>
        <w:fldChar w:fldCharType="separate"/>
      </w:r>
      <w:r>
        <w:t xml:space="preserve">Exhibit </w:t>
      </w:r>
      <w:r>
        <w:rPr>
          <w:noProof/>
        </w:rPr>
        <w:t>4.7</w:t>
      </w:r>
      <w:r>
        <w:t>.</w:t>
      </w:r>
      <w:r>
        <w:rPr>
          <w:noProof/>
        </w:rPr>
        <w:t>T</w:t>
      </w:r>
      <w:r>
        <w:fldChar w:fldCharType="end"/>
      </w:r>
    </w:p>
    <w:p w14:paraId="4A4317DB" w14:textId="77777777">
      <w:pPr>
        <w:pStyle w:val="Lista2"/>
      </w:pPr>
      <w:r>
        <w:t>the conditions for allocating a grapheme to a particular side of a feature are</w:t>
      </w:r>
    </w:p>
    <w:p w14:paraId="0AF70859" w14:textId="26A0EAFE">
      <w:pPr>
        <w:pStyle w:val="Lista3"/>
      </w:pPr>
      <w:r>
        <w:t>that the original graph is, or can be reconstructed as being, wholly or mostly on that side</w:t>
      </w:r>
    </w:p>
    <w:p w14:paraId="4208055D" w14:textId="6D750317">
      <w:pPr>
        <w:pStyle w:val="Lista3"/>
      </w:pPr>
      <w:r>
        <w:t>that the graphic sequence of the graphs corresponds to the reading sequence</w:t>
      </w:r>
    </w:p>
    <w:p w14:paraId="48C2A21E" w14:textId="77777777">
      <w:pPr>
        <w:pStyle w:val="Lista4"/>
      </w:pPr>
      <w:r>
        <w:t xml:space="preserve">thus, a superscript preconsonantal </w:t>
      </w:r>
      <w:r>
        <w:rPr>
          <w:rStyle w:val="Foreign"/>
        </w:rPr>
        <w:t>r</w:t>
      </w:r>
      <w:r>
        <w:t xml:space="preserve"> or a prescript </w:t>
      </w:r>
      <w:r>
        <w:rPr>
          <w:rStyle w:val="Foreign"/>
        </w:rPr>
        <w:t>e</w:t>
      </w:r>
      <w:r>
        <w:t xml:space="preserve"> cannot be allocated to a side other than that of the primary consonant of an </w:t>
      </w:r>
      <w:r>
        <w:rPr>
          <w:rStyle w:val="Foreign"/>
        </w:rPr>
        <w:t>akṣara</w:t>
      </w:r>
    </w:p>
    <w:p w14:paraId="6DD230DD" w14:textId="77777777">
      <w:pPr>
        <w:pStyle w:val="Lista2"/>
      </w:pPr>
      <w:r>
        <w:t xml:space="preserve">graphs which are split into more or less equal parts by the feature should still be allocated arbitrarily to one side of the milestone or the other, on the basis of considerations such as the location of the larger or diagnostically more useful part of the </w:t>
      </w:r>
      <w:r>
        <w:rPr>
          <w:rStyle w:val="Foreign"/>
        </w:rPr>
        <w:t>akṣara</w:t>
      </w:r>
      <w:r>
        <w:t xml:space="preserve"> and the location of morpheme boundaries</w:t>
      </w:r>
    </w:p>
    <w:p w14:paraId="33A97191" w14:textId="64AC6D3D">
      <w:pPr>
        <w:pStyle w:val="Lista"/>
      </w:pPr>
      <w:r>
        <w:t>whichever way you allocate the transliterated graphemes vis-à-vis the feature, word interruption (§</w:t>
      </w:r>
      <w:r>
        <w:fldChar w:fldCharType="begin"/>
      </w:r>
      <w:r>
        <w:instrText xml:space="preserve"> REF _Ref225519777 \r \h </w:instrText>
      </w:r>
      <w:r>
        <w:fldChar w:fldCharType="separate"/>
      </w:r>
      <w:r>
        <w:t>4.3.2.1</w:t>
      </w:r>
      <w:r>
        <w:fldChar w:fldCharType="end"/>
      </w:r>
      <w:r>
        <w:t>) shall be encoded on the basis your allocation; thus,</w:t>
      </w:r>
    </w:p>
    <w:p w14:paraId="06769515" w14:textId="77777777">
      <w:pPr>
        <w:pStyle w:val="Lista2"/>
      </w:pPr>
      <w:r>
        <w:rPr>
          <w:rStyle w:val="Codeattribute"/>
        </w:rPr>
        <w:t>@break=</w:t>
      </w:r>
      <w:r>
        <w:rPr>
          <w:rStyle w:val="Codevalue"/>
        </w:rPr>
        <w:t>"no"</w:t>
      </w:r>
      <w:r>
        <w:t xml:space="preserve"> is not required just because the feature splits a glyph</w:t>
      </w:r>
    </w:p>
    <w:p w14:paraId="0E41EC19" w14:textId="77777777">
      <w:pPr>
        <w:pStyle w:val="Lista2"/>
      </w:pPr>
      <w:r>
        <w:rPr>
          <w:rStyle w:val="Codeattribute"/>
        </w:rPr>
        <w:t>@break=</w:t>
      </w:r>
      <w:r>
        <w:rPr>
          <w:rStyle w:val="Codevalue"/>
        </w:rPr>
        <w:t>"no"</w:t>
      </w:r>
      <w:r>
        <w:t xml:space="preserve"> is required when the encoded milestone interrupts a word</w:t>
      </w:r>
    </w:p>
    <w:tbl>
      <w:tblPr>
        <w:tblStyle w:val="CodeSampleTable"/>
        <w:tblW w:w="5000" w:type="pct"/>
        <w:tblLook w:val="04A0" w:firstRow="1" w:lastRow="0" w:firstColumn="1" w:lastColumn="0" w:noHBand="0" w:noVBand="1"/>
      </w:tblPr>
      <w:tblGrid>
        <w:gridCol w:w="6393"/>
        <w:gridCol w:w="3235"/>
      </w:tblGrid>
      <w:tr w14:paraId="50FD8185"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120B27AB" w14:textId="4E2D0654">
            <w:pPr>
              <w:pStyle w:val="Kpalrs"/>
            </w:pPr>
            <w:bookmarkStart w:id="362" w:name="_Ref182386652"/>
            <w:bookmarkStart w:id="363" w:name="_Ref182386649"/>
            <w:r>
              <w:t xml:space="preserve">Exhibit </w:t>
            </w:r>
            <w:fldSimple w:instr=" STYLEREF 2 \s ">
              <w:r>
                <w:rPr>
                  <w:noProof/>
                </w:rPr>
                <w:t>4.7</w:t>
              </w:r>
            </w:fldSimple>
            <w:r>
              <w:t>.</w:t>
            </w:r>
            <w:fldSimple w:instr=" SEQ Exhibit \* ALPHABETIC \s 2 ">
              <w:r>
                <w:rPr>
                  <w:noProof/>
                </w:rPr>
                <w:t>S</w:t>
              </w:r>
            </w:fldSimple>
            <w:bookmarkEnd w:id="362"/>
            <w:r>
              <w:t>: glyph split by a gridlike feature</w:t>
            </w:r>
            <w:bookmarkEnd w:id="363"/>
            <w:r>
              <w:t xml:space="preserve"> and allocated to one side</w:t>
            </w:r>
          </w:p>
        </w:tc>
      </w:tr>
      <w:tr w14:paraId="7AC3747E" w14:textId="77777777">
        <w:trPr>
          <w:trHeight w:val="516"/>
        </w:trPr>
        <w:tc>
          <w:tcPr>
            <w:tcW w:w="3320" w:type="pct"/>
            <w:tcBorders>
              <w:right w:val="single" w:sz="4" w:space="0" w:color="auto"/>
            </w:tcBorders>
          </w:tcPr>
          <w:p w14:paraId="285EA036" w14:textId="77777777">
            <w:pPr>
              <w:pStyle w:val="CodeParagraph"/>
              <w:keepNext/>
              <w:rPr>
                <w:rStyle w:val="Codetext"/>
              </w:rPr>
            </w:pPr>
            <w:r>
              <w:rPr>
                <w:rStyle w:val="Codetext"/>
              </w:rPr>
              <w:t xml:space="preserve">... piṅul· </w:t>
            </w:r>
            <w:r>
              <w:rPr>
                <w:rStyle w:val="Code"/>
              </w:rPr>
              <w:t xml:space="preserve">&lt;milestone </w:t>
            </w:r>
            <w:r>
              <w:rPr>
                <w:rStyle w:val="Codeattribute"/>
              </w:rPr>
              <w:t>unit=</w:t>
            </w:r>
            <w:r>
              <w:rPr>
                <w:rStyle w:val="Codevalue"/>
              </w:rPr>
              <w:t>"fragment"</w:t>
            </w:r>
            <w:r>
              <w:rPr>
                <w:rStyle w:val="Code"/>
              </w:rPr>
              <w:t xml:space="preserve"> </w:t>
            </w:r>
            <w:r>
              <w:rPr>
                <w:rStyle w:val="Codeattribute"/>
              </w:rPr>
              <w:t>n=</w:t>
            </w:r>
            <w:r>
              <w:rPr>
                <w:rStyle w:val="Codevalue"/>
              </w:rPr>
              <w:t>"2"</w:t>
            </w:r>
            <w:r>
              <w:rPr>
                <w:rStyle w:val="Code"/>
              </w:rPr>
              <w:t>/&gt;</w:t>
            </w:r>
            <w:r>
              <w:rPr>
                <w:rStyle w:val="Codetext"/>
              </w:rPr>
              <w:t xml:space="preserve"> </w:t>
            </w:r>
            <w:r>
              <w:rPr>
                <w:rStyle w:val="Code"/>
              </w:rPr>
              <w:t>&lt;unclear&gt;</w:t>
            </w:r>
            <w:r>
              <w:rPr>
                <w:rStyle w:val="Codetext"/>
              </w:rPr>
              <w:t>hu</w:t>
            </w:r>
            <w:r>
              <w:rPr>
                <w:rStyle w:val="Code"/>
              </w:rPr>
              <w:t>&lt;/unclear&gt;</w:t>
            </w:r>
            <w:r>
              <w:rPr>
                <w:rStyle w:val="Codetext"/>
              </w:rPr>
              <w:t>ler· ...</w:t>
            </w:r>
          </w:p>
        </w:tc>
        <w:tc>
          <w:tcPr>
            <w:tcW w:w="1680" w:type="pct"/>
            <w:vMerge w:val="restart"/>
            <w:tcBorders>
              <w:left w:val="single" w:sz="4" w:space="0" w:color="auto"/>
            </w:tcBorders>
            <w:vAlign w:val="center"/>
          </w:tcPr>
          <w:p w14:paraId="513509BD" w14:textId="77777777">
            <w:pPr>
              <w:pStyle w:val="Image"/>
            </w:pPr>
            <w:r>
              <w:drawing>
                <wp:inline distT="0" distB="0" distL="0" distR="0" wp14:anchorId="521230A9" wp14:editId="1EE19AC3">
                  <wp:extent cx="2048400" cy="763200"/>
                  <wp:effectExtent l="0" t="0" r="0" b="0"/>
                  <wp:docPr id="5595725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048400" cy="763200"/>
                          </a:xfrm>
                          <a:prstGeom prst="rect">
                            <a:avLst/>
                          </a:prstGeom>
                          <a:noFill/>
                          <a:ln>
                            <a:noFill/>
                          </a:ln>
                        </pic:spPr>
                      </pic:pic>
                    </a:graphicData>
                  </a:graphic>
                </wp:inline>
              </w:drawing>
            </w:r>
          </w:p>
        </w:tc>
      </w:tr>
      <w:tr w14:paraId="523CF2E3" w14:textId="77777777">
        <w:trPr>
          <w:trHeight w:val="516"/>
        </w:trPr>
        <w:tc>
          <w:tcPr>
            <w:tcW w:w="3320" w:type="pct"/>
            <w:tcBorders>
              <w:right w:val="single" w:sz="4" w:space="0" w:color="auto"/>
            </w:tcBorders>
          </w:tcPr>
          <w:p w14:paraId="37590800" w14:textId="77777777">
            <w:pPr>
              <w:pStyle w:val="TableNote"/>
              <w:keepNext/>
            </w:pPr>
            <w:r>
              <w:t xml:space="preserve">the glyph </w:t>
            </w:r>
            <w:r>
              <w:rPr>
                <w:rStyle w:val="Foreign"/>
              </w:rPr>
              <w:t>hu</w:t>
            </w:r>
            <w:r>
              <w:t xml:space="preserve"> is split in roughly equal parts by a vertical crack</w:t>
            </w:r>
          </w:p>
          <w:p w14:paraId="6D94B626" w14:textId="77777777">
            <w:pPr>
              <w:pStyle w:val="TableNote"/>
              <w:keepNext/>
            </w:pPr>
            <w:r>
              <w:t xml:space="preserve">most of this glyph is to the right of the crack, and this glyph is the beginning of a word, so the entire transliteration has been placed to the right of the milestone, which does not take </w:t>
            </w:r>
            <w:r>
              <w:rPr>
                <w:rStyle w:val="Codeattribute"/>
              </w:rPr>
              <w:t>@break=</w:t>
            </w:r>
            <w:r>
              <w:rPr>
                <w:rStyle w:val="Codevalue"/>
              </w:rPr>
              <w:t>"no"</w:t>
            </w:r>
          </w:p>
        </w:tc>
        <w:tc>
          <w:tcPr>
            <w:tcW w:w="1680" w:type="pct"/>
            <w:vMerge/>
            <w:tcBorders>
              <w:left w:val="single" w:sz="4" w:space="0" w:color="auto"/>
            </w:tcBorders>
            <w:vAlign w:val="bottom"/>
          </w:tcPr>
          <w:p w14:paraId="7D1CBAF3" w14:textId="77777777">
            <w:pPr>
              <w:pStyle w:val="Image"/>
            </w:pPr>
          </w:p>
        </w:tc>
      </w:tr>
    </w:tbl>
    <w:p w14:paraId="073EDCFD" w14:textId="77777777"/>
    <w:tbl>
      <w:tblPr>
        <w:tblStyle w:val="CodeSampleTable"/>
        <w:tblW w:w="5000" w:type="pct"/>
        <w:tblLook w:val="04A0" w:firstRow="1" w:lastRow="0" w:firstColumn="1" w:lastColumn="0" w:noHBand="0" w:noVBand="1"/>
      </w:tblPr>
      <w:tblGrid>
        <w:gridCol w:w="6393"/>
        <w:gridCol w:w="3235"/>
      </w:tblGrid>
      <w:tr w14:paraId="3C1D91F1" w14:textId="77777777">
        <w:trPr>
          <w:cnfStyle w:val="100000000000" w:firstRow="1" w:lastRow="0" w:firstColumn="0" w:lastColumn="0" w:oddVBand="0" w:evenVBand="0" w:oddHBand="0" w:evenHBand="0" w:firstRowFirstColumn="0" w:firstRowLastColumn="0" w:lastRowFirstColumn="0" w:lastRowLastColumn="0"/>
          <w:trHeight w:val="516"/>
        </w:trPr>
        <w:tc>
          <w:tcPr>
            <w:tcW w:w="5000" w:type="pct"/>
            <w:gridSpan w:val="2"/>
          </w:tcPr>
          <w:p w14:paraId="11B08651" w14:textId="149E747E">
            <w:pPr>
              <w:pStyle w:val="Kpalrs"/>
            </w:pPr>
            <w:bookmarkStart w:id="364" w:name="_Ref225864286"/>
            <w:r>
              <w:t xml:space="preserve">Exhibit </w:t>
            </w:r>
            <w:fldSimple w:instr=" STYLEREF 2 \s ">
              <w:r>
                <w:rPr>
                  <w:noProof/>
                </w:rPr>
                <w:t>4.7</w:t>
              </w:r>
            </w:fldSimple>
            <w:r>
              <w:t>.</w:t>
            </w:r>
            <w:fldSimple w:instr=" SEQ Exhibit \* ALPHABETIC \s 2 ">
              <w:r>
                <w:rPr>
                  <w:noProof/>
                </w:rPr>
                <w:t>T</w:t>
              </w:r>
            </w:fldSimple>
            <w:bookmarkEnd w:id="364"/>
            <w:r>
              <w:t>: glyph split by a gridlike feature, graphemes individually allocated to sides</w:t>
            </w:r>
          </w:p>
        </w:tc>
      </w:tr>
      <w:tr w14:paraId="2ED8CF65" w14:textId="77777777">
        <w:trPr>
          <w:trHeight w:val="548"/>
        </w:trPr>
        <w:tc>
          <w:tcPr>
            <w:tcW w:w="3320" w:type="pct"/>
            <w:tcBorders>
              <w:right w:val="single" w:sz="4" w:space="0" w:color="auto"/>
            </w:tcBorders>
          </w:tcPr>
          <w:p w14:paraId="55748D16" w14:textId="77777777">
            <w:pPr>
              <w:pStyle w:val="CodeParagraph"/>
              <w:keepNext/>
              <w:rPr>
                <w:rStyle w:val="Codetext"/>
              </w:rPr>
            </w:pPr>
            <w:r>
              <w:rPr>
                <w:rStyle w:val="Codetext"/>
              </w:rPr>
              <w:t>... Ika</w:t>
            </w:r>
            <w:r>
              <w:rPr>
                <w:rStyle w:val="Code"/>
              </w:rPr>
              <w:t>&lt;unclear&gt;</w:t>
            </w:r>
            <w:r>
              <w:rPr>
                <w:rStyle w:val="Codetext"/>
              </w:rPr>
              <w:t>na</w:t>
            </w:r>
            <w:r>
              <w:rPr>
                <w:rStyle w:val="Code"/>
              </w:rPr>
              <w:t xml:space="preserve">&lt;/unclear&gt;&lt;milestone </w:t>
            </w:r>
            <w:r>
              <w:rPr>
                <w:rStyle w:val="Codeattribute"/>
              </w:rPr>
              <w:t>unit=</w:t>
            </w:r>
            <w:r>
              <w:rPr>
                <w:rStyle w:val="Codevalue"/>
              </w:rPr>
              <w:t>"fragment"</w:t>
            </w:r>
            <w:r>
              <w:rPr>
                <w:rStyle w:val="Code"/>
              </w:rPr>
              <w:t xml:space="preserve"> </w:t>
            </w:r>
            <w:r>
              <w:rPr>
                <w:rStyle w:val="Codeattribute"/>
              </w:rPr>
              <w:t>n=</w:t>
            </w:r>
            <w:r>
              <w:rPr>
                <w:rStyle w:val="Codevalue"/>
              </w:rPr>
              <w:t>"2"</w:t>
            </w:r>
            <w:r>
              <w:rPr>
                <w:rStyle w:val="Code"/>
              </w:rPr>
              <w:t xml:space="preserve"> </w:t>
            </w:r>
            <w:r>
              <w:rPr>
                <w:rStyle w:val="Codeattribute"/>
              </w:rPr>
              <w:t>break=</w:t>
            </w:r>
            <w:r>
              <w:rPr>
                <w:rStyle w:val="Codevalue"/>
              </w:rPr>
              <w:t>"no"</w:t>
            </w:r>
            <w:r>
              <w:rPr>
                <w:rStyle w:val="Code"/>
              </w:rPr>
              <w:t>/&gt;&lt;unclear&gt;</w:t>
            </w:r>
            <w:r>
              <w:rPr>
                <w:rStyle w:val="Codetext"/>
              </w:rPr>
              <w:t>ṁ</w:t>
            </w:r>
            <w:r>
              <w:rPr>
                <w:rStyle w:val="Code"/>
              </w:rPr>
              <w:t>&lt;/unclear&gt;</w:t>
            </w:r>
            <w:r>
              <w:rPr>
                <w:rStyle w:val="Codetext"/>
              </w:rPr>
              <w:t xml:space="preserve"> patiḥ ...</w:t>
            </w:r>
          </w:p>
        </w:tc>
        <w:tc>
          <w:tcPr>
            <w:tcW w:w="1680" w:type="pct"/>
            <w:vMerge w:val="restart"/>
            <w:tcBorders>
              <w:left w:val="single" w:sz="4" w:space="0" w:color="auto"/>
            </w:tcBorders>
            <w:vAlign w:val="center"/>
          </w:tcPr>
          <w:p w14:paraId="73556A38" w14:textId="77777777">
            <w:pPr>
              <w:pStyle w:val="Image"/>
            </w:pPr>
            <w:r>
              <w:drawing>
                <wp:inline distT="0" distB="0" distL="0" distR="0" wp14:anchorId="4FFAFCBC" wp14:editId="6ABEA697">
                  <wp:extent cx="1641600" cy="820800"/>
                  <wp:effectExtent l="0" t="0" r="0" b="0"/>
                  <wp:docPr id="172161797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H="1">
                            <a:off x="0" y="0"/>
                            <a:ext cx="1641600" cy="820800"/>
                          </a:xfrm>
                          <a:prstGeom prst="rect">
                            <a:avLst/>
                          </a:prstGeom>
                          <a:noFill/>
                          <a:ln>
                            <a:noFill/>
                          </a:ln>
                        </pic:spPr>
                      </pic:pic>
                    </a:graphicData>
                  </a:graphic>
                </wp:inline>
              </w:drawing>
            </w:r>
          </w:p>
        </w:tc>
      </w:tr>
      <w:tr w14:paraId="621F8661" w14:textId="77777777">
        <w:trPr>
          <w:trHeight w:val="548"/>
        </w:trPr>
        <w:tc>
          <w:tcPr>
            <w:tcW w:w="3320" w:type="pct"/>
            <w:tcBorders>
              <w:right w:val="single" w:sz="4" w:space="0" w:color="auto"/>
            </w:tcBorders>
          </w:tcPr>
          <w:p w14:paraId="4E9922A4" w14:textId="77777777">
            <w:pPr>
              <w:pStyle w:val="TableNote"/>
            </w:pPr>
            <w:r>
              <w:t xml:space="preserve">the glyph </w:t>
            </w:r>
            <w:r>
              <w:rPr>
                <w:rStyle w:val="Foreign"/>
              </w:rPr>
              <w:t>naṁ</w:t>
            </w:r>
            <w:r>
              <w:t xml:space="preserve"> is split and partly obliterated by a vertical crack</w:t>
            </w:r>
          </w:p>
          <w:p w14:paraId="63D2DC52" w14:textId="77777777">
            <w:pPr>
              <w:pStyle w:val="TableNote"/>
              <w:rPr>
                <w:rStyle w:val="Codetext"/>
                <w:rFonts w:ascii="Calibri" w:hAnsi="Calibri" w:cs="Arial Unicode MS"/>
                <w:noProof w:val="0"/>
                <w:color w:val="auto"/>
                <w:shd w:val="clear" w:color="auto" w:fill="auto"/>
              </w:rPr>
            </w:pPr>
            <w:r>
              <w:t xml:space="preserve">the </w:t>
            </w:r>
            <w:r>
              <w:rPr>
                <w:rStyle w:val="Foreign"/>
              </w:rPr>
              <w:t>anusvāra</w:t>
            </w:r>
            <w:r>
              <w:t xml:space="preserve"> is (or would have been) definitely to the right of the crack, while the body </w:t>
            </w:r>
            <w:r>
              <w:rPr>
                <w:rStyle w:val="Foreign"/>
              </w:rPr>
              <w:t>na</w:t>
            </w:r>
            <w:r>
              <w:t xml:space="preserve"> has been arbitrarily allocated to the left of the milestone, which needs </w:t>
            </w:r>
            <w:r>
              <w:rPr>
                <w:rStyle w:val="Codeattribute"/>
              </w:rPr>
              <w:t>@break=</w:t>
            </w:r>
            <w:r>
              <w:rPr>
                <w:rStyle w:val="Codevalue"/>
              </w:rPr>
              <w:t>"no"</w:t>
            </w:r>
          </w:p>
        </w:tc>
        <w:tc>
          <w:tcPr>
            <w:tcW w:w="1680" w:type="pct"/>
            <w:vMerge/>
            <w:tcBorders>
              <w:left w:val="single" w:sz="4" w:space="0" w:color="auto"/>
            </w:tcBorders>
            <w:vAlign w:val="bottom"/>
          </w:tcPr>
          <w:p w14:paraId="2B5B2176" w14:textId="77777777">
            <w:pPr>
              <w:pStyle w:val="Image"/>
            </w:pPr>
          </w:p>
        </w:tc>
      </w:tr>
    </w:tbl>
    <w:p w14:paraId="6E732142" w14:textId="77777777">
      <w:pPr>
        <w:pStyle w:val="Cmsor4"/>
      </w:pPr>
      <w:r>
        <w:t>Features splitting only some lines of an inscription</w:t>
      </w:r>
      <w:bookmarkEnd w:id="361"/>
    </w:p>
    <w:p w14:paraId="51CFE201" w14:textId="3A0D5D2A">
      <w:r>
        <w:t>Recall from §</w:t>
      </w:r>
      <w:r>
        <w:fldChar w:fldCharType="begin"/>
      </w:r>
      <w:r>
        <w:instrText xml:space="preserve"> REF _Ref182923075 \r \h </w:instrText>
      </w:r>
      <w:r>
        <w:fldChar w:fldCharType="separate"/>
      </w:r>
      <w:r>
        <w:t>4.1</w:t>
      </w:r>
      <w:r>
        <w:fldChar w:fldCharType="end"/>
      </w:r>
      <w:r>
        <w:t xml:space="preserve"> that gridlike partitions represent the lowest tier of the hierarchy of extrinsic structure, and that the scope of a milestone is understood to be up to the point where a partition of the same, or a higher, tier occurs. The logical consequence of this is that when a grid covers the entirety of an inscription, the milestones for each cell of the grid must be present in each epigraphic line of the edition (or the textpart division). Sometimes, however, a grid applies only to part of the inscribed campus, as in </w:t>
      </w:r>
      <w:r>
        <w:fldChar w:fldCharType="begin"/>
      </w:r>
      <w:r>
        <w:instrText xml:space="preserve"> REF _Ref182834409 \h </w:instrText>
      </w:r>
      <w:r>
        <w:fldChar w:fldCharType="separate"/>
      </w:r>
      <w:r>
        <w:t xml:space="preserve">Exhibit </w:t>
      </w:r>
      <w:r>
        <w:rPr>
          <w:noProof/>
        </w:rPr>
        <w:t>4.7</w:t>
      </w:r>
      <w:r>
        <w:t>.</w:t>
      </w:r>
      <w:r>
        <w:rPr>
          <w:noProof/>
        </w:rPr>
        <w:t>U</w:t>
      </w:r>
      <w:r>
        <w:fldChar w:fldCharType="end"/>
      </w:r>
      <w:r>
        <w:t xml:space="preserve">. In order to reduce code clutter and encoding burden, in this latter case we use milestone elements only in the specific lines which are directly affected by the feature represented by the milestone. It will be understood in such a case that the partition applies only to the lines where it is encoded. If the inscription is fragmented, then lines without an encoded partition will be assumed to be on the largest adjacent fragment. Multiple irregular fragments shall be encoded in the same manner: lines not affected by the fragmentation need no </w:t>
      </w:r>
      <w:r>
        <w:lastRenderedPageBreak/>
        <w:t>gridlike milestones, while affected lines need as many milestones as the number of separate fragments across which the line in question continues.</w:t>
      </w:r>
    </w:p>
    <w:p w14:paraId="2F1E121D" w14:textId="77777777"/>
    <w:tbl>
      <w:tblPr>
        <w:tblStyle w:val="CodeSampleTable"/>
        <w:tblW w:w="5000" w:type="pct"/>
        <w:tblLook w:val="04A0" w:firstRow="1" w:lastRow="0" w:firstColumn="1" w:lastColumn="0" w:noHBand="0" w:noVBand="1"/>
      </w:tblPr>
      <w:tblGrid>
        <w:gridCol w:w="9628"/>
      </w:tblGrid>
      <w:tr w14:paraId="18E6D783"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FA99C88" w14:textId="24FB6504">
            <w:pPr>
              <w:pStyle w:val="Kpalrs"/>
            </w:pPr>
            <w:bookmarkStart w:id="365" w:name="_Ref182834409"/>
            <w:r>
              <w:t xml:space="preserve">Exhibit </w:t>
            </w:r>
            <w:fldSimple w:instr=" STYLEREF 2 \s ">
              <w:r>
                <w:rPr>
                  <w:noProof/>
                </w:rPr>
                <w:t>4.7</w:t>
              </w:r>
            </w:fldSimple>
            <w:r>
              <w:t>.</w:t>
            </w:r>
            <w:fldSimple w:instr=" SEQ Exhibit \* ALPHABETIC \s 2 ">
              <w:r>
                <w:rPr>
                  <w:noProof/>
                </w:rPr>
                <w:t>U</w:t>
              </w:r>
            </w:fldSimple>
            <w:bookmarkEnd w:id="365"/>
            <w:r>
              <w:t>: gridlike milestones in only some of the lines</w:t>
            </w:r>
          </w:p>
        </w:tc>
      </w:tr>
      <w:tr w14:paraId="2917C34D" w14:textId="77777777">
        <w:tc>
          <w:tcPr>
            <w:tcW w:w="5000" w:type="pct"/>
            <w:vAlign w:val="center"/>
          </w:tcPr>
          <w:p w14:paraId="6AE688B7" w14:textId="77777777">
            <w:pPr>
              <w:pStyle w:val="Image"/>
            </w:pPr>
            <w:r>
              <w:drawing>
                <wp:inline distT="0" distB="0" distL="0" distR="0" wp14:anchorId="2F09D715" wp14:editId="1655F42F">
                  <wp:extent cx="5397500" cy="1480820"/>
                  <wp:effectExtent l="0" t="0" r="0" b="5080"/>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14:paraId="50829417" w14:textId="77777777">
        <w:tc>
          <w:tcPr>
            <w:tcW w:w="5000" w:type="pct"/>
          </w:tcPr>
          <w:p w14:paraId="0FAC2D54" w14:textId="77777777">
            <w:pPr>
              <w:pStyle w:val="CodeParagraph"/>
              <w:keepNext/>
              <w:rPr>
                <w:rStyle w:val="Code"/>
              </w:rPr>
            </w:pPr>
            <w:r>
              <w:rPr>
                <w:rStyle w:val="Code"/>
              </w:rPr>
              <w:t>&lt;p&gt;</w:t>
            </w:r>
          </w:p>
          <w:p w14:paraId="5B53A683"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r>
            <w:r>
              <w:rPr>
                <w:rStyle w:val="Code"/>
              </w:rPr>
              <w:t xml:space="preserve">  &lt;lb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"a"</w:t>
            </w:r>
            <w:r>
              <w:rPr>
                <w:rStyle w:val="Code"/>
              </w:rPr>
              <w:t>&gt;</w:t>
            </w:r>
            <w:r>
              <w:rPr>
                <w:rStyle w:val="Codetext"/>
              </w:rPr>
              <w:t xml:space="preserve">and </w:t>
            </w:r>
            <w:r>
              <w:rPr>
                <w:rStyle w:val="Code"/>
              </w:rPr>
              <w:t xml:space="preserve">&lt;milestone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"b"</w:t>
            </w:r>
            <w:r>
              <w:rPr>
                <w:rStyle w:val="Code"/>
              </w:rPr>
              <w:t>&gt;</w:t>
            </w:r>
            <w:r>
              <w:rPr>
                <w:rStyle w:val="Codetext"/>
              </w:rPr>
              <w:t>an oozy smell, nor yet a dry, bare, sandy hole</w:t>
            </w:r>
            <w:r>
              <w:rPr>
                <w:rStyle w:val="Codetext"/>
              </w:rPr>
              <w:br/>
            </w:r>
            <w:r>
              <w:rPr>
                <w:rStyle w:val="Code"/>
              </w:rPr>
              <w:t xml:space="preserve">  &lt;lb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"a"</w:t>
            </w:r>
            <w:r>
              <w:rPr>
                <w:rStyle w:val="Code"/>
              </w:rPr>
              <w:t>&gt;</w:t>
            </w:r>
            <w:r>
              <w:rPr>
                <w:rStyle w:val="Codetext"/>
              </w:rPr>
              <w:t>with not</w:t>
            </w:r>
            <w:r>
              <w:rPr>
                <w:rStyle w:val="Code"/>
              </w:rPr>
              <w:t xml:space="preserve">&lt;milestone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&gt;&lt;unclear&gt;h&lt;/unclear&gt;</w:t>
            </w:r>
            <w:r>
              <w:rPr>
                <w:rStyle w:val="Codetext"/>
              </w:rPr>
              <w:t>ing in it to sit down on or to eat: it was a</w:t>
            </w:r>
          </w:p>
          <w:p w14:paraId="3327D5DE"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"a"</w:t>
            </w:r>
            <w:r>
              <w:rPr>
                <w:rStyle w:val="Code"/>
              </w:rPr>
              <w:t>&gt;</w:t>
            </w:r>
            <w:r>
              <w:rPr>
                <w:rStyle w:val="Codetext"/>
              </w:rPr>
              <w:t xml:space="preserve">hobbit-hole, </w:t>
            </w:r>
            <w:r>
              <w:rPr>
                <w:rStyle w:val="Code"/>
              </w:rPr>
              <w:t xml:space="preserve">&lt;unclear&gt;a&lt;/unclear&gt;&lt;milestone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"b"</w:t>
            </w:r>
            <w:r>
              <w:rPr>
                <w:rStyle w:val="Codeattribute"/>
              </w:rPr>
              <w:t xml:space="preserve"> break</w:t>
            </w:r>
            <w:r>
              <w:rPr>
                <w:rStyle w:val="Code"/>
              </w:rPr>
              <w:t>=</w:t>
            </w:r>
            <w:r>
              <w:rPr>
                <w:rStyle w:val="Codevalue"/>
              </w:rPr>
              <w:t>"no"</w:t>
            </w:r>
            <w:r>
              <w:rPr>
                <w:rStyle w:val="Code"/>
              </w:rPr>
              <w:t>&gt;</w:t>
            </w:r>
            <w:r>
              <w:rPr>
                <w:rStyle w:val="Codetext"/>
              </w:rPr>
              <w:t>nd that means comfort.</w:t>
            </w:r>
          </w:p>
          <w:p w14:paraId="1A447D2B" w14:textId="77777777">
            <w:pPr>
              <w:pStyle w:val="CodeParagraph"/>
              <w:keepNext/>
            </w:pPr>
            <w:r>
              <w:rPr>
                <w:rStyle w:val="Code"/>
              </w:rPr>
              <w:t>&lt;/p&gt;</w:t>
            </w:r>
          </w:p>
        </w:tc>
      </w:tr>
      <w:tr w14:paraId="3A319A4F" w14:textId="77777777">
        <w:tc>
          <w:tcPr>
            <w:tcW w:w="5000" w:type="pct"/>
          </w:tcPr>
          <w:p w14:paraId="3C781C69" w14:textId="77777777">
            <w:pPr>
              <w:pStyle w:val="TableNote"/>
            </w:pPr>
            <w:r>
              <w:t>the first two lines are not affected by fragmentation, so no gridlike milestones are encoded there</w:t>
            </w:r>
          </w:p>
          <w:p w14:paraId="66E6AAC1" w14:textId="1EAF9AFD">
            <w:pPr>
              <w:pStyle w:val="TableNote"/>
            </w:pPr>
            <w:r>
              <w:t>split glyphs are arbitrarily assigned to one side of the crack as per §</w:t>
            </w:r>
            <w:r>
              <w:fldChar w:fldCharType="begin"/>
            </w:r>
            <w:r>
              <w:instrText xml:space="preserve"> REF _Ref182813737 \r \h </w:instrText>
            </w:r>
            <w:r>
              <w:fldChar w:fldCharType="separate"/>
            </w:r>
            <w:r>
              <w:t>4.7.6.1</w:t>
            </w:r>
            <w:r>
              <w:fldChar w:fldCharType="end"/>
            </w:r>
          </w:p>
        </w:tc>
      </w:tr>
    </w:tbl>
    <w:p w14:paraId="1BF9ADA1" w14:textId="77777777">
      <w:pPr>
        <w:pStyle w:val="Cmsor4"/>
      </w:pPr>
      <w:r>
        <w:t>Missing pieces</w:t>
      </w:r>
    </w:p>
    <w:p w14:paraId="5486C6AA" w14:textId="491956D7">
      <w:r>
        <w:t xml:space="preserve">Just because a piece of an inscription has been lost, as in </w:t>
      </w:r>
      <w:r>
        <w:fldChar w:fldCharType="begin"/>
      </w:r>
      <w:r>
        <w:instrText xml:space="preserve"> REF _Ref182834107 \h </w:instrText>
      </w:r>
      <w:r>
        <w:fldChar w:fldCharType="separate"/>
      </w:r>
      <w:r>
        <w:t xml:space="preserve">Exhibit </w:t>
      </w:r>
      <w:r>
        <w:rPr>
          <w:noProof/>
        </w:rPr>
        <w:t>4.7</w:t>
      </w:r>
      <w:r>
        <w:t>.</w:t>
      </w:r>
      <w:r>
        <w:rPr>
          <w:noProof/>
        </w:rPr>
        <w:t>V</w:t>
      </w:r>
      <w:r>
        <w:fldChar w:fldCharType="end"/>
      </w:r>
      <w:r>
        <w:t>, there is no need to encode any kind of partition. As far as encoding is concerned, this is just another kind of lacuna, to be encoded according to §</w:t>
      </w:r>
      <w:r>
        <w:fldChar w:fldCharType="begin"/>
      </w:r>
      <w:r>
        <w:instrText xml:space="preserve"> REF _Ref228460110 \r \h </w:instrText>
      </w:r>
      <w:r>
        <w:fldChar w:fldCharType="separate"/>
      </w:r>
      <w:r>
        <w:t>6.5</w:t>
      </w:r>
      <w:r>
        <w:fldChar w:fldCharType="end"/>
      </w:r>
      <w:r>
        <w:t xml:space="preserve"> (with special considerations for massive lacunae in §</w:t>
      </w:r>
      <w:r>
        <w:fldChar w:fldCharType="begin"/>
      </w:r>
      <w:r>
        <w:instrText xml:space="preserve"> REF _Ref43981711 \r \h </w:instrText>
      </w:r>
      <w:r>
        <w:fldChar w:fldCharType="separate"/>
      </w:r>
      <w:r>
        <w:t>6.5.4</w:t>
      </w:r>
      <w:r>
        <w:fldChar w:fldCharType="end"/>
      </w:r>
      <w:r>
        <w:t xml:space="preserve">). If the lost piece is subsequently recovered and the digital inscription is updated accordingly, then partitions can (optionally) be encoded for the fragments, as in </w:t>
      </w:r>
      <w:r>
        <w:fldChar w:fldCharType="begin"/>
      </w:r>
      <w:r>
        <w:instrText xml:space="preserve"> REF _Ref182834409 \h </w:instrText>
      </w:r>
      <w:r>
        <w:fldChar w:fldCharType="separate"/>
      </w:r>
      <w:r>
        <w:t xml:space="preserve">Exhibit </w:t>
      </w:r>
      <w:r>
        <w:rPr>
          <w:noProof/>
        </w:rPr>
        <w:t>4.7</w:t>
      </w:r>
      <w:r>
        <w:t>.</w:t>
      </w:r>
      <w:r>
        <w:rPr>
          <w:noProof/>
        </w:rPr>
        <w:t>U</w:t>
      </w:r>
      <w:r>
        <w:fldChar w:fldCharType="end"/>
      </w:r>
      <w:r>
        <w:t xml:space="preserve"> above. </w:t>
      </w:r>
    </w:p>
    <w:p w14:paraId="5180450B" w14:textId="30D71DCF">
      <w:pPr>
        <w:pStyle w:val="Normlbehzs"/>
      </w:pPr>
      <w:r>
        <w:t xml:space="preserve">As a logical extension of this approach, if an inscription consists of two or more extant fragments while one or more further fragments are lost, as in </w:t>
      </w:r>
      <w:r>
        <w:fldChar w:fldCharType="begin"/>
      </w:r>
      <w:r>
        <w:instrText xml:space="preserve"> REF _Ref182834408 \h </w:instrText>
      </w:r>
      <w:r>
        <w:fldChar w:fldCharType="separate"/>
      </w:r>
      <w:r>
        <w:t xml:space="preserve">Exhibit </w:t>
      </w:r>
      <w:r>
        <w:rPr>
          <w:noProof/>
        </w:rPr>
        <w:t>4.7</w:t>
      </w:r>
      <w:r>
        <w:t>.</w:t>
      </w:r>
      <w:r>
        <w:rPr>
          <w:noProof/>
        </w:rPr>
        <w:t>W</w:t>
      </w:r>
      <w:r>
        <w:fldChar w:fldCharType="end"/>
      </w:r>
      <w:r>
        <w:t>, then partitions (if they are encoded) should be created only for the extant fragments. Thus:</w:t>
      </w:r>
    </w:p>
    <w:p w14:paraId="40E5964E" w14:textId="4AB2C524">
      <w:pPr>
        <w:pStyle w:val="Lista"/>
      </w:pPr>
      <w:r>
        <w:t>the lacunae representing the text belonging to a lost fragment, whether restored or not, shall be encoded as belonging to the adjacent extant fragment</w:t>
      </w:r>
    </w:p>
    <w:p w14:paraId="42C409F9" w14:textId="77777777">
      <w:pPr>
        <w:pStyle w:val="Lista2"/>
      </w:pPr>
      <w:r>
        <w:t>if two sides of a lost fragment are adjacent to different extant fragments, arbitrarily pick one of the extant fragments (typically the earlier one) and encode the lacunae as belonging to that fragment</w:t>
      </w:r>
    </w:p>
    <w:p w14:paraId="75BF74EA" w14:textId="77777777">
      <w:pPr>
        <w:pStyle w:val="Lista"/>
      </w:pPr>
      <w:r>
        <w:t>when the edges of lacunae are partially restored on the basis of the adjacent preserved text, feel free to allocate the restorations to the fragment which serves as the basis for restoration, even if the rest of the lacuna is allocated to another fragment</w:t>
      </w:r>
    </w:p>
    <w:p w14:paraId="4CF51E95" w14:textId="469E3961">
      <w:pPr>
        <w:pStyle w:val="Lista2"/>
      </w:pPr>
      <w:r>
        <w:t>in this case, word interruption (§</w:t>
      </w:r>
      <w:r>
        <w:fldChar w:fldCharType="begin"/>
      </w:r>
      <w:r>
        <w:instrText xml:space="preserve"> REF _Ref225519777 \r \h </w:instrText>
      </w:r>
      <w:r>
        <w:fldChar w:fldCharType="separate"/>
      </w:r>
      <w:r>
        <w:t>4.3.2.1</w:t>
      </w:r>
      <w:r>
        <w:fldChar w:fldCharType="end"/>
      </w:r>
      <w:r>
        <w:t>) shall be encoded on the basis your allocation of the milestone, not on that of the actual location of the fracture; thus,</w:t>
      </w:r>
    </w:p>
    <w:p w14:paraId="72A3116B" w14:textId="77777777">
      <w:pPr>
        <w:pStyle w:val="Lista2"/>
      </w:pPr>
      <w:r>
        <w:rPr>
          <w:rStyle w:val="Codeattribute"/>
        </w:rPr>
        <w:t>@break=</w:t>
      </w:r>
      <w:r>
        <w:rPr>
          <w:rStyle w:val="Codevalue"/>
        </w:rPr>
        <w:t>"no"</w:t>
      </w:r>
      <w:r>
        <w:t xml:space="preserve"> is not required when a full word is restored on one side of the milestone</w:t>
      </w:r>
    </w:p>
    <w:tbl>
      <w:tblPr>
        <w:tblStyle w:val="CodeSampleTable"/>
        <w:tblW w:w="5000" w:type="pct"/>
        <w:tblLook w:val="04A0" w:firstRow="1" w:lastRow="0" w:firstColumn="1" w:lastColumn="0" w:noHBand="0" w:noVBand="1"/>
      </w:tblPr>
      <w:tblGrid>
        <w:gridCol w:w="9628"/>
      </w:tblGrid>
      <w:tr w14:paraId="564B424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4E02729" w14:textId="54E6E475">
            <w:pPr>
              <w:pStyle w:val="Kpalrs"/>
              <w:keepLines/>
            </w:pPr>
            <w:bookmarkStart w:id="366" w:name="_Ref182834107"/>
            <w:r>
              <w:lastRenderedPageBreak/>
              <w:t xml:space="preserve">Exhibit </w:t>
            </w:r>
            <w:fldSimple w:instr=" STYLEREF 2 \s ">
              <w:r>
                <w:rPr>
                  <w:noProof/>
                </w:rPr>
                <w:t>4.7</w:t>
              </w:r>
            </w:fldSimple>
            <w:r>
              <w:t>.</w:t>
            </w:r>
            <w:fldSimple w:instr=" SEQ Exhibit \* ALPHABETIC \s 2 ">
              <w:r>
                <w:rPr>
                  <w:noProof/>
                </w:rPr>
                <w:t>V</w:t>
              </w:r>
            </w:fldSimple>
            <w:bookmarkEnd w:id="366"/>
            <w:r>
              <w:t>: inscription with a missing piece</w:t>
            </w:r>
          </w:p>
        </w:tc>
      </w:tr>
      <w:tr w14:paraId="2E26A97E" w14:textId="77777777">
        <w:tc>
          <w:tcPr>
            <w:tcW w:w="5000" w:type="pct"/>
            <w:vAlign w:val="center"/>
          </w:tcPr>
          <w:p w14:paraId="203BB8A1" w14:textId="77777777">
            <w:pPr>
              <w:pStyle w:val="Image"/>
              <w:keepLines/>
            </w:pPr>
            <w:r>
              <w:drawing>
                <wp:inline distT="0" distB="0" distL="0" distR="0" wp14:anchorId="694BF5A3" wp14:editId="3BAA7BA3">
                  <wp:extent cx="5397500" cy="1480820"/>
                  <wp:effectExtent l="0" t="0" r="0" b="5080"/>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14:paraId="4125ECC3" w14:textId="77777777">
        <w:tc>
          <w:tcPr>
            <w:tcW w:w="5000" w:type="pct"/>
          </w:tcPr>
          <w:p w14:paraId="1C4118AC" w14:textId="77777777">
            <w:pPr>
              <w:pStyle w:val="CodeParagraph"/>
              <w:keepNext/>
              <w:keepLines/>
              <w:rPr>
                <w:rStyle w:val="Code"/>
              </w:rPr>
            </w:pPr>
            <w:r>
              <w:rPr>
                <w:rStyle w:val="Code"/>
              </w:rPr>
              <w:t>&lt;p&gt;</w:t>
            </w:r>
          </w:p>
          <w:p w14:paraId="085C466B"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r>
            <w:r>
              <w:rPr>
                <w:rStyle w:val="Code"/>
              </w:rPr>
              <w:t xml:space="preserve">  &lt;lb </w:t>
            </w:r>
            <w:r>
              <w:rPr>
                <w:rStyle w:val="Codeattribute"/>
              </w:rPr>
              <w:t>n</w:t>
            </w:r>
            <w:r>
              <w:rPr>
                <w:rStyle w:val="Code"/>
              </w:rPr>
              <w:t>=</w:t>
            </w:r>
            <w:r>
              <w:rPr>
                <w:rStyle w:val="Codevalue"/>
              </w:rPr>
              <w:t>"3"</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r>
              <w:rPr>
                <w:rStyle w:val="Codetext"/>
              </w:rPr>
              <w:t>an oozy smell, nor yet a dry, bare, sandy hole</w:t>
            </w:r>
            <w:r>
              <w:rPr>
                <w:rStyle w:val="Codetext"/>
              </w:rPr>
              <w:br/>
            </w:r>
            <w:r>
              <w:rPr>
                <w:rStyle w:val="Code"/>
              </w:rPr>
              <w:t xml:space="preserve">  &lt;lb </w:t>
            </w:r>
            <w:r>
              <w:rPr>
                <w:rStyle w:val="Codeattribute"/>
              </w:rPr>
              <w:t>n</w:t>
            </w:r>
            <w:r>
              <w:rPr>
                <w:rStyle w:val="Code"/>
              </w:rPr>
              <w:t>=</w:t>
            </w:r>
            <w:r>
              <w:rPr>
                <w:rStyle w:val="Codevalue"/>
              </w:rPr>
              <w:t>"4"</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"8"</w:t>
            </w:r>
            <w:r>
              <w:rPr>
                <w:rStyle w:val="Code"/>
              </w:rPr>
              <w:t xml:space="preserve"> </w:t>
            </w:r>
            <w:r>
              <w:rPr>
                <w:rStyle w:val="Codeattribute"/>
              </w:rPr>
              <w:t>unit</w:t>
            </w:r>
            <w:r>
              <w:rPr>
                <w:rStyle w:val="Code"/>
              </w:rPr>
              <w:t>=</w:t>
            </w:r>
            <w:r>
              <w:rPr>
                <w:rStyle w:val="Codevalue"/>
              </w:rPr>
              <w:t>"character"</w:t>
            </w:r>
            <w:r>
              <w:rPr>
                <w:rStyle w:val="Code"/>
              </w:rPr>
              <w:t>/&gt;&lt;unclear&gt;h&lt;/unclear&gt;</w:t>
            </w:r>
            <w:r>
              <w:rPr>
                <w:rStyle w:val="Codetext"/>
              </w:rPr>
              <w:t>ing in it to sit down on or to eat: it was a</w:t>
            </w:r>
          </w:p>
          <w:p w14:paraId="570638BB"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"5"</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"14"</w:t>
            </w:r>
            <w:r>
              <w:rPr>
                <w:rStyle w:val="Code"/>
              </w:rPr>
              <w:t xml:space="preserve"> </w:t>
            </w:r>
            <w:r>
              <w:rPr>
                <w:rStyle w:val="Codeattribute"/>
              </w:rPr>
              <w:t>unit</w:t>
            </w:r>
            <w:r>
              <w:rPr>
                <w:rStyle w:val="Code"/>
              </w:rPr>
              <w:t>=</w:t>
            </w:r>
            <w:r>
              <w:rPr>
                <w:rStyle w:val="Codevalue"/>
              </w:rPr>
              <w:t>"character"</w:t>
            </w:r>
            <w:r>
              <w:rPr>
                <w:rStyle w:val="Code"/>
              </w:rPr>
              <w:t>/&gt;</w:t>
            </w:r>
            <w:r>
              <w:rPr>
                <w:rStyle w:val="Codetext"/>
              </w:rPr>
              <w:t>nd that means comfort.</w:t>
            </w:r>
          </w:p>
          <w:p w14:paraId="24BB512D" w14:textId="77777777">
            <w:pPr>
              <w:pStyle w:val="CodeParagraph"/>
              <w:keepNext/>
              <w:keepLines/>
            </w:pPr>
            <w:r>
              <w:rPr>
                <w:rStyle w:val="Code"/>
              </w:rPr>
              <w:t>&lt;/p&gt;</w:t>
            </w:r>
          </w:p>
        </w:tc>
      </w:tr>
    </w:tbl>
    <w:p w14:paraId="66F8BE44" w14:textId="77777777"/>
    <w:tbl>
      <w:tblPr>
        <w:tblStyle w:val="CodeSampleTable"/>
        <w:tblW w:w="0" w:type="auto"/>
        <w:tblLook w:val="04A0" w:firstRow="1" w:lastRow="0" w:firstColumn="1" w:lastColumn="0" w:noHBand="0" w:noVBand="1"/>
      </w:tblPr>
      <w:tblGrid>
        <w:gridCol w:w="9054"/>
      </w:tblGrid>
      <w:tr w14:paraId="235AB370" w14:textId="77777777">
        <w:trPr>
          <w:cnfStyle w:val="100000000000" w:firstRow="1" w:lastRow="0" w:firstColumn="0" w:lastColumn="0" w:oddVBand="0" w:evenVBand="0" w:oddHBand="0" w:evenHBand="0" w:firstRowFirstColumn="0" w:firstRowLastColumn="0" w:lastRowFirstColumn="0" w:lastRowLastColumn="0"/>
        </w:trPr>
        <w:tc>
          <w:tcPr>
            <w:tcW w:w="9054" w:type="dxa"/>
          </w:tcPr>
          <w:p w14:paraId="6FA83734" w14:textId="2ABA2067">
            <w:pPr>
              <w:pStyle w:val="Kpalrs"/>
              <w:keepLines/>
            </w:pPr>
            <w:bookmarkStart w:id="367" w:name="_Ref182834408"/>
            <w:r>
              <w:lastRenderedPageBreak/>
              <w:t xml:space="preserve">Exhibit </w:t>
            </w:r>
            <w:fldSimple w:instr=" STYLEREF 2 \s ">
              <w:r>
                <w:rPr>
                  <w:noProof/>
                </w:rPr>
                <w:t>4.7</w:t>
              </w:r>
            </w:fldSimple>
            <w:r>
              <w:t>.</w:t>
            </w:r>
            <w:fldSimple w:instr=" SEQ Exhibit \* ALPHABETIC \s 2 ">
              <w:r>
                <w:rPr>
                  <w:noProof/>
                </w:rPr>
                <w:t>W</w:t>
              </w:r>
            </w:fldSimple>
            <w:bookmarkEnd w:id="367"/>
            <w:r>
              <w:t>: gridlike partitions for contiguous fragments with a missing piece</w:t>
            </w:r>
          </w:p>
        </w:tc>
      </w:tr>
      <w:tr w14:paraId="1DCA8EB0" w14:textId="77777777">
        <w:tc>
          <w:tcPr>
            <w:tcW w:w="9054" w:type="dxa"/>
          </w:tcPr>
          <w:p w14:paraId="69A298BE" w14:textId="77777777">
            <w:pPr>
              <w:pStyle w:val="Image"/>
              <w:keepLines/>
            </w:pPr>
            <w:r>
              <w:drawing>
                <wp:inline distT="0" distB="0" distL="0" distR="0" wp14:anchorId="0EF24CDE" wp14:editId="791BED15">
                  <wp:extent cx="5397500" cy="2702560"/>
                  <wp:effectExtent l="0" t="0" r="0" b="2540"/>
                  <wp:docPr id="1032500959"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7500" cy="2702560"/>
                          </a:xfrm>
                          <a:prstGeom prst="rect">
                            <a:avLst/>
                          </a:prstGeom>
                          <a:noFill/>
                          <a:ln>
                            <a:noFill/>
                          </a:ln>
                        </pic:spPr>
                      </pic:pic>
                    </a:graphicData>
                  </a:graphic>
                </wp:inline>
              </w:drawing>
            </w:r>
          </w:p>
        </w:tc>
      </w:tr>
      <w:tr w14:paraId="1B6E23D5" w14:textId="77777777">
        <w:tc>
          <w:tcPr>
            <w:tcW w:w="9054" w:type="dxa"/>
          </w:tcPr>
          <w:p w14:paraId="7ED0AB5C" w14:textId="77777777">
            <w:pPr>
              <w:pStyle w:val="TableNote"/>
              <w:keepNext/>
              <w:keepLines/>
            </w:pPr>
            <w:r>
              <w:t>two extant fragments of a slab can be joined, but a smaller fragment is missing</w:t>
            </w:r>
          </w:p>
          <w:p w14:paraId="264AD5D2" w14:textId="77777777">
            <w:pPr>
              <w:pStyle w:val="TableNote"/>
              <w:keepNext/>
              <w:keepLines/>
            </w:pPr>
            <w:r>
              <w:t>the fragments are optionally encoded as gridlike milestones</w:t>
            </w:r>
          </w:p>
          <w:p w14:paraId="1FF99443" w14:textId="77777777">
            <w:pPr>
              <w:pStyle w:val="TableNote"/>
              <w:keepNext/>
              <w:keepLines/>
            </w:pPr>
            <w:r>
              <w:t>the lacunae in the first five lines are arbitrarily allocated to fragment a</w:t>
            </w:r>
          </w:p>
          <w:p w14:paraId="44B97FF1" w14:textId="77777777">
            <w:pPr>
              <w:pStyle w:val="TableNote"/>
              <w:keepNext/>
              <w:keepLines/>
            </w:pPr>
            <w:r>
              <w:t>restorations of partially lost words are always allocated to the fragment bearing their extant segments</w:t>
            </w:r>
          </w:p>
        </w:tc>
      </w:tr>
      <w:tr w14:paraId="1407379E" w14:textId="77777777">
        <w:tc>
          <w:tcPr>
            <w:tcW w:w="9054" w:type="dxa"/>
          </w:tcPr>
          <w:p w14:paraId="6B616FB4" w14:textId="77777777">
            <w:pPr>
              <w:pStyle w:val="CodeParagraph"/>
              <w:rPr>
                <w:rStyle w:val="Code"/>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"17"</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li</w:t>
            </w:r>
            <w:r>
              <w:rPr>
                <w:rStyle w:val="Code"/>
              </w:rPr>
              <w:t>&lt;/supplied&gt;</w:t>
            </w:r>
            <w:r>
              <w:rPr>
                <w:rStyle w:val="Codetext"/>
              </w:rPr>
              <w:t>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nasty, dirty, wet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"14"</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w</w:t>
            </w:r>
            <w:r>
              <w:rPr>
                <w:rStyle w:val="Code"/>
              </w:rPr>
              <w:t>&lt;/supplied&gt;&lt;unclear&gt;</w:t>
            </w:r>
            <w:r>
              <w:rPr>
                <w:rStyle w:val="Codetext"/>
              </w:rPr>
              <w:t>i</w:t>
            </w:r>
            <w:r>
              <w:rPr>
                <w:rStyle w:val="Code"/>
              </w:rPr>
              <w:t>&lt;/unclear&gt;</w:t>
            </w:r>
            <w:r>
              <w:rPr>
                <w:rStyle w:val="Codetext"/>
              </w:rPr>
              <w:t>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and an oozy sme</w:t>
            </w:r>
            <w:r>
              <w:rPr>
                <w:rStyle w:val="Code"/>
              </w:rPr>
              <w:t>&lt;unclear&gt;</w:t>
            </w:r>
            <w:r>
              <w:rPr>
                <w:rStyle w:val="Codetext"/>
              </w:rPr>
              <w:t>ll</w:t>
            </w:r>
            <w:r>
              <w:rPr>
                <w:rStyle w:val="Code"/>
              </w:rPr>
              <w:t xml:space="preserve">&lt;/unclear&gt; &lt;gap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"10"</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a dry, bare,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it </w:t>
            </w:r>
            <w:r>
              <w:rPr>
                <w:rStyle w:val="Code"/>
              </w:rPr>
              <w:t>&lt;unclear&gt;</w:t>
            </w:r>
            <w:r>
              <w:rPr>
                <w:rStyle w:val="Codetext"/>
              </w:rPr>
              <w:t>t</w:t>
            </w:r>
            <w:r>
              <w:rPr>
                <w:rStyle w:val="Code"/>
              </w:rPr>
              <w:t xml:space="preserve">&lt;/unclear&gt;&lt;gap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hobbit-hole, and th</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at</w:t>
            </w:r>
            <w:r>
              <w:rPr>
                <w:rStyle w:val="Code"/>
              </w:rPr>
              <w:t>&lt;/supplied&gt;</w:t>
            </w:r>
            <w:r>
              <w:rPr>
                <w:rStyle w:val="Codetext"/>
              </w:rPr>
              <w:t xml:space="preserve">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means comfort. It had a  </w:t>
            </w:r>
            <w:r>
              <w:rPr>
                <w:rStyle w:val="Codetext"/>
              </w:rPr>
              <w:br/>
              <w:t xml:space="preserve">  </w:t>
            </w:r>
            <w:r>
              <w:rPr>
                <w:rStyle w:val="Code"/>
              </w:rPr>
              <w:t xml:space="preserve">&lt;lb </w:t>
            </w:r>
            <w:r>
              <w:rPr>
                <w:rStyle w:val="Codeattribute"/>
              </w:rPr>
              <w:t>n</w:t>
            </w:r>
            <w:r>
              <w:rPr>
                <w:rStyle w:val="Code"/>
              </w:rPr>
              <w:t>=</w:t>
            </w:r>
            <w:r>
              <w:rPr>
                <w:rStyle w:val="Codevalue"/>
              </w:rPr>
              <w:t>"6"</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perfectly round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/&gt;&lt;unclear&gt;</w:t>
            </w:r>
            <w:r>
              <w:rPr>
                <w:rStyle w:val="Codetext"/>
              </w:rPr>
              <w:t>d</w:t>
            </w:r>
            <w:r>
              <w:rPr>
                <w:rStyle w:val="Code"/>
              </w:rPr>
              <w:t>&lt;/unclear&gt;</w:t>
            </w:r>
            <w:r>
              <w:rPr>
                <w:rStyle w:val="Codetext"/>
              </w:rPr>
              <w:t xml:space="preserve">oor like a porthole, painted green,  </w:t>
            </w:r>
            <w:r>
              <w:rPr>
                <w:rStyle w:val="Codetext"/>
              </w:rPr>
              <w:br/>
              <w:t xml:space="preserve">  </w:t>
            </w:r>
            <w:r>
              <w:rPr>
                <w:rStyle w:val="Code"/>
              </w:rPr>
              <w:t xml:space="preserve">&lt;lb </w:t>
            </w:r>
            <w:r>
              <w:rPr>
                <w:rStyle w:val="Codeattribute"/>
              </w:rPr>
              <w:t>n</w:t>
            </w:r>
            <w:r>
              <w:rPr>
                <w:rStyle w:val="Code"/>
              </w:rPr>
              <w:t>=</w:t>
            </w:r>
            <w:r>
              <w:rPr>
                <w:rStyle w:val="Codevalue"/>
              </w:rPr>
              <w:t>"7"</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a shiny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yellow brass knob in the exact middle.</w:t>
            </w:r>
            <w:r>
              <w:rPr>
                <w:rStyle w:val="Codetext"/>
              </w:rPr>
              <w:br/>
              <w:t xml:space="preserve">  </w:t>
            </w:r>
            <w:r>
              <w:rPr>
                <w:rStyle w:val="Code"/>
              </w:rPr>
              <w:t xml:space="preserve">&lt;lb </w:t>
            </w:r>
            <w:r>
              <w:rPr>
                <w:rStyle w:val="Codeattribute"/>
              </w:rPr>
              <w:t>n</w:t>
            </w:r>
            <w:r>
              <w:rPr>
                <w:rStyle w:val="Code"/>
              </w:rPr>
              <w:t>=</w:t>
            </w:r>
            <w:r>
              <w:rPr>
                <w:rStyle w:val="Codevalue"/>
              </w:rPr>
              <w:t>"8"</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The door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opened on to a tube-shaped hall like a</w:t>
            </w:r>
            <w:r>
              <w:rPr>
                <w:rStyle w:val="Codetext"/>
              </w:rPr>
              <w:br/>
              <w:t xml:space="preserve">  </w:t>
            </w:r>
            <w:r>
              <w:rPr>
                <w:rStyle w:val="Code"/>
              </w:rPr>
              <w:t xml:space="preserve">&lt;lb </w:t>
            </w:r>
            <w:r>
              <w:rPr>
                <w:rStyle w:val="Codeattribute"/>
              </w:rPr>
              <w:t>n</w:t>
            </w:r>
            <w:r>
              <w:rPr>
                <w:rStyle w:val="Code"/>
              </w:rPr>
              <w:t>=</w:t>
            </w:r>
            <w:r>
              <w:rPr>
                <w:rStyle w:val="Codevalue"/>
              </w:rPr>
              <w:t>"9"</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tunne</w:t>
            </w:r>
            <w:r>
              <w:rPr>
                <w:rStyle w:val="Code"/>
              </w:rPr>
              <w:t>&lt;unclear&gt;</w:t>
            </w:r>
            <w:r>
              <w:rPr>
                <w:rStyle w:val="Codetext"/>
              </w:rPr>
              <w:t>l</w:t>
            </w:r>
            <w:r>
              <w:rPr>
                <w:rStyle w:val="Code"/>
              </w:rPr>
              <w:t xml:space="preserve">&lt;/unclear&gt;&lt;supplied </w:t>
            </w:r>
            <w:r>
              <w:rPr>
                <w:rStyle w:val="Codeattribute"/>
              </w:rPr>
              <w:t>reason</w:t>
            </w:r>
            <w:r>
              <w:rPr>
                <w:rStyle w:val="Code"/>
              </w:rPr>
              <w:t>=</w:t>
            </w:r>
            <w:r>
              <w:rPr>
                <w:rStyle w:val="Codevalue"/>
              </w:rPr>
              <w:t>"lost"</w:t>
            </w:r>
            <w:r>
              <w:rPr>
                <w:rStyle w:val="Code"/>
              </w:rPr>
              <w:t xml:space="preserve"> </w:t>
            </w:r>
            <w:r>
              <w:rPr>
                <w:rStyle w:val="Codeattribute"/>
              </w:rPr>
              <w:t>cert</w:t>
            </w:r>
            <w:r>
              <w:rPr>
                <w:rStyle w:val="Code"/>
              </w:rPr>
              <w:t>=</w:t>
            </w:r>
            <w:r>
              <w:rPr>
                <w:rStyle w:val="Codevalue"/>
              </w:rPr>
              <w:t>"low"</w:t>
            </w:r>
            <w:r>
              <w:rPr>
                <w:rStyle w:val="Code"/>
              </w:rPr>
              <w:t>&gt;</w:t>
            </w:r>
            <w:r>
              <w:rPr>
                <w:rStyle w:val="Codetext"/>
              </w:rPr>
              <w:t>:</w:t>
            </w:r>
            <w:r>
              <w:rPr>
                <w:rStyle w:val="Code"/>
              </w:rPr>
              <w:t>&lt;/supplied&gt;</w:t>
            </w:r>
            <w:r>
              <w:rPr>
                <w:rStyle w:val="Codetext"/>
              </w:rPr>
              <w:t xml:space="preserve">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a very comfortable tunnel without smoke.</w:t>
            </w:r>
            <w:r>
              <w:rPr>
                <w:rStyle w:val="Codetext"/>
              </w:rPr>
              <w:br/>
            </w:r>
            <w:r>
              <w:rPr>
                <w:rStyle w:val="Code"/>
              </w:rPr>
              <w:t>&lt;/p&gt;</w:t>
            </w:r>
          </w:p>
        </w:tc>
      </w:tr>
    </w:tbl>
    <w:p w14:paraId="73ED592D" w14:textId="77777777">
      <w:pPr>
        <w:pStyle w:val="Cmsor4"/>
      </w:pPr>
      <w:bookmarkStart w:id="368" w:name="_Ref182836682"/>
      <w:bookmarkEnd w:id="359"/>
      <w:r>
        <w:t>Features splitting an inscription horizontally</w:t>
      </w:r>
      <w:bookmarkEnd w:id="368"/>
    </w:p>
    <w:p w14:paraId="7382F6B3" w14:textId="09F8AFF7">
      <w:r>
        <w:t xml:space="preserve">A fracture or other three-dimensional feature of the support may split an inscription horizontally, i.e. along the lines of the text, as in </w:t>
      </w:r>
      <w:r>
        <w:fldChar w:fldCharType="begin"/>
      </w:r>
      <w:r>
        <w:instrText xml:space="preserve"> REF _Ref182822467 \h </w:instrText>
      </w:r>
      <w:r>
        <w:fldChar w:fldCharType="separate"/>
      </w:r>
      <w:r>
        <w:t xml:space="preserve">Exhibit </w:t>
      </w:r>
      <w:r>
        <w:rPr>
          <w:noProof/>
        </w:rPr>
        <w:t>4.7</w:t>
      </w:r>
      <w:r>
        <w:t>.</w:t>
      </w:r>
      <w:r>
        <w:rPr>
          <w:noProof/>
        </w:rPr>
        <w:t>X</w:t>
      </w:r>
      <w:r>
        <w:fldChar w:fldCharType="end"/>
      </w:r>
      <w:r>
        <w:t>. Encoding such a feature is optional, and the considerations in §</w:t>
      </w:r>
      <w:r>
        <w:fldChar w:fldCharType="begin"/>
      </w:r>
      <w:r>
        <w:instrText xml:space="preserve"> REF _Ref182322267 \r \h </w:instrText>
      </w:r>
      <w:r>
        <w:fldChar w:fldCharType="separate"/>
      </w:r>
      <w:r>
        <w:t>4.7.5</w:t>
      </w:r>
      <w:r>
        <w:fldChar w:fldCharType="end"/>
      </w:r>
      <w:r>
        <w:t xml:space="preserve"> continue to apply. However, encoding it as a gridlike partition would not be practicable, since each cell of a grid is understood to be part of a line (§</w:t>
      </w:r>
      <w:r>
        <w:fldChar w:fldCharType="begin"/>
      </w:r>
      <w:r>
        <w:instrText xml:space="preserve"> REF _Ref182923075 \r \h </w:instrText>
      </w:r>
      <w:r>
        <w:fldChar w:fldCharType="separate"/>
      </w:r>
      <w:r>
        <w:t>4.1</w:t>
      </w:r>
      <w:r>
        <w:fldChar w:fldCharType="end"/>
      </w:r>
      <w:r>
        <w:t>), while here the partition is on a higher level of the extrinsic hierarchy, with full lines belonging to each fragment. Therefore, if encoding is desired, such a feature is to be treated as a pagelike partition.</w:t>
      </w:r>
    </w:p>
    <w:p w14:paraId="023F2BD7" w14:textId="5AD6EF87">
      <w:pPr>
        <w:pStyle w:val="Lista"/>
      </w:pPr>
      <w:r>
        <w:t>if a fracture or other feature splits an epigraphic line horizontally or nearly horizontally, so that there are parts of that line’s text on both sides of the feature, then assign the entire line arbitrarily to one side of the feature or the other (see also §</w:t>
      </w:r>
      <w:r>
        <w:fldChar w:fldCharType="begin"/>
      </w:r>
      <w:r>
        <w:instrText xml:space="preserve"> REF _Ref182813737 \r \h </w:instrText>
      </w:r>
      <w:r>
        <w:fldChar w:fldCharType="separate"/>
      </w:r>
      <w:r>
        <w:t>4.7.6.1</w:t>
      </w:r>
      <w:r>
        <w:fldChar w:fldCharType="end"/>
      </w:r>
      <w:r>
        <w:t>)</w:t>
      </w:r>
    </w:p>
    <w:p w14:paraId="4C817F7E" w14:textId="77777777">
      <w:pPr>
        <w:pStyle w:val="Lista"/>
      </w:pPr>
      <w:r>
        <w:lastRenderedPageBreak/>
        <w:t>even if a small number of characters in the affected line are wholly on one side of the feature, you are free to choose this encoding in preference to using numerous gridlike milestones in that line</w:t>
      </w:r>
    </w:p>
    <w:tbl>
      <w:tblPr>
        <w:tblStyle w:val="CodeSampleTable"/>
        <w:tblW w:w="5000" w:type="pct"/>
        <w:tblLook w:val="04A0" w:firstRow="1" w:lastRow="0" w:firstColumn="1" w:lastColumn="0" w:noHBand="0" w:noVBand="1"/>
      </w:tblPr>
      <w:tblGrid>
        <w:gridCol w:w="9628"/>
      </w:tblGrid>
      <w:tr w14:paraId="18503C0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F04DAF2" w14:textId="0DF2BBF9">
            <w:pPr>
              <w:pStyle w:val="Kpalrs"/>
              <w:keepLines/>
            </w:pPr>
            <w:bookmarkStart w:id="369" w:name="_Ref182822467"/>
            <w:r>
              <w:t xml:space="preserve">Exhibit </w:t>
            </w:r>
            <w:fldSimple w:instr=" STYLEREF 2 \s ">
              <w:r>
                <w:rPr>
                  <w:noProof/>
                </w:rPr>
                <w:t>4.7</w:t>
              </w:r>
            </w:fldSimple>
            <w:r>
              <w:t>.</w:t>
            </w:r>
            <w:fldSimple w:instr=" SEQ Exhibit \* ALPHABETIC \s 2 ">
              <w:r>
                <w:rPr>
                  <w:noProof/>
                </w:rPr>
                <w:t>X</w:t>
              </w:r>
            </w:fldSimple>
            <w:bookmarkEnd w:id="369"/>
            <w:r>
              <w:t>: pagelike partition for a horizontal fracture</w:t>
            </w:r>
          </w:p>
        </w:tc>
      </w:tr>
      <w:tr w14:paraId="336CDF2A" w14:textId="77777777">
        <w:tc>
          <w:tcPr>
            <w:tcW w:w="5000" w:type="pct"/>
          </w:tcPr>
          <w:p w14:paraId="591C72CC" w14:textId="77777777">
            <w:pPr>
              <w:pStyle w:val="Image"/>
              <w:keepLines/>
            </w:pPr>
            <w:r>
              <w:drawing>
                <wp:inline distT="0" distB="0" distL="0" distR="0" wp14:anchorId="22E25F49" wp14:editId="2D9802A7">
                  <wp:extent cx="5397500" cy="1480820"/>
                  <wp:effectExtent l="0" t="0" r="0" b="508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14:paraId="20381D16" w14:textId="77777777">
        <w:tc>
          <w:tcPr>
            <w:tcW w:w="5000" w:type="pct"/>
          </w:tcPr>
          <w:p w14:paraId="72BA2D0A" w14:textId="77777777">
            <w:pPr>
              <w:pStyle w:val="CodeParagraph"/>
              <w:keepNext/>
              <w:rPr>
                <w:rStyle w:val="Code"/>
              </w:rPr>
            </w:pPr>
            <w:r>
              <w:rPr>
                <w:rStyle w:val="Code"/>
              </w:rPr>
              <w:t>&lt;p&gt;</w:t>
            </w:r>
          </w:p>
          <w:p w14:paraId="6B5ED037" w14:textId="77777777">
            <w:pPr>
              <w:pStyle w:val="CodeParagraph"/>
              <w:keepNext/>
              <w:rPr>
                <w:rStyle w:val="Code"/>
              </w:rPr>
            </w:pP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p>
          <w:p w14:paraId="2F66CA4A" w14:textId="77777777">
            <w:pPr>
              <w:pStyle w:val="CodeParagraph"/>
              <w:keepNext/>
              <w:rPr>
                <w:rStyle w:val="Code"/>
              </w:rPr>
            </w:pPr>
            <w:r>
              <w:rPr>
                <w:rStyle w:val="Code"/>
              </w:rPr>
              <w:t xml:space="preserve">  &lt;lb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r>
            <w:r>
              <w:rPr>
                <w:rStyle w:val="Code"/>
              </w:rPr>
              <w:t xml:space="preserve">  &lt;lb </w:t>
            </w:r>
            <w:r>
              <w:rPr>
                <w:rStyle w:val="Codeattribute"/>
              </w:rPr>
              <w:t>n</w:t>
            </w:r>
            <w:r>
              <w:rPr>
                <w:rStyle w:val="Code"/>
              </w:rPr>
              <w:t>=</w:t>
            </w:r>
            <w:r>
              <w:rPr>
                <w:rStyle w:val="Codevalue"/>
              </w:rPr>
              <w:t>"3"</w:t>
            </w:r>
            <w:r>
              <w:rPr>
                <w:rStyle w:val="Code"/>
              </w:rPr>
              <w:t>/&gt;</w:t>
            </w:r>
            <w:r>
              <w:rPr>
                <w:rStyle w:val="Codetext"/>
              </w:rPr>
              <w:t>and an oozy smell, nor yet a dry, bare, sandy hole</w:t>
            </w:r>
            <w:r>
              <w:rPr>
                <w:rStyle w:val="Codetext"/>
              </w:rPr>
              <w:br/>
            </w: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p>
          <w:p w14:paraId="156B398D"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"4"</w:t>
            </w:r>
            <w:r>
              <w:rPr>
                <w:rStyle w:val="Code"/>
              </w:rPr>
              <w:t>/&gt;</w:t>
            </w:r>
            <w:r>
              <w:rPr>
                <w:rStyle w:val="Codetext"/>
              </w:rPr>
              <w:t>with not</w:t>
            </w:r>
            <w:r>
              <w:rPr>
                <w:rStyle w:val="Code"/>
              </w:rPr>
              <w:t>h</w:t>
            </w:r>
            <w:r>
              <w:rPr>
                <w:rStyle w:val="Codetext"/>
              </w:rPr>
              <w:t>ing in it to sit down on or to eat: it was a</w:t>
            </w:r>
          </w:p>
          <w:p w14:paraId="4D8B8055"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"5"</w:t>
            </w:r>
            <w:r>
              <w:rPr>
                <w:rStyle w:val="Code"/>
              </w:rPr>
              <w:t>/&gt;</w:t>
            </w:r>
            <w:r>
              <w:rPr>
                <w:rStyle w:val="Codetext"/>
              </w:rPr>
              <w:t xml:space="preserve">hobbit-hole, </w:t>
            </w:r>
            <w:r>
              <w:rPr>
                <w:rStyle w:val="Code"/>
              </w:rPr>
              <w:t>a&lt;</w:t>
            </w:r>
            <w:r>
              <w:rPr>
                <w:rStyle w:val="Codetext"/>
              </w:rPr>
              <w:t>nd that means comfort.</w:t>
            </w:r>
          </w:p>
          <w:p w14:paraId="7BC719DD" w14:textId="77777777">
            <w:pPr>
              <w:pStyle w:val="CodeParagraph"/>
              <w:rPr>
                <w:rStyle w:val="Code"/>
              </w:rPr>
            </w:pPr>
            <w:r>
              <w:rPr>
                <w:rStyle w:val="Code"/>
              </w:rPr>
              <w:t>&lt;/p&gt;</w:t>
            </w:r>
          </w:p>
        </w:tc>
      </w:tr>
    </w:tbl>
    <w:p w14:paraId="23C09AC1" w14:textId="77777777">
      <w:pPr>
        <w:pStyle w:val="Cmsor1"/>
      </w:pPr>
      <w:bookmarkStart w:id="370" w:name="_Ref232171176"/>
      <w:bookmarkStart w:id="371" w:name="_Toc242889486"/>
      <w:r>
        <w:lastRenderedPageBreak/>
        <w:t>The received text</w:t>
      </w:r>
      <w:bookmarkEnd w:id="303"/>
      <w:bookmarkEnd w:id="370"/>
      <w:bookmarkEnd w:id="371"/>
    </w:p>
    <w:p w14:paraId="2EFD95B6" w14:textId="77777777">
      <w:pPr>
        <w:pStyle w:val="Cmsor2"/>
      </w:pPr>
      <w:bookmarkStart w:id="372" w:name="_2wkl86mjw6p2" w:colFirst="0" w:colLast="0"/>
      <w:bookmarkStart w:id="373" w:name="_Ref242695968"/>
      <w:bookmarkStart w:id="374" w:name="_Toc242889487"/>
      <w:bookmarkEnd w:id="372"/>
      <w:r>
        <w:t>Terminology for the analysis of writing</w:t>
      </w:r>
      <w:bookmarkEnd w:id="373"/>
      <w:bookmarkEnd w:id="374"/>
    </w:p>
    <w:p w14:paraId="5165386A" w14:textId="1B779EAB">
      <w:pPr>
        <w:rPr>
          <w:lang w:eastAsia="en-US" w:bidi="ar-SA"/>
        </w:rPr>
      </w:pPr>
      <w:r>
        <w:rPr>
          <w:lang w:eastAsia="en-US" w:bidi="ar-SA"/>
        </w:rPr>
        <w:t>The grapholinguistic terms used in this section are defined and elaborated in the Transliteration Guide (</w:t>
      </w:r>
      <w:r>
        <w:t>TG §1.6</w:t>
      </w:r>
      <w:r>
        <w:rPr>
          <w:lang w:eastAsia="en-US" w:bidi="ar-SA"/>
        </w:rPr>
        <w:t>). For quick reference:</w:t>
      </w:r>
    </w:p>
    <w:p w14:paraId="3332176C" w14:textId="77777777">
      <w:pPr>
        <w:pStyle w:val="Lista"/>
      </w:pPr>
      <w:r>
        <w:rPr>
          <w:b/>
          <w:bCs/>
        </w:rPr>
        <w:t>graphemes</w:t>
      </w:r>
      <w:r>
        <w:t xml:space="preserve"> are a finite set of signs belonging to a writing system, comprised of a signifier that is a graphic feature and a signified that is a minimal unit of abstract linguistic information pertinent to analytic interest</w:t>
      </w:r>
    </w:p>
    <w:p w14:paraId="23B946B4" w14:textId="77777777">
      <w:pPr>
        <w:pStyle w:val="Lista"/>
      </w:pPr>
      <w:r>
        <w:rPr>
          <w:b/>
          <w:bCs/>
        </w:rPr>
        <w:t>graphs</w:t>
      </w:r>
      <w:r>
        <w:t xml:space="preserve"> are an infinite set of graphic signs belonging to a script, which are the concrete graphic instantiations of graphemes, such as |A|, |</w:t>
      </w:r>
      <w:r>
        <w:rPr>
          <w:rFonts w:ascii="Old English Text MT" w:hAnsi="Old English Text MT"/>
        </w:rPr>
        <w:t>A</w:t>
      </w:r>
      <w:r>
        <w:t>|, |</w:t>
      </w:r>
      <w:r>
        <w:rPr>
          <w:rStyle w:val="ForeignDevanagariScript0"/>
          <w:rFonts w:hint="cs"/>
          <w:cs/>
        </w:rPr>
        <w:t>अ</w:t>
      </w:r>
      <w:r>
        <w:t>|, |</w:t>
      </w:r>
      <w:r>
        <w:rPr>
          <w:rStyle w:val="ForeignDevanagariAlt"/>
          <w:cs/>
        </w:rPr>
        <w:t>अ</w:t>
      </w:r>
      <w:r>
        <w:t>|</w:t>
      </w:r>
    </w:p>
    <w:p w14:paraId="15DA3146" w14:textId="77777777">
      <w:pPr>
        <w:pStyle w:val="Lista"/>
      </w:pPr>
      <w:r>
        <w:rPr>
          <w:b/>
          <w:bCs/>
        </w:rPr>
        <w:t>graphotactics</w:t>
      </w:r>
      <w:r>
        <w:t xml:space="preserve"> is </w:t>
      </w:r>
      <w:r>
        <w:rPr>
          <w:noProof/>
        </w:rPr>
        <w:t>(</w:t>
      </w:r>
      <w:r>
        <w:t>the study of) the ways in which graphemes and graphs combine into sequences</w:t>
      </w:r>
    </w:p>
    <w:p w14:paraId="6EA101A6" w14:textId="77777777">
      <w:pPr>
        <w:pStyle w:val="Lista"/>
      </w:pPr>
      <w:r>
        <w:rPr>
          <w:b/>
          <w:bCs/>
        </w:rPr>
        <w:t>allographs</w:t>
      </w:r>
      <w:r>
        <w:t xml:space="preserve"> are graphs which instantiate the same grapheme</w:t>
      </w:r>
    </w:p>
    <w:p w14:paraId="31C9387D" w14:textId="77777777">
      <w:pPr>
        <w:pStyle w:val="Lista2"/>
      </w:pPr>
      <w:r>
        <w:rPr>
          <w:b/>
          <w:bCs/>
        </w:rPr>
        <w:t>graphetic allographs</w:t>
      </w:r>
      <w:r>
        <w:t xml:space="preserve"> are allographs which do not signify any linguistic information other than that contained in the grapheme, such as Devanagari |</w:t>
      </w:r>
      <w:r>
        <w:rPr>
          <w:rStyle w:val="ForeignDevanagariScript0"/>
          <w:cs/>
        </w:rPr>
        <w:t>अ</w:t>
      </w:r>
      <w:r>
        <w:t>|, |</w:t>
      </w:r>
      <w:r>
        <w:rPr>
          <w:rStyle w:val="ForeignDevanagariAlt"/>
          <w:rFonts w:asciiTheme="majorBidi" w:hAnsiTheme="majorBidi" w:cstheme="majorBidi"/>
          <w:cs/>
        </w:rPr>
        <w:t>अ</w:t>
      </w:r>
      <w:r>
        <w:t>| and |</w:t>
      </w:r>
      <w:r>
        <w:rPr>
          <w:rStyle w:val="ForeignDevanagariAlt"/>
          <w:cs/>
        </w:rPr>
        <w:t>अ</w:t>
      </w:r>
      <w:r>
        <w:t>|</w:t>
      </w:r>
    </w:p>
    <w:p w14:paraId="0F88DE91" w14:textId="77777777">
      <w:pPr>
        <w:pStyle w:val="Lista2"/>
      </w:pPr>
      <w:r>
        <w:rPr>
          <w:b/>
          <w:bCs/>
        </w:rPr>
        <w:t>graphotactic allographs</w:t>
      </w:r>
      <w:r>
        <w:t xml:space="preserve"> are allographs of which only one is permitted in a given graphotactic context </w:t>
      </w:r>
      <w:r>
        <w:rPr>
          <w:noProof/>
        </w:rPr>
        <w:t>(</w:t>
      </w:r>
      <w:r>
        <w:t xml:space="preserve">in a given sequence of graphemes), such as the graphs corresponding to the grapheme </w:t>
      </w:r>
      <w:r>
        <w:rPr>
          <w:rStyle w:val="ForeignIndic"/>
        </w:rPr>
        <w:t>&lt;r&gt;</w:t>
      </w:r>
      <w:r>
        <w:t xml:space="preserve"> in Devanagari </w:t>
      </w:r>
      <w:r>
        <w:rPr>
          <w:noProof/>
          <w:lang w:bidi="sa-IN"/>
        </w:rPr>
        <w:t>|</w:t>
      </w:r>
      <w:r>
        <w:rPr>
          <w:rStyle w:val="ForeignDevanagariScript0"/>
          <w:rFonts w:hint="cs"/>
          <w:cs/>
        </w:rPr>
        <w:t>र्क</w:t>
      </w:r>
      <w:r>
        <w:rPr>
          <w:noProof/>
          <w:lang w:bidi="sa-IN"/>
        </w:rPr>
        <w:t>|</w:t>
      </w:r>
      <w:r>
        <w:rPr>
          <w:rStyle w:val="ForeignIndic"/>
        </w:rPr>
        <w:t>=</w:t>
      </w:r>
      <w:r>
        <w:rPr>
          <w:noProof/>
          <w:lang w:bidi="sa-IN"/>
        </w:rPr>
        <w:t>|rka|</w:t>
      </w:r>
      <w:r>
        <w:rPr>
          <w:lang w:bidi="sa-IN"/>
        </w:rPr>
        <w:t xml:space="preserve"> and </w:t>
      </w:r>
      <w:r>
        <w:rPr>
          <w:noProof/>
          <w:lang w:bidi="sa-IN"/>
        </w:rPr>
        <w:t>|</w:t>
      </w:r>
      <w:r>
        <w:rPr>
          <w:rStyle w:val="ForeignDevanagariScript0"/>
          <w:rFonts w:hint="cs"/>
          <w:cs/>
        </w:rPr>
        <w:t>क्र</w:t>
      </w:r>
      <w:r>
        <w:rPr>
          <w:noProof/>
          <w:lang w:bidi="sa-IN"/>
        </w:rPr>
        <w:t>|</w:t>
      </w:r>
      <w:r>
        <w:rPr>
          <w:rStyle w:val="ForeignIndic"/>
        </w:rPr>
        <w:t>=|kra|</w:t>
      </w:r>
    </w:p>
    <w:p w14:paraId="10CF1B46" w14:textId="77777777">
      <w:pPr>
        <w:pStyle w:val="Lista2"/>
      </w:pPr>
      <w:r>
        <w:rPr>
          <w:b/>
          <w:bCs/>
        </w:rPr>
        <w:t>graphemic allographs</w:t>
      </w:r>
      <w:r>
        <w:t xml:space="preserve"> are allographs which potentially signify linguistic information in addition to, and at a different level than, that inherent in the grapheme, such as Devanagari |</w:t>
      </w:r>
      <w:r>
        <w:rPr>
          <w:rStyle w:val="ForeignDevanagariScript0"/>
          <w:cs/>
        </w:rPr>
        <w:t>उ</w:t>
      </w:r>
      <w:r>
        <w:t>| | versus |</w:t>
      </w:r>
      <w:r>
        <w:rPr>
          <w:rStyle w:val="ForeignDevanagariScript0"/>
          <w:rFonts w:hint="cs"/>
          <w:cs/>
        </w:rPr>
        <w:t>ु</w:t>
      </w:r>
      <w:r>
        <w:t>|</w:t>
      </w:r>
    </w:p>
    <w:p w14:paraId="7456018D" w14:textId="77777777">
      <w:pPr>
        <w:pStyle w:val="Lista"/>
      </w:pPr>
      <w:r>
        <w:rPr>
          <w:b/>
          <w:bCs/>
        </w:rPr>
        <w:t>homographs</w:t>
      </w:r>
      <w:r>
        <w:t xml:space="preserve"> are identical or nearly identical graphs which instantiate different graphemes</w:t>
      </w:r>
    </w:p>
    <w:p w14:paraId="2286761C" w14:textId="77777777">
      <w:pPr>
        <w:pStyle w:val="Lista"/>
      </w:pPr>
      <w:r>
        <w:t xml:space="preserve">a </w:t>
      </w:r>
      <w:r>
        <w:rPr>
          <w:b/>
          <w:bCs/>
        </w:rPr>
        <w:t>character</w:t>
      </w:r>
      <w:r>
        <w:t xml:space="preserve"> is the minimal graphetically autonomous unit of a writing system, for example, </w:t>
      </w:r>
      <w:r>
        <w:rPr>
          <w:rStyle w:val="ForeignIndic"/>
        </w:rPr>
        <w:t>&lt;A&gt;</w:t>
      </w:r>
      <w:r>
        <w:t xml:space="preserve">, </w:t>
      </w:r>
      <w:r>
        <w:rPr>
          <w:rStyle w:val="ForeignIndic"/>
        </w:rPr>
        <w:t>&lt;T&gt;</w:t>
      </w:r>
      <w:r>
        <w:t xml:space="preserve">, </w:t>
      </w:r>
      <w:r>
        <w:rPr>
          <w:rStyle w:val="ForeignIndic"/>
        </w:rPr>
        <w:t>&lt;t·&gt;</w:t>
      </w:r>
      <w:r>
        <w:t xml:space="preserve">, </w:t>
      </w:r>
      <w:r>
        <w:rPr>
          <w:rStyle w:val="ForeignIndic"/>
        </w:rPr>
        <w:t>&lt;ka&gt;</w:t>
      </w:r>
      <w:r>
        <w:t xml:space="preserve"> and </w:t>
      </w:r>
      <w:r>
        <w:rPr>
          <w:rStyle w:val="ForeignIndic"/>
        </w:rPr>
        <w:t>&lt;rtsnyai&gt;</w:t>
      </w:r>
      <w:r>
        <w:t xml:space="preserve"> are characters of the Indic writing system</w:t>
      </w:r>
    </w:p>
    <w:p w14:paraId="1B6DDBA1" w14:textId="77777777">
      <w:pPr>
        <w:pStyle w:val="Lista"/>
      </w:pPr>
      <w:r>
        <w:t xml:space="preserve">a </w:t>
      </w:r>
      <w:r>
        <w:rPr>
          <w:b/>
          <w:bCs/>
        </w:rPr>
        <w:t>glyph</w:t>
      </w:r>
      <w:r>
        <w:t xml:space="preserve"> is the concrete manifestation of a character, for example, |</w:t>
      </w:r>
      <w:r>
        <w:rPr>
          <w:rStyle w:val="ForeignDevanagariScript0"/>
          <w:rFonts w:hint="cs"/>
          <w:cs/>
        </w:rPr>
        <w:t>अ</w:t>
      </w:r>
      <w:r>
        <w:t>|, |</w:t>
      </w:r>
      <w:r>
        <w:rPr>
          <w:rStyle w:val="ForeignDevanagariScript0"/>
          <w:rFonts w:hint="cs"/>
          <w:cs/>
        </w:rPr>
        <w:t>त्</w:t>
      </w:r>
      <w:r>
        <w:t>|, |</w:t>
      </w:r>
      <w:r>
        <w:rPr>
          <w:rStyle w:val="ForeignDevanagariScript0"/>
          <w:rFonts w:hint="cs"/>
          <w:cs/>
        </w:rPr>
        <w:t>क</w:t>
      </w:r>
      <w:r>
        <w:t>| and |</w:t>
      </w:r>
      <w:r>
        <w:rPr>
          <w:rStyle w:val="ForeignDevanagariScript0"/>
          <w:rFonts w:hint="cs"/>
          <w:cs/>
        </w:rPr>
        <w:t>र्त्स्न्यै</w:t>
      </w:r>
      <w:r>
        <w:t>| are glyphs of the Devanagari script</w:t>
      </w:r>
    </w:p>
    <w:p w14:paraId="608F5F97" w14:textId="77777777">
      <w:pPr>
        <w:pStyle w:val="Lista"/>
      </w:pPr>
      <w:r>
        <w:t xml:space="preserve">the term </w:t>
      </w:r>
      <w:r>
        <w:rPr>
          <w:rStyle w:val="Foreign"/>
          <w:b/>
          <w:bCs/>
        </w:rPr>
        <w:t>akṣara</w:t>
      </w:r>
      <w:r>
        <w:t xml:space="preserve"> can refer to either the characters or the glyphs of an aksharic writing system</w:t>
      </w:r>
    </w:p>
    <w:p w14:paraId="77531538" w14:textId="77777777">
      <w:pPr>
        <w:pStyle w:val="Lista"/>
      </w:pPr>
      <w:r>
        <w:t xml:space="preserve">a </w:t>
      </w:r>
      <w:r>
        <w:rPr>
          <w:b/>
          <w:bCs/>
        </w:rPr>
        <w:t>component</w:t>
      </w:r>
      <w:r>
        <w:t xml:space="preserve"> is a visually discernible graph in a complex glyph, such as the graphs </w:t>
      </w:r>
      <w:r>
        <w:rPr>
          <w:noProof/>
        </w:rPr>
        <w:t>|t|</w:t>
      </w:r>
      <w:r>
        <w:t xml:space="preserve"> and </w:t>
      </w:r>
      <w:r>
        <w:rPr>
          <w:noProof/>
        </w:rPr>
        <w:t>|e|</w:t>
      </w:r>
      <w:r>
        <w:t xml:space="preserve"> in |</w:t>
      </w:r>
      <w:r>
        <w:rPr>
          <w:rStyle w:val="ForeignDevanagariScript0"/>
          <w:rFonts w:hint="cs"/>
          <w:cs/>
        </w:rPr>
        <w:t>ते</w:t>
      </w:r>
      <w:r>
        <w:t>|</w:t>
      </w:r>
    </w:p>
    <w:p w14:paraId="4961FEBA" w14:textId="77777777">
      <w:pPr>
        <w:pStyle w:val="Lista2"/>
      </w:pPr>
      <w:r>
        <w:t xml:space="preserve">a </w:t>
      </w:r>
      <w:r>
        <w:rPr>
          <w:b/>
          <w:bCs/>
        </w:rPr>
        <w:t>marker</w:t>
      </w:r>
      <w:r>
        <w:t xml:space="preserve"> is a graph which can only manifest as a component, and never as an independent glyph, such as the </w:t>
      </w:r>
      <w:r>
        <w:rPr>
          <w:noProof/>
        </w:rPr>
        <w:t>|e|</w:t>
      </w:r>
      <w:r>
        <w:t xml:space="preserve"> in |</w:t>
      </w:r>
      <w:r>
        <w:rPr>
          <w:rStyle w:val="ForeignDevanagariScript0"/>
          <w:rFonts w:hint="cs"/>
          <w:cs/>
        </w:rPr>
        <w:t>ते</w:t>
      </w:r>
      <w:r>
        <w:t>|</w:t>
      </w:r>
    </w:p>
    <w:p w14:paraId="4F76094D" w14:textId="77777777">
      <w:pPr>
        <w:pStyle w:val="Lista"/>
      </w:pPr>
      <w:r>
        <w:t xml:space="preserve">a </w:t>
      </w:r>
      <w:r>
        <w:rPr>
          <w:noProof/>
        </w:rPr>
        <w:t>(</w:t>
      </w:r>
      <w:r>
        <w:t xml:space="preserve">graphic) </w:t>
      </w:r>
      <w:r>
        <w:rPr>
          <w:b/>
          <w:bCs/>
        </w:rPr>
        <w:t>element</w:t>
      </w:r>
      <w:r>
        <w:t xml:space="preserve"> is any salient part of a graph or glyph that is not itself a graph, i.e. which has no graphemic signification of its own</w:t>
      </w:r>
    </w:p>
    <w:p w14:paraId="7E4F9FBE" w14:textId="77777777">
      <w:pPr>
        <w:pStyle w:val="Lista2"/>
      </w:pPr>
      <w:r>
        <w:t xml:space="preserve">a </w:t>
      </w:r>
      <w:r>
        <w:rPr>
          <w:b/>
          <w:bCs/>
        </w:rPr>
        <w:t>stroke</w:t>
      </w:r>
      <w:r>
        <w:t xml:space="preserve"> is a graphic element which can be written as a single stroke of the writing instrument</w:t>
      </w:r>
    </w:p>
    <w:p w14:paraId="4FB034E2" w14:textId="77777777">
      <w:pPr>
        <w:pStyle w:val="Lista"/>
      </w:pPr>
      <w:r>
        <w:rPr>
          <w:b/>
          <w:bCs/>
        </w:rPr>
        <w:t>core graphemes</w:t>
      </w:r>
      <w:r>
        <w:t xml:space="preserve"> are those to which we dedicate a unique transliteration equivalent, and this identifies the grapheme precisely enough for our purposes</w:t>
      </w:r>
    </w:p>
    <w:p w14:paraId="35E99B7E" w14:textId="77777777">
      <w:pPr>
        <w:pStyle w:val="Lista2"/>
      </w:pPr>
      <w:r>
        <w:t xml:space="preserve">our core graphemes are the Indic writing system’s phonographic graphemes </w:t>
      </w:r>
      <w:r>
        <w:rPr>
          <w:noProof/>
        </w:rPr>
        <w:t>(</w:t>
      </w:r>
      <w:r>
        <w:t xml:space="preserve">including the inherent vowel and the </w:t>
      </w:r>
      <w:r>
        <w:rPr>
          <w:rStyle w:val="Foreign"/>
        </w:rPr>
        <w:t>virāma</w:t>
      </w:r>
      <w:r>
        <w:t xml:space="preserve">) and its numeral signs, along with a small number of miscellaneous graphemes such as the </w:t>
      </w:r>
      <w:r>
        <w:rPr>
          <w:rStyle w:val="Foreign"/>
        </w:rPr>
        <w:t>avagraha</w:t>
      </w:r>
      <w:r>
        <w:t xml:space="preserve"> and the abbreviation mark</w:t>
      </w:r>
    </w:p>
    <w:p w14:paraId="5DFEFEFF" w14:textId="77777777">
      <w:pPr>
        <w:pStyle w:val="Lista"/>
        <w:rPr>
          <w:b/>
          <w:bCs/>
        </w:rPr>
      </w:pPr>
      <w:r>
        <w:rPr>
          <w:b/>
          <w:bCs/>
        </w:rPr>
        <w:t>peripheral graphemes</w:t>
      </w:r>
      <w:r>
        <w:t xml:space="preserve">, also called simply </w:t>
      </w:r>
      <w:r>
        <w:rPr>
          <w:b/>
          <w:bCs/>
        </w:rPr>
        <w:t>symbols</w:t>
      </w:r>
      <w:r>
        <w:t>, are those which we transliterate by means of a placeholder, which identifies the grapheme in a vague manner, while more precise identification may be added through encoding</w:t>
      </w:r>
    </w:p>
    <w:p w14:paraId="1A896EC1" w14:textId="77777777">
      <w:pPr>
        <w:pStyle w:val="Lista2"/>
      </w:pPr>
      <w:r>
        <w:t xml:space="preserve">our peripheral graphemes include the Indic writing system’s non-numeral ideograms, its marks other than the </w:t>
      </w:r>
      <w:r>
        <w:rPr>
          <w:rStyle w:val="Foreign"/>
        </w:rPr>
        <w:t>avagraha</w:t>
      </w:r>
      <w:r>
        <w:t xml:space="preserve"> and the abbreviation mark, and its abstract symbols</w:t>
      </w:r>
    </w:p>
    <w:p w14:paraId="256AAE18" w14:textId="77777777">
      <w:pPr>
        <w:pStyle w:val="Cmsor2"/>
      </w:pPr>
      <w:bookmarkStart w:id="375" w:name="_Toc242889488"/>
      <w:r>
        <w:t>Phonographic graphemes</w:t>
      </w:r>
      <w:bookmarkEnd w:id="375"/>
    </w:p>
    <w:p w14:paraId="08A5893E" w14:textId="35F46602">
      <w:r>
        <w:t>Phonographic graphemes do not, as a rule, need markup on their own: they, including several special glyph forms, are handled through transliteration alone as per TG §4. Occasionally, a phonographic glyph is employed in a different function, which is to be handled according to §</w:t>
      </w:r>
      <w:r>
        <w:fldChar w:fldCharType="begin"/>
      </w:r>
      <w:r>
        <w:instrText xml:space="preserve"> REF _Ref226033790 \r \h </w:instrText>
      </w:r>
      <w:r>
        <w:fldChar w:fldCharType="separate"/>
      </w:r>
      <w:r>
        <w:t>5.2.5</w:t>
      </w:r>
      <w:r>
        <w:fldChar w:fldCharType="end"/>
      </w:r>
      <w:r>
        <w:t>. This section concerns additional encoding methods that may in some circumstances be applicable to phonographic graphemes or their parts.</w:t>
      </w:r>
    </w:p>
    <w:p w14:paraId="518EBDAE" w14:textId="77777777">
      <w:pPr>
        <w:pStyle w:val="Cmsor3"/>
      </w:pPr>
      <w:bookmarkStart w:id="376" w:name="_83o605fngw18" w:colFirst="0" w:colLast="0"/>
      <w:bookmarkStart w:id="377" w:name="_Ref43987221"/>
      <w:bookmarkStart w:id="378" w:name="_Toc242889489"/>
      <w:bookmarkEnd w:id="376"/>
      <w:r>
        <w:lastRenderedPageBreak/>
        <w:t xml:space="preserve">Tagging target graphemes as one </w:t>
      </w:r>
      <w:r>
        <w:rPr>
          <w:rStyle w:val="Foreign"/>
        </w:rPr>
        <w:t>akṣara</w:t>
      </w:r>
      <w:bookmarkEnd w:id="377"/>
      <w:bookmarkEnd w:id="378"/>
    </w:p>
    <w:p w14:paraId="6C0F91DA" w14:textId="323635B5">
      <w:pPr>
        <w:rPr>
          <w:lang w:eastAsia="en-US" w:bidi="ar-SA"/>
        </w:rPr>
      </w:pPr>
      <w:r>
        <w:rPr>
          <w:lang w:eastAsia="en-US" w:bidi="ar-SA"/>
        </w:rPr>
        <w:t xml:space="preserve">As per TG §3.3.2.1, in transliteration we employ the = (equals) sign as optional shorthand in the role of a character joiner, for use between two target graphemes that are manifested in the source as parts of a single complex glyph </w:t>
      </w:r>
      <w:r>
        <w:rPr>
          <w:noProof/>
          <w:lang w:eastAsia="en-US" w:bidi="ar-SA"/>
        </w:rPr>
        <w:t xml:space="preserve">(TG </w:t>
      </w:r>
      <w:r>
        <w:rPr>
          <w:lang w:eastAsia="en-US" w:bidi="ar-SA"/>
        </w:rPr>
        <w:t xml:space="preserve">§2.4.3), when these would normally manifest as </w:t>
      </w:r>
      <w:r>
        <w:rPr>
          <w:noProof/>
          <w:lang w:eastAsia="en-US" w:bidi="ar-SA"/>
        </w:rPr>
        <w:t>(</w:t>
      </w:r>
      <w:r>
        <w:rPr>
          <w:lang w:eastAsia="en-US" w:bidi="ar-SA"/>
        </w:rPr>
        <w:t>components of) separate glyphs according to the general rules of the Indic writing system. In any situation where you use the = sign according to the TG’s recommendations, as well as in any other situations where you feel it is useful to demarcate a string of target graphemes as belonging to a single glyph in the source, the following XML markup may be used. This encoding is optional, and it may be used either in addition to or instead of the shorthand involving the = sign.</w:t>
      </w:r>
    </w:p>
    <w:p w14:paraId="2C5B49A3" w14:textId="7F8A9DD9">
      <w:pPr>
        <w:pStyle w:val="Lista"/>
      </w:pPr>
      <w:r>
        <w:t xml:space="preserve">to tag any string of transliterated graphemes as belonging to a single glyph in the source writing system, wrap these graphemes in the element </w:t>
      </w:r>
      <w:r>
        <w:rPr>
          <w:rStyle w:val="Code"/>
        </w:rPr>
        <w:t xml:space="preserve">&lt;seg </w:t>
      </w:r>
      <w:r>
        <w:rPr>
          <w:rStyle w:val="Codeattribute"/>
        </w:rPr>
        <w:t>type</w:t>
      </w:r>
      <w:r>
        <w:rPr>
          <w:rStyle w:val="Code"/>
        </w:rPr>
        <w:t>=</w:t>
      </w:r>
      <w:r>
        <w:rPr>
          <w:rStyle w:val="Codevalue"/>
        </w:rPr>
        <w:t>"aksara"</w:t>
      </w:r>
      <w:r>
        <w:rPr>
          <w:rStyle w:val="Code"/>
        </w:rPr>
        <w:t>&gt;</w:t>
      </w:r>
      <w:r>
        <w:t xml:space="preserve">, for example as in </w:t>
      </w:r>
      <w:r>
        <w:fldChar w:fldCharType="begin"/>
      </w:r>
      <w:r>
        <w:instrText xml:space="preserve"> REF _Ref225935843 \h </w:instrText>
      </w:r>
      <w:r>
        <w:fldChar w:fldCharType="separate"/>
      </w:r>
      <w:r>
        <w:t xml:space="preserve">Exhibit </w:t>
      </w:r>
      <w:r>
        <w:rPr>
          <w:noProof/>
        </w:rPr>
        <w:t>5.2</w:t>
      </w:r>
      <w:r>
        <w:t>.</w:t>
      </w:r>
      <w:r>
        <w:rPr>
          <w:noProof/>
        </w:rPr>
        <w:t>A</w:t>
      </w:r>
      <w:r>
        <w:fldChar w:fldCharType="end"/>
      </w:r>
    </w:p>
    <w:p w14:paraId="4524CC5B" w14:textId="77777777">
      <w:pPr>
        <w:pStyle w:val="Lista4"/>
      </w:pPr>
      <w:r>
        <w:t xml:space="preserve">1: an </w:t>
      </w:r>
      <w:r>
        <w:rPr>
          <w:rStyle w:val="Foreign"/>
        </w:rPr>
        <w:t>akṣara</w:t>
      </w:r>
      <w:r>
        <w:t xml:space="preserve"> with two vowel markers, </w:t>
      </w:r>
      <w:r>
        <w:rPr>
          <w:rStyle w:val="Foreign"/>
        </w:rPr>
        <w:t>du=ā</w:t>
      </w:r>
    </w:p>
    <w:p w14:paraId="2FC0863E" w14:textId="77777777">
      <w:pPr>
        <w:pStyle w:val="Lista4"/>
      </w:pPr>
      <w:r>
        <w:t>2: a ligature in Tamil (</w:t>
      </w:r>
      <w:r>
        <w:rPr>
          <w:rStyle w:val="Foreign"/>
        </w:rPr>
        <w:t>k=ka</w:t>
      </w:r>
      <w:r>
        <w:t xml:space="preserve">), as distinct from both </w:t>
      </w:r>
      <w:r>
        <w:rPr>
          <w:rStyle w:val="Foreign"/>
        </w:rPr>
        <w:t>kka</w:t>
      </w:r>
      <w:r>
        <w:t xml:space="preserve"> </w:t>
      </w:r>
      <w:r>
        <w:rPr>
          <w:noProof/>
        </w:rPr>
        <w:t>(</w:t>
      </w:r>
      <w:r>
        <w:t xml:space="preserve">with an implicit vowel killer) and </w:t>
      </w:r>
      <w:r>
        <w:rPr>
          <w:rStyle w:val="Foreign"/>
        </w:rPr>
        <w:t>k·ka</w:t>
      </w:r>
      <w:r>
        <w:t xml:space="preserve"> </w:t>
      </w:r>
      <w:r>
        <w:rPr>
          <w:noProof/>
        </w:rPr>
        <w:t>(</w:t>
      </w:r>
      <w:r>
        <w:t>with an explicit vowel killer)</w:t>
      </w:r>
    </w:p>
    <w:p w14:paraId="07EAC16F" w14:textId="77777777">
      <w:pPr>
        <w:pStyle w:val="Lista4"/>
      </w:pPr>
      <w:r>
        <w:t xml:space="preserve">3: a combining </w:t>
      </w:r>
      <w:r>
        <w:rPr>
          <w:rStyle w:val="Foreign"/>
        </w:rPr>
        <w:t>upadhmānīya</w:t>
      </w:r>
      <w:r>
        <w:t xml:space="preserve"> (in </w:t>
      </w:r>
      <w:r>
        <w:rPr>
          <w:rStyle w:val="Foreign"/>
        </w:rPr>
        <w:t>ḫ=pu</w:t>
      </w:r>
      <w:r>
        <w:t xml:space="preserve">), to distinguish it from an inline </w:t>
      </w:r>
      <w:r>
        <w:rPr>
          <w:rStyle w:val="Foreign"/>
        </w:rPr>
        <w:t>upadhmānīya</w:t>
      </w:r>
    </w:p>
    <w:p w14:paraId="540B68AF" w14:textId="77777777">
      <w:pPr>
        <w:pStyle w:val="Lista"/>
      </w:pPr>
      <w:r>
        <w:t>editorial spaces and hyphens may freely appear within this element wherever necessary</w:t>
      </w:r>
    </w:p>
    <w:p w14:paraId="54BBE59A" w14:textId="77777777">
      <w:pPr>
        <w:pStyle w:val="Lista2"/>
      </w:pPr>
      <w:r>
        <w:t xml:space="preserve">thus, if a word or compound boundary occurs within such an </w:t>
      </w:r>
      <w:r>
        <w:rPr>
          <w:rStyle w:val="Foreign"/>
        </w:rPr>
        <w:t>akṣara</w:t>
      </w:r>
      <w:r>
        <w:t>, encode respectively e.g.</w:t>
      </w:r>
    </w:p>
    <w:p w14:paraId="47643197" w14:textId="77777777">
      <w:pPr>
        <w:pStyle w:val="Lista3"/>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k ka</w:t>
      </w:r>
      <w:r>
        <w:rPr>
          <w:rStyle w:val="Code"/>
        </w:rPr>
        <w:t>&lt;/seg&gt;</w:t>
      </w:r>
      <w:r>
        <w:t xml:space="preserve"> or </w:t>
      </w:r>
      <w:r>
        <w:rPr>
          <w:rStyle w:val="Code"/>
        </w:rPr>
        <w:t xml:space="preserve">&lt;seg </w:t>
      </w:r>
      <w:r>
        <w:rPr>
          <w:rStyle w:val="Codeattribute"/>
        </w:rPr>
        <w:t>type</w:t>
      </w:r>
      <w:r>
        <w:rPr>
          <w:rStyle w:val="Code"/>
        </w:rPr>
        <w:t>=</w:t>
      </w:r>
      <w:r>
        <w:rPr>
          <w:rStyle w:val="Codevalue"/>
        </w:rPr>
        <w:t>"aksara"</w:t>
      </w:r>
      <w:r>
        <w:rPr>
          <w:rStyle w:val="Code"/>
        </w:rPr>
        <w:t>&gt;</w:t>
      </w:r>
      <w:r>
        <w:rPr>
          <w:rStyle w:val="Codetext"/>
        </w:rPr>
        <w:t>k= ka</w:t>
      </w:r>
      <w:r>
        <w:rPr>
          <w:rStyle w:val="Code"/>
        </w:rPr>
        <w:t>&lt;/seg&gt;</w:t>
      </w:r>
    </w:p>
    <w:p w14:paraId="69CF563A" w14:textId="77777777">
      <w:pPr>
        <w:pStyle w:val="Lista3"/>
        <w:rPr>
          <w:rStyle w:val="Foreign"/>
          <w:i w:val="0"/>
          <w:iCs w:val="0"/>
          <w:noProof w:val="0"/>
        </w:rP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k-ka</w:t>
      </w:r>
      <w:r>
        <w:rPr>
          <w:rStyle w:val="Code"/>
        </w:rPr>
        <w:t>&lt;/seg&gt;</w:t>
      </w:r>
      <w:r>
        <w:t xml:space="preserve"> instead of </w:t>
      </w:r>
      <w:r>
        <w:rPr>
          <w:rStyle w:val="Code"/>
        </w:rPr>
        <w:t xml:space="preserve">&lt;seg </w:t>
      </w:r>
      <w:r>
        <w:rPr>
          <w:rStyle w:val="Codeattribute"/>
        </w:rPr>
        <w:t>type</w:t>
      </w:r>
      <w:r>
        <w:rPr>
          <w:rStyle w:val="Code"/>
        </w:rPr>
        <w:t>=</w:t>
      </w:r>
      <w:r>
        <w:rPr>
          <w:rStyle w:val="Codevalue"/>
        </w:rPr>
        <w:t>"aksara"</w:t>
      </w:r>
      <w:r>
        <w:rPr>
          <w:rStyle w:val="Code"/>
        </w:rPr>
        <w:t>&gt;</w:t>
      </w:r>
      <w:r>
        <w:rPr>
          <w:rStyle w:val="Codetext"/>
        </w:rPr>
        <w:t>k=-ka</w:t>
      </w:r>
      <w:r>
        <w:rPr>
          <w:rStyle w:val="Code"/>
        </w:rPr>
        <w:t>&lt;/seg&gt;</w:t>
      </w:r>
    </w:p>
    <w:p w14:paraId="522BF03F" w14:textId="77777777"/>
    <w:tbl>
      <w:tblPr>
        <w:tblStyle w:val="CodeSampleTable"/>
        <w:tblW w:w="5006" w:type="pct"/>
        <w:tblLook w:val="04A0" w:firstRow="1" w:lastRow="0" w:firstColumn="1" w:lastColumn="0" w:noHBand="0" w:noVBand="1"/>
      </w:tblPr>
      <w:tblGrid>
        <w:gridCol w:w="556"/>
        <w:gridCol w:w="1194"/>
        <w:gridCol w:w="1124"/>
        <w:gridCol w:w="3384"/>
        <w:gridCol w:w="3370"/>
        <w:gridCol w:w="12"/>
      </w:tblGrid>
      <w:tr w14:paraId="46C7796A" w14:textId="77777777">
        <w:trPr>
          <w:gridAfter w:val="1"/>
          <w:cnfStyle w:val="100000000000" w:firstRow="1" w:lastRow="0" w:firstColumn="0" w:lastColumn="0" w:oddVBand="0" w:evenVBand="0" w:oddHBand="0" w:evenHBand="0" w:firstRowFirstColumn="0" w:firstRowLastColumn="0" w:lastRowFirstColumn="0" w:lastRowLastColumn="0"/>
          <w:wAfter w:w="6" w:type="pct"/>
        </w:trPr>
        <w:tc>
          <w:tcPr>
            <w:tcW w:w="4994" w:type="pct"/>
            <w:gridSpan w:val="5"/>
            <w:tcBorders>
              <w:bottom w:val="single" w:sz="4" w:space="0" w:color="auto"/>
            </w:tcBorders>
          </w:tcPr>
          <w:p w14:paraId="7AAC806B" w14:textId="1517200F">
            <w:pPr>
              <w:pStyle w:val="Kpalrs"/>
            </w:pPr>
            <w:bookmarkStart w:id="379" w:name="_Ref225935843"/>
            <w:r>
              <w:t xml:space="preserve">Exhibit </w:t>
            </w:r>
            <w:fldSimple w:instr=" STYLEREF 2 \s ">
              <w:r>
                <w:rPr>
                  <w:noProof/>
                </w:rPr>
                <w:t>5.2</w:t>
              </w:r>
            </w:fldSimple>
            <w:r>
              <w:t>.</w:t>
            </w:r>
            <w:fldSimple w:instr=" SEQ Exhibit \* ALPHABETIC \s 2 ">
              <w:r>
                <w:rPr>
                  <w:noProof/>
                </w:rPr>
                <w:t>A</w:t>
              </w:r>
            </w:fldSimple>
            <w:bookmarkEnd w:id="379"/>
            <w:r>
              <w:t>: character with two vowel marks tagged as a single</w:t>
            </w:r>
            <w:r>
              <w:rPr>
                <w:rStyle w:val="Foreign"/>
              </w:rPr>
              <w:t xml:space="preserve"> akṣara</w:t>
            </w:r>
          </w:p>
        </w:tc>
      </w:tr>
      <w:tr w14:paraId="2B02210A" w14:textId="77777777">
        <w:tc>
          <w:tcPr>
            <w:tcW w:w="289" w:type="pct"/>
            <w:tcBorders>
              <w:right w:val="single" w:sz="4" w:space="0" w:color="auto"/>
            </w:tcBorders>
            <w:shd w:val="clear" w:color="auto" w:fill="F0F7D7"/>
          </w:tcPr>
          <w:p w14:paraId="6D89AAC0" w14:textId="77777777">
            <w:pPr>
              <w:pStyle w:val="Tabletext"/>
            </w:pPr>
          </w:p>
        </w:tc>
        <w:tc>
          <w:tcPr>
            <w:tcW w:w="619" w:type="pct"/>
            <w:tcBorders>
              <w:right w:val="single" w:sz="4" w:space="0" w:color="auto"/>
            </w:tcBorders>
          </w:tcPr>
          <w:p w14:paraId="55688062" w14:textId="77777777">
            <w:pPr>
              <w:pStyle w:val="Tabletext"/>
              <w:jc w:val="center"/>
            </w:pPr>
            <w:r>
              <w:t>glyph</w:t>
            </w:r>
          </w:p>
        </w:tc>
        <w:tc>
          <w:tcPr>
            <w:tcW w:w="583" w:type="pct"/>
            <w:tcBorders>
              <w:left w:val="single" w:sz="4" w:space="0" w:color="auto"/>
              <w:right w:val="single" w:sz="4" w:space="0" w:color="auto"/>
            </w:tcBorders>
          </w:tcPr>
          <w:p w14:paraId="25121A87" w14:textId="77777777">
            <w:pPr>
              <w:pStyle w:val="Tabletext"/>
              <w:jc w:val="center"/>
            </w:pPr>
            <w:r>
              <w:t>shorthand</w:t>
            </w:r>
          </w:p>
        </w:tc>
        <w:tc>
          <w:tcPr>
            <w:tcW w:w="1755" w:type="pct"/>
            <w:tcBorders>
              <w:left w:val="single" w:sz="4" w:space="0" w:color="auto"/>
              <w:right w:val="single" w:sz="4" w:space="0" w:color="auto"/>
            </w:tcBorders>
          </w:tcPr>
          <w:p w14:paraId="4290683D" w14:textId="77777777">
            <w:pPr>
              <w:pStyle w:val="Tabletext"/>
              <w:jc w:val="center"/>
            </w:pPr>
            <w:r>
              <w:t>encoding + shorthand</w:t>
            </w:r>
          </w:p>
        </w:tc>
        <w:tc>
          <w:tcPr>
            <w:tcW w:w="1754" w:type="pct"/>
            <w:gridSpan w:val="2"/>
            <w:tcBorders>
              <w:left w:val="single" w:sz="4" w:space="0" w:color="auto"/>
            </w:tcBorders>
          </w:tcPr>
          <w:p w14:paraId="38FBB2AB" w14:textId="77777777">
            <w:pPr>
              <w:pStyle w:val="Tabletext"/>
              <w:jc w:val="center"/>
            </w:pPr>
            <w:r>
              <w:t>encoding only</w:t>
            </w:r>
          </w:p>
        </w:tc>
      </w:tr>
      <w:tr w14:paraId="12E52540" w14:textId="77777777">
        <w:tc>
          <w:tcPr>
            <w:tcW w:w="289" w:type="pct"/>
            <w:tcBorders>
              <w:right w:val="single" w:sz="4" w:space="0" w:color="auto"/>
            </w:tcBorders>
            <w:shd w:val="clear" w:color="auto" w:fill="F0F7D7"/>
            <w:vAlign w:val="center"/>
          </w:tcPr>
          <w:p w14:paraId="0BBA4B16" w14:textId="77777777">
            <w:pPr>
              <w:pStyle w:val="Tabletext"/>
              <w:jc w:val="center"/>
              <w:rPr>
                <w:noProof/>
              </w:rPr>
            </w:pPr>
            <w:r>
              <w:rPr>
                <w:noProof/>
              </w:rPr>
              <w:t>1</w:t>
            </w:r>
          </w:p>
        </w:tc>
        <w:tc>
          <w:tcPr>
            <w:tcW w:w="619" w:type="pct"/>
            <w:tcBorders>
              <w:right w:val="single" w:sz="4" w:space="0" w:color="auto"/>
            </w:tcBorders>
            <w:vAlign w:val="center"/>
          </w:tcPr>
          <w:p w14:paraId="04DF454A" w14:textId="77777777">
            <w:pPr>
              <w:pStyle w:val="Tabletext"/>
              <w:jc w:val="center"/>
            </w:pPr>
            <w:r>
              <w:rPr>
                <w:noProof/>
              </w:rPr>
              <w:drawing>
                <wp:inline distT="0" distB="0" distL="0" distR="0" wp14:anchorId="5E16910D" wp14:editId="22C79B0F">
                  <wp:extent cx="349200" cy="54000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3" cstate="print">
                            <a:extLst>
                              <a:ext uri="{28A0092B-C50C-407E-A947-70E740481C1C}">
                                <a14:useLocalDpi xmlns:a14="http://schemas.microsoft.com/office/drawing/2010/main" val="0"/>
                              </a:ext>
                            </a:extLst>
                          </a:blip>
                          <a:srcRect/>
                          <a:stretch>
                            <a:fillRect/>
                          </a:stretch>
                        </pic:blipFill>
                        <pic:spPr>
                          <a:xfrm>
                            <a:off x="0" y="0"/>
                            <a:ext cx="349200" cy="540000"/>
                          </a:xfrm>
                          <a:prstGeom prst="rect">
                            <a:avLst/>
                          </a:prstGeom>
                          <a:ln/>
                        </pic:spPr>
                      </pic:pic>
                    </a:graphicData>
                  </a:graphic>
                </wp:inline>
              </w:drawing>
            </w:r>
          </w:p>
        </w:tc>
        <w:tc>
          <w:tcPr>
            <w:tcW w:w="583" w:type="pct"/>
            <w:tcBorders>
              <w:left w:val="single" w:sz="4" w:space="0" w:color="auto"/>
              <w:right w:val="single" w:sz="4" w:space="0" w:color="auto"/>
            </w:tcBorders>
            <w:vAlign w:val="center"/>
          </w:tcPr>
          <w:p w14:paraId="0471E780" w14:textId="77777777">
            <w:pPr>
              <w:pStyle w:val="Tabletext"/>
              <w:jc w:val="center"/>
            </w:pPr>
            <w:r>
              <w:t>du=ā</w:t>
            </w:r>
          </w:p>
        </w:tc>
        <w:tc>
          <w:tcPr>
            <w:tcW w:w="1755" w:type="pct"/>
            <w:tcBorders>
              <w:left w:val="single" w:sz="4" w:space="0" w:color="auto"/>
              <w:right w:val="single" w:sz="4" w:space="0" w:color="auto"/>
            </w:tcBorders>
            <w:vAlign w:val="center"/>
          </w:tcPr>
          <w:p w14:paraId="20CAD525" w14:textId="77777777">
            <w:pPr>
              <w:pStyle w:val="CodeParagraph"/>
              <w:jc w:val="cente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du=ā</w:t>
            </w:r>
            <w:r>
              <w:rPr>
                <w:rStyle w:val="Code"/>
              </w:rPr>
              <w:t>&lt;/seg&gt;</w:t>
            </w:r>
          </w:p>
        </w:tc>
        <w:tc>
          <w:tcPr>
            <w:tcW w:w="1754" w:type="pct"/>
            <w:gridSpan w:val="2"/>
            <w:tcBorders>
              <w:left w:val="single" w:sz="4" w:space="0" w:color="auto"/>
            </w:tcBorders>
            <w:vAlign w:val="center"/>
          </w:tcPr>
          <w:p w14:paraId="205FB666" w14:textId="77777777">
            <w:pPr>
              <w:pStyle w:val="CodeParagraph"/>
              <w:jc w:val="cente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duā</w:t>
            </w:r>
            <w:r>
              <w:rPr>
                <w:rStyle w:val="Code"/>
              </w:rPr>
              <w:t>&lt;/seg&gt;</w:t>
            </w:r>
          </w:p>
        </w:tc>
      </w:tr>
      <w:tr w14:paraId="1300759E" w14:textId="77777777">
        <w:tc>
          <w:tcPr>
            <w:tcW w:w="289" w:type="pct"/>
            <w:tcBorders>
              <w:right w:val="single" w:sz="4" w:space="0" w:color="auto"/>
            </w:tcBorders>
            <w:shd w:val="clear" w:color="auto" w:fill="F0F7D7"/>
            <w:vAlign w:val="center"/>
          </w:tcPr>
          <w:p w14:paraId="7BD2B295" w14:textId="77777777">
            <w:pPr>
              <w:pStyle w:val="Tabletext"/>
              <w:jc w:val="center"/>
              <w:rPr>
                <w:noProof/>
              </w:rPr>
            </w:pPr>
            <w:r>
              <w:rPr>
                <w:noProof/>
              </w:rPr>
              <w:t>2</w:t>
            </w:r>
          </w:p>
        </w:tc>
        <w:tc>
          <w:tcPr>
            <w:tcW w:w="619" w:type="pct"/>
            <w:tcBorders>
              <w:right w:val="single" w:sz="4" w:space="0" w:color="auto"/>
            </w:tcBorders>
            <w:vAlign w:val="center"/>
          </w:tcPr>
          <w:p w14:paraId="5D19F005" w14:textId="77777777">
            <w:pPr>
              <w:pStyle w:val="Tabletext"/>
              <w:jc w:val="center"/>
              <w:rPr>
                <w:noProof/>
              </w:rPr>
            </w:pPr>
            <w:r>
              <w:rPr>
                <w:noProof/>
              </w:rPr>
              <w:drawing>
                <wp:inline distT="0" distB="0" distL="0" distR="0" wp14:anchorId="5E94412D" wp14:editId="7895340F">
                  <wp:extent cx="752400" cy="540000"/>
                  <wp:effectExtent l="0" t="0" r="0" b="0"/>
                  <wp:docPr id="1479425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52400" cy="540000"/>
                          </a:xfrm>
                          <a:prstGeom prst="rect">
                            <a:avLst/>
                          </a:prstGeom>
                          <a:noFill/>
                          <a:ln>
                            <a:noFill/>
                          </a:ln>
                        </pic:spPr>
                      </pic:pic>
                    </a:graphicData>
                  </a:graphic>
                </wp:inline>
              </w:drawing>
            </w:r>
          </w:p>
        </w:tc>
        <w:tc>
          <w:tcPr>
            <w:tcW w:w="583" w:type="pct"/>
            <w:tcBorders>
              <w:left w:val="single" w:sz="4" w:space="0" w:color="auto"/>
              <w:right w:val="single" w:sz="4" w:space="0" w:color="auto"/>
            </w:tcBorders>
            <w:vAlign w:val="center"/>
          </w:tcPr>
          <w:p w14:paraId="4719CD40" w14:textId="77777777">
            <w:pPr>
              <w:pStyle w:val="Tabletext"/>
              <w:jc w:val="center"/>
            </w:pPr>
            <w:r>
              <w:t>k=ka</w:t>
            </w:r>
          </w:p>
        </w:tc>
        <w:tc>
          <w:tcPr>
            <w:tcW w:w="1755" w:type="pct"/>
            <w:tcBorders>
              <w:left w:val="single" w:sz="4" w:space="0" w:color="auto"/>
              <w:right w:val="single" w:sz="4" w:space="0" w:color="auto"/>
            </w:tcBorders>
            <w:vAlign w:val="center"/>
          </w:tcPr>
          <w:p w14:paraId="43E3FD7F" w14:textId="77777777">
            <w:pPr>
              <w:pStyle w:val="CodeParagraph"/>
              <w:jc w:val="center"/>
            </w:pPr>
            <w:r>
              <w:rPr>
                <w:rStyle w:val="Code"/>
              </w:rPr>
              <w:t xml:space="preserve">&lt;seg </w:t>
            </w:r>
            <w:r>
              <w:rPr>
                <w:rStyle w:val="Codeattribute"/>
              </w:rPr>
              <w:t>type</w:t>
            </w:r>
            <w:r>
              <w:rPr>
                <w:rStyle w:val="Code"/>
              </w:rPr>
              <w:t>=</w:t>
            </w:r>
            <w:r>
              <w:rPr>
                <w:rStyle w:val="Codevalue"/>
              </w:rPr>
              <w:t>"aksara"</w:t>
            </w:r>
            <w:r>
              <w:rPr>
                <w:rStyle w:val="Code"/>
              </w:rPr>
              <w:t>&gt;k</w:t>
            </w:r>
            <w:r>
              <w:rPr>
                <w:rStyle w:val="Codetext"/>
              </w:rPr>
              <w:t>=ka</w:t>
            </w:r>
            <w:r>
              <w:rPr>
                <w:rStyle w:val="Code"/>
              </w:rPr>
              <w:t>&lt;/seg&gt;</w:t>
            </w:r>
          </w:p>
        </w:tc>
        <w:tc>
          <w:tcPr>
            <w:tcW w:w="1754" w:type="pct"/>
            <w:gridSpan w:val="2"/>
            <w:tcBorders>
              <w:left w:val="single" w:sz="4" w:space="0" w:color="auto"/>
            </w:tcBorders>
            <w:vAlign w:val="center"/>
          </w:tcPr>
          <w:p w14:paraId="1C80C489" w14:textId="77777777">
            <w:pPr>
              <w:pStyle w:val="CodeParagraph"/>
              <w:jc w:val="center"/>
              <w:rPr>
                <w:rStyle w:val="Code"/>
              </w:rP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kka</w:t>
            </w:r>
            <w:r>
              <w:rPr>
                <w:rStyle w:val="Code"/>
              </w:rPr>
              <w:t>&lt;/seg&gt;</w:t>
            </w:r>
          </w:p>
        </w:tc>
      </w:tr>
      <w:tr w14:paraId="2D264C6B" w14:textId="77777777">
        <w:tc>
          <w:tcPr>
            <w:tcW w:w="289" w:type="pct"/>
            <w:tcBorders>
              <w:right w:val="single" w:sz="4" w:space="0" w:color="auto"/>
            </w:tcBorders>
            <w:shd w:val="clear" w:color="auto" w:fill="F0F7D7"/>
            <w:vAlign w:val="center"/>
          </w:tcPr>
          <w:p w14:paraId="13ACEA92" w14:textId="77777777">
            <w:pPr>
              <w:pStyle w:val="Tabletext"/>
              <w:jc w:val="center"/>
              <w:rPr>
                <w:noProof/>
              </w:rPr>
            </w:pPr>
            <w:r>
              <w:rPr>
                <w:noProof/>
              </w:rPr>
              <w:t>3</w:t>
            </w:r>
          </w:p>
        </w:tc>
        <w:tc>
          <w:tcPr>
            <w:tcW w:w="619" w:type="pct"/>
            <w:tcBorders>
              <w:right w:val="single" w:sz="4" w:space="0" w:color="auto"/>
            </w:tcBorders>
            <w:vAlign w:val="center"/>
          </w:tcPr>
          <w:p w14:paraId="6BAF910B" w14:textId="77777777">
            <w:pPr>
              <w:pStyle w:val="Tabletext"/>
              <w:jc w:val="center"/>
              <w:rPr>
                <w:noProof/>
              </w:rPr>
            </w:pPr>
            <w:r>
              <w:rPr>
                <w:noProof/>
              </w:rPr>
              <w:drawing>
                <wp:inline distT="0" distB="0" distL="0" distR="0" wp14:anchorId="0EFB260D" wp14:editId="53EF8B47">
                  <wp:extent cx="468000" cy="540000"/>
                  <wp:effectExtent l="0" t="0" r="8255" b="0"/>
                  <wp:docPr id="126472876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8000" cy="540000"/>
                          </a:xfrm>
                          <a:prstGeom prst="rect">
                            <a:avLst/>
                          </a:prstGeom>
                          <a:noFill/>
                          <a:ln>
                            <a:noFill/>
                          </a:ln>
                        </pic:spPr>
                      </pic:pic>
                    </a:graphicData>
                  </a:graphic>
                </wp:inline>
              </w:drawing>
            </w:r>
          </w:p>
        </w:tc>
        <w:tc>
          <w:tcPr>
            <w:tcW w:w="583" w:type="pct"/>
            <w:tcBorders>
              <w:left w:val="single" w:sz="4" w:space="0" w:color="auto"/>
              <w:right w:val="single" w:sz="4" w:space="0" w:color="auto"/>
            </w:tcBorders>
            <w:vAlign w:val="center"/>
          </w:tcPr>
          <w:p w14:paraId="495C4111" w14:textId="77777777">
            <w:pPr>
              <w:pStyle w:val="Tabletext"/>
              <w:jc w:val="center"/>
            </w:pPr>
            <w:r>
              <w:t>ḫ=pu</w:t>
            </w:r>
          </w:p>
        </w:tc>
        <w:tc>
          <w:tcPr>
            <w:tcW w:w="1755" w:type="pct"/>
            <w:tcBorders>
              <w:left w:val="single" w:sz="4" w:space="0" w:color="auto"/>
              <w:right w:val="single" w:sz="4" w:space="0" w:color="auto"/>
            </w:tcBorders>
            <w:vAlign w:val="center"/>
          </w:tcPr>
          <w:p w14:paraId="7338FC91" w14:textId="77777777">
            <w:pPr>
              <w:pStyle w:val="CodeParagraph"/>
              <w:jc w:val="center"/>
              <w:rPr>
                <w:rStyle w:val="Code"/>
              </w:rPr>
            </w:pPr>
            <w:r>
              <w:rPr>
                <w:rStyle w:val="Code"/>
              </w:rPr>
              <w:t xml:space="preserve">&lt;seg </w:t>
            </w:r>
            <w:r>
              <w:rPr>
                <w:rStyle w:val="Codeattribute"/>
              </w:rPr>
              <w:t>type</w:t>
            </w:r>
            <w:r>
              <w:rPr>
                <w:rStyle w:val="Code"/>
              </w:rPr>
              <w:t>=</w:t>
            </w:r>
            <w:r>
              <w:rPr>
                <w:rStyle w:val="Codevalue"/>
              </w:rPr>
              <w:t>"aksara"</w:t>
            </w:r>
            <w:r>
              <w:rPr>
                <w:rStyle w:val="Code"/>
              </w:rPr>
              <w:t>&gt;ḫ=pu&lt;/seg&gt;</w:t>
            </w:r>
          </w:p>
        </w:tc>
        <w:tc>
          <w:tcPr>
            <w:tcW w:w="1754" w:type="pct"/>
            <w:gridSpan w:val="2"/>
            <w:tcBorders>
              <w:left w:val="single" w:sz="4" w:space="0" w:color="auto"/>
            </w:tcBorders>
            <w:vAlign w:val="center"/>
          </w:tcPr>
          <w:p w14:paraId="6C3E4D3F" w14:textId="77777777">
            <w:pPr>
              <w:pStyle w:val="CodeParagraph"/>
              <w:jc w:val="center"/>
              <w:rPr>
                <w:rStyle w:val="Code"/>
              </w:rP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ḫpu</w:t>
            </w:r>
            <w:r>
              <w:rPr>
                <w:rStyle w:val="Code"/>
              </w:rPr>
              <w:t>&lt;/seg&gt;</w:t>
            </w:r>
          </w:p>
        </w:tc>
      </w:tr>
    </w:tbl>
    <w:p w14:paraId="314E7951" w14:textId="77777777"/>
    <w:p w14:paraId="2A90E71A" w14:textId="77777777">
      <w:pPr>
        <w:pStyle w:val="Cmsor3"/>
      </w:pPr>
      <w:bookmarkStart w:id="380" w:name="_qasht2vjwj9m" w:colFirst="0" w:colLast="0"/>
      <w:bookmarkStart w:id="381" w:name="_Ref43987131"/>
      <w:bookmarkStart w:id="382" w:name="_Ref228202081"/>
      <w:bookmarkStart w:id="383" w:name="_Toc242889490"/>
      <w:bookmarkEnd w:id="380"/>
      <w:r>
        <w:t xml:space="preserve">Tagging parts of </w:t>
      </w:r>
      <w:bookmarkEnd w:id="381"/>
      <w:r>
        <w:t>phonographic glyphs</w:t>
      </w:r>
      <w:bookmarkEnd w:id="382"/>
      <w:bookmarkEnd w:id="383"/>
    </w:p>
    <w:p w14:paraId="13FE9FA6" w14:textId="445DF601">
      <w:r>
        <w:t xml:space="preserve">As discussed in the TG (§3.1.4.2), our transliteration scheme ignores the variation of graphotactic allographs, i.e. different graphs normally employed in different positions for the same grapheme, such as the regular, superscript and subscript forms of &lt;r&gt; in most Indic writing systems. In XML encoding, we suggest a system of </w:t>
      </w:r>
      <w:r>
        <w:rPr>
          <w:noProof/>
        </w:rPr>
        <w:t>“sub-</w:t>
      </w:r>
      <w:r>
        <w:rPr>
          <w:rStyle w:val="Foreign"/>
        </w:rPr>
        <w:t>akṣara</w:t>
      </w:r>
      <w:r>
        <w:t xml:space="preserve"> markup” for tagging individual target graphemes with the purpose of indicating which part of a source glyph manifests that grapheme.</w:t>
      </w:r>
    </w:p>
    <w:p w14:paraId="2A3F568F" w14:textId="4605497E">
      <w:pPr>
        <w:pStyle w:val="Normlbehzs"/>
      </w:pPr>
      <w:r>
        <w:t xml:space="preserve">Keep in mind that DHARMA transliteration does distinguish graphemic allographs, i.e. the independent and dependent forms of vowels and consonants, so in all but a few cases a reader familiar with the source writing system will be able to reconstruct the graphetic composition of the source on the basis of the transliterated text. </w:t>
      </w:r>
      <w:r>
        <w:rPr>
          <w:noProof/>
        </w:rPr>
        <w:t>Sub-</w:t>
      </w:r>
      <w:r>
        <w:rPr>
          <w:rStyle w:val="Foreign"/>
        </w:rPr>
        <w:t>akṣara</w:t>
      </w:r>
      <w:r>
        <w:t xml:space="preserve"> markup is optional, and is generally counter-recommended on account of the encoding complexity involved. You may, however, need this kind of encoding for representing extraordinary spatial arrangement in the source when this is deemed desirable </w:t>
      </w:r>
      <w:r>
        <w:rPr>
          <w:noProof/>
        </w:rPr>
        <w:t>(</w:t>
      </w:r>
      <w:r>
        <w:t>§</w:t>
      </w:r>
      <w:r>
        <w:fldChar w:fldCharType="begin"/>
      </w:r>
      <w:r>
        <w:instrText xml:space="preserve"> REF _Ref43987090 \w \h  \* MERGEFORMAT </w:instrText>
      </w:r>
      <w:r>
        <w:fldChar w:fldCharType="separate"/>
      </w:r>
      <w:r>
        <w:t>5.2.3</w:t>
      </w:r>
      <w:r>
        <w:fldChar w:fldCharType="end"/>
      </w:r>
      <w:r>
        <w:t xml:space="preserve">), and for the encoding of micro-level lacunae </w:t>
      </w:r>
      <w:r>
        <w:rPr>
          <w:noProof/>
        </w:rPr>
        <w:t>(</w:t>
      </w:r>
      <w:r>
        <w:t>§</w:t>
      </w:r>
      <w:r>
        <w:fldChar w:fldCharType="begin"/>
      </w:r>
      <w:r>
        <w:instrText xml:space="preserve"> REF _Ref43987049 \w \h  \* MERGEFORMAT </w:instrText>
      </w:r>
      <w:r>
        <w:fldChar w:fldCharType="separate"/>
      </w:r>
      <w:r>
        <w:t>6.5.2.4</w:t>
      </w:r>
      <w:r>
        <w:fldChar w:fldCharType="end"/>
      </w:r>
      <w:r>
        <w:t>) for textual loci that are both highly problematic as regards legibility and pivotal as regards interpretation.</w:t>
      </w:r>
    </w:p>
    <w:p w14:paraId="5AE868B7" w14:textId="01F48A2C">
      <w:pPr>
        <w:pStyle w:val="Lista"/>
      </w:pPr>
      <w:r>
        <w:t>see §</w:t>
      </w:r>
      <w:r>
        <w:fldChar w:fldCharType="begin"/>
      </w:r>
      <w:r>
        <w:instrText xml:space="preserve"> REF _Ref43987165 \w \h  \* MERGEFORMAT </w:instrText>
      </w:r>
      <w:r>
        <w:fldChar w:fldCharType="separate"/>
      </w:r>
      <w:r>
        <w:t>5.2.4</w:t>
      </w:r>
      <w:r>
        <w:fldChar w:fldCharType="end"/>
      </w:r>
      <w:r>
        <w:t xml:space="preserve"> about handling glyph components separated from others by an intervening physical feature, a situation for which </w:t>
      </w:r>
      <w:r>
        <w:rPr>
          <w:noProof/>
        </w:rPr>
        <w:t>sub-</w:t>
      </w:r>
      <w:r>
        <w:rPr>
          <w:rStyle w:val="Foreign"/>
        </w:rPr>
        <w:t>akṣara</w:t>
      </w:r>
      <w:r>
        <w:t xml:space="preserve"> markup is not applicable</w:t>
      </w:r>
    </w:p>
    <w:p w14:paraId="21061A3C" w14:textId="5436DB4B">
      <w:pPr>
        <w:pStyle w:val="Lista"/>
      </w:pPr>
      <w:r>
        <w:lastRenderedPageBreak/>
        <w:t>see §</w:t>
      </w:r>
      <w:r>
        <w:fldChar w:fldCharType="begin"/>
      </w:r>
      <w:r>
        <w:instrText xml:space="preserve"> REF _Ref228275185 \r \h </w:instrText>
      </w:r>
      <w:r>
        <w:fldChar w:fldCharType="separate"/>
      </w:r>
      <w:r>
        <w:t>6.3.3</w:t>
      </w:r>
      <w:r>
        <w:fldChar w:fldCharType="end"/>
      </w:r>
      <w:r>
        <w:t xml:space="preserve"> about handling legibility issues concerning glyph components, a situation for which </w:t>
      </w:r>
      <w:r>
        <w:rPr>
          <w:rStyle w:val="Foreign"/>
        </w:rPr>
        <w:t>sub-akṣara</w:t>
      </w:r>
      <w:r>
        <w:t xml:space="preserve"> markup is not normally warranted</w:t>
      </w:r>
    </w:p>
    <w:p w14:paraId="02293CE7" w14:textId="77777777">
      <w:pPr>
        <w:pStyle w:val="Lista"/>
      </w:pPr>
      <w:r>
        <w:t xml:space="preserve">if you choose to tag a specific </w:t>
      </w:r>
      <w:r>
        <w:rPr>
          <w:noProof/>
        </w:rPr>
        <w:t>sub-</w:t>
      </w:r>
      <w:r>
        <w:rPr>
          <w:rStyle w:val="Foreign"/>
        </w:rPr>
        <w:t>akṣara</w:t>
      </w:r>
      <w:r>
        <w:t xml:space="preserve"> component, wrap it in </w:t>
      </w:r>
      <w:r>
        <w:rPr>
          <w:rStyle w:val="Code"/>
        </w:rPr>
        <w:t xml:space="preserve">&lt;seg </w:t>
      </w:r>
      <w:r>
        <w:rPr>
          <w:rStyle w:val="Codeattribute"/>
        </w:rPr>
        <w:t>type</w:t>
      </w:r>
      <w:r>
        <w:rPr>
          <w:rStyle w:val="Code"/>
        </w:rPr>
        <w:t>=</w:t>
      </w:r>
      <w:r>
        <w:rPr>
          <w:rStyle w:val="Codevalue"/>
        </w:rPr>
        <w:t>"component"</w:t>
      </w:r>
      <w:r>
        <w:rPr>
          <w:rStyle w:val="Code"/>
        </w:rPr>
        <w:t>&gt;</w:t>
      </w:r>
      <w:r>
        <w:t xml:space="preserve"> and add a </w:t>
      </w:r>
      <w:r>
        <w:rPr>
          <w:rStyle w:val="Codeattribute"/>
        </w:rPr>
        <w:t>@subtype</w:t>
      </w:r>
      <w:r>
        <w:t xml:space="preserve"> attribute with one of the following values:</w:t>
      </w:r>
    </w:p>
    <w:p w14:paraId="031219E0" w14:textId="77777777">
      <w:pPr>
        <w:pStyle w:val="Lista2"/>
      </w:pPr>
      <w:r>
        <w:rPr>
          <w:rStyle w:val="Codevalue"/>
        </w:rPr>
        <w:t>"body"</w:t>
      </w:r>
      <w:r>
        <w:t xml:space="preserve"> for the principal component of a complex glyph, which may be a single consonant or a conjunct</w:t>
      </w:r>
    </w:p>
    <w:p w14:paraId="68776371" w14:textId="77777777">
      <w:pPr>
        <w:pStyle w:val="Lista2"/>
      </w:pPr>
      <w:r>
        <w:rPr>
          <w:rStyle w:val="Codevalue"/>
        </w:rPr>
        <w:t>"consonant"</w:t>
      </w:r>
      <w:r>
        <w:t xml:space="preserve"> for exactly one consonant component whose graphic location cannot be determined or is irrelevant</w:t>
      </w:r>
    </w:p>
    <w:p w14:paraId="472ED850" w14:textId="77777777">
      <w:pPr>
        <w:pStyle w:val="Lista2"/>
      </w:pPr>
      <w:r>
        <w:rPr>
          <w:rStyle w:val="Codevalue"/>
        </w:rPr>
        <w:t>"conjunct"</w:t>
      </w:r>
      <w:r>
        <w:t xml:space="preserve"> for two or more consonant components belonging to a single </w:t>
      </w:r>
      <w:r>
        <w:rPr>
          <w:rStyle w:val="Foreign"/>
        </w:rPr>
        <w:t>akṣara</w:t>
      </w:r>
      <w:r>
        <w:t xml:space="preserve"> (when you know the consonant was not single because prosody eliminates that possibility, or because vestiges definitely indicate a conjunct even though it is illegible)</w:t>
      </w:r>
    </w:p>
    <w:p w14:paraId="6B2D4755" w14:textId="77777777">
      <w:pPr>
        <w:pStyle w:val="Lista2"/>
      </w:pPr>
      <w:r>
        <w:rPr>
          <w:rStyle w:val="Codevalue"/>
        </w:rPr>
        <w:t>"vowel"</w:t>
      </w:r>
      <w:r>
        <w:t xml:space="preserve"> for the vocalisation of an </w:t>
      </w:r>
      <w:r>
        <w:rPr>
          <w:rStyle w:val="Foreign"/>
        </w:rPr>
        <w:t>akṣara</w:t>
      </w:r>
      <w:r>
        <w:t>, when the location of the vowel marker cannot be determined or is irrelevant</w:t>
      </w:r>
    </w:p>
    <w:p w14:paraId="431672A7" w14:textId="77777777">
      <w:pPr>
        <w:pStyle w:val="Lista2"/>
      </w:pPr>
      <w:r>
        <w:rPr>
          <w:rStyle w:val="Codevalue"/>
        </w:rPr>
        <w:t>"superscript"</w:t>
      </w:r>
      <w:r>
        <w:t xml:space="preserve"> for any components above the body, such as a superscript </w:t>
      </w:r>
      <w:r>
        <w:rPr>
          <w:rStyle w:val="Foreign"/>
        </w:rPr>
        <w:t>r</w:t>
      </w:r>
      <w:r>
        <w:t xml:space="preserve"> or a superscript vowel marker</w:t>
      </w:r>
    </w:p>
    <w:p w14:paraId="4F39445D" w14:textId="77777777">
      <w:pPr>
        <w:pStyle w:val="Lista2"/>
      </w:pPr>
      <w:r>
        <w:rPr>
          <w:rStyle w:val="Codevalue"/>
        </w:rPr>
        <w:t>"subscript"</w:t>
      </w:r>
      <w:r>
        <w:t xml:space="preserve"> for any components below the body, such as the subscript consonant of a conjunct or a subscript vowel marker</w:t>
      </w:r>
    </w:p>
    <w:p w14:paraId="63007980" w14:textId="77777777">
      <w:pPr>
        <w:pStyle w:val="Lista2"/>
      </w:pPr>
      <w:r>
        <w:rPr>
          <w:rStyle w:val="Codevalue"/>
        </w:rPr>
        <w:t>"prescript"</w:t>
      </w:r>
      <w:r>
        <w:t xml:space="preserve"> for any components to the left of the body, generally a vowel marker but also applicable to part of a horizontally composed ligature</w:t>
      </w:r>
    </w:p>
    <w:p w14:paraId="24421BE9" w14:textId="77777777">
      <w:pPr>
        <w:pStyle w:val="Lista2"/>
      </w:pPr>
      <w:r>
        <w:rPr>
          <w:rStyle w:val="Codevalue"/>
        </w:rPr>
        <w:t>"postscript"</w:t>
      </w:r>
      <w:r>
        <w:t xml:space="preserve"> for any components to the right of the body, generally a vowel marker but also applicable to part of a horizontally composed ligature</w:t>
      </w:r>
    </w:p>
    <w:p w14:paraId="17358F84" w14:textId="77777777">
      <w:pPr>
        <w:pStyle w:val="Lista"/>
      </w:pPr>
      <w:r>
        <w:t xml:space="preserve">when dealing with </w:t>
      </w:r>
      <w:r>
        <w:rPr>
          <w:noProof/>
        </w:rPr>
        <w:t>sub-</w:t>
      </w:r>
      <w:r>
        <w:rPr>
          <w:rStyle w:val="Foreign"/>
        </w:rPr>
        <w:t>akṣara</w:t>
      </w:r>
      <w:r>
        <w:t xml:space="preserve"> lacunae in relatively simple cases, your primary concern is to encode what kind of grapheme was lost, without regard to exactly what kind of glyph component represented it; in this case,</w:t>
      </w:r>
    </w:p>
    <w:p w14:paraId="7CCF7492" w14:textId="77777777">
      <w:pPr>
        <w:pStyle w:val="Lista2"/>
      </w:pPr>
      <w:r>
        <w:t xml:space="preserve">either use </w:t>
      </w:r>
      <w:r>
        <w:rPr>
          <w:rStyle w:val="Codevalue"/>
        </w:rPr>
        <w:t>"vowel"</w:t>
      </w:r>
      <w:r>
        <w:t xml:space="preserve"> for a lost vowel component, and </w:t>
      </w:r>
      <w:r>
        <w:rPr>
          <w:rStyle w:val="Codevalue"/>
        </w:rPr>
        <w:t>"consonant"</w:t>
      </w:r>
      <w:r>
        <w:t xml:space="preserve">, </w:t>
      </w:r>
      <w:r>
        <w:rPr>
          <w:rStyle w:val="Codevalue"/>
        </w:rPr>
        <w:t>"conjunct"</w:t>
      </w:r>
      <w:r>
        <w:t xml:space="preserve"> or </w:t>
      </w:r>
      <w:r>
        <w:rPr>
          <w:rStyle w:val="Codevalue"/>
        </w:rPr>
        <w:t>"body"</w:t>
      </w:r>
      <w:r>
        <w:t xml:space="preserve"> respectively for a lost consonant component that is known to be single, known to be a conjunct, or may be either of these</w:t>
      </w:r>
    </w:p>
    <w:p w14:paraId="3DB7F907" w14:textId="77777777">
      <w:pPr>
        <w:pStyle w:val="Lista2"/>
      </w:pPr>
      <w:r>
        <w:t xml:space="preserve">or forego </w:t>
      </w:r>
      <w:r>
        <w:rPr>
          <w:noProof/>
        </w:rPr>
        <w:t>sub-</w:t>
      </w:r>
      <w:r>
        <w:rPr>
          <w:rStyle w:val="Foreign"/>
        </w:rPr>
        <w:t>akṣara</w:t>
      </w:r>
      <w:r>
        <w:t xml:space="preserve"> encoding and use the placeholders V for ‘any vowel’ and C for ‘any consonant’ (TG §3.3.2.2) instead of encoding illegible or lost graphemes as component-level lacunae</w:t>
      </w:r>
    </w:p>
    <w:p w14:paraId="55D96246" w14:textId="77777777">
      <w:pPr>
        <w:pStyle w:val="Lista"/>
      </w:pPr>
      <w:r>
        <w:t>when dealing with unusually composed glyphs or with partial lacunae in complex cases that can benefit from a very high level of detail in the encoding (e.g. because the text is unintelligible and you wish to be fully objective in encoding what you see, without projecting any interpretation onto it), your primary concern is to describe the nature of the original glyph as accurately as possible; in this case,</w:t>
      </w:r>
    </w:p>
    <w:p w14:paraId="0F9C0461" w14:textId="77777777">
      <w:pPr>
        <w:pStyle w:val="Lista2"/>
      </w:pPr>
      <w:r>
        <w:t xml:space="preserve">give preference to the values </w:t>
      </w:r>
      <w:r>
        <w:rPr>
          <w:rStyle w:val="Codevalue"/>
        </w:rPr>
        <w:t>"body"</w:t>
      </w:r>
      <w:r>
        <w:t xml:space="preserve">, </w:t>
      </w:r>
      <w:r>
        <w:rPr>
          <w:rStyle w:val="Codevalue"/>
        </w:rPr>
        <w:t>"superscript"</w:t>
      </w:r>
      <w:r>
        <w:t xml:space="preserve">, </w:t>
      </w:r>
      <w:r>
        <w:rPr>
          <w:rStyle w:val="Codevalue"/>
        </w:rPr>
        <w:t>"subscript"</w:t>
      </w:r>
      <w:r>
        <w:t xml:space="preserve">, </w:t>
      </w:r>
      <w:r>
        <w:rPr>
          <w:rStyle w:val="Codevalue"/>
        </w:rPr>
        <w:t>"prescript"</w:t>
      </w:r>
      <w:r>
        <w:t xml:space="preserve"> and </w:t>
      </w:r>
      <w:r>
        <w:rPr>
          <w:rStyle w:val="Codevalue"/>
        </w:rPr>
        <w:t>"postscript"</w:t>
      </w:r>
      <w:r>
        <w:t xml:space="preserve"> to encode the graphic location of the lacuna within the complex glyph, and use </w:t>
      </w:r>
      <w:r>
        <w:rPr>
          <w:rStyle w:val="Codevalue"/>
        </w:rPr>
        <w:t>"vowel"</w:t>
      </w:r>
      <w:r>
        <w:t xml:space="preserve">, </w:t>
      </w:r>
      <w:r>
        <w:rPr>
          <w:rStyle w:val="Codevalue"/>
        </w:rPr>
        <w:t>"consonant"</w:t>
      </w:r>
      <w:r>
        <w:t xml:space="preserve"> and </w:t>
      </w:r>
      <w:r>
        <w:rPr>
          <w:rStyle w:val="Codevalue"/>
        </w:rPr>
        <w:t>"conjunct"</w:t>
      </w:r>
      <w:r>
        <w:t xml:space="preserve"> only when it is impossible to determine the graphic location of a component that must have been present</w:t>
      </w:r>
    </w:p>
    <w:p w14:paraId="6F60B4C2" w14:textId="77777777">
      <w:pPr>
        <w:pStyle w:val="Cmsor3"/>
      </w:pPr>
      <w:bookmarkStart w:id="384" w:name="_dv2inorm1p09" w:colFirst="0" w:colLast="0"/>
      <w:bookmarkStart w:id="385" w:name="_Ref43987090"/>
      <w:bookmarkStart w:id="386" w:name="_Toc242889491"/>
      <w:bookmarkEnd w:id="384"/>
      <w:r>
        <w:t>Unusual spatial arrangement in conjuncts</w:t>
      </w:r>
      <w:bookmarkEnd w:id="385"/>
      <w:bookmarkEnd w:id="386"/>
    </w:p>
    <w:p w14:paraId="6C03672B" w14:textId="28DFC01E">
      <w:r>
        <w:t xml:space="preserve">As our primary objective is to encode texts, the place to record information about unusual glyph composition is your annotation. However, in order to facilitate future palaeographic research, you may optionally use </w:t>
      </w:r>
      <w:r>
        <w:rPr>
          <w:noProof/>
        </w:rPr>
        <w:t>sub-</w:t>
      </w:r>
      <w:r>
        <w:rPr>
          <w:rStyle w:val="Foreign"/>
        </w:rPr>
        <w:t>akṣara</w:t>
      </w:r>
      <w:r>
        <w:t xml:space="preserve"> markup (§</w:t>
      </w:r>
      <w:r>
        <w:fldChar w:fldCharType="begin"/>
      </w:r>
      <w:r>
        <w:instrText xml:space="preserve"> REF _Ref43987131 \r \h </w:instrText>
      </w:r>
      <w:r>
        <w:fldChar w:fldCharType="separate"/>
      </w:r>
      <w:r>
        <w:t>5.2.2</w:t>
      </w:r>
      <w:r>
        <w:fldChar w:fldCharType="end"/>
      </w:r>
      <w:r>
        <w:t xml:space="preserve">) for tagging parts of phonographic glyphs in order to specify what part of a complex original glyph corresponds to any given target grapheme, as illustrated in </w:t>
      </w:r>
      <w:r>
        <w:fldChar w:fldCharType="begin"/>
      </w:r>
      <w:r>
        <w:instrText xml:space="preserve"> REF _Ref225936805 \h </w:instrText>
      </w:r>
      <w:r>
        <w:fldChar w:fldCharType="separate"/>
      </w:r>
      <w:r>
        <w:t xml:space="preserve">Exhibit </w:t>
      </w:r>
      <w:r>
        <w:rPr>
          <w:noProof/>
        </w:rPr>
        <w:t>5.2</w:t>
      </w:r>
      <w:r>
        <w:t>.</w:t>
      </w:r>
      <w:r>
        <w:rPr>
          <w:noProof/>
        </w:rPr>
        <w:t>B</w:t>
      </w:r>
      <w:r>
        <w:fldChar w:fldCharType="end"/>
      </w:r>
      <w:r>
        <w:t xml:space="preserve">. When doing so, aim to minimise the complexity of your encoding and add tags only to the components that most conspicuously deviate from the expected composition. However, if you deem that there is any ambiguity regarding </w:t>
      </w:r>
      <w:r>
        <w:rPr>
          <w:rStyle w:val="Foreign"/>
        </w:rPr>
        <w:t>akṣara</w:t>
      </w:r>
      <w:r>
        <w:t xml:space="preserve"> boundaries, feel free to wrap target graphemes and lacunae belonging to a single original character in the element </w:t>
      </w:r>
      <w:r>
        <w:rPr>
          <w:rStyle w:val="Code"/>
        </w:rPr>
        <w:t xml:space="preserve">&lt;seg </w:t>
      </w:r>
      <w:r>
        <w:rPr>
          <w:rStyle w:val="Codeattribute"/>
        </w:rPr>
        <w:t>type</w:t>
      </w:r>
      <w:r>
        <w:rPr>
          <w:rStyle w:val="Code"/>
        </w:rPr>
        <w:t>=</w:t>
      </w:r>
      <w:r>
        <w:rPr>
          <w:rStyle w:val="Codevalue"/>
        </w:rPr>
        <w:t>"aksara"</w:t>
      </w:r>
      <w:r>
        <w:rPr>
          <w:rStyle w:val="Code"/>
        </w:rPr>
        <w:t>&gt;</w:t>
      </w:r>
      <w:r>
        <w:t xml:space="preserve"> as per §</w:t>
      </w:r>
      <w:r>
        <w:fldChar w:fldCharType="begin"/>
      </w:r>
      <w:r>
        <w:instrText xml:space="preserve"> REF _Ref43987221 \w \h  \* MERGEFORMAT </w:instrText>
      </w:r>
      <w:r>
        <w:fldChar w:fldCharType="separate"/>
      </w:r>
      <w:r>
        <w:t>5.2.1</w:t>
      </w:r>
      <w:r>
        <w:fldChar w:fldCharType="end"/>
      </w:r>
    </w:p>
    <w:p w14:paraId="5999BDA7" w14:textId="77777777"/>
    <w:tbl>
      <w:tblPr>
        <w:tblStyle w:val="CodeSampleTable"/>
        <w:tblW w:w="5000" w:type="pct"/>
        <w:tblLook w:val="04A0" w:firstRow="1" w:lastRow="0" w:firstColumn="1" w:lastColumn="0" w:noHBand="0" w:noVBand="1"/>
      </w:tblPr>
      <w:tblGrid>
        <w:gridCol w:w="8179"/>
        <w:gridCol w:w="1449"/>
      </w:tblGrid>
      <w:tr w14:paraId="75AE82E5" w14:textId="77777777">
        <w:trPr>
          <w:cnfStyle w:val="100000000000" w:firstRow="1" w:lastRow="0" w:firstColumn="0" w:lastColumn="0" w:oddVBand="0" w:evenVBand="0" w:oddHBand="0" w:evenHBand="0" w:firstRowFirstColumn="0" w:firstRowLastColumn="0" w:lastRowFirstColumn="0" w:lastRowLastColumn="0"/>
        </w:trPr>
        <w:tc>
          <w:tcPr>
            <w:tcW w:w="0" w:type="auto"/>
            <w:gridSpan w:val="2"/>
          </w:tcPr>
          <w:p w14:paraId="7A0D9232" w14:textId="48E9BEAE">
            <w:pPr>
              <w:pStyle w:val="Kpalrs"/>
              <w:keepLines/>
            </w:pPr>
            <w:bookmarkStart w:id="387" w:name="_Ref225936805"/>
            <w:r>
              <w:lastRenderedPageBreak/>
              <w:t xml:space="preserve">Exhibit </w:t>
            </w:r>
            <w:fldSimple w:instr=" STYLEREF 2 \s ">
              <w:r>
                <w:rPr>
                  <w:noProof/>
                </w:rPr>
                <w:t>5.2</w:t>
              </w:r>
            </w:fldSimple>
            <w:r>
              <w:t>.</w:t>
            </w:r>
            <w:fldSimple w:instr=" SEQ Exhibit \* ALPHABETIC \s 2 ">
              <w:r>
                <w:rPr>
                  <w:noProof/>
                </w:rPr>
                <w:t>B</w:t>
              </w:r>
            </w:fldSimple>
            <w:bookmarkEnd w:id="387"/>
            <w:r>
              <w:t xml:space="preserve">: conjunct with regular </w:t>
            </w:r>
            <w:r>
              <w:rPr>
                <w:rStyle w:val="Foreign"/>
              </w:rPr>
              <w:t>r</w:t>
            </w:r>
            <w:r>
              <w:t xml:space="preserve"> instead of superscript</w:t>
            </w:r>
          </w:p>
        </w:tc>
      </w:tr>
      <w:tr w14:paraId="36662A49" w14:textId="77777777">
        <w:tc>
          <w:tcPr>
            <w:tcW w:w="0" w:type="auto"/>
          </w:tcPr>
          <w:p w14:paraId="42E07969" w14:textId="77777777">
            <w:pPr>
              <w:pStyle w:val="CodeParagraph"/>
              <w:keepNext/>
              <w:keepLines/>
            </w:pP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&gt;</w:t>
            </w:r>
            <w:r>
              <w:rPr>
                <w:rStyle w:val="Codetext"/>
              </w:rPr>
              <w:t>r</w:t>
            </w:r>
            <w:r>
              <w:rPr>
                <w:rStyle w:val="Code"/>
              </w:rPr>
              <w:t>&lt;/seg&gt;</w:t>
            </w:r>
            <w:r>
              <w:rPr>
                <w:rStyle w:val="Codetext"/>
              </w:rPr>
              <w:t>ya</w:t>
            </w:r>
          </w:p>
        </w:tc>
        <w:tc>
          <w:tcPr>
            <w:tcW w:w="0" w:type="auto"/>
            <w:vMerge w:val="restart"/>
            <w:vAlign w:val="bottom"/>
          </w:tcPr>
          <w:p w14:paraId="389E927A" w14:textId="77777777">
            <w:pPr>
              <w:pStyle w:val="Image"/>
              <w:keepLines/>
            </w:pPr>
            <w:r>
              <w:drawing>
                <wp:inline distT="0" distB="0" distL="0" distR="0" wp14:anchorId="27BEF25E" wp14:editId="6E6B8346">
                  <wp:extent cx="844550" cy="893907"/>
                  <wp:effectExtent l="0" t="0" r="0" b="1905"/>
                  <wp:docPr id="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6">
                            <a:extLst>
                              <a:ext uri="{28A0092B-C50C-407E-A947-70E740481C1C}">
                                <a14:useLocalDpi xmlns:a14="http://schemas.microsoft.com/office/drawing/2010/main" val="0"/>
                              </a:ext>
                            </a:extLst>
                          </a:blip>
                          <a:srcRect/>
                          <a:stretch>
                            <a:fillRect/>
                          </a:stretch>
                        </pic:blipFill>
                        <pic:spPr>
                          <a:xfrm>
                            <a:off x="0" y="0"/>
                            <a:ext cx="851421" cy="901180"/>
                          </a:xfrm>
                          <a:prstGeom prst="rect">
                            <a:avLst/>
                          </a:prstGeom>
                          <a:ln/>
                        </pic:spPr>
                      </pic:pic>
                    </a:graphicData>
                  </a:graphic>
                </wp:inline>
              </w:drawing>
            </w:r>
          </w:p>
        </w:tc>
      </w:tr>
      <w:tr w14:paraId="716DD305" w14:textId="77777777">
        <w:tc>
          <w:tcPr>
            <w:tcW w:w="0" w:type="auto"/>
          </w:tcPr>
          <w:p w14:paraId="087115CE" w14:textId="77777777">
            <w:pPr>
              <w:pStyle w:val="TableNote"/>
              <w:keepNext/>
              <w:keepLines/>
            </w:pPr>
            <w:r>
              <w:rPr>
                <w:rStyle w:val="Foreign"/>
              </w:rPr>
              <w:t>rya</w:t>
            </w:r>
            <w:r>
              <w:t xml:space="preserve"> is here written with a regular (body) </w:t>
            </w:r>
            <w:r>
              <w:rPr>
                <w:rStyle w:val="Foreign"/>
              </w:rPr>
              <w:t>r</w:t>
            </w:r>
            <w:r>
              <w:t xml:space="preserve"> and a subscript </w:t>
            </w:r>
            <w:r>
              <w:rPr>
                <w:rStyle w:val="Foreign"/>
              </w:rPr>
              <w:t>y</w:t>
            </w:r>
            <w:r>
              <w:t xml:space="preserve"> instead of a superscript </w:t>
            </w:r>
            <w:r>
              <w:rPr>
                <w:rStyle w:val="Foreign"/>
              </w:rPr>
              <w:t>r</w:t>
            </w:r>
            <w:r>
              <w:t xml:space="preserve"> and a regular </w:t>
            </w:r>
            <w:r>
              <w:rPr>
                <w:rStyle w:val="Foreign"/>
              </w:rPr>
              <w:t>y</w:t>
            </w:r>
          </w:p>
          <w:p w14:paraId="755E26CC" w14:textId="77777777">
            <w:pPr>
              <w:pStyle w:val="TableNote"/>
              <w:keepNext/>
              <w:keepLines/>
              <w:rPr>
                <w:rFonts w:ascii="Consolas" w:hAnsi="Consolas" w:cs="Consolas"/>
                <w:noProof/>
                <w:color w:val="002060"/>
                <w:shd w:val="clear" w:color="auto" w:fill="F2F2F2" w:themeFill="background1" w:themeFillShade="F2"/>
              </w:rPr>
            </w:pPr>
            <w:r>
              <w:t xml:space="preserve">the fact that the </w:t>
            </w:r>
            <w:r>
              <w:rPr>
                <w:rStyle w:val="Foreign"/>
              </w:rPr>
              <w:t>r</w:t>
            </w:r>
            <w:r>
              <w:t xml:space="preserve"> is tagged as a body component dispenses with the need to explicitly tag the </w:t>
            </w:r>
            <w:r>
              <w:rPr>
                <w:rStyle w:val="Foreign"/>
              </w:rPr>
              <w:t>y</w:t>
            </w:r>
            <w:r>
              <w:t xml:space="preserve"> as a subscript component</w:t>
            </w:r>
          </w:p>
        </w:tc>
        <w:tc>
          <w:tcPr>
            <w:tcW w:w="0" w:type="auto"/>
            <w:vMerge/>
          </w:tcPr>
          <w:p w14:paraId="38034B55" w14:textId="77777777">
            <w:pPr>
              <w:keepNext/>
              <w:keepLines/>
              <w:rPr>
                <w:rStyle w:val="Code"/>
              </w:rPr>
            </w:pPr>
          </w:p>
        </w:tc>
      </w:tr>
      <w:tr w14:paraId="2C3CA0A3" w14:textId="77777777">
        <w:tc>
          <w:tcPr>
            <w:tcW w:w="0" w:type="auto"/>
          </w:tcPr>
          <w:p w14:paraId="1D454A2C" w14:textId="77777777">
            <w:pPr>
              <w:pStyle w:val="CodeParagraph"/>
              <w:keepNext/>
              <w:keepLines/>
            </w:pPr>
            <w:r>
              <w:rPr>
                <w:rStyle w:val="Codetext"/>
              </w:rPr>
              <w:t>r</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"prescript"</w:t>
            </w:r>
            <w:r>
              <w:rPr>
                <w:rStyle w:val="Code"/>
              </w:rPr>
              <w:t>&gt;</w:t>
            </w:r>
            <w:r>
              <w:rPr>
                <w:rStyle w:val="Codetext"/>
              </w:rPr>
              <w:t>g</w:t>
            </w:r>
            <w:r>
              <w:rPr>
                <w:rStyle w:val="Code"/>
              </w:rPr>
              <w:t xml:space="preserve">&lt;/seg&gt;&lt;seg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&gt;</w:t>
            </w:r>
            <w:r>
              <w:rPr>
                <w:rStyle w:val="Codetext"/>
              </w:rPr>
              <w:t>gh</w:t>
            </w:r>
            <w:r>
              <w:rPr>
                <w:rStyle w:val="Code"/>
              </w:rPr>
              <w:t>&lt;/seg&gt;</w:t>
            </w:r>
            <w:r>
              <w:rPr>
                <w:rStyle w:val="Codetext"/>
              </w:rPr>
              <w:t>a</w:t>
            </w:r>
          </w:p>
        </w:tc>
        <w:tc>
          <w:tcPr>
            <w:tcW w:w="0" w:type="auto"/>
            <w:vMerge w:val="restart"/>
            <w:vAlign w:val="bottom"/>
          </w:tcPr>
          <w:p w14:paraId="063B4E6F" w14:textId="77777777">
            <w:pPr>
              <w:pStyle w:val="Image"/>
              <w:keepLines/>
            </w:pPr>
            <w:r>
              <w:drawing>
                <wp:inline distT="0" distB="0" distL="0" distR="0" wp14:anchorId="2E7BD70D" wp14:editId="5FF5CEFC">
                  <wp:extent cx="917407" cy="763152"/>
                  <wp:effectExtent l="0" t="0" r="0" b="0"/>
                  <wp:docPr id="3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7">
                            <a:extLst>
                              <a:ext uri="{28A0092B-C50C-407E-A947-70E740481C1C}">
                                <a14:useLocalDpi xmlns:a14="http://schemas.microsoft.com/office/drawing/2010/main" val="0"/>
                              </a:ext>
                            </a:extLst>
                          </a:blip>
                          <a:srcRect/>
                          <a:stretch>
                            <a:fillRect/>
                          </a:stretch>
                        </pic:blipFill>
                        <pic:spPr>
                          <a:xfrm>
                            <a:off x="0" y="0"/>
                            <a:ext cx="928213" cy="772141"/>
                          </a:xfrm>
                          <a:prstGeom prst="rect">
                            <a:avLst/>
                          </a:prstGeom>
                          <a:ln/>
                        </pic:spPr>
                      </pic:pic>
                    </a:graphicData>
                  </a:graphic>
                </wp:inline>
              </w:drawing>
            </w:r>
          </w:p>
        </w:tc>
      </w:tr>
      <w:tr w14:paraId="637EB214" w14:textId="77777777">
        <w:tc>
          <w:tcPr>
            <w:tcW w:w="0" w:type="auto"/>
          </w:tcPr>
          <w:p w14:paraId="2CEB5C6A" w14:textId="77777777">
            <w:pPr>
              <w:pStyle w:val="TableNote"/>
            </w:pPr>
            <w:r>
              <w:rPr>
                <w:rStyle w:val="Foreign"/>
              </w:rPr>
              <w:t>rggha</w:t>
            </w:r>
            <w:r>
              <w:t xml:space="preserve"> is here written in a horizontal composition, with </w:t>
            </w:r>
            <w:r>
              <w:rPr>
                <w:rStyle w:val="Foreign"/>
              </w:rPr>
              <w:t>g</w:t>
            </w:r>
            <w:r>
              <w:t xml:space="preserve"> to the left of a regularly positioned </w:t>
            </w:r>
            <w:r>
              <w:rPr>
                <w:rStyle w:val="Foreign"/>
              </w:rPr>
              <w:t>gh</w:t>
            </w:r>
            <w:r>
              <w:t xml:space="preserve"> </w:t>
            </w:r>
          </w:p>
          <w:p w14:paraId="5C45281F" w14:textId="77777777">
            <w:pPr>
              <w:pStyle w:val="TableNote"/>
              <w:rPr>
                <w:rFonts w:ascii="Consolas" w:hAnsi="Consolas" w:cs="Consolas"/>
                <w:noProof/>
                <w:color w:val="002060"/>
                <w:shd w:val="clear" w:color="auto" w:fill="F2F2F2" w:themeFill="background1" w:themeFillShade="F2"/>
              </w:rPr>
            </w:pPr>
            <w:r>
              <w:t xml:space="preserve">in this example the second and third consonant components have both been tagged explicitly for their position, though it may be sufficient to tag the prescript </w:t>
            </w:r>
            <w:r>
              <w:rPr>
                <w:rStyle w:val="Foreign"/>
              </w:rPr>
              <w:t>g</w:t>
            </w:r>
            <w:r>
              <w:t xml:space="preserve"> in this way</w:t>
            </w:r>
          </w:p>
        </w:tc>
        <w:tc>
          <w:tcPr>
            <w:tcW w:w="0" w:type="auto"/>
            <w:vMerge/>
          </w:tcPr>
          <w:p w14:paraId="64211064" w14:textId="77777777">
            <w:pPr>
              <w:rPr>
                <w:rStyle w:val="Code"/>
              </w:rPr>
            </w:pPr>
          </w:p>
        </w:tc>
      </w:tr>
    </w:tbl>
    <w:p w14:paraId="0E829CBC" w14:textId="77777777">
      <w:pPr>
        <w:pStyle w:val="Cmsor3"/>
      </w:pPr>
      <w:bookmarkStart w:id="388" w:name="_qy84vdm4cqcm" w:colFirst="0" w:colLast="0"/>
      <w:bookmarkStart w:id="389" w:name="_Ref43987165"/>
      <w:bookmarkStart w:id="390" w:name="_Toc242889492"/>
      <w:bookmarkEnd w:id="388"/>
      <w:r>
        <w:t>Complex glyphs deliberately split over an intervening feature</w:t>
      </w:r>
      <w:bookmarkEnd w:id="389"/>
      <w:bookmarkEnd w:id="390"/>
    </w:p>
    <w:p w14:paraId="43C38840" w14:textId="0A6FCDCB">
      <w:r>
        <w:t xml:space="preserve">Parts of </w:t>
      </w:r>
      <w:r>
        <w:rPr>
          <w:rStyle w:val="Foreign"/>
        </w:rPr>
        <w:t>akṣaras</w:t>
      </w:r>
      <w:r>
        <w:t xml:space="preserve"> may be split off from the rest of the glyph by a physical feature, most commonly a line break, sometimes a physical defect in the support or the binding hole in a copper plate. In this section we discuss situations where the scribe deliberately decomposed theoretically atomic glyphs into constituent parts in order to accommodate such an intervening feature. Inadvertent splits, typically caused by fracture, are discussed in §</w:t>
      </w:r>
      <w:r>
        <w:fldChar w:fldCharType="begin"/>
      </w:r>
      <w:r>
        <w:instrText xml:space="preserve"> REF _Ref182813737 \r \h </w:instrText>
      </w:r>
      <w:r>
        <w:fldChar w:fldCharType="separate"/>
      </w:r>
      <w:r>
        <w:t>4.7.6.1</w:t>
      </w:r>
      <w:r>
        <w:fldChar w:fldCharType="end"/>
      </w:r>
      <w:r>
        <w:t>.</w:t>
      </w:r>
    </w:p>
    <w:tbl>
      <w:tblPr>
        <w:tblStyle w:val="CodeSampleTable"/>
        <w:tblpPr w:leftFromText="180" w:rightFromText="180" w:vertAnchor="text" w:tblpXSpec="right" w:tblpY="1"/>
        <w:tblOverlap w:val="never"/>
        <w:tblW w:w="3686" w:type="dxa"/>
        <w:tblLook w:val="04A0" w:firstRow="1" w:lastRow="0" w:firstColumn="1" w:lastColumn="0" w:noHBand="0" w:noVBand="1"/>
      </w:tblPr>
      <w:tblGrid>
        <w:gridCol w:w="3686"/>
      </w:tblGrid>
      <w:tr w14:paraId="505B087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F4EE2AE" w14:textId="3CFEA77E">
            <w:pPr>
              <w:pStyle w:val="Kpalrs"/>
            </w:pPr>
            <w:bookmarkStart w:id="391" w:name="_Ref225948796"/>
            <w:r>
              <w:t xml:space="preserve">Exhibit </w:t>
            </w:r>
            <w:fldSimple w:instr=" STYLEREF 2 \s ">
              <w:r>
                <w:rPr>
                  <w:noProof/>
                </w:rPr>
                <w:t>5.2</w:t>
              </w:r>
            </w:fldSimple>
            <w:r>
              <w:t>.</w:t>
            </w:r>
            <w:fldSimple w:instr=" SEQ Exhibit \* ALPHABETIC \s 2 ">
              <w:r>
                <w:rPr>
                  <w:noProof/>
                </w:rPr>
                <w:t>C</w:t>
              </w:r>
            </w:fldSimple>
            <w:bookmarkEnd w:id="391"/>
            <w:r>
              <w:t xml:space="preserve">: </w:t>
            </w:r>
            <w:r>
              <w:rPr>
                <w:rStyle w:val="Foreign"/>
              </w:rPr>
              <w:t>anusvāra</w:t>
            </w:r>
            <w:r>
              <w:t xml:space="preserve"> separated from glyph</w:t>
            </w:r>
          </w:p>
        </w:tc>
      </w:tr>
      <w:tr w14:paraId="546E8B01" w14:textId="77777777">
        <w:tc>
          <w:tcPr>
            <w:tcW w:w="0" w:type="auto"/>
          </w:tcPr>
          <w:p w14:paraId="4F60ECF0" w14:textId="77777777">
            <w:pPr>
              <w:pStyle w:val="Image"/>
            </w:pPr>
            <w:r>
              <w:drawing>
                <wp:inline distT="0" distB="0" distL="0" distR="0" wp14:anchorId="74127B66" wp14:editId="041500CE">
                  <wp:extent cx="1713600" cy="720000"/>
                  <wp:effectExtent l="0" t="0" r="1270" b="4445"/>
                  <wp:docPr id="1094072945"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713600" cy="720000"/>
                          </a:xfrm>
                          <a:prstGeom prst="rect">
                            <a:avLst/>
                          </a:prstGeom>
                          <a:noFill/>
                          <a:ln>
                            <a:noFill/>
                          </a:ln>
                        </pic:spPr>
                      </pic:pic>
                    </a:graphicData>
                  </a:graphic>
                </wp:inline>
              </w:drawing>
            </w:r>
          </w:p>
        </w:tc>
      </w:tr>
      <w:tr w14:paraId="788B4752" w14:textId="77777777">
        <w:tc>
          <w:tcPr>
            <w:tcW w:w="0" w:type="auto"/>
          </w:tcPr>
          <w:p w14:paraId="2FD77AB5" w14:textId="77777777">
            <w:pPr>
              <w:pStyle w:val="CodeParagraph"/>
              <w:rPr>
                <w:rStyle w:val="Codetext"/>
                <w:rFonts w:ascii="Gentium" w:hAnsi="Gentium" w:cs="Tiro Devanagari Sanskrit"/>
                <w:noProof w:val="0"/>
                <w:color w:val="auto"/>
                <w:shd w:val="clear" w:color="auto" w:fill="auto"/>
              </w:rPr>
            </w:pPr>
            <w:r>
              <w:rPr>
                <w:rStyle w:val="Codetext"/>
              </w:rPr>
              <w:t>mala</w:t>
            </w:r>
            <w:r>
              <w:rPr>
                <w:rStyle w:val="Code"/>
              </w:rPr>
              <w:t xml:space="preserve">&lt;space </w:t>
            </w:r>
            <w:r>
              <w:rPr>
                <w:rStyle w:val="Codeattribute"/>
              </w:rPr>
              <w:t>type</w:t>
            </w:r>
            <w:r>
              <w:rPr>
                <w:rStyle w:val="Codetext"/>
              </w:rPr>
              <w:t>=</w:t>
            </w:r>
            <w:r>
              <w:rPr>
                <w:rStyle w:val="Codevalue"/>
              </w:rPr>
              <w:t>"binding-hole"</w:t>
            </w:r>
            <w:r>
              <w:rPr>
                <w:rStyle w:val="Code"/>
              </w:rPr>
              <w:t>/&gt;</w:t>
            </w:r>
            <w:r>
              <w:rPr>
                <w:rStyle w:val="Codetext"/>
              </w:rPr>
              <w:t>ṁka</w:t>
            </w:r>
          </w:p>
        </w:tc>
      </w:tr>
    </w:tbl>
    <w:p w14:paraId="123BFF44" w14:textId="12ECA8C3">
      <w:pPr>
        <w:pStyle w:val="Lista"/>
      </w:pPr>
      <w:r>
        <w:t xml:space="preserve">the intervening features may be line beginnings </w:t>
      </w:r>
      <w:r>
        <w:rPr>
          <w:noProof/>
        </w:rPr>
        <w:t>(</w:t>
      </w:r>
      <w:r>
        <w:t>§</w:t>
      </w:r>
      <w:r>
        <w:fldChar w:fldCharType="begin"/>
      </w:r>
      <w:r>
        <w:instrText xml:space="preserve"> REF _Ref43980100 \r \h </w:instrText>
      </w:r>
      <w:r>
        <w:fldChar w:fldCharType="separate"/>
      </w:r>
      <w:r>
        <w:t>4.5.1</w:t>
      </w:r>
      <w:r>
        <w:fldChar w:fldCharType="end"/>
      </w:r>
      <w:r>
        <w:t xml:space="preserve">) or space imposed by physical features </w:t>
      </w:r>
      <w:r>
        <w:rPr>
          <w:noProof/>
        </w:rPr>
        <w:t>(</w:t>
      </w:r>
      <w:r>
        <w:t>§</w:t>
      </w:r>
      <w:r>
        <w:fldChar w:fldCharType="begin"/>
      </w:r>
      <w:r>
        <w:instrText xml:space="preserve"> REF _Ref43985107 \w \h  \* MERGEFORMAT </w:instrText>
      </w:r>
      <w:r>
        <w:fldChar w:fldCharType="separate"/>
      </w:r>
      <w:r>
        <w:t>5.5.2.2</w:t>
      </w:r>
      <w:r>
        <w:fldChar w:fldCharType="end"/>
      </w:r>
      <w:r>
        <w:t>) and must be encoded as applicable</w:t>
      </w:r>
    </w:p>
    <w:p w14:paraId="22BC8B87" w14:textId="1D928985">
      <w:pPr>
        <w:pStyle w:val="Lista"/>
      </w:pPr>
      <w:r>
        <w:t xml:space="preserve">if the split can be represented accurately in transliteration because the physical order of the graphs corresponds to the logical sequence of the graphemes (typically involving </w:t>
      </w:r>
      <w:r>
        <w:rPr>
          <w:rStyle w:val="Foreign"/>
        </w:rPr>
        <w:t>anusvāra</w:t>
      </w:r>
      <w:r>
        <w:t xml:space="preserve">, </w:t>
      </w:r>
      <w:r>
        <w:rPr>
          <w:rStyle w:val="Foreign"/>
        </w:rPr>
        <w:t>visarga</w:t>
      </w:r>
      <w:r>
        <w:t xml:space="preserve"> or a postscript vowel marker) as in </w:t>
      </w:r>
      <w:r>
        <w:fldChar w:fldCharType="begin"/>
      </w:r>
      <w:r>
        <w:instrText xml:space="preserve"> REF _Ref225948796 \h </w:instrText>
      </w:r>
      <w:r>
        <w:fldChar w:fldCharType="separate"/>
      </w:r>
      <w:r>
        <w:t xml:space="preserve">Exhibit </w:t>
      </w:r>
      <w:r>
        <w:rPr>
          <w:noProof/>
        </w:rPr>
        <w:t>5.2</w:t>
      </w:r>
      <w:r>
        <w:t>.</w:t>
      </w:r>
      <w:r>
        <w:rPr>
          <w:noProof/>
        </w:rPr>
        <w:t>C</w:t>
      </w:r>
      <w:r>
        <w:fldChar w:fldCharType="end"/>
      </w:r>
      <w:r>
        <w:t>:</w:t>
      </w:r>
    </w:p>
    <w:p w14:paraId="364179E2" w14:textId="77777777">
      <w:pPr>
        <w:pStyle w:val="Lista2"/>
      </w:pPr>
      <w:r>
        <w:t>apply no special markup</w:t>
      </w:r>
    </w:p>
    <w:p w14:paraId="08EDA3A7" w14:textId="77777777">
      <w:pPr>
        <w:pStyle w:val="Lista2"/>
      </w:pPr>
      <w:r>
        <w:t>encode the intervening feature in its physical and logical place</w:t>
      </w:r>
    </w:p>
    <w:tbl>
      <w:tblPr>
        <w:tblStyle w:val="CodeSampleTable"/>
        <w:tblpPr w:leftFromText="180" w:rightFromText="180" w:vertAnchor="text" w:tblpXSpec="right" w:tblpY="1"/>
        <w:tblOverlap w:val="never"/>
        <w:tblW w:w="3686" w:type="dxa"/>
        <w:tblLook w:val="04A0" w:firstRow="1" w:lastRow="0" w:firstColumn="1" w:lastColumn="0" w:noHBand="0" w:noVBand="1"/>
      </w:tblPr>
      <w:tblGrid>
        <w:gridCol w:w="3686"/>
      </w:tblGrid>
      <w:tr w14:paraId="23D2F8A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FABFB43" w14:textId="7E3E7405">
            <w:pPr>
              <w:pStyle w:val="Kpalrs"/>
            </w:pPr>
            <w:bookmarkStart w:id="392" w:name="_Ref225948797"/>
            <w:r>
              <w:t xml:space="preserve">Exhibit </w:t>
            </w:r>
            <w:fldSimple w:instr=" STYLEREF 2 \s ">
              <w:r>
                <w:rPr>
                  <w:noProof/>
                </w:rPr>
                <w:t>5.2</w:t>
              </w:r>
            </w:fldSimple>
            <w:r>
              <w:t>.</w:t>
            </w:r>
            <w:fldSimple w:instr=" SEQ Exhibit \* ALPHABETIC \s 2 ">
              <w:r>
                <w:rPr>
                  <w:noProof/>
                </w:rPr>
                <w:t>D</w:t>
              </w:r>
            </w:fldSimple>
            <w:bookmarkEnd w:id="392"/>
            <w:r>
              <w:t>: vowel marker separated from glyph</w:t>
            </w:r>
          </w:p>
        </w:tc>
      </w:tr>
      <w:tr w14:paraId="03AB24B3" w14:textId="77777777">
        <w:tc>
          <w:tcPr>
            <w:tcW w:w="0" w:type="auto"/>
          </w:tcPr>
          <w:p w14:paraId="6F9A0B29" w14:textId="77777777">
            <w:pPr>
              <w:pStyle w:val="Image"/>
            </w:pPr>
            <w:r>
              <w:drawing>
                <wp:inline distT="0" distB="0" distL="0" distR="0" wp14:anchorId="34CC7EFB" wp14:editId="24303A1A">
                  <wp:extent cx="1818000" cy="720000"/>
                  <wp:effectExtent l="0" t="0" r="0" b="4445"/>
                  <wp:docPr id="1965550830" name="Kép 1965550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818000" cy="720000"/>
                          </a:xfrm>
                          <a:prstGeom prst="rect">
                            <a:avLst/>
                          </a:prstGeom>
                          <a:noFill/>
                          <a:ln>
                            <a:noFill/>
                          </a:ln>
                        </pic:spPr>
                      </pic:pic>
                    </a:graphicData>
                  </a:graphic>
                </wp:inline>
              </w:drawing>
            </w:r>
          </w:p>
        </w:tc>
      </w:tr>
      <w:tr w14:paraId="6EB7887F" w14:textId="77777777">
        <w:tc>
          <w:tcPr>
            <w:tcW w:w="0" w:type="auto"/>
          </w:tcPr>
          <w:p w14:paraId="57ABA3CB" w14:textId="77777777">
            <w:pPr>
              <w:pStyle w:val="CodeParagraph"/>
              <w:rPr>
                <w:rStyle w:val="Codetext"/>
                <w:rFonts w:ascii="Gentium" w:hAnsi="Gentium" w:cs="Tiro Devanagari Sanskrit"/>
                <w:noProof w:val="0"/>
                <w:color w:val="auto"/>
                <w:shd w:val="clear" w:color="auto" w:fill="auto"/>
              </w:rPr>
            </w:pPr>
            <w:r>
              <w:rPr>
                <w:rStyle w:val="Codetext"/>
              </w:rPr>
              <w:t>A</w:t>
            </w:r>
            <w:r>
              <w:rPr>
                <w:rStyle w:val="Codetext"/>
                <w:rFonts w:ascii="Cambria Math" w:hAnsi="Cambria Math" w:cs="Cambria Math"/>
              </w:rPr>
              <w:t>⌈</w:t>
            </w:r>
            <w:r>
              <w:rPr>
                <w:rStyle w:val="Code"/>
              </w:rPr>
              <w:t xml:space="preserve">&lt;space </w:t>
            </w:r>
            <w:r>
              <w:rPr>
                <w:rStyle w:val="Codeattribute"/>
              </w:rPr>
              <w:t>type</w:t>
            </w:r>
            <w:r>
              <w:rPr>
                <w:rStyle w:val="Codetext"/>
              </w:rPr>
              <w:t>=</w:t>
            </w:r>
            <w:r>
              <w:rPr>
                <w:rStyle w:val="Codevalue"/>
              </w:rPr>
              <w:t>"descender"</w:t>
            </w:r>
            <w:r>
              <w:rPr>
                <w:rStyle w:val="Code"/>
              </w:rPr>
              <w:t>/&gt;</w:t>
            </w:r>
            <w:r>
              <w:rPr>
                <w:rStyle w:val="Codetext"/>
              </w:rPr>
              <w:t>horātri</w:t>
            </w:r>
          </w:p>
        </w:tc>
      </w:tr>
      <w:tr w14:paraId="1D228AA5" w14:textId="77777777">
        <w:tc>
          <w:tcPr>
            <w:tcW w:w="0" w:type="auto"/>
          </w:tcPr>
          <w:p w14:paraId="11FC639B" w14:textId="77777777">
            <w:pPr>
              <w:pStyle w:val="TableNote"/>
            </w:pPr>
            <w:r>
              <w:t xml:space="preserve">the vowel marker for </w:t>
            </w:r>
            <w:r>
              <w:rPr>
                <w:rStyle w:val="Foreign"/>
              </w:rPr>
              <w:t>o</w:t>
            </w:r>
            <w:r>
              <w:t xml:space="preserve"> consists of a stroke on the left and another stroke on the right</w:t>
            </w:r>
          </w:p>
          <w:p w14:paraId="1A85E157" w14:textId="77777777">
            <w:pPr>
              <w:pStyle w:val="TableNote"/>
              <w:rPr>
                <w:rStyle w:val="Codetext"/>
                <w:color w:val="002060"/>
              </w:rPr>
            </w:pPr>
            <w:r>
              <w:t>the stroke on the left has been split off from the consonant by a descender from the line above</w:t>
            </w:r>
          </w:p>
        </w:tc>
      </w:tr>
    </w:tbl>
    <w:p w14:paraId="512D8CB8" w14:textId="57C257A9">
      <w:pPr>
        <w:pStyle w:val="Lista"/>
      </w:pPr>
      <w:r>
        <w:t xml:space="preserve">if the split cannot be represented accurately in transliteration because the physical order of the graphs differs from the logical sequence of the graphemes (typically involving prescript vowel markers or a split consonant body) as in </w:t>
      </w:r>
      <w:r>
        <w:fldChar w:fldCharType="begin"/>
      </w:r>
      <w:r>
        <w:instrText xml:space="preserve"> REF _Ref225948797 \h </w:instrText>
      </w:r>
      <w:r>
        <w:fldChar w:fldCharType="separate"/>
      </w:r>
      <w:r>
        <w:t xml:space="preserve">Exhibit </w:t>
      </w:r>
      <w:r>
        <w:rPr>
          <w:noProof/>
        </w:rPr>
        <w:t>5.2</w:t>
      </w:r>
      <w:r>
        <w:t>.</w:t>
      </w:r>
      <w:r>
        <w:rPr>
          <w:noProof/>
        </w:rPr>
        <w:t>D</w:t>
      </w:r>
      <w:r>
        <w:fldChar w:fldCharType="end"/>
      </w:r>
      <w:r>
        <w:t>:</w:t>
      </w:r>
    </w:p>
    <w:p w14:paraId="5B7C5233" w14:textId="77777777">
      <w:pPr>
        <w:pStyle w:val="Lista2"/>
      </w:pPr>
      <w:r>
        <w:t xml:space="preserve">this is handled in transliteration by means of the placeholder characters ⌈ </w:t>
      </w:r>
      <w:r>
        <w:rPr>
          <w:noProof/>
        </w:rPr>
        <w:t>(</w:t>
      </w:r>
      <w:r>
        <w:t xml:space="preserve">left ceiling, U+2308) and ⌉ </w:t>
      </w:r>
      <w:r>
        <w:rPr>
          <w:noProof/>
        </w:rPr>
        <w:t>(</w:t>
      </w:r>
      <w:r>
        <w:t>right ceiling, U+2309), as per TG §4.4.7</w:t>
      </w:r>
    </w:p>
    <w:p w14:paraId="4B6A42D2" w14:textId="77777777">
      <w:pPr>
        <w:pStyle w:val="Lista3"/>
      </w:pPr>
      <w:r>
        <w:t>the placeholder characters are essential shorthand (TG §3.3.1), meaning that they do not have an encoding alternative in DHARMA practice and will be used in XML editions in the same way as in non-XML contexts</w:t>
      </w:r>
    </w:p>
    <w:p w14:paraId="46925964" w14:textId="77777777">
      <w:pPr>
        <w:pStyle w:val="Lista2"/>
      </w:pPr>
      <w:r>
        <w:t>follow the TG’s instructions as regards the placement of the ceiling and the transliterated graphemes vis-à-vis the encoded interruption</w:t>
      </w:r>
    </w:p>
    <w:p w14:paraId="777C28C4" w14:textId="77777777">
      <w:pPr>
        <w:pStyle w:val="Lista2"/>
      </w:pPr>
      <w:r>
        <w:t xml:space="preserve">all the target graphemes pertaining to an original </w:t>
      </w:r>
      <w:r>
        <w:rPr>
          <w:rStyle w:val="Foreign"/>
        </w:rPr>
        <w:t>akṣara</w:t>
      </w:r>
      <w:r>
        <w:t xml:space="preserve"> must be placed on that side of the interruption where the consonant body is located, while the applicable placeholder character must be placed on the other side of the interruption</w:t>
      </w:r>
    </w:p>
    <w:p w14:paraId="7134E66E" w14:textId="77777777">
      <w:pPr>
        <w:pStyle w:val="Cmsor4"/>
      </w:pPr>
      <w:r>
        <w:t>Split glyphs combined with legibility issues</w:t>
      </w:r>
    </w:p>
    <w:p w14:paraId="1578F44A" w14:textId="77777777">
      <w:pPr>
        <w:pStyle w:val="Lista"/>
      </w:pPr>
      <w:r>
        <w:t>in all examples in this subsection</w:t>
      </w:r>
    </w:p>
    <w:p w14:paraId="5C4064C4" w14:textId="77777777">
      <w:pPr>
        <w:pStyle w:val="Lista2"/>
      </w:pPr>
      <w:r>
        <w:t>&lt;&gt; represents an interrupting element of any nature</w:t>
      </w:r>
    </w:p>
    <w:p w14:paraId="2D66A1A6" w14:textId="77777777">
      <w:pPr>
        <w:pStyle w:val="Lista2"/>
      </w:pPr>
      <w:r>
        <w:t>grey text represents unclear graphs or elements</w:t>
      </w:r>
    </w:p>
    <w:p w14:paraId="55542D1A" w14:textId="77777777">
      <w:pPr>
        <w:pStyle w:val="Lista2"/>
      </w:pPr>
      <w:r>
        <w:t>the dotted circle ◌ is to be ignored</w:t>
      </w:r>
    </w:p>
    <w:p w14:paraId="19532972" w14:textId="70D1D0AB">
      <w:pPr>
        <w:pStyle w:val="Lista"/>
      </w:pPr>
      <w:r>
        <w:lastRenderedPageBreak/>
        <w:t xml:space="preserve">if some of the components involved are </w:t>
      </w:r>
      <w:r>
        <w:rPr>
          <w:b/>
          <w:bCs/>
        </w:rPr>
        <w:t>unclear</w:t>
      </w:r>
      <w:r>
        <w:t xml:space="preserve"> </w:t>
      </w:r>
      <w:r>
        <w:rPr>
          <w:noProof/>
        </w:rPr>
        <w:t>(</w:t>
      </w:r>
      <w:r>
        <w:t>§</w:t>
      </w:r>
      <w:r>
        <w:fldChar w:fldCharType="begin"/>
      </w:r>
      <w:r>
        <w:instrText xml:space="preserve"> REF _Ref43981505 \r \h </w:instrText>
      </w:r>
      <w:r>
        <w:fldChar w:fldCharType="separate"/>
      </w:r>
      <w:r>
        <w:t>6.3</w:t>
      </w:r>
      <w:r>
        <w:fldChar w:fldCharType="end"/>
      </w:r>
      <w:r>
        <w:t>)</w:t>
      </w:r>
    </w:p>
    <w:p w14:paraId="2669BC94" w14:textId="77777777">
      <w:pPr>
        <w:pStyle w:val="Lista2"/>
      </w:pPr>
      <w:r>
        <w:t>apply this tag to whichever target graphemes are affected, but not to unaffected ones</w:t>
      </w:r>
    </w:p>
    <w:p w14:paraId="41743C27" w14:textId="77777777">
      <w:pPr>
        <w:pStyle w:val="Lista2"/>
      </w:pPr>
      <w:r>
        <w:t>if and only if the split-off component is itself affected, apply the tag to the placeholder and to the corresponding target grapheme separately, without including the encoded interruption</w:t>
      </w:r>
    </w:p>
    <w:p w14:paraId="23347B76" w14:textId="77777777">
      <w:pPr>
        <w:pStyle w:val="Lista2"/>
      </w:pPr>
      <w:r>
        <w:t>for example:</w:t>
      </w:r>
    </w:p>
    <w:p w14:paraId="2F7128CC" w14:textId="77777777">
      <w:pPr>
        <w:pStyle w:val="Lista3"/>
      </w:pPr>
      <w:r>
        <w:rPr>
          <w:rStyle w:val="ForeignTamilScript"/>
          <w:cs/>
        </w:rPr>
        <w:t>கெ</w:t>
      </w:r>
      <w:r>
        <w:t>&lt;&gt;</w:t>
      </w:r>
      <w:r>
        <w:rPr>
          <w:rStyle w:val="ForeignTamilScript"/>
          <w:color w:val="808080" w:themeColor="background1" w:themeShade="80"/>
          <w:cs/>
        </w:rPr>
        <w:t xml:space="preserve"> ா</w:t>
      </w:r>
      <w:r>
        <w:rPr>
          <w:cs/>
        </w:rPr>
        <w:t xml:space="preserve"> </w:t>
      </w:r>
      <w:r>
        <w:rPr>
          <w:rFonts w:cs="Gentium"/>
        </w:rPr>
        <w:t>→</w:t>
      </w:r>
      <w:r>
        <w:rPr>
          <w:rStyle w:val="ForeignTamilScript"/>
        </w:rPr>
        <w:t xml:space="preserve"> </w:t>
      </w:r>
      <w:r>
        <w:rPr>
          <w:rStyle w:val="Codetext"/>
        </w:rPr>
        <w:t>k</w:t>
      </w:r>
      <w:r>
        <w:rPr>
          <w:rStyle w:val="Code"/>
        </w:rPr>
        <w:t>&lt;unclear&gt;</w:t>
      </w:r>
      <w:r>
        <w:rPr>
          <w:rStyle w:val="Codetext"/>
        </w:rPr>
        <w:t>o</w:t>
      </w:r>
      <w:r>
        <w:rPr>
          <w:rStyle w:val="Code"/>
        </w:rPr>
        <w:t>&lt;/unclear&gt;&lt;&gt;&lt;unclear&gt;</w:t>
      </w:r>
      <w:r>
        <w:rPr>
          <w:rStyle w:val="Codetext"/>
          <w:rFonts w:ascii="Cambria Math" w:hAnsi="Cambria Math" w:cs="Cambria Math"/>
        </w:rPr>
        <w:t>⌉</w:t>
      </w:r>
      <w:r>
        <w:rPr>
          <w:rStyle w:val="Code"/>
        </w:rPr>
        <w:t>&lt;/unclear&gt;</w:t>
      </w:r>
    </w:p>
    <w:p w14:paraId="2336E62A" w14:textId="77777777">
      <w:pPr>
        <w:pStyle w:val="Lista3"/>
      </w:pPr>
      <w:r>
        <w:rPr>
          <w:rStyle w:val="ForeignTamilScript"/>
          <w:color w:val="808080" w:themeColor="background1" w:themeShade="80"/>
          <w:cs/>
        </w:rPr>
        <w:t>கெ</w:t>
      </w:r>
      <w:r>
        <w:t>&lt;&gt;</w:t>
      </w:r>
      <w:r>
        <w:rPr>
          <w:rStyle w:val="ForeignTamilScript"/>
          <w:cs/>
        </w:rPr>
        <w:t xml:space="preserve"> ா </w:t>
      </w:r>
      <w:r>
        <w:rPr>
          <w:rFonts w:cs="Gentium"/>
        </w:rPr>
        <w:t>→</w:t>
      </w:r>
      <w:r>
        <w:t xml:space="preserve"> </w:t>
      </w:r>
      <w:r>
        <w:rPr>
          <w:rStyle w:val="Code"/>
        </w:rPr>
        <w:t>&lt;unclear&gt;</w:t>
      </w:r>
      <w:r>
        <w:rPr>
          <w:rStyle w:val="Codetext"/>
        </w:rPr>
        <w:t>ko</w:t>
      </w:r>
      <w:r>
        <w:rPr>
          <w:rStyle w:val="Code"/>
        </w:rPr>
        <w:t>&lt;/unclear&gt;&lt;&gt;</w:t>
      </w:r>
      <w:r>
        <w:rPr>
          <w:rStyle w:val="Codetext"/>
          <w:rFonts w:ascii="Cambria Math" w:hAnsi="Cambria Math" w:cs="Cambria Math"/>
        </w:rPr>
        <w:t>⌉</w:t>
      </w:r>
    </w:p>
    <w:p w14:paraId="0C289AC0" w14:textId="77777777">
      <w:pPr>
        <w:pStyle w:val="Lista3"/>
      </w:pPr>
      <w:r>
        <w:rPr>
          <w:rStyle w:val="ForeignTamilScript"/>
          <w:color w:val="808080" w:themeColor="background1" w:themeShade="80"/>
          <w:cs/>
        </w:rPr>
        <w:t>ெ</w:t>
      </w:r>
      <w:r>
        <w:t>&lt;&gt;</w:t>
      </w:r>
      <w:r>
        <w:rPr>
          <w:rStyle w:val="ForeignTamilScript"/>
          <w:cs/>
        </w:rPr>
        <w:t>கா</w:t>
      </w:r>
      <w:r>
        <w:rPr>
          <w:cs/>
        </w:rPr>
        <w:t xml:space="preserve"> </w:t>
      </w:r>
      <w:r>
        <w:rPr>
          <w:rFonts w:cs="Gentium"/>
        </w:rPr>
        <w:t>→</w:t>
      </w:r>
      <w:r>
        <w:t xml:space="preserve"> </w:t>
      </w:r>
      <w:r>
        <w:rPr>
          <w:rStyle w:val="Code"/>
        </w:rPr>
        <w:t>&lt;unclear&gt;</w:t>
      </w:r>
      <w:r>
        <w:rPr>
          <w:rStyle w:val="Codetext"/>
          <w:rFonts w:ascii="Cambria Math" w:hAnsi="Cambria Math" w:cs="Cambria Math"/>
        </w:rPr>
        <w:t>⌈</w:t>
      </w:r>
      <w:r>
        <w:rPr>
          <w:rStyle w:val="Code"/>
        </w:rPr>
        <w:t>&lt;/unclear&gt;&lt;&gt;</w:t>
      </w:r>
      <w:r>
        <w:rPr>
          <w:rStyle w:val="Codetext"/>
        </w:rPr>
        <w:t>k</w:t>
      </w:r>
      <w:r>
        <w:rPr>
          <w:rStyle w:val="Code"/>
        </w:rPr>
        <w:t>&lt;unclear&gt;</w:t>
      </w:r>
      <w:r>
        <w:rPr>
          <w:rStyle w:val="Codetext"/>
        </w:rPr>
        <w:t>o</w:t>
      </w:r>
      <w:r>
        <w:rPr>
          <w:rStyle w:val="Code"/>
        </w:rPr>
        <w:t>&lt;/unclear&gt;</w:t>
      </w:r>
    </w:p>
    <w:p w14:paraId="0CC561CA" w14:textId="5DCF01AD">
      <w:pPr>
        <w:pStyle w:val="Lista2"/>
      </w:pPr>
      <w:r>
        <w:t xml:space="preserve">if the reading of some components is </w:t>
      </w:r>
      <w:r>
        <w:rPr>
          <w:b/>
          <w:bCs/>
        </w:rPr>
        <w:t>ambivalent</w:t>
      </w:r>
      <w:r>
        <w:t xml:space="preserve"> </w:t>
      </w:r>
      <w:r>
        <w:rPr>
          <w:noProof/>
        </w:rPr>
        <w:t>(</w:t>
      </w:r>
      <w:r>
        <w:t>§</w:t>
      </w:r>
      <w:r>
        <w:fldChar w:fldCharType="begin"/>
      </w:r>
      <w:r>
        <w:instrText xml:space="preserve"> REF _Ref43987339 \w \h  \* MERGEFORMAT </w:instrText>
      </w:r>
      <w:r>
        <w:fldChar w:fldCharType="separate"/>
      </w:r>
      <w:r>
        <w:t>6.3.2</w:t>
      </w:r>
      <w:r>
        <w:fldChar w:fldCharType="end"/>
      </w:r>
      <w:r>
        <w:t>)</w:t>
      </w:r>
    </w:p>
    <w:p w14:paraId="0B45320A" w14:textId="77777777">
      <w:pPr>
        <w:pStyle w:val="Lista3"/>
      </w:pPr>
      <w:r>
        <w:t>consider alternatives in the interest of minimising complexity</w:t>
      </w:r>
    </w:p>
    <w:p w14:paraId="789D7130" w14:textId="77777777">
      <w:pPr>
        <w:pStyle w:val="Lista4"/>
      </w:pPr>
      <w:r>
        <w:t xml:space="preserve">encoding the </w:t>
      </w:r>
      <w:r>
        <w:rPr>
          <w:rStyle w:val="Foreign"/>
        </w:rPr>
        <w:t>akṣara</w:t>
      </w:r>
      <w:r>
        <w:t xml:space="preserve"> as unclear may be sufficient for a reader familiar with the script to deduce the possible alternatives</w:t>
      </w:r>
    </w:p>
    <w:p w14:paraId="4B0C2A2F" w14:textId="77777777">
      <w:pPr>
        <w:pStyle w:val="Lista4"/>
      </w:pPr>
      <w:r>
        <w:t>annotation may be added to explain the nature of the problem to the human end user</w:t>
      </w:r>
    </w:p>
    <w:p w14:paraId="2CBB2EB5" w14:textId="77777777">
      <w:pPr>
        <w:pStyle w:val="Lista3"/>
      </w:pPr>
      <w:r>
        <w:t>if you deem that encoding ambivalence is essential</w:t>
      </w:r>
    </w:p>
    <w:p w14:paraId="23FBA33B" w14:textId="77777777">
      <w:pPr>
        <w:pStyle w:val="Lista4"/>
      </w:pPr>
      <w:r>
        <w:t>do so for the target graphemes concerned</w:t>
      </w:r>
    </w:p>
    <w:p w14:paraId="07B1E13C" w14:textId="77777777">
      <w:pPr>
        <w:pStyle w:val="Lista4"/>
      </w:pPr>
      <w:r>
        <w:t>add an unclear tag to the placeholder if the split-off component is affected</w:t>
      </w:r>
    </w:p>
    <w:p w14:paraId="4E1A6342" w14:textId="77777777">
      <w:pPr>
        <w:pStyle w:val="Lista4"/>
      </w:pPr>
      <w:r>
        <w:t>do not include the placeholder in the markup for ambivalence, and do not include the interruption itself in any markup</w:t>
      </w:r>
    </w:p>
    <w:p w14:paraId="655EB81C" w14:textId="77777777">
      <w:pPr>
        <w:pStyle w:val="Lista3"/>
      </w:pPr>
      <w:r>
        <w:t>for example:</w:t>
      </w:r>
    </w:p>
    <w:p w14:paraId="7DCA01E7" w14:textId="77777777">
      <w:pPr>
        <w:pStyle w:val="Lista4"/>
      </w:pPr>
      <w:r>
        <w:rPr>
          <w:rStyle w:val="ForeignTamilScript"/>
          <w:cs/>
        </w:rPr>
        <w:t>கெ</w:t>
      </w:r>
      <w:r>
        <w:t>&lt;&gt;</w:t>
      </w:r>
      <w:r>
        <w:rPr>
          <w:rStyle w:val="ForeignTamilScript"/>
          <w:color w:val="808080" w:themeColor="background1" w:themeShade="80"/>
          <w:cs/>
        </w:rPr>
        <w:t xml:space="preserve"> ா</w:t>
      </w:r>
      <w:r>
        <w:rPr>
          <w:rStyle w:val="ForeignTamilScript"/>
          <w:cs/>
        </w:rPr>
        <w:t xml:space="preserve"> </w:t>
      </w:r>
      <w:r>
        <w:rPr>
          <w:rStyle w:val="ForeignTamilScript"/>
        </w:rPr>
        <w:t>(</w:t>
      </w:r>
      <w:r>
        <w:t xml:space="preserve">where the unclear element after the interruption may be the glyph </w:t>
      </w:r>
      <w:r>
        <w:rPr>
          <w:rStyle w:val="ForeignTamilScript"/>
          <w:cs/>
        </w:rPr>
        <w:t xml:space="preserve">ர </w:t>
      </w:r>
      <w:r>
        <w:rPr>
          <w:rStyle w:val="Foreign"/>
        </w:rPr>
        <w:t>ra</w:t>
      </w:r>
      <w:r>
        <w:t xml:space="preserve"> instead of the vowel marker </w:t>
      </w:r>
      <w:r>
        <w:rPr>
          <w:rStyle w:val="ForeignTamilScript"/>
          <w:cs/>
        </w:rPr>
        <w:t>ா</w:t>
      </w:r>
      <w:r>
        <w:t xml:space="preserve">) </w:t>
      </w:r>
      <w:r>
        <w:rPr>
          <w:rFonts w:cs="Gentium"/>
        </w:rPr>
        <w:t>→</w:t>
      </w:r>
    </w:p>
    <w:p w14:paraId="49B80529" w14:textId="77777777">
      <w:pPr>
        <w:pStyle w:val="Lista5"/>
      </w:pPr>
      <w:r>
        <w:rPr>
          <w:rStyle w:val="Codetext"/>
        </w:rPr>
        <w:t>k</w:t>
      </w:r>
      <w:r>
        <w:rPr>
          <w:rStyle w:val="Code"/>
        </w:rPr>
        <w:t>&lt;choice&gt;&lt;unclear&gt;</w:t>
      </w:r>
      <w:r>
        <w:rPr>
          <w:rStyle w:val="Codetext"/>
        </w:rPr>
        <w:t>o</w:t>
      </w:r>
      <w:r>
        <w:rPr>
          <w:rStyle w:val="Code"/>
        </w:rPr>
        <w:t>&lt;/unclear&gt;&lt;unclear&gt;</w:t>
      </w:r>
      <w:r>
        <w:rPr>
          <w:rStyle w:val="Codetext"/>
        </w:rPr>
        <w:t>era</w:t>
      </w:r>
      <w:r>
        <w:rPr>
          <w:rStyle w:val="Code"/>
        </w:rPr>
        <w:t>&lt;/unclear&gt;&lt;/choice&gt;</w:t>
      </w:r>
      <w:r>
        <w:rPr>
          <w:rStyle w:val="Code"/>
        </w:rPr>
        <w:br/>
        <w:t>&lt;&gt;&lt;unclear&gt;</w:t>
      </w:r>
      <w:r>
        <w:rPr>
          <w:rStyle w:val="Codetext"/>
          <w:rFonts w:ascii="Cambria Math" w:hAnsi="Cambria Math" w:cs="Cambria Math"/>
        </w:rPr>
        <w:t>⌉</w:t>
      </w:r>
      <w:r>
        <w:rPr>
          <w:rStyle w:val="Code"/>
        </w:rPr>
        <w:t>&lt;/unclear&gt;</w:t>
      </w:r>
    </w:p>
    <w:p w14:paraId="33AAD4AE" w14:textId="77777777">
      <w:pPr>
        <w:pStyle w:val="Lista5"/>
      </w:pPr>
      <w:r>
        <w:t xml:space="preserve">note that in this case the second option of the </w:t>
      </w:r>
      <w:r>
        <w:rPr>
          <w:rStyle w:val="Code"/>
        </w:rPr>
        <w:t>&lt;choice&gt;</w:t>
      </w:r>
      <w:r>
        <w:t xml:space="preserve"> element produces the text </w:t>
      </w:r>
      <w:r>
        <w:rPr>
          <w:noProof/>
        </w:rPr>
        <w:t>“</w:t>
      </w:r>
      <w:r>
        <w:rPr>
          <w:rStyle w:val="Foreign"/>
        </w:rPr>
        <w:t>kera</w:t>
      </w:r>
      <w:r>
        <w:t xml:space="preserve">&lt;&gt;⌉”, where the placeholder sign must be understood to mean that the entire preceding </w:t>
      </w:r>
      <w:r>
        <w:rPr>
          <w:rStyle w:val="Foreign"/>
        </w:rPr>
        <w:t>akṣara</w:t>
      </w:r>
      <w:r>
        <w:t xml:space="preserve"> </w:t>
      </w:r>
      <w:r>
        <w:rPr>
          <w:noProof/>
        </w:rPr>
        <w:t>(</w:t>
      </w:r>
      <w:r>
        <w:t xml:space="preserve">i.e. </w:t>
      </w:r>
      <w:r>
        <w:rPr>
          <w:rStyle w:val="Foreign"/>
        </w:rPr>
        <w:t>ra</w:t>
      </w:r>
      <w:r>
        <w:t>), rather than just one component of it, is located after the interruption</w:t>
      </w:r>
      <w:r>
        <w:rPr>
          <w:rStyle w:val="Lbjegyzet-hivatkozs"/>
        </w:rPr>
        <w:footnoteReference w:id="19"/>
      </w:r>
    </w:p>
    <w:p w14:paraId="3BADE86F" w14:textId="757B365F">
      <w:pPr>
        <w:pStyle w:val="Lista2"/>
      </w:pPr>
      <w:r>
        <w:t xml:space="preserve">if an adjacent </w:t>
      </w:r>
      <w:r>
        <w:rPr>
          <w:b/>
          <w:bCs/>
        </w:rPr>
        <w:t>lacuna</w:t>
      </w:r>
      <w:r>
        <w:t xml:space="preserve"> has obliterated a split-off component which you </w:t>
      </w:r>
      <w:r>
        <w:rPr>
          <w:b/>
          <w:bCs/>
        </w:rPr>
        <w:t>supply</w:t>
      </w:r>
      <w:r>
        <w:t xml:space="preserve"> </w:t>
      </w:r>
      <w:r>
        <w:rPr>
          <w:noProof/>
        </w:rPr>
        <w:t>(</w:t>
      </w:r>
      <w:r>
        <w:t>§</w:t>
      </w:r>
      <w:r>
        <w:fldChar w:fldCharType="begin"/>
      </w:r>
      <w:r>
        <w:instrText xml:space="preserve"> REF _Ref228459751 \r \h </w:instrText>
      </w:r>
      <w:r>
        <w:fldChar w:fldCharType="separate"/>
      </w:r>
      <w:r>
        <w:t>6.4</w:t>
      </w:r>
      <w:r>
        <w:fldChar w:fldCharType="end"/>
      </w:r>
      <w:r>
        <w:t>)</w:t>
      </w:r>
    </w:p>
    <w:p w14:paraId="19BAC045" w14:textId="77777777">
      <w:pPr>
        <w:pStyle w:val="Lista3"/>
      </w:pPr>
      <w:r>
        <w:t>mark up the affected vowel</w:t>
      </w:r>
    </w:p>
    <w:p w14:paraId="2C6ED7A8" w14:textId="77777777">
      <w:pPr>
        <w:pStyle w:val="Lista4"/>
      </w:pPr>
      <w:r>
        <w:t>as supplied if it consists only of the supplied split-off component</w:t>
      </w:r>
    </w:p>
    <w:p w14:paraId="33541189" w14:textId="77777777">
      <w:pPr>
        <w:pStyle w:val="Lista4"/>
      </w:pPr>
      <w:r>
        <w:t xml:space="preserve">as unclear if it consists of an extant component </w:t>
      </w:r>
      <w:r>
        <w:rPr>
          <w:rStyle w:val="Foreign"/>
        </w:rPr>
        <w:t>and</w:t>
      </w:r>
      <w:r>
        <w:t xml:space="preserve"> a supplied split-off component</w:t>
      </w:r>
    </w:p>
    <w:p w14:paraId="3B3195E1" w14:textId="77777777">
      <w:pPr>
        <w:pStyle w:val="Lista3"/>
      </w:pPr>
      <w:r>
        <w:t>mark up the placeholder as supplied</w:t>
      </w:r>
    </w:p>
    <w:p w14:paraId="784F9BCC" w14:textId="77777777">
      <w:pPr>
        <w:pStyle w:val="Lista3"/>
      </w:pPr>
      <w:r>
        <w:t>do not include the interruption itself in any markup</w:t>
      </w:r>
    </w:p>
    <w:p w14:paraId="2118D0C1" w14:textId="77777777">
      <w:pPr>
        <w:pStyle w:val="Lista3"/>
      </w:pPr>
      <w:r>
        <w:t>for example</w:t>
      </w:r>
    </w:p>
    <w:p w14:paraId="500D4877" w14:textId="77777777">
      <w:pPr>
        <w:pStyle w:val="Lista4"/>
      </w:pPr>
      <w:r>
        <w:rPr>
          <w:rStyle w:val="ForeignTamilScript"/>
          <w:cs/>
        </w:rPr>
        <w:t>கெ</w:t>
      </w:r>
      <w:r>
        <w:t>&lt;&gt;</w:t>
      </w:r>
      <w:r>
        <w:rPr>
          <w:rStyle w:val="ForeignTamilScript"/>
          <w:color w:val="808080" w:themeColor="background1" w:themeShade="80"/>
          <w:cs/>
        </w:rPr>
        <w:t xml:space="preserve"> ா</w:t>
      </w:r>
      <w:r>
        <w:rPr>
          <w:cs/>
        </w:rPr>
        <w:t xml:space="preserve"> </w:t>
      </w:r>
      <w:r>
        <w:t xml:space="preserve">(with grey text for the restored lacuna) </w:t>
      </w:r>
      <w:r>
        <w:rPr>
          <w:rFonts w:cs="Gentium"/>
        </w:rPr>
        <w:t>→</w:t>
      </w:r>
    </w:p>
    <w:p w14:paraId="28A1DA98" w14:textId="77777777">
      <w:pPr>
        <w:pStyle w:val="Lista5"/>
      </w:pPr>
      <w:r>
        <w:rPr>
          <w:rStyle w:val="Codetext"/>
        </w:rPr>
        <w:t>k</w:t>
      </w:r>
      <w:r>
        <w:rPr>
          <w:rStyle w:val="Code"/>
        </w:rPr>
        <w:t>&lt;unclear&gt;</w:t>
      </w:r>
      <w:r>
        <w:rPr>
          <w:rStyle w:val="Codetext"/>
        </w:rPr>
        <w:t>o</w:t>
      </w:r>
      <w:r>
        <w:rPr>
          <w:rStyle w:val="Code"/>
        </w:rPr>
        <w:t>&lt;/unclear&gt;</w:t>
      </w:r>
      <w:r>
        <w:rPr>
          <w:rStyle w:val="Code"/>
        </w:rPr>
        <w:br/>
        <w:t xml:space="preserve">&lt;&gt;&lt;supplied </w:t>
      </w:r>
      <w:r>
        <w:rPr>
          <w:rStyle w:val="Codeattribute"/>
        </w:rPr>
        <w:t>reason</w:t>
      </w:r>
      <w:r>
        <w:rPr>
          <w:rStyle w:val="Code"/>
        </w:rPr>
        <w:t>=</w:t>
      </w:r>
      <w:r>
        <w:rPr>
          <w:rStyle w:val="Codevalue"/>
        </w:rPr>
        <w:t>"lost"</w:t>
      </w:r>
      <w:r>
        <w:rPr>
          <w:rStyle w:val="Code"/>
        </w:rPr>
        <w:t>&gt;</w:t>
      </w:r>
      <w:r>
        <w:rPr>
          <w:rStyle w:val="Codetext"/>
          <w:rFonts w:ascii="Cambria Math" w:hAnsi="Cambria Math" w:cs="Cambria Math"/>
        </w:rPr>
        <w:t>⌉</w:t>
      </w:r>
      <w:r>
        <w:rPr>
          <w:rStyle w:val="Code"/>
        </w:rPr>
        <w:t>&lt;/supplied&gt;</w:t>
      </w:r>
    </w:p>
    <w:p w14:paraId="644BB921" w14:textId="77777777">
      <w:pPr>
        <w:pStyle w:val="Lista4"/>
      </w:pPr>
      <w:r>
        <w:rPr>
          <w:rStyle w:val="ForeignTamilScript"/>
          <w:color w:val="808080" w:themeColor="background1" w:themeShade="80"/>
          <w:cs/>
        </w:rPr>
        <w:t>ெ</w:t>
      </w:r>
      <w:r>
        <w:t>&lt;&gt;</w:t>
      </w:r>
      <w:r>
        <w:rPr>
          <w:rStyle w:val="ForeignTamilScript"/>
          <w:cs/>
        </w:rPr>
        <w:t>க</w:t>
      </w:r>
      <w:r>
        <w:rPr>
          <w:cs/>
        </w:rPr>
        <w:t xml:space="preserve"> </w:t>
      </w:r>
      <w:r>
        <w:rPr>
          <w:rFonts w:cs="Gentium"/>
        </w:rPr>
        <w:t>→</w:t>
      </w:r>
    </w:p>
    <w:p w14:paraId="480A24DE" w14:textId="77777777">
      <w:pPr>
        <w:pStyle w:val="Lista5"/>
      </w:pPr>
      <w:r>
        <w:rPr>
          <w:rStyle w:val="Code"/>
        </w:rPr>
        <w:t xml:space="preserve">&lt;supplied </w:t>
      </w:r>
      <w:r>
        <w:rPr>
          <w:rStyle w:val="Codeattribute"/>
        </w:rPr>
        <w:t>reason</w:t>
      </w:r>
      <w:r>
        <w:rPr>
          <w:rStyle w:val="Code"/>
        </w:rPr>
        <w:t>=</w:t>
      </w:r>
      <w:r>
        <w:rPr>
          <w:rStyle w:val="Codevalue"/>
        </w:rPr>
        <w:t>"lost"</w:t>
      </w:r>
      <w:r>
        <w:rPr>
          <w:rStyle w:val="Code"/>
        </w:rPr>
        <w:t>&gt;</w:t>
      </w:r>
      <w:r>
        <w:rPr>
          <w:rStyle w:val="Codetext"/>
          <w:rFonts w:ascii="Cambria Math" w:hAnsi="Cambria Math" w:cs="Cambria Math"/>
        </w:rPr>
        <w:t>⌈</w:t>
      </w:r>
      <w:r>
        <w:rPr>
          <w:rStyle w:val="Code"/>
        </w:rPr>
        <w:t>&lt;/supplied&gt;</w:t>
      </w:r>
      <w:r>
        <w:rPr>
          <w:rStyle w:val="Code"/>
        </w:rPr>
        <w:br/>
        <w:t>&lt;&gt;</w:t>
      </w:r>
      <w:r>
        <w:rPr>
          <w:rStyle w:val="Codetext"/>
        </w:rPr>
        <w:t>k</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e</w:t>
      </w:r>
      <w:r>
        <w:rPr>
          <w:rStyle w:val="Code"/>
        </w:rPr>
        <w:t>&lt;/supplied&gt;</w:t>
      </w:r>
    </w:p>
    <w:p w14:paraId="4835387B" w14:textId="77777777">
      <w:pPr>
        <w:pStyle w:val="Lista2"/>
      </w:pPr>
      <w:r>
        <w:t xml:space="preserve">if an adjacent </w:t>
      </w:r>
      <w:r>
        <w:rPr>
          <w:b/>
          <w:bCs/>
        </w:rPr>
        <w:t>lacuna</w:t>
      </w:r>
      <w:r>
        <w:t xml:space="preserve"> may have obliterated a split-off component but you </w:t>
      </w:r>
      <w:r>
        <w:rPr>
          <w:b/>
          <w:bCs/>
        </w:rPr>
        <w:t xml:space="preserve">do not supply </w:t>
      </w:r>
      <w:r>
        <w:t>this even tentatively</w:t>
      </w:r>
    </w:p>
    <w:p w14:paraId="3CC4ACBD" w14:textId="77777777">
      <w:pPr>
        <w:pStyle w:val="Lista3"/>
      </w:pPr>
      <w:r>
        <w:t xml:space="preserve">simply mark up the </w:t>
      </w:r>
      <w:r>
        <w:rPr>
          <w:rStyle w:val="Foreign"/>
        </w:rPr>
        <w:t>extant</w:t>
      </w:r>
      <w:r>
        <w:t xml:space="preserve"> vowel component as unclear and leave it to the proficient reader to deduce the fact that an additional component may have been destroyed in the lacuna</w:t>
      </w:r>
    </w:p>
    <w:p w14:paraId="60239145" w14:textId="77777777">
      <w:pPr>
        <w:pStyle w:val="Cmsor3"/>
      </w:pPr>
      <w:bookmarkStart w:id="393" w:name="_Ref226033790"/>
      <w:bookmarkStart w:id="394" w:name="_Toc242889493"/>
      <w:r>
        <w:t>Phonographic glyphs in a different function</w:t>
      </w:r>
      <w:bookmarkEnd w:id="393"/>
      <w:bookmarkEnd w:id="394"/>
    </w:p>
    <w:p w14:paraId="4F88F043" w14:textId="7CA79AC6">
      <w:pPr>
        <w:rPr>
          <w:lang w:eastAsia="en-US" w:bidi="ar-SA"/>
        </w:rPr>
      </w:pPr>
      <w:r>
        <w:rPr>
          <w:lang w:eastAsia="en-US" w:bidi="ar-SA"/>
        </w:rPr>
        <w:t xml:space="preserve">The glyphs that normally manifest phonographic graphemes or </w:t>
      </w:r>
      <w:r>
        <w:rPr>
          <w:rStyle w:val="Foreign"/>
        </w:rPr>
        <w:t>akṣara</w:t>
      </w:r>
      <w:r>
        <w:rPr>
          <w:noProof/>
          <w:lang w:eastAsia="en-US" w:bidi="ar-SA"/>
        </w:rPr>
        <w:t>s</w:t>
      </w:r>
      <w:r>
        <w:rPr>
          <w:lang w:eastAsia="en-US" w:bidi="ar-SA"/>
        </w:rPr>
        <w:t xml:space="preserve"> may occasionally be used in other graphemic functions. </w:t>
      </w:r>
      <w:r>
        <w:t xml:space="preserve">For example, the glyphs for |ka|, |kha| etc. may be used for numeration, while those for </w:t>
      </w:r>
      <w:r>
        <w:rPr>
          <w:rStyle w:val="ForeignIndic"/>
        </w:rPr>
        <w:t>|tha|</w:t>
      </w:r>
      <w:r>
        <w:t xml:space="preserve">, </w:t>
      </w:r>
      <w:r>
        <w:rPr>
          <w:rStyle w:val="ForeignIndic"/>
        </w:rPr>
        <w:t>|cha|</w:t>
      </w:r>
      <w:r>
        <w:t xml:space="preserve"> or </w:t>
      </w:r>
      <w:r>
        <w:rPr>
          <w:rStyle w:val="ForeignIndic"/>
        </w:rPr>
        <w:t>|chaḥ|</w:t>
      </w:r>
      <w:r>
        <w:t xml:space="preserve"> may be employed as closing symbols at the end of texts. In such cases, transliterate the </w:t>
      </w:r>
      <w:r>
        <w:lastRenderedPageBreak/>
        <w:t>glyph with the appropriate phonographic target graphemes</w:t>
      </w:r>
      <w:r>
        <w:rPr>
          <w:lang w:eastAsia="en-US" w:bidi="ar-SA"/>
        </w:rPr>
        <w:t>. However, as per TG §6.2, symbol glyphs whose shape is similar to a phonographic glyph but not identical to that glyph as attested or expected in the given writing system shall be treated as peripheral graphemes and encoded accordingly (§</w:t>
      </w:r>
      <w:r>
        <w:rPr>
          <w:lang w:eastAsia="en-US" w:bidi="ar-SA"/>
        </w:rPr>
        <w:fldChar w:fldCharType="begin"/>
      </w:r>
      <w:r>
        <w:rPr>
          <w:lang w:eastAsia="en-US" w:bidi="ar-SA"/>
        </w:rPr>
        <w:instrText xml:space="preserve"> REF _Ref226033363 \r \h </w:instrText>
      </w:r>
      <w:r>
        <w:rPr>
          <w:lang w:eastAsia="en-US" w:bidi="ar-SA"/>
        </w:rPr>
      </w:r>
      <w:r>
        <w:rPr>
          <w:lang w:eastAsia="en-US" w:bidi="ar-SA"/>
        </w:rPr>
        <w:fldChar w:fldCharType="separate"/>
      </w:r>
      <w:r>
        <w:rPr>
          <w:lang w:eastAsia="en-US" w:bidi="ar-SA"/>
        </w:rPr>
        <w:t>5.4</w:t>
      </w:r>
      <w:r>
        <w:rPr>
          <w:lang w:eastAsia="en-US" w:bidi="ar-SA"/>
        </w:rPr>
        <w:fldChar w:fldCharType="end"/>
      </w:r>
      <w:r>
        <w:rPr>
          <w:lang w:eastAsia="en-US" w:bidi="ar-SA"/>
        </w:rPr>
        <w:t>).</w:t>
      </w:r>
    </w:p>
    <w:p w14:paraId="53761F44" w14:textId="77777777">
      <w:pPr>
        <w:pStyle w:val="Cmsor2"/>
      </w:pPr>
      <w:bookmarkStart w:id="395" w:name="_f8rlfquf7u2o" w:colFirst="0" w:colLast="0"/>
      <w:bookmarkStart w:id="396" w:name="_Ref226015920"/>
      <w:bookmarkStart w:id="397" w:name="_Toc242889494"/>
      <w:bookmarkEnd w:id="395"/>
      <w:r>
        <w:t>Numeral signs</w:t>
      </w:r>
      <w:bookmarkEnd w:id="396"/>
      <w:bookmarkEnd w:id="397"/>
    </w:p>
    <w:p w14:paraId="759A673D" w14:textId="51B1ECAE">
      <w:pPr>
        <w:rPr>
          <w:lang w:eastAsia="en-US" w:bidi="ar-SA"/>
        </w:rPr>
      </w:pPr>
      <w:r>
        <w:rPr>
          <w:lang w:eastAsia="en-US" w:bidi="ar-SA"/>
        </w:rPr>
        <w:t>As core graphemes of our transliteration system, numerals are rendered with Arabic numerals in transliteration, and this transliteration identifies the applicable source grapheme with sufficient accuracy. However, source numeral graphemes which are represented by something other than a single Arabic numeral require encoding as per §</w:t>
      </w:r>
      <w:r>
        <w:rPr>
          <w:lang w:eastAsia="en-US" w:bidi="ar-SA"/>
        </w:rPr>
        <w:fldChar w:fldCharType="begin"/>
      </w:r>
      <w:r>
        <w:rPr>
          <w:lang w:eastAsia="en-US" w:bidi="ar-SA"/>
        </w:rPr>
        <w:instrText xml:space="preserve"> REF _Ref225950738 \r \h </w:instrText>
      </w:r>
      <w:r>
        <w:rPr>
          <w:lang w:eastAsia="en-US" w:bidi="ar-SA"/>
        </w:rPr>
      </w:r>
      <w:r>
        <w:rPr>
          <w:lang w:eastAsia="en-US" w:bidi="ar-SA"/>
        </w:rPr>
        <w:fldChar w:fldCharType="separate"/>
      </w:r>
      <w:r>
        <w:rPr>
          <w:lang w:eastAsia="en-US" w:bidi="ar-SA"/>
        </w:rPr>
        <w:t>5.3.1</w:t>
      </w:r>
      <w:r>
        <w:rPr>
          <w:lang w:eastAsia="en-US" w:bidi="ar-SA"/>
        </w:rPr>
        <w:fldChar w:fldCharType="end"/>
      </w:r>
      <w:r>
        <w:rPr>
          <w:lang w:eastAsia="en-US" w:bidi="ar-SA"/>
        </w:rPr>
        <w:t xml:space="preserve"> when used in an XML context, in order to make it clear that a cluster of target graphemes represents a single numeral in the source. </w:t>
      </w:r>
    </w:p>
    <w:p w14:paraId="3F7792CF" w14:textId="77777777">
      <w:pPr>
        <w:pStyle w:val="Lista"/>
      </w:pPr>
      <w:r>
        <w:t>in addition to the glyph encoding presented in this section, in DHARMA practice all numbers are also encoded for their semantic value</w:t>
      </w:r>
    </w:p>
    <w:p w14:paraId="6947EE95" w14:textId="55E72B85">
      <w:pPr>
        <w:pStyle w:val="Lista2"/>
      </w:pPr>
      <w:r>
        <w:t>because value encoding can also apply to numbers represented in words, it is described in §</w:t>
      </w:r>
      <w:r>
        <w:fldChar w:fldCharType="begin"/>
      </w:r>
      <w:r>
        <w:instrText xml:space="preserve"> REF _Ref43980607 \r \h  \* MERGEFORMAT </w:instrText>
      </w:r>
      <w:r>
        <w:fldChar w:fldCharType="separate"/>
      </w:r>
      <w:r>
        <w:t>9.1</w:t>
      </w:r>
      <w:r>
        <w:fldChar w:fldCharType="end"/>
      </w:r>
      <w:r>
        <w:t xml:space="preserve"> under the generic section on encoding semantic information</w:t>
      </w:r>
    </w:p>
    <w:p w14:paraId="0798ACBD" w14:textId="06EB0FB2">
      <w:pPr>
        <w:pStyle w:val="Lista"/>
      </w:pPr>
      <w:r>
        <w:t>occasionally, a glyph that normally represents a numeral is employed in a different function, which is to be handled according to §</w:t>
      </w:r>
      <w:r>
        <w:fldChar w:fldCharType="begin"/>
      </w:r>
      <w:r>
        <w:instrText xml:space="preserve"> REF _Ref226033797 \r \h </w:instrText>
      </w:r>
      <w:r>
        <w:fldChar w:fldCharType="separate"/>
      </w:r>
      <w:r>
        <w:t>5.3.3</w:t>
      </w:r>
      <w:r>
        <w:fldChar w:fldCharType="end"/>
      </w:r>
      <w:r>
        <w:t xml:space="preserve"> </w:t>
      </w:r>
    </w:p>
    <w:p w14:paraId="072783A3" w14:textId="77777777">
      <w:pPr>
        <w:pStyle w:val="Cmsor3"/>
      </w:pPr>
      <w:bookmarkStart w:id="398" w:name="_Ref225950738"/>
      <w:bookmarkStart w:id="399" w:name="_Toc242889495"/>
      <w:r>
        <w:t>Glyph encoding for numerals</w:t>
      </w:r>
      <w:bookmarkEnd w:id="398"/>
      <w:bookmarkEnd w:id="399"/>
    </w:p>
    <w:p w14:paraId="11F1C7CE" w14:textId="69872AD0">
      <w:pPr>
        <w:rPr>
          <w:lang w:eastAsia="en-US" w:bidi="ar-SA"/>
        </w:rPr>
      </w:pPr>
      <w:r>
        <w:t xml:space="preserve">We use the TEI element </w:t>
      </w:r>
      <w:r>
        <w:rPr>
          <w:rStyle w:val="Code"/>
        </w:rPr>
        <w:t>&lt;g&gt;</w:t>
      </w:r>
      <w:r>
        <w:t xml:space="preserve"> </w:t>
      </w:r>
      <w:r>
        <w:rPr>
          <w:noProof/>
        </w:rPr>
        <w:t>(</w:t>
      </w:r>
      <w:r>
        <w:t>for “glyph” or “gaiji”</w:t>
      </w:r>
      <w:r>
        <w:rPr>
          <w:rStyle w:val="Lbjegyzet-hivatkozs"/>
        </w:rPr>
        <w:footnoteReference w:id="20"/>
      </w:r>
      <w:r>
        <w:t>) in the encoding of all glyphs other than phonographic ones and decimal digits. The use of this element indicates that our set of target graphemes provides no direct equivalent to the original glyph, and that the contents of this element represent a single source grapheme.</w:t>
      </w:r>
    </w:p>
    <w:p w14:paraId="038AD72C" w14:textId="215AB22D">
      <w:pPr>
        <w:pStyle w:val="Lista"/>
      </w:pPr>
      <w:r>
        <w:t xml:space="preserve">when a single source numeral glyph is represented in transliteration with anything other than a single Arabic numeral, wrap the transliterated grapheme(s) in </w:t>
      </w:r>
      <w:r>
        <w:rPr>
          <w:rStyle w:val="Code"/>
        </w:rPr>
        <w:t xml:space="preserve">&lt;g </w:t>
      </w:r>
      <w:r>
        <w:rPr>
          <w:rStyle w:val="Codeattribute"/>
        </w:rPr>
        <w:t>type</w:t>
      </w:r>
      <w:r>
        <w:rPr>
          <w:rStyle w:val="Code"/>
        </w:rPr>
        <w:t>=</w:t>
      </w:r>
      <w:r>
        <w:rPr>
          <w:rStyle w:val="Codevalue"/>
        </w:rPr>
        <w:t>"numeral"</w:t>
      </w:r>
      <w:r>
        <w:rPr>
          <w:rStyle w:val="Code"/>
        </w:rPr>
        <w:t>&gt;</w:t>
      </w:r>
    </w:p>
    <w:p w14:paraId="006D6258" w14:textId="77777777">
      <w:pPr>
        <w:pStyle w:val="Cmsor4"/>
      </w:pPr>
      <w:r>
        <w:t>No glyph encoding for digital numerals</w:t>
      </w:r>
    </w:p>
    <w:tbl>
      <w:tblPr>
        <w:tblStyle w:val="CodeSampleTable"/>
        <w:tblpPr w:leftFromText="180" w:rightFromText="180" w:vertAnchor="text" w:tblpXSpec="right" w:tblpY="1"/>
        <w:tblOverlap w:val="never"/>
        <w:tblW w:w="3686" w:type="dxa"/>
        <w:tblLook w:val="04A0" w:firstRow="1" w:lastRow="0" w:firstColumn="1" w:lastColumn="0" w:noHBand="0" w:noVBand="1"/>
      </w:tblPr>
      <w:tblGrid>
        <w:gridCol w:w="3686"/>
      </w:tblGrid>
      <w:tr w14:paraId="7F485D8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F6275A6" w14:textId="78398050">
            <w:pPr>
              <w:pStyle w:val="Kpalrs"/>
            </w:pPr>
            <w:bookmarkStart w:id="400" w:name="_Ref225951763"/>
            <w:r>
              <w:t xml:space="preserve">Exhibit </w:t>
            </w:r>
            <w:fldSimple w:instr=" STYLEREF 2 \s ">
              <w:r>
                <w:rPr>
                  <w:noProof/>
                </w:rPr>
                <w:t>5.3</w:t>
              </w:r>
            </w:fldSimple>
            <w:r>
              <w:t>.</w:t>
            </w:r>
            <w:fldSimple w:instr=" SEQ Exhibit \* ALPHABETIC \s 2 ">
              <w:r>
                <w:rPr>
                  <w:noProof/>
                </w:rPr>
                <w:t>A</w:t>
              </w:r>
            </w:fldSimple>
            <w:bookmarkEnd w:id="400"/>
            <w:r>
              <w:t>: a digital numeral</w:t>
            </w:r>
          </w:p>
        </w:tc>
      </w:tr>
      <w:tr w14:paraId="2CCAD5E6" w14:textId="77777777">
        <w:tc>
          <w:tcPr>
            <w:tcW w:w="0" w:type="auto"/>
          </w:tcPr>
          <w:p w14:paraId="16393C4B" w14:textId="77777777">
            <w:pPr>
              <w:pStyle w:val="Image"/>
            </w:pPr>
            <w:r>
              <w:drawing>
                <wp:inline distT="0" distB="0" distL="0" distR="0" wp14:anchorId="6931C5E5" wp14:editId="3581C2DA">
                  <wp:extent cx="1796400" cy="720000"/>
                  <wp:effectExtent l="0" t="0" r="0" b="4445"/>
                  <wp:docPr id="92449898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796400" cy="720000"/>
                          </a:xfrm>
                          <a:prstGeom prst="rect">
                            <a:avLst/>
                          </a:prstGeom>
                          <a:noFill/>
                          <a:ln>
                            <a:noFill/>
                          </a:ln>
                        </pic:spPr>
                      </pic:pic>
                    </a:graphicData>
                  </a:graphic>
                </wp:inline>
              </w:drawing>
            </w:r>
          </w:p>
        </w:tc>
      </w:tr>
      <w:tr w14:paraId="55C94A64" w14:textId="77777777">
        <w:tc>
          <w:tcPr>
            <w:tcW w:w="0" w:type="auto"/>
          </w:tcPr>
          <w:p w14:paraId="7C7CAB6C" w14:textId="77777777">
            <w:pPr>
              <w:pStyle w:val="CodeParagraph"/>
              <w:rPr>
                <w:rStyle w:val="Codetext"/>
                <w:rFonts w:ascii="Gentium" w:hAnsi="Gentium" w:cs="Tiro Devanagari Sanskrit"/>
                <w:noProof w:val="0"/>
                <w:color w:val="auto"/>
                <w:shd w:val="clear" w:color="auto" w:fill="auto"/>
              </w:rPr>
            </w:pPr>
            <w:r>
              <w:rPr>
                <w:rStyle w:val="Code"/>
              </w:rPr>
              <w:t xml:space="preserve">&lt;num </w:t>
            </w:r>
            <w:r>
              <w:rPr>
                <w:rStyle w:val="Codeattribute"/>
              </w:rPr>
              <w:t>value</w:t>
            </w:r>
            <w:r>
              <w:rPr>
                <w:rStyle w:val="Codetext"/>
              </w:rPr>
              <w:t>=</w:t>
            </w:r>
            <w:r>
              <w:rPr>
                <w:rStyle w:val="Codevalue"/>
              </w:rPr>
              <w:t>"1218"</w:t>
            </w:r>
            <w:r>
              <w:rPr>
                <w:rStyle w:val="Code"/>
              </w:rPr>
              <w:t>&gt;</w:t>
            </w:r>
            <w:r>
              <w:rPr>
                <w:rStyle w:val="Codetext"/>
              </w:rPr>
              <w:t>1218</w:t>
            </w:r>
            <w:r>
              <w:rPr>
                <w:rStyle w:val="Code"/>
              </w:rPr>
              <w:t>&lt;/num&gt;</w:t>
            </w:r>
          </w:p>
        </w:tc>
      </w:tr>
      <w:tr w14:paraId="6AE0C2BA" w14:textId="77777777">
        <w:tc>
          <w:tcPr>
            <w:tcW w:w="0" w:type="auto"/>
          </w:tcPr>
          <w:p w14:paraId="2637B76B" w14:textId="77777777">
            <w:pPr>
              <w:pStyle w:val="TableNote"/>
            </w:pPr>
            <w:r>
              <w:t>decimal digits need no glyph markup</w:t>
            </w:r>
          </w:p>
          <w:p w14:paraId="42845C96" w14:textId="02CB867E">
            <w:pPr>
              <w:pStyle w:val="TableNote"/>
              <w:rPr>
                <w:rStyle w:val="Codetext"/>
                <w:color w:val="002060"/>
              </w:rPr>
            </w:pPr>
            <w:r>
              <w:t>semantic markup added as per §</w:t>
            </w:r>
            <w:r>
              <w:fldChar w:fldCharType="begin"/>
            </w:r>
            <w:r>
              <w:instrText xml:space="preserve"> REF _Ref43980607 \r \h  \* MERGEFORMAT </w:instrText>
            </w:r>
            <w:r>
              <w:fldChar w:fldCharType="separate"/>
            </w:r>
            <w:r>
              <w:t>9.1</w:t>
            </w:r>
            <w:r>
              <w:fldChar w:fldCharType="end"/>
            </w:r>
          </w:p>
        </w:tc>
      </w:tr>
    </w:tbl>
    <w:p w14:paraId="4B9B4A69" w14:textId="77777777">
      <w:r>
        <w:t xml:space="preserve">Encoding with </w:t>
      </w:r>
      <w:r>
        <w:rPr>
          <w:rStyle w:val="Code"/>
        </w:rPr>
        <w:t>&lt;g&gt;</w:t>
      </w:r>
      <w:r>
        <w:t xml:space="preserve"> is not needed (and must not be added) to decimal digits, i.e. the integers 0 to 9 represented in the source by an individual grapheme.</w:t>
      </w:r>
    </w:p>
    <w:p w14:paraId="1F828D44" w14:textId="77777777">
      <w:pPr>
        <w:pStyle w:val="Lista"/>
      </w:pPr>
      <w:r>
        <w:t>do not use glyph markup for</w:t>
      </w:r>
    </w:p>
    <w:p w14:paraId="6E722B7D" w14:textId="72B00233">
      <w:pPr>
        <w:pStyle w:val="Lista2"/>
      </w:pPr>
      <w:r>
        <w:t xml:space="preserve">standalone digits, as the second 8 in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p>
    <w:p w14:paraId="2CFB46AF" w14:textId="00334E0D">
      <w:pPr>
        <w:pStyle w:val="Lista2"/>
      </w:pPr>
      <w:r>
        <w:t xml:space="preserve">digits conjoined additively to non-digital numeral signs, as the first 8 and the 5 in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p>
    <w:p w14:paraId="3ED36D2F" w14:textId="2BE31B18">
      <w:pPr>
        <w:pStyle w:val="Lista2"/>
      </w:pPr>
      <w:r>
        <w:t xml:space="preserve">multiple digits used in place-value notation for a larger number, as in </w:t>
      </w:r>
      <w:r>
        <w:fldChar w:fldCharType="begin"/>
      </w:r>
      <w:r>
        <w:instrText xml:space="preserve"> REF _Ref225951763 \h </w:instrText>
      </w:r>
      <w:r>
        <w:fldChar w:fldCharType="separate"/>
      </w:r>
      <w:r>
        <w:t xml:space="preserve">Exhibit </w:t>
      </w:r>
      <w:r>
        <w:rPr>
          <w:noProof/>
        </w:rPr>
        <w:t>5.3</w:t>
      </w:r>
      <w:r>
        <w:t>.</w:t>
      </w:r>
      <w:r>
        <w:rPr>
          <w:noProof/>
        </w:rPr>
        <w:t>A</w:t>
      </w:r>
      <w:r>
        <w:fldChar w:fldCharType="end"/>
      </w:r>
    </w:p>
    <w:p w14:paraId="50107419" w14:textId="53612208">
      <w:pPr>
        <w:pStyle w:val="Cmsor4"/>
      </w:pPr>
      <w:r>
        <w:t>Encoding non-digital numerals</w:t>
      </w:r>
    </w:p>
    <w:p w14:paraId="2242BCA0" w14:textId="23054221">
      <w:r>
        <w:t xml:space="preserve">All non-digital numerals must be individually wrapped in </w:t>
      </w:r>
      <w:r>
        <w:rPr>
          <w:rStyle w:val="Code"/>
        </w:rPr>
        <w:t xml:space="preserve">&lt;g </w:t>
      </w:r>
      <w:r>
        <w:rPr>
          <w:rStyle w:val="Codeattribute"/>
        </w:rPr>
        <w:t>type</w:t>
      </w:r>
      <w:r>
        <w:rPr>
          <w:rStyle w:val="Code"/>
        </w:rPr>
        <w:t>=</w:t>
      </w:r>
      <w:r>
        <w:rPr>
          <w:rStyle w:val="Codevalue"/>
        </w:rPr>
        <w:t>"numeral"</w:t>
      </w:r>
      <w:r>
        <w:rPr>
          <w:rStyle w:val="Code"/>
        </w:rPr>
        <w:t>&gt;</w:t>
      </w:r>
      <w:r>
        <w:t>. This glyph markup disambiguates the transliteration from other meanings in which the same target graphemes might be used and, for clusters of target graphemes, clarifies the demarcation of the source grapheme. The semantic markup for number values (§</w:t>
      </w:r>
      <w:r>
        <w:fldChar w:fldCharType="begin"/>
      </w:r>
      <w:r>
        <w:instrText xml:space="preserve"> REF _Ref43980607 \r \h  \* MERGEFORMAT </w:instrText>
      </w:r>
      <w:r>
        <w:fldChar w:fldCharType="separate"/>
      </w:r>
      <w:r>
        <w:t>9.1</w:t>
      </w:r>
      <w:r>
        <w:fldChar w:fldCharType="end"/>
      </w:r>
      <w:r>
        <w:t>) clarifies the denoted number even when this is not self-evident from a series of glyphs. Non-digital numerals encountered in our practice are of the following kinds.</w:t>
      </w:r>
    </w:p>
    <w:p w14:paraId="58AF769B" w14:textId="1F032C3F">
      <w:pPr>
        <w:pStyle w:val="Lista"/>
      </w:pPr>
      <w:r>
        <w:t xml:space="preserve">numeral </w:t>
      </w:r>
      <w:r>
        <w:rPr>
          <w:b/>
          <w:bCs/>
        </w:rPr>
        <w:t>glyphs denoting</w:t>
      </w:r>
      <w:r>
        <w:t xml:space="preserve"> </w:t>
      </w:r>
      <w:r>
        <w:rPr>
          <w:b/>
          <w:bCs/>
        </w:rPr>
        <w:t>powers of 10</w:t>
      </w:r>
      <w:r>
        <w:t xml:space="preserve"> and their multiples, transliterated with multi-digit Arabic numerals as per TG §4.2.2</w:t>
      </w:r>
    </w:p>
    <w:p w14:paraId="5E660B79" w14:textId="77777777">
      <w:pPr>
        <w:pStyle w:val="Lista2"/>
      </w:pPr>
      <w:r>
        <w:t>standing alone, e.g.</w:t>
      </w:r>
    </w:p>
    <w:p w14:paraId="0BD301C5" w14:textId="77777777">
      <w:pPr>
        <w:pStyle w:val="Lista3"/>
      </w:pPr>
      <w:r>
        <w:rPr>
          <w:rStyle w:val="ForeignBrahmiScript"/>
        </w:rPr>
        <w:t>𑁤𑁿𑁓</w:t>
      </w:r>
      <w:r>
        <w:t xml:space="preserve"> = |200| </w:t>
      </w:r>
      <w:r>
        <w:rPr>
          <w:rFonts w:cs="Gentium"/>
        </w:rPr>
        <w:t>→</w:t>
      </w:r>
      <w: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200</w:t>
      </w:r>
      <w:r>
        <w:rPr>
          <w:rStyle w:val="Code"/>
        </w:rPr>
        <w:t>&lt;/g&gt;</w:t>
      </w:r>
      <w:r>
        <w:t xml:space="preserve"> </w:t>
      </w:r>
    </w:p>
    <w:p w14:paraId="38F789C1" w14:textId="77777777">
      <w:pPr>
        <w:pStyle w:val="Lista2"/>
      </w:pPr>
      <w:r>
        <w:t>combined additively with other numeral glyphs, e.g.</w:t>
      </w:r>
    </w:p>
    <w:p w14:paraId="0B6C8AE2" w14:textId="77777777">
      <w:pPr>
        <w:pStyle w:val="Lista3"/>
      </w:pPr>
      <w:r>
        <w:rPr>
          <w:rFonts w:ascii="Segoe UI Historic" w:hAnsi="Segoe UI Historic" w:cs="Segoe UI Historic"/>
        </w:rPr>
        <w:t>𑁤𑁜𑁔</w:t>
      </w:r>
      <w:r>
        <w:t xml:space="preserve"> = |100| + |20| + |3| </w:t>
      </w:r>
      <w:r>
        <w:rPr>
          <w:rFonts w:cs="Gentium"/>
        </w:rPr>
        <w:t>→</w:t>
      </w:r>
      <w: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100</w:t>
      </w:r>
      <w:r>
        <w:rPr>
          <w:rStyle w:val="Code"/>
        </w:rPr>
        <w:t>&lt;/g&gt;</w:t>
      </w:r>
      <w:r>
        <w:rPr>
          <w:rStyle w:val="Codetext"/>
        </w:rP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20</w:t>
      </w:r>
      <w:r>
        <w:rPr>
          <w:rStyle w:val="Code"/>
        </w:rPr>
        <w:t>&lt;/g&gt;</w:t>
      </w:r>
      <w:r>
        <w:rPr>
          <w:rStyle w:val="Codetext"/>
        </w:rPr>
        <w:t xml:space="preserve"> 3</w:t>
      </w:r>
      <w:r>
        <w:t xml:space="preserve"> </w:t>
      </w:r>
    </w:p>
    <w:p w14:paraId="5E18A471" w14:textId="77777777">
      <w:pPr>
        <w:pStyle w:val="Lista4"/>
      </w:pPr>
      <w:r>
        <w:t xml:space="preserve">note that the transliterated 3 is not wrapped in </w:t>
      </w:r>
      <w:r>
        <w:rPr>
          <w:rStyle w:val="Code"/>
        </w:rPr>
        <w:t>&lt;g&gt;</w:t>
      </w:r>
      <w:r>
        <w:t>, because it is a single Arabic digit</w:t>
      </w:r>
    </w:p>
    <w:tbl>
      <w:tblPr>
        <w:tblStyle w:val="CodeSampleTable"/>
        <w:tblpPr w:leftFromText="180" w:rightFromText="180" w:vertAnchor="text" w:tblpXSpec="right" w:tblpY="1"/>
        <w:tblOverlap w:val="never"/>
        <w:tblW w:w="4253" w:type="dxa"/>
        <w:tblLook w:val="04A0" w:firstRow="1" w:lastRow="0" w:firstColumn="1" w:lastColumn="0" w:noHBand="0" w:noVBand="1"/>
      </w:tblPr>
      <w:tblGrid>
        <w:gridCol w:w="4253"/>
      </w:tblGrid>
      <w:tr w14:paraId="4FAA422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269608F" w14:textId="67FDCB82">
            <w:pPr>
              <w:pStyle w:val="Kpalrs"/>
              <w:keepLines/>
            </w:pPr>
            <w:bookmarkStart w:id="401" w:name="_Ref225952270"/>
            <w:r>
              <w:lastRenderedPageBreak/>
              <w:t xml:space="preserve">Exhibit </w:t>
            </w:r>
            <w:fldSimple w:instr=" STYLEREF 2 \s ">
              <w:r>
                <w:rPr>
                  <w:noProof/>
                </w:rPr>
                <w:t>5.3</w:t>
              </w:r>
            </w:fldSimple>
            <w:r>
              <w:t>.</w:t>
            </w:r>
            <w:fldSimple w:instr=" SEQ Exhibit \* ALPHABETIC \s 2 ">
              <w:r>
                <w:rPr>
                  <w:noProof/>
                </w:rPr>
                <w:t>B</w:t>
              </w:r>
            </w:fldSimple>
            <w:bookmarkEnd w:id="401"/>
            <w:r>
              <w:t>: multiplicative combination</w:t>
            </w:r>
          </w:p>
        </w:tc>
      </w:tr>
      <w:tr w14:paraId="445865DC" w14:textId="77777777">
        <w:tc>
          <w:tcPr>
            <w:tcW w:w="0" w:type="auto"/>
          </w:tcPr>
          <w:p w14:paraId="51B9149B" w14:textId="77777777">
            <w:pPr>
              <w:pStyle w:val="Image"/>
            </w:pPr>
            <w:r>
              <w:drawing>
                <wp:inline distT="0" distB="0" distL="0" distR="0" wp14:anchorId="4E1CE4CF" wp14:editId="7883AC07">
                  <wp:extent cx="2685600" cy="540000"/>
                  <wp:effectExtent l="0" t="0" r="635" b="0"/>
                  <wp:docPr id="1219481461" name="Kép 121948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685600" cy="540000"/>
                          </a:xfrm>
                          <a:prstGeom prst="rect">
                            <a:avLst/>
                          </a:prstGeom>
                          <a:noFill/>
                          <a:ln>
                            <a:noFill/>
                          </a:ln>
                        </pic:spPr>
                      </pic:pic>
                    </a:graphicData>
                  </a:graphic>
                </wp:inline>
              </w:drawing>
            </w:r>
          </w:p>
        </w:tc>
      </w:tr>
    </w:tbl>
    <w:p w14:paraId="0E4883D0" w14:textId="28D9B61F">
      <w:pPr>
        <w:pStyle w:val="Lista2"/>
      </w:pPr>
      <w:r>
        <w:t xml:space="preserve">combined multiplicatively (as well as additively) with other numeral glyphs, e.g. </w:t>
      </w:r>
      <w:r>
        <w:fldChar w:fldCharType="begin"/>
      </w:r>
      <w:r>
        <w:instrText xml:space="preserve"> REF _Ref225952270 \h </w:instrText>
      </w:r>
      <w:r>
        <w:fldChar w:fldCharType="separate"/>
      </w:r>
      <w:r>
        <w:t xml:space="preserve">Exhibit </w:t>
      </w:r>
      <w:r>
        <w:rPr>
          <w:noProof/>
        </w:rPr>
        <w:t>5.3</w:t>
      </w:r>
      <w:r>
        <w:t>.</w:t>
      </w:r>
      <w:r>
        <w:rPr>
          <w:noProof/>
        </w:rPr>
        <w:t>B</w:t>
      </w:r>
      <w:r>
        <w:fldChar w:fldCharType="end"/>
      </w:r>
    </w:p>
    <w:p w14:paraId="0EF582B4" w14:textId="77777777">
      <w:pPr>
        <w:pStyle w:val="Lista3"/>
      </w:pPr>
      <w:r>
        <w:t xml:space="preserve">|1000| × |8| + |100| × |3| + |10| </w:t>
      </w:r>
      <w:r>
        <w:rPr>
          <w:rFonts w:cs="Gentium"/>
        </w:rPr>
        <w:t>→</w:t>
      </w:r>
      <w:r>
        <w:t xml:space="preserve"> </w:t>
      </w:r>
      <w:r>
        <w:rPr>
          <w:rStyle w:val="Code"/>
        </w:rPr>
        <w:t xml:space="preserve">&lt;g </w:t>
      </w:r>
      <w:r>
        <w:rPr>
          <w:rStyle w:val="Codeattribute"/>
        </w:rPr>
        <w:t>type=</w:t>
      </w:r>
      <w:r>
        <w:rPr>
          <w:rStyle w:val="Codevalue"/>
        </w:rPr>
        <w:t>"numeral"</w:t>
      </w:r>
      <w:r>
        <w:rPr>
          <w:rStyle w:val="Code"/>
        </w:rPr>
        <w:t>&gt;</w:t>
      </w:r>
      <w:r>
        <w:rPr>
          <w:rStyle w:val="Codetext"/>
        </w:rPr>
        <w:t>1000</w:t>
      </w:r>
      <w:r>
        <w:rPr>
          <w:rStyle w:val="Code"/>
        </w:rPr>
        <w:t>&lt;/g&gt;</w:t>
      </w:r>
      <w:r>
        <w:rPr>
          <w:rStyle w:val="Codetext"/>
        </w:rPr>
        <w:t xml:space="preserve"> 8 </w:t>
      </w:r>
      <w:r>
        <w:rPr>
          <w:rStyle w:val="Code"/>
        </w:rPr>
        <w:t xml:space="preserve">&lt;g </w:t>
      </w:r>
      <w:r>
        <w:rPr>
          <w:rStyle w:val="Codeattribute"/>
        </w:rPr>
        <w:t>type=</w:t>
      </w:r>
      <w:r>
        <w:rPr>
          <w:rStyle w:val="Codevalue"/>
        </w:rPr>
        <w:t>"numeral"</w:t>
      </w:r>
      <w:r>
        <w:rPr>
          <w:rStyle w:val="Code"/>
        </w:rPr>
        <w:t>&gt;</w:t>
      </w:r>
      <w:r>
        <w:rPr>
          <w:rStyle w:val="Codetext"/>
        </w:rPr>
        <w:t>100</w:t>
      </w:r>
      <w:r>
        <w:rPr>
          <w:rStyle w:val="Code"/>
        </w:rPr>
        <w:t>&lt;/g&gt;</w:t>
      </w:r>
      <w:r>
        <w:rPr>
          <w:rStyle w:val="Codetext"/>
        </w:rPr>
        <w:t xml:space="preserve"> 3 </w:t>
      </w:r>
      <w:r>
        <w:rPr>
          <w:rStyle w:val="Code"/>
        </w:rPr>
        <w:t xml:space="preserve">&lt;g </w:t>
      </w:r>
      <w:r>
        <w:rPr>
          <w:rStyle w:val="Codeattribute"/>
        </w:rPr>
        <w:t>type=</w:t>
      </w:r>
      <w:r>
        <w:rPr>
          <w:rStyle w:val="Codevalue"/>
        </w:rPr>
        <w:t>"numeral"</w:t>
      </w:r>
      <w:r>
        <w:rPr>
          <w:rStyle w:val="Code"/>
        </w:rPr>
        <w:t>&gt;</w:t>
      </w:r>
      <w:r>
        <w:rPr>
          <w:rStyle w:val="Codetext"/>
        </w:rPr>
        <w:t>10</w:t>
      </w:r>
      <w:r>
        <w:rPr>
          <w:rStyle w:val="Code"/>
        </w:rPr>
        <w:t>&lt;/g&gt;</w:t>
      </w:r>
      <w:r>
        <w:t xml:space="preserve"> </w:t>
      </w:r>
    </w:p>
    <w:p w14:paraId="7BA3F972" w14:textId="77777777">
      <w:pPr>
        <w:pStyle w:val="Lista4"/>
      </w:pPr>
      <w:r>
        <w:t xml:space="preserve">8 and 3 are not wrapped in </w:t>
      </w:r>
      <w:r>
        <w:rPr>
          <w:rStyle w:val="Code"/>
        </w:rPr>
        <w:t>&lt;g&gt;</w:t>
      </w:r>
      <w:r>
        <w:t>, because they are single Arabic digits</w:t>
      </w:r>
    </w:p>
    <w:p w14:paraId="54CF4C36" w14:textId="2072982A">
      <w:pPr>
        <w:pStyle w:val="Lista2"/>
      </w:pPr>
      <w:r>
        <w:rPr>
          <w:b/>
          <w:bCs/>
        </w:rPr>
        <w:t>vertical bars denoting |1|</w:t>
      </w:r>
      <w:r>
        <w:t xml:space="preserve"> in Cambodian inscriptions, transliterated with I (uppercase i) as per TG §4.2.3</w:t>
      </w:r>
    </w:p>
    <w:p w14:paraId="2FAB9FF7" w14:textId="77777777">
      <w:pPr>
        <w:pStyle w:val="Lista3"/>
      </w:pPr>
      <w:r>
        <w:t xml:space="preserve">used singly, e.g.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I</w:t>
      </w:r>
      <w:r>
        <w:rPr>
          <w:rStyle w:val="Code"/>
        </w:rPr>
        <w:t>&lt;/g&gt;</w:t>
      </w:r>
      <w:r>
        <w:t xml:space="preserve"> </w:t>
      </w:r>
    </w:p>
    <w:p w14:paraId="6624933B" w14:textId="2F53DD24">
      <w:pPr>
        <w:pStyle w:val="Lista3"/>
      </w:pPr>
      <w:r>
        <w:t xml:space="preserve">or in groups, e.g.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III</w:t>
      </w:r>
      <w:r>
        <w:rPr>
          <w:rStyle w:val="Code"/>
        </w:rPr>
        <w:t>&lt;/g&gt;</w:t>
      </w:r>
    </w:p>
    <w:p w14:paraId="0D1AC8F9" w14:textId="6650CF60">
      <w:pPr>
        <w:pStyle w:val="Lista2"/>
      </w:pPr>
      <w:r>
        <w:rPr>
          <w:b/>
          <w:bCs/>
        </w:rPr>
        <w:t>glyphs</w:t>
      </w:r>
      <w:r>
        <w:t xml:space="preserve"> </w:t>
      </w:r>
      <w:r>
        <w:rPr>
          <w:b/>
          <w:bCs/>
        </w:rPr>
        <w:t>denoting fractions</w:t>
      </w:r>
      <w:r>
        <w:t>, transliterated as per TG §4.2.3 with common fractions (involving a slash)</w:t>
      </w:r>
    </w:p>
    <w:p w14:paraId="579CAA5C" w14:textId="77777777">
      <w:pPr>
        <w:pStyle w:val="Lista3"/>
      </w:pPr>
      <w:r>
        <w:t xml:space="preserve">e.g. a source glyph meaning “one eighth” </w:t>
      </w:r>
      <w:r>
        <w:rPr>
          <w:rFonts w:cs="Gentium"/>
        </w:rPr>
        <w:t>→</w:t>
      </w:r>
      <w: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1/8</w:t>
      </w:r>
      <w:r>
        <w:rPr>
          <w:rStyle w:val="Code"/>
        </w:rPr>
        <w:t>&lt;/g&gt;</w:t>
      </w:r>
      <w:r>
        <w:t xml:space="preserve"> </w:t>
      </w:r>
    </w:p>
    <w:p w14:paraId="30406437" w14:textId="77777777">
      <w:pPr>
        <w:pStyle w:val="Cmsor3"/>
      </w:pPr>
      <w:bookmarkStart w:id="402" w:name="_Toc242889496"/>
      <w:r>
        <w:t>Numeral signs and their context</w:t>
      </w:r>
      <w:bookmarkEnd w:id="402"/>
    </w:p>
    <w:p w14:paraId="31514ED3" w14:textId="77777777">
      <w:pPr>
        <w:pStyle w:val="Lista"/>
      </w:pPr>
      <w:r>
        <w:t xml:space="preserve">use spaces around transliterated numerals as instructed in TG §7.3.4.2, i.e. essentially: </w:t>
      </w:r>
    </w:p>
    <w:p w14:paraId="1749BB03" w14:textId="77777777">
      <w:pPr>
        <w:pStyle w:val="Lista2"/>
      </w:pPr>
      <w:r>
        <w:t xml:space="preserve">add spaces to separate the transliterated (and, if applicable, encoded) representation of any and all numerals from any and all adjacent graphemes except: </w:t>
      </w:r>
    </w:p>
    <w:p w14:paraId="02982B13" w14:textId="77777777">
      <w:pPr>
        <w:pStyle w:val="Lista3"/>
      </w:pPr>
      <w:r>
        <w:t>use no spaces between numerals used together in place-value notation</w:t>
      </w:r>
    </w:p>
    <w:p w14:paraId="22B9283C" w14:textId="77777777">
      <w:pPr>
        <w:pStyle w:val="Lista3"/>
      </w:pPr>
      <w:r>
        <w:t>use no spaces around a numeral sign that interrupts a word</w:t>
      </w:r>
    </w:p>
    <w:p w14:paraId="34493F58" w14:textId="77777777">
      <w:pPr>
        <w:pStyle w:val="Cmsor3"/>
      </w:pPr>
      <w:bookmarkStart w:id="403" w:name="_Ref226033797"/>
      <w:bookmarkStart w:id="404" w:name="_Toc242889497"/>
      <w:r>
        <w:t>Numeral glyphs in a non-numeral function</w:t>
      </w:r>
      <w:bookmarkEnd w:id="403"/>
      <w:bookmarkEnd w:id="404"/>
    </w:p>
    <w:p w14:paraId="790FF0A0" w14:textId="1FE77364">
      <w:pPr>
        <w:rPr>
          <w:lang w:eastAsia="en-US" w:bidi="ar-SA"/>
        </w:rPr>
      </w:pPr>
      <w:r>
        <w:rPr>
          <w:lang w:eastAsia="en-US" w:bidi="ar-SA"/>
        </w:rPr>
        <w:t>The glyphs that normally manifest numeral graphemes may occasionally be used in other graphemic functions, which shall be treated as follows. The semantic tags for numbers introduced in §</w:t>
      </w:r>
      <w:r>
        <w:rPr>
          <w:lang w:eastAsia="en-US" w:bidi="ar-SA"/>
        </w:rPr>
        <w:fldChar w:fldCharType="begin"/>
      </w:r>
      <w:r>
        <w:rPr>
          <w:lang w:eastAsia="en-US" w:bidi="ar-SA"/>
        </w:rPr>
        <w:instrText xml:space="preserve"> REF _Ref231894384 \r \h </w:instrText>
      </w:r>
      <w:r>
        <w:rPr>
          <w:lang w:eastAsia="en-US" w:bidi="ar-SA"/>
        </w:rPr>
      </w:r>
      <w:r>
        <w:rPr>
          <w:lang w:eastAsia="en-US" w:bidi="ar-SA"/>
        </w:rPr>
        <w:fldChar w:fldCharType="separate"/>
      </w:r>
      <w:r>
        <w:rPr>
          <w:lang w:eastAsia="en-US" w:bidi="ar-SA"/>
        </w:rPr>
        <w:t>9.1</w:t>
      </w:r>
      <w:r>
        <w:rPr>
          <w:lang w:eastAsia="en-US" w:bidi="ar-SA"/>
        </w:rPr>
        <w:fldChar w:fldCharType="end"/>
      </w:r>
      <w:r>
        <w:rPr>
          <w:lang w:eastAsia="en-US" w:bidi="ar-SA"/>
        </w:rPr>
        <w:t xml:space="preserve"> are not applicable in any of these cases.</w:t>
      </w:r>
    </w:p>
    <w:p w14:paraId="738F2C46" w14:textId="49CBEEE5">
      <w:pPr>
        <w:pStyle w:val="Lista"/>
        <w:rPr>
          <w:lang w:eastAsia="en-US" w:bidi="ar-SA"/>
        </w:rPr>
      </w:pPr>
      <w:r>
        <w:rPr>
          <w:lang w:eastAsia="en-US" w:bidi="ar-SA"/>
        </w:rPr>
        <w:t>as per TG §6.2, symbol glyphs whose shape is similar to (and/or derived from) a numeral glyph but not identical to the regular numeral attested or expected in the given writing system shall be treated as peripheral graphemes and encoded accordingly (§</w:t>
      </w:r>
      <w:r>
        <w:rPr>
          <w:lang w:eastAsia="en-US" w:bidi="ar-SA"/>
        </w:rPr>
        <w:fldChar w:fldCharType="begin"/>
      </w:r>
      <w:r>
        <w:rPr>
          <w:lang w:eastAsia="en-US" w:bidi="ar-SA"/>
        </w:rPr>
        <w:instrText xml:space="preserve"> REF _Ref226033363 \r \h </w:instrText>
      </w:r>
      <w:r>
        <w:rPr>
          <w:lang w:eastAsia="en-US" w:bidi="ar-SA"/>
        </w:rPr>
      </w:r>
      <w:r>
        <w:rPr>
          <w:lang w:eastAsia="en-US" w:bidi="ar-SA"/>
        </w:rPr>
        <w:fldChar w:fldCharType="separate"/>
      </w:r>
      <w:r>
        <w:rPr>
          <w:lang w:eastAsia="en-US" w:bidi="ar-SA"/>
        </w:rPr>
        <w:t>5.4</w:t>
      </w:r>
      <w:r>
        <w:rPr>
          <w:lang w:eastAsia="en-US" w:bidi="ar-SA"/>
        </w:rPr>
        <w:fldChar w:fldCharType="end"/>
      </w:r>
      <w:r>
        <w:rPr>
          <w:lang w:eastAsia="en-US" w:bidi="ar-SA"/>
        </w:rPr>
        <w:t>)</w:t>
      </w:r>
    </w:p>
    <w:p w14:paraId="56A266E6" w14:textId="77777777">
      <w:pPr>
        <w:pStyle w:val="Lista"/>
        <w:rPr>
          <w:lang w:eastAsia="en-US" w:bidi="ar-SA"/>
        </w:rPr>
      </w:pPr>
      <w:r>
        <w:rPr>
          <w:lang w:eastAsia="en-US" w:bidi="ar-SA"/>
        </w:rPr>
        <w:t>regular numeral glyphs used for functions other than to represent numbers shall be transliterated as numbers, including the following</w:t>
      </w:r>
    </w:p>
    <w:p w14:paraId="2F526DEE" w14:textId="77777777">
      <w:pPr>
        <w:pStyle w:val="Lista2"/>
        <w:rPr>
          <w:lang w:eastAsia="en-US" w:bidi="ar-SA"/>
        </w:rPr>
      </w:pPr>
      <w:r>
        <w:rPr>
          <w:lang w:eastAsia="en-US" w:bidi="ar-SA"/>
        </w:rPr>
        <w:t>symbolic use: if a regular numeral sign (rather than a shape derived from one) is used as a symbol</w:t>
      </w:r>
    </w:p>
    <w:p w14:paraId="08501E47" w14:textId="77777777">
      <w:pPr>
        <w:pStyle w:val="Lista3"/>
        <w:rPr>
          <w:lang w:eastAsia="en-US" w:bidi="ar-SA"/>
        </w:rPr>
      </w:pPr>
      <w:r>
        <w:rPr>
          <w:lang w:eastAsia="en-US" w:bidi="ar-SA"/>
        </w:rPr>
        <w:t>such as the glyph |1| used as an auspicious opening symbol</w:t>
      </w:r>
    </w:p>
    <w:p w14:paraId="04A642F8" w14:textId="77777777">
      <w:pPr>
        <w:pStyle w:val="Lista2"/>
        <w:rPr>
          <w:lang w:eastAsia="en-US" w:bidi="ar-SA"/>
        </w:rPr>
      </w:pPr>
      <w:r>
        <w:rPr>
          <w:lang w:eastAsia="en-US" w:bidi="ar-SA"/>
        </w:rPr>
        <w:t>phonographic use: if a numeral sign represents a phonographic value</w:t>
      </w:r>
    </w:p>
    <w:p w14:paraId="7963C7E8" w14:textId="77777777">
      <w:pPr>
        <w:pStyle w:val="Lista3"/>
        <w:rPr>
          <w:lang w:eastAsia="en-US" w:bidi="ar-SA"/>
        </w:rPr>
      </w:pPr>
      <w:r>
        <w:rPr>
          <w:lang w:eastAsia="en-US" w:bidi="ar-SA"/>
        </w:rPr>
        <w:t xml:space="preserve">such as the </w:t>
      </w:r>
      <w:r>
        <w:t xml:space="preserve">glyph |2| used in Old Sundanese to represent the phonemes </w:t>
      </w:r>
      <w:r>
        <w:rPr>
          <w:rStyle w:val="Foreign"/>
        </w:rPr>
        <w:t>/ro/</w:t>
      </w:r>
      <w:r>
        <w:t>)</w:t>
      </w:r>
    </w:p>
    <w:p w14:paraId="03F908BE" w14:textId="77777777">
      <w:pPr>
        <w:pStyle w:val="Lista2"/>
        <w:rPr>
          <w:lang w:eastAsia="en-US" w:bidi="ar-SA"/>
        </w:rPr>
      </w:pPr>
      <w:r>
        <w:t>“metalinguistic” use: numeral signs signifying vowel length, accent type or word repetition</w:t>
      </w:r>
    </w:p>
    <w:p w14:paraId="03D12570" w14:textId="77777777">
      <w:pPr>
        <w:pStyle w:val="Lista"/>
        <w:rPr>
          <w:lang w:eastAsia="en-US" w:bidi="ar-SA"/>
        </w:rPr>
      </w:pPr>
      <w:r>
        <w:rPr>
          <w:lang w:eastAsia="en-US" w:bidi="ar-SA"/>
        </w:rPr>
        <w:t>when in doubt, rely on the following rules of thumb</w:t>
      </w:r>
    </w:p>
    <w:p w14:paraId="0995E6F3" w14:textId="77777777">
      <w:pPr>
        <w:pStyle w:val="Lista2"/>
        <w:rPr>
          <w:lang w:eastAsia="en-US" w:bidi="ar-SA"/>
        </w:rPr>
      </w:pPr>
      <w:r>
        <w:rPr>
          <w:lang w:eastAsia="en-US" w:bidi="ar-SA"/>
        </w:rPr>
        <w:t>transliterate numeral signs as numbers unless both of the following conditions are met:</w:t>
      </w:r>
    </w:p>
    <w:p w14:paraId="56C9A0AA" w14:textId="77777777">
      <w:pPr>
        <w:pStyle w:val="Lista3"/>
        <w:rPr>
          <w:lang w:eastAsia="en-US" w:bidi="ar-SA"/>
        </w:rPr>
      </w:pPr>
      <w:r>
        <w:rPr>
          <w:lang w:eastAsia="en-US" w:bidi="ar-SA"/>
        </w:rPr>
        <w:t>their graphetic shape is clearly different from the regular sign for the same number found or expected in the document</w:t>
      </w:r>
    </w:p>
    <w:p w14:paraId="10256FEE" w14:textId="7F0D4C1A">
      <w:pPr>
        <w:pStyle w:val="Lista3"/>
        <w:rPr>
          <w:lang w:eastAsia="en-US" w:bidi="ar-SA"/>
        </w:rPr>
      </w:pPr>
      <w:r>
        <w:rPr>
          <w:lang w:eastAsia="en-US" w:bidi="ar-SA"/>
        </w:rPr>
        <w:t>and you are confident that they do not represent a number in their semantic context</w:t>
      </w:r>
    </w:p>
    <w:p w14:paraId="0743AC98" w14:textId="0F2F8D05">
      <w:pPr>
        <w:pStyle w:val="Lista2"/>
        <w:rPr>
          <w:lang w:eastAsia="en-US" w:bidi="ar-SA"/>
        </w:rPr>
      </w:pPr>
      <w:r>
        <w:rPr>
          <w:lang w:eastAsia="en-US" w:bidi="ar-SA"/>
        </w:rPr>
        <w:t>add the semantic encoding for numbers (§</w:t>
      </w:r>
      <w:r>
        <w:rPr>
          <w:lang w:eastAsia="en-US" w:bidi="ar-SA"/>
        </w:rPr>
        <w:fldChar w:fldCharType="begin"/>
      </w:r>
      <w:r>
        <w:rPr>
          <w:lang w:eastAsia="en-US" w:bidi="ar-SA"/>
        </w:rPr>
        <w:instrText xml:space="preserve"> REF _Ref43980607 \r \h </w:instrText>
      </w:r>
      <w:r>
        <w:rPr>
          <w:lang w:eastAsia="en-US" w:bidi="ar-SA"/>
        </w:rPr>
      </w:r>
      <w:r>
        <w:rPr>
          <w:lang w:eastAsia="en-US" w:bidi="ar-SA"/>
        </w:rPr>
        <w:fldChar w:fldCharType="separate"/>
      </w:r>
      <w:r>
        <w:rPr>
          <w:lang w:eastAsia="en-US" w:bidi="ar-SA"/>
        </w:rPr>
        <w:t>9.1</w:t>
      </w:r>
      <w:r>
        <w:rPr>
          <w:lang w:eastAsia="en-US" w:bidi="ar-SA"/>
        </w:rPr>
        <w:fldChar w:fldCharType="end"/>
      </w:r>
      <w:r>
        <w:rPr>
          <w:lang w:eastAsia="en-US" w:bidi="ar-SA"/>
        </w:rPr>
        <w:t>) only for signs that represent a number which is part of the document’s content</w:t>
      </w:r>
    </w:p>
    <w:p w14:paraId="4A41005C" w14:textId="77777777">
      <w:pPr>
        <w:pStyle w:val="Lista3"/>
        <w:rPr>
          <w:lang w:eastAsia="en-US" w:bidi="ar-SA"/>
        </w:rPr>
      </w:pPr>
      <w:r>
        <w:rPr>
          <w:lang w:eastAsia="en-US" w:bidi="ar-SA"/>
        </w:rPr>
        <w:t>imagine the document being read out loud by a contemporary reader: if they would read a number, then number encoding is applicable</w:t>
      </w:r>
    </w:p>
    <w:p w14:paraId="3AB7ABA7" w14:textId="77777777">
      <w:pPr>
        <w:pStyle w:val="Cmsor2"/>
      </w:pPr>
      <w:bookmarkStart w:id="405" w:name="_Ref226033363"/>
      <w:bookmarkStart w:id="406" w:name="_Toc242889498"/>
      <w:r>
        <w:lastRenderedPageBreak/>
        <w:t>Peripheral graphemes</w:t>
      </w:r>
      <w:bookmarkEnd w:id="405"/>
      <w:bookmarkEnd w:id="406"/>
    </w:p>
    <w:p w14:paraId="33410487" w14:textId="77777777">
      <w:pPr>
        <w:pStyle w:val="Cmsor3"/>
      </w:pPr>
      <w:bookmarkStart w:id="407" w:name="_4mw6s39lu6fq" w:colFirst="0" w:colLast="0"/>
      <w:bookmarkStart w:id="408" w:name="_Toc242889499"/>
      <w:bookmarkEnd w:id="407"/>
      <w:r>
        <w:t>Representing peripheral graphemes in a digital edition</w:t>
      </w:r>
      <w:bookmarkEnd w:id="408"/>
    </w:p>
    <w:p w14:paraId="6057873B" w14:textId="27F470FF">
      <w:r>
        <w:rPr>
          <w:lang w:eastAsia="en-US" w:bidi="ar-SA"/>
        </w:rPr>
        <w:t xml:space="preserve">Peripheral graphemes, informally also called </w:t>
      </w:r>
      <w:r>
        <w:rPr>
          <w:i/>
          <w:iCs/>
          <w:lang w:eastAsia="en-US" w:bidi="ar-SA"/>
        </w:rPr>
        <w:t>symbols</w:t>
      </w:r>
      <w:r>
        <w:rPr>
          <w:lang w:eastAsia="en-US" w:bidi="ar-SA"/>
        </w:rPr>
        <w:t>, are graphemes which we represent in transliteration by means of a placeholder grapheme dedicated to one of the basic functional classes, namely ideograms, punctuation marks, connectors and abstract symbols as defined in TG §5 and §</w:t>
      </w:r>
      <w:r>
        <w:rPr>
          <w:lang w:eastAsia="en-US" w:bidi="ar-SA"/>
        </w:rPr>
        <w:fldChar w:fldCharType="begin"/>
      </w:r>
      <w:r>
        <w:rPr>
          <w:lang w:eastAsia="en-US" w:bidi="ar-SA"/>
        </w:rPr>
        <w:instrText xml:space="preserve"> REF _Ref226023506 \r \h </w:instrText>
      </w:r>
      <w:r>
        <w:rPr>
          <w:lang w:eastAsia="en-US" w:bidi="ar-SA"/>
        </w:rPr>
      </w:r>
      <w:r>
        <w:rPr>
          <w:lang w:eastAsia="en-US" w:bidi="ar-SA"/>
        </w:rPr>
        <w:fldChar w:fldCharType="separate"/>
      </w:r>
      <w:r>
        <w:rPr>
          <w:lang w:eastAsia="en-US" w:bidi="ar-SA"/>
        </w:rPr>
        <w:t>5.4.2</w:t>
      </w:r>
      <w:r>
        <w:rPr>
          <w:lang w:eastAsia="en-US" w:bidi="ar-SA"/>
        </w:rPr>
        <w:fldChar w:fldCharType="end"/>
      </w:r>
      <w:r>
        <w:rPr>
          <w:lang w:eastAsia="en-US" w:bidi="ar-SA"/>
        </w:rPr>
        <w:t xml:space="preserve"> below.</w:t>
      </w:r>
      <w:r>
        <w:rPr>
          <w:rStyle w:val="Lbjegyzet-hivatkozs"/>
          <w:lang w:eastAsia="en-US" w:bidi="ar-SA"/>
        </w:rPr>
        <w:footnoteReference w:id="21"/>
      </w:r>
    </w:p>
    <w:p w14:paraId="18EBDA9F" w14:textId="408031DB">
      <w:pPr>
        <w:pStyle w:val="Normlbehzs"/>
        <w:rPr>
          <w:lang w:eastAsia="en-US" w:bidi="ar-SA"/>
        </w:rPr>
      </w:pPr>
      <w:r>
        <w:t xml:space="preserve">Since the glyph shapes of peripheral graphemes only rarely show a consistent correlation with their graphemic functions across the corpora of texts we deal with, our encoding conveys information separately about the physical appearance of the glyph where applicable, and about the editor’s interpretation of its function where applicable. Specifically, at the level of transliteration we use </w:t>
      </w:r>
      <w:r>
        <w:rPr>
          <w:lang w:eastAsia="en-US" w:bidi="ar-SA"/>
        </w:rPr>
        <w:t>a narrow range of default placeholders (§</w:t>
      </w:r>
      <w:r>
        <w:rPr>
          <w:lang w:eastAsia="en-US" w:bidi="ar-SA"/>
        </w:rPr>
        <w:fldChar w:fldCharType="begin"/>
      </w:r>
      <w:r>
        <w:rPr>
          <w:lang w:eastAsia="en-US" w:bidi="ar-SA"/>
        </w:rPr>
        <w:instrText xml:space="preserve"> REF _Ref226036268 \r \h </w:instrText>
      </w:r>
      <w:r>
        <w:rPr>
          <w:lang w:eastAsia="en-US" w:bidi="ar-SA"/>
        </w:rPr>
      </w:r>
      <w:r>
        <w:rPr>
          <w:lang w:eastAsia="en-US" w:bidi="ar-SA"/>
        </w:rPr>
        <w:fldChar w:fldCharType="separate"/>
      </w:r>
      <w:r>
        <w:rPr>
          <w:lang w:eastAsia="en-US" w:bidi="ar-SA"/>
        </w:rPr>
        <w:t>5.4.3.1</w:t>
      </w:r>
      <w:r>
        <w:rPr>
          <w:lang w:eastAsia="en-US" w:bidi="ar-SA"/>
        </w:rPr>
        <w:fldChar w:fldCharType="end"/>
      </w:r>
      <w:r>
        <w:rPr>
          <w:lang w:eastAsia="en-US" w:bidi="ar-SA"/>
        </w:rPr>
        <w:t>), with one placeholder dedicated to each functional class of peripheral grapheme; in addition, we optionally allow arbitrary placeholders (§</w:t>
      </w:r>
      <w:r>
        <w:rPr>
          <w:lang w:eastAsia="en-US" w:bidi="ar-SA"/>
        </w:rPr>
        <w:fldChar w:fldCharType="begin"/>
      </w:r>
      <w:r>
        <w:rPr>
          <w:lang w:eastAsia="en-US" w:bidi="ar-SA"/>
        </w:rPr>
        <w:instrText xml:space="preserve"> REF _Ref225955892 \r \h </w:instrText>
      </w:r>
      <w:r>
        <w:rPr>
          <w:lang w:eastAsia="en-US" w:bidi="ar-SA"/>
        </w:rPr>
      </w:r>
      <w:r>
        <w:rPr>
          <w:lang w:eastAsia="en-US" w:bidi="ar-SA"/>
        </w:rPr>
        <w:fldChar w:fldCharType="separate"/>
      </w:r>
      <w:r>
        <w:rPr>
          <w:lang w:eastAsia="en-US" w:bidi="ar-SA"/>
        </w:rPr>
        <w:t>5.4.3.2</w:t>
      </w:r>
      <w:r>
        <w:rPr>
          <w:lang w:eastAsia="en-US" w:bidi="ar-SA"/>
        </w:rPr>
        <w:fldChar w:fldCharType="end"/>
      </w:r>
      <w:r>
        <w:rPr>
          <w:lang w:eastAsia="en-US" w:bidi="ar-SA"/>
        </w:rPr>
        <w:t>) for greater variety and more accurate human-friendly representation. The placeholders may be combined with glyph encoding (§</w:t>
      </w:r>
      <w:r>
        <w:rPr>
          <w:lang w:eastAsia="en-US" w:bidi="ar-SA"/>
        </w:rPr>
        <w:fldChar w:fldCharType="begin"/>
      </w:r>
      <w:r>
        <w:rPr>
          <w:lang w:eastAsia="en-US" w:bidi="ar-SA"/>
        </w:rPr>
        <w:instrText xml:space="preserve"> REF _Ref225955927 \r \h </w:instrText>
      </w:r>
      <w:r>
        <w:rPr>
          <w:lang w:eastAsia="en-US" w:bidi="ar-SA"/>
        </w:rPr>
      </w:r>
      <w:r>
        <w:rPr>
          <w:lang w:eastAsia="en-US" w:bidi="ar-SA"/>
        </w:rPr>
        <w:fldChar w:fldCharType="separate"/>
      </w:r>
      <w:r>
        <w:rPr>
          <w:lang w:eastAsia="en-US" w:bidi="ar-SA"/>
        </w:rPr>
        <w:t>5.4.4</w:t>
      </w:r>
      <w:r>
        <w:rPr>
          <w:lang w:eastAsia="en-US" w:bidi="ar-SA"/>
        </w:rPr>
        <w:fldChar w:fldCharType="end"/>
      </w:r>
      <w:r>
        <w:rPr>
          <w:lang w:eastAsia="en-US" w:bidi="ar-SA"/>
        </w:rPr>
        <w:t xml:space="preserve">), which can represent the same basic functional classification as the default placeholders and, in addition, allow a fairly precise differentiation based either on the glyph’s visual appearance or on its name in a source writing tradition. The synergy of transliteration and encoding is illustrated in </w:t>
      </w:r>
      <w:r>
        <w:rPr>
          <w:lang w:eastAsia="en-US" w:bidi="ar-SA"/>
        </w:rPr>
        <w:fldChar w:fldCharType="begin"/>
      </w:r>
      <w:r>
        <w:rPr>
          <w:lang w:eastAsia="en-US" w:bidi="ar-SA"/>
        </w:rPr>
        <w:instrText xml:space="preserve"> REF _Ref225956032 \h </w:instrText>
      </w:r>
      <w:r>
        <w:rPr>
          <w:lang w:eastAsia="en-US" w:bidi="ar-SA"/>
        </w:rPr>
      </w:r>
      <w:r>
        <w:rPr>
          <w:lang w:eastAsia="en-US" w:bidi="ar-SA"/>
        </w:rPr>
        <w:fldChar w:fldCharType="separate"/>
      </w:r>
      <w:r>
        <w:t xml:space="preserve">Exhibit </w:t>
      </w:r>
      <w:r>
        <w:rPr>
          <w:noProof/>
        </w:rPr>
        <w:t>5.4</w:t>
      </w:r>
      <w:r>
        <w:t>.</w:t>
      </w:r>
      <w:r>
        <w:rPr>
          <w:noProof/>
        </w:rPr>
        <w:t>A</w:t>
      </w:r>
      <w:r>
        <w:rPr>
          <w:lang w:eastAsia="en-US" w:bidi="ar-SA"/>
        </w:rPr>
        <w:fldChar w:fldCharType="end"/>
      </w:r>
      <w:r>
        <w:rPr>
          <w:lang w:eastAsia="en-US" w:bidi="ar-SA"/>
        </w:rPr>
        <w:t xml:space="preserve"> (identical to the figure in TG §5.1). Strategies for combining the available transliteration and encoding options are outlined in TG §5.1.3.</w:t>
      </w:r>
    </w:p>
    <w:p w14:paraId="2B2EC6BA" w14:textId="77777777"/>
    <w:tbl>
      <w:tblPr>
        <w:tblStyle w:val="FigureTable"/>
        <w:tblW w:w="5000" w:type="pct"/>
        <w:tblBorders>
          <w:insideV w:val="single" w:sz="4" w:space="0" w:color="auto"/>
        </w:tblBorders>
        <w:tblLook w:val="04A0" w:firstRow="1" w:lastRow="0" w:firstColumn="1" w:lastColumn="0" w:noHBand="0" w:noVBand="1"/>
      </w:tblPr>
      <w:tblGrid>
        <w:gridCol w:w="1537"/>
        <w:gridCol w:w="2132"/>
        <w:gridCol w:w="2811"/>
        <w:gridCol w:w="901"/>
        <w:gridCol w:w="2247"/>
      </w:tblGrid>
      <w:tr w14:paraId="2B4B7B17"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5"/>
          </w:tcPr>
          <w:p w14:paraId="3C8A938E" w14:textId="1FAB961B">
            <w:pPr>
              <w:pStyle w:val="Kpalrs"/>
              <w:keepLines/>
              <w:rPr>
                <w:szCs w:val="20"/>
                <w:lang w:eastAsia="en-US" w:bidi="ar-SA"/>
              </w:rPr>
            </w:pPr>
            <w:bookmarkStart w:id="409" w:name="_Ref225956032"/>
            <w:r>
              <w:t xml:space="preserve">Exhibit </w:t>
            </w:r>
            <w:fldSimple w:instr=" STYLEREF 2 \s ">
              <w:r>
                <w:rPr>
                  <w:noProof/>
                </w:rPr>
                <w:t>5.4</w:t>
              </w:r>
            </w:fldSimple>
            <w:r>
              <w:t>.</w:t>
            </w:r>
            <w:fldSimple w:instr=" SEQ Exhibit \* ALPHABETIC \s 2 ">
              <w:r>
                <w:rPr>
                  <w:noProof/>
                </w:rPr>
                <w:t>A</w:t>
              </w:r>
            </w:fldSimple>
            <w:bookmarkEnd w:id="409"/>
            <w:r>
              <w:t>: representation of peripheral graphemes through transliteration and encoding</w:t>
            </w:r>
          </w:p>
        </w:tc>
      </w:tr>
      <w:tr w14:paraId="7A74C8A4" w14:textId="77777777">
        <w:tc>
          <w:tcPr>
            <w:tcW w:w="798" w:type="pct"/>
            <w:vMerge w:val="restart"/>
            <w:shd w:val="clear" w:color="auto" w:fill="F0F7D7"/>
            <w:vAlign w:val="bottom"/>
          </w:tcPr>
          <w:p w14:paraId="09BDE64B" w14:textId="77777777">
            <w:pPr>
              <w:keepNext/>
              <w:keepLines/>
              <w:jc w:val="right"/>
              <w:rPr>
                <w:b/>
                <w:bCs/>
                <w:sz w:val="20"/>
                <w:szCs w:val="20"/>
                <w:lang w:eastAsia="en-US" w:bidi="ar-SA"/>
              </w:rPr>
            </w:pPr>
            <w:r>
              <w:rPr>
                <w:b/>
                <w:bCs/>
                <w:sz w:val="20"/>
                <w:szCs w:val="20"/>
                <w:lang w:eastAsia="en-US" w:bidi="ar-SA"/>
              </w:rPr>
              <w:t>method</w:t>
            </w:r>
          </w:p>
        </w:tc>
        <w:tc>
          <w:tcPr>
            <w:tcW w:w="1107" w:type="pct"/>
            <w:vMerge w:val="restart"/>
            <w:shd w:val="clear" w:color="auto" w:fill="F0F7D7"/>
            <w:vAlign w:val="bottom"/>
          </w:tcPr>
          <w:p w14:paraId="553882EB" w14:textId="77777777">
            <w:pPr>
              <w:keepNext/>
              <w:keepLines/>
              <w:rPr>
                <w:b/>
                <w:bCs/>
                <w:sz w:val="20"/>
                <w:szCs w:val="20"/>
                <w:lang w:eastAsia="en-US" w:bidi="ar-SA"/>
              </w:rPr>
            </w:pPr>
            <w:r>
              <w:rPr>
                <w:b/>
                <w:bCs/>
                <w:sz w:val="20"/>
                <w:szCs w:val="20"/>
                <w:lang w:eastAsia="en-US" w:bidi="ar-SA"/>
              </w:rPr>
              <w:t>solution</w:t>
            </w:r>
          </w:p>
        </w:tc>
        <w:tc>
          <w:tcPr>
            <w:tcW w:w="1460" w:type="pct"/>
            <w:vMerge w:val="restart"/>
            <w:shd w:val="clear" w:color="auto" w:fill="F0F7D7"/>
            <w:vAlign w:val="bottom"/>
          </w:tcPr>
          <w:p w14:paraId="740349A2" w14:textId="77777777">
            <w:pPr>
              <w:keepNext/>
              <w:keepLines/>
              <w:rPr>
                <w:b/>
                <w:bCs/>
                <w:sz w:val="20"/>
                <w:szCs w:val="20"/>
                <w:lang w:eastAsia="en-US" w:bidi="ar-SA"/>
              </w:rPr>
            </w:pPr>
            <w:r>
              <w:rPr>
                <w:b/>
                <w:bCs/>
                <w:sz w:val="20"/>
                <w:szCs w:val="20"/>
                <w:lang w:eastAsia="en-US" w:bidi="ar-SA"/>
              </w:rPr>
              <w:t>demarcation</w:t>
            </w:r>
          </w:p>
        </w:tc>
        <w:tc>
          <w:tcPr>
            <w:tcW w:w="1635" w:type="pct"/>
            <w:gridSpan w:val="2"/>
            <w:shd w:val="clear" w:color="auto" w:fill="F0F7D7"/>
            <w:vAlign w:val="bottom"/>
          </w:tcPr>
          <w:p w14:paraId="3D2CCB01" w14:textId="77777777">
            <w:pPr>
              <w:keepNext/>
              <w:keepLines/>
              <w:rPr>
                <w:b/>
                <w:bCs/>
                <w:sz w:val="20"/>
                <w:szCs w:val="20"/>
                <w:lang w:eastAsia="en-US" w:bidi="ar-SA"/>
              </w:rPr>
            </w:pPr>
            <w:r>
              <w:rPr>
                <w:b/>
                <w:bCs/>
                <w:sz w:val="20"/>
                <w:szCs w:val="20"/>
                <w:lang w:eastAsia="en-US" w:bidi="ar-SA"/>
              </w:rPr>
              <w:t>individuation</w:t>
            </w:r>
          </w:p>
        </w:tc>
      </w:tr>
      <w:tr w14:paraId="5A1AD7FD" w14:textId="77777777">
        <w:tc>
          <w:tcPr>
            <w:tcW w:w="798" w:type="pct"/>
            <w:vMerge/>
            <w:shd w:val="clear" w:color="auto" w:fill="F0F7D7"/>
            <w:vAlign w:val="bottom"/>
            <w:hideMark/>
          </w:tcPr>
          <w:p w14:paraId="6D422F44" w14:textId="77777777">
            <w:pPr>
              <w:keepNext/>
              <w:keepLines/>
              <w:jc w:val="right"/>
              <w:rPr>
                <w:b/>
                <w:bCs/>
                <w:sz w:val="20"/>
                <w:szCs w:val="20"/>
                <w:lang w:eastAsia="en-US" w:bidi="ar-SA"/>
              </w:rPr>
            </w:pPr>
          </w:p>
        </w:tc>
        <w:tc>
          <w:tcPr>
            <w:tcW w:w="1107" w:type="pct"/>
            <w:vMerge/>
            <w:shd w:val="clear" w:color="auto" w:fill="F0F7D7"/>
            <w:vAlign w:val="bottom"/>
            <w:hideMark/>
          </w:tcPr>
          <w:p w14:paraId="1F1C2EEE" w14:textId="77777777">
            <w:pPr>
              <w:keepNext/>
              <w:keepLines/>
              <w:rPr>
                <w:b/>
                <w:bCs/>
                <w:sz w:val="20"/>
                <w:szCs w:val="20"/>
                <w:lang w:eastAsia="en-US" w:bidi="ar-SA"/>
              </w:rPr>
            </w:pPr>
          </w:p>
        </w:tc>
        <w:tc>
          <w:tcPr>
            <w:tcW w:w="1460" w:type="pct"/>
            <w:vMerge/>
            <w:shd w:val="clear" w:color="auto" w:fill="F0F7D7"/>
            <w:vAlign w:val="bottom"/>
            <w:hideMark/>
          </w:tcPr>
          <w:p w14:paraId="1741113E" w14:textId="77777777">
            <w:pPr>
              <w:keepNext/>
              <w:keepLines/>
              <w:rPr>
                <w:b/>
                <w:bCs/>
                <w:sz w:val="20"/>
                <w:szCs w:val="20"/>
                <w:lang w:eastAsia="en-US" w:bidi="ar-SA"/>
              </w:rPr>
            </w:pPr>
          </w:p>
        </w:tc>
        <w:tc>
          <w:tcPr>
            <w:tcW w:w="468" w:type="pct"/>
            <w:shd w:val="clear" w:color="auto" w:fill="F0F7D7"/>
            <w:vAlign w:val="bottom"/>
            <w:hideMark/>
          </w:tcPr>
          <w:p w14:paraId="363F3484" w14:textId="77777777">
            <w:pPr>
              <w:keepNext/>
              <w:keepLines/>
              <w:rPr>
                <w:b/>
                <w:bCs/>
                <w:sz w:val="20"/>
                <w:szCs w:val="20"/>
                <w:lang w:eastAsia="en-US" w:bidi="ar-SA"/>
              </w:rPr>
            </w:pPr>
            <w:r>
              <w:rPr>
                <w:b/>
                <w:bCs/>
                <w:sz w:val="20"/>
                <w:szCs w:val="20"/>
                <w:lang w:eastAsia="en-US" w:bidi="ar-SA"/>
              </w:rPr>
              <w:t>by form</w:t>
            </w:r>
          </w:p>
        </w:tc>
        <w:tc>
          <w:tcPr>
            <w:tcW w:w="1167" w:type="pct"/>
            <w:shd w:val="clear" w:color="auto" w:fill="F0F7D7"/>
            <w:vAlign w:val="bottom"/>
            <w:hideMark/>
          </w:tcPr>
          <w:p w14:paraId="31CE8040" w14:textId="77777777">
            <w:pPr>
              <w:keepNext/>
              <w:keepLines/>
              <w:rPr>
                <w:b/>
                <w:bCs/>
                <w:sz w:val="20"/>
                <w:szCs w:val="20"/>
                <w:lang w:eastAsia="en-US" w:bidi="ar-SA"/>
              </w:rPr>
            </w:pPr>
            <w:r>
              <w:rPr>
                <w:b/>
                <w:bCs/>
                <w:sz w:val="20"/>
                <w:szCs w:val="20"/>
                <w:lang w:eastAsia="en-US" w:bidi="ar-SA"/>
              </w:rPr>
              <w:t>by function</w:t>
            </w:r>
          </w:p>
        </w:tc>
      </w:tr>
      <w:tr w14:paraId="4F6939A3" w14:textId="77777777">
        <w:trPr>
          <w:trHeight w:val="440"/>
        </w:trPr>
        <w:tc>
          <w:tcPr>
            <w:tcW w:w="798" w:type="pct"/>
            <w:vMerge w:val="restart"/>
            <w:shd w:val="clear" w:color="auto" w:fill="F0F7D7"/>
            <w:vAlign w:val="center"/>
            <w:hideMark/>
          </w:tcPr>
          <w:p w14:paraId="52DCDC5A" w14:textId="77777777">
            <w:pPr>
              <w:keepNext/>
              <w:keepLines/>
              <w:jc w:val="right"/>
              <w:rPr>
                <w:b/>
                <w:bCs/>
                <w:sz w:val="20"/>
                <w:szCs w:val="20"/>
                <w:lang w:eastAsia="en-US" w:bidi="ar-SA"/>
              </w:rPr>
            </w:pPr>
            <w:r>
              <w:rPr>
                <w:b/>
                <w:bCs/>
                <w:sz w:val="20"/>
                <w:szCs w:val="20"/>
                <w:lang w:eastAsia="en-US" w:bidi="ar-SA"/>
              </w:rPr>
              <w:t>transliteration</w:t>
            </w:r>
          </w:p>
        </w:tc>
        <w:tc>
          <w:tcPr>
            <w:tcW w:w="1107" w:type="pct"/>
            <w:shd w:val="clear" w:color="auto" w:fill="F0F7D7"/>
            <w:vAlign w:val="center"/>
            <w:hideMark/>
          </w:tcPr>
          <w:p w14:paraId="7DFE418F" w14:textId="77777777">
            <w:pPr>
              <w:keepNext/>
              <w:keepLines/>
              <w:rPr>
                <w:sz w:val="20"/>
                <w:szCs w:val="20"/>
                <w:lang w:eastAsia="en-US" w:bidi="ar-SA"/>
              </w:rPr>
            </w:pPr>
            <w:r>
              <w:rPr>
                <w:sz w:val="20"/>
                <w:szCs w:val="20"/>
                <w:lang w:eastAsia="en-US" w:bidi="ar-SA"/>
              </w:rPr>
              <w:t>default placeholders</w:t>
            </w:r>
          </w:p>
        </w:tc>
        <w:tc>
          <w:tcPr>
            <w:tcW w:w="1460" w:type="pct"/>
            <w:vAlign w:val="center"/>
            <w:hideMark/>
          </w:tcPr>
          <w:p w14:paraId="1E25F520" w14:textId="77777777">
            <w:pPr>
              <w:keepNext/>
              <w:keepLines/>
              <w:rPr>
                <w:sz w:val="20"/>
                <w:szCs w:val="20"/>
                <w:lang w:eastAsia="en-US" w:bidi="ar-SA"/>
              </w:rPr>
            </w:pPr>
            <w:r>
              <w:rPr>
                <w:sz w:val="20"/>
                <w:szCs w:val="20"/>
                <w:lang w:eastAsia="en-US" w:bidi="ar-SA"/>
              </w:rPr>
              <w:t>clear</w:t>
            </w:r>
          </w:p>
        </w:tc>
        <w:tc>
          <w:tcPr>
            <w:tcW w:w="468" w:type="pct"/>
            <w:vAlign w:val="center"/>
            <w:hideMark/>
          </w:tcPr>
          <w:p w14:paraId="31398EF0" w14:textId="77777777">
            <w:pPr>
              <w:keepNext/>
              <w:keepLines/>
              <w:rPr>
                <w:sz w:val="20"/>
                <w:szCs w:val="20"/>
                <w:lang w:eastAsia="en-US" w:bidi="ar-SA"/>
              </w:rPr>
            </w:pPr>
            <w:r>
              <w:rPr>
                <w:sz w:val="20"/>
                <w:szCs w:val="20"/>
                <w:lang w:eastAsia="en-US" w:bidi="ar-SA"/>
              </w:rPr>
              <w:t>—</w:t>
            </w:r>
          </w:p>
        </w:tc>
        <w:tc>
          <w:tcPr>
            <w:tcW w:w="1167" w:type="pct"/>
            <w:vAlign w:val="center"/>
            <w:hideMark/>
          </w:tcPr>
          <w:p w14:paraId="082D5D84" w14:textId="77777777">
            <w:pPr>
              <w:keepNext/>
              <w:keepLines/>
              <w:rPr>
                <w:sz w:val="20"/>
                <w:szCs w:val="20"/>
                <w:lang w:eastAsia="en-US" w:bidi="ar-SA"/>
              </w:rPr>
            </w:pPr>
            <w:r>
              <w:rPr>
                <w:sz w:val="20"/>
                <w:szCs w:val="20"/>
                <w:lang w:eastAsia="en-US" w:bidi="ar-SA"/>
              </w:rPr>
              <w:t>basic</w:t>
            </w:r>
          </w:p>
        </w:tc>
      </w:tr>
      <w:tr w14:paraId="6E2E00BE" w14:textId="77777777">
        <w:trPr>
          <w:trHeight w:val="440"/>
        </w:trPr>
        <w:tc>
          <w:tcPr>
            <w:tcW w:w="798" w:type="pct"/>
            <w:vMerge/>
            <w:shd w:val="clear" w:color="auto" w:fill="F0F7D7"/>
            <w:vAlign w:val="center"/>
            <w:hideMark/>
          </w:tcPr>
          <w:p w14:paraId="12D51442" w14:textId="77777777">
            <w:pPr>
              <w:keepNext/>
              <w:keepLines/>
              <w:jc w:val="right"/>
              <w:rPr>
                <w:b/>
                <w:bCs/>
                <w:sz w:val="20"/>
                <w:szCs w:val="20"/>
                <w:lang w:eastAsia="en-US" w:bidi="ar-SA"/>
              </w:rPr>
            </w:pPr>
          </w:p>
        </w:tc>
        <w:tc>
          <w:tcPr>
            <w:tcW w:w="1107" w:type="pct"/>
            <w:shd w:val="clear" w:color="auto" w:fill="F0F7D7"/>
            <w:vAlign w:val="center"/>
            <w:hideMark/>
          </w:tcPr>
          <w:p w14:paraId="1376ECFD" w14:textId="77777777">
            <w:pPr>
              <w:keepNext/>
              <w:keepLines/>
              <w:rPr>
                <w:sz w:val="20"/>
                <w:szCs w:val="20"/>
                <w:lang w:eastAsia="en-US" w:bidi="ar-SA"/>
              </w:rPr>
            </w:pPr>
            <w:r>
              <w:rPr>
                <w:sz w:val="20"/>
                <w:szCs w:val="20"/>
                <w:lang w:eastAsia="en-US" w:bidi="ar-SA"/>
              </w:rPr>
              <w:t>arbitrary placeholders</w:t>
            </w:r>
          </w:p>
        </w:tc>
        <w:tc>
          <w:tcPr>
            <w:tcW w:w="1460" w:type="pct"/>
            <w:vAlign w:val="center"/>
            <w:hideMark/>
          </w:tcPr>
          <w:p w14:paraId="546E648D" w14:textId="77777777">
            <w:pPr>
              <w:keepNext/>
              <w:keepLines/>
              <w:rPr>
                <w:sz w:val="20"/>
                <w:szCs w:val="20"/>
                <w:lang w:eastAsia="en-US" w:bidi="ar-SA"/>
              </w:rPr>
            </w:pPr>
            <w:r>
              <w:rPr>
                <w:sz w:val="20"/>
                <w:szCs w:val="20"/>
                <w:lang w:eastAsia="en-US" w:bidi="ar-SA"/>
              </w:rPr>
              <w:t>unclear when multi-character</w:t>
            </w:r>
          </w:p>
        </w:tc>
        <w:tc>
          <w:tcPr>
            <w:tcW w:w="468" w:type="pct"/>
            <w:vAlign w:val="center"/>
            <w:hideMark/>
          </w:tcPr>
          <w:p w14:paraId="2A14495E" w14:textId="77777777">
            <w:pPr>
              <w:keepNext/>
              <w:keepLines/>
              <w:rPr>
                <w:sz w:val="20"/>
                <w:szCs w:val="20"/>
                <w:lang w:eastAsia="en-US" w:bidi="ar-SA"/>
              </w:rPr>
            </w:pPr>
            <w:r>
              <w:rPr>
                <w:sz w:val="20"/>
                <w:szCs w:val="20"/>
                <w:lang w:eastAsia="en-US" w:bidi="ar-SA"/>
              </w:rPr>
              <w:t>vague</w:t>
            </w:r>
          </w:p>
        </w:tc>
        <w:tc>
          <w:tcPr>
            <w:tcW w:w="1167" w:type="pct"/>
            <w:vAlign w:val="center"/>
            <w:hideMark/>
          </w:tcPr>
          <w:p w14:paraId="674F7450" w14:textId="77777777">
            <w:pPr>
              <w:keepNext/>
              <w:keepLines/>
              <w:rPr>
                <w:sz w:val="20"/>
                <w:szCs w:val="20"/>
                <w:lang w:eastAsia="en-US" w:bidi="ar-SA"/>
              </w:rPr>
            </w:pPr>
            <w:r>
              <w:rPr>
                <w:sz w:val="20"/>
                <w:szCs w:val="20"/>
                <w:lang w:eastAsia="en-US" w:bidi="ar-SA"/>
              </w:rPr>
              <w:t>vague, implied</w:t>
            </w:r>
          </w:p>
        </w:tc>
      </w:tr>
      <w:tr w14:paraId="3BCE150E" w14:textId="77777777">
        <w:trPr>
          <w:trHeight w:val="440"/>
        </w:trPr>
        <w:tc>
          <w:tcPr>
            <w:tcW w:w="798" w:type="pct"/>
            <w:vMerge w:val="restart"/>
            <w:shd w:val="clear" w:color="auto" w:fill="F0F7D7"/>
            <w:vAlign w:val="center"/>
            <w:hideMark/>
          </w:tcPr>
          <w:p w14:paraId="75DF7780" w14:textId="77777777">
            <w:pPr>
              <w:keepNext/>
              <w:keepLines/>
              <w:jc w:val="right"/>
              <w:rPr>
                <w:b/>
                <w:bCs/>
                <w:sz w:val="20"/>
                <w:szCs w:val="20"/>
                <w:lang w:eastAsia="en-US" w:bidi="ar-SA"/>
              </w:rPr>
            </w:pPr>
            <w:r>
              <w:rPr>
                <w:b/>
                <w:bCs/>
                <w:sz w:val="20"/>
                <w:szCs w:val="20"/>
                <w:lang w:eastAsia="en-US" w:bidi="ar-SA"/>
              </w:rPr>
              <w:t>encoding</w:t>
            </w:r>
          </w:p>
        </w:tc>
        <w:tc>
          <w:tcPr>
            <w:tcW w:w="1107" w:type="pct"/>
            <w:shd w:val="clear" w:color="auto" w:fill="F0F7D7"/>
            <w:vAlign w:val="center"/>
            <w:hideMark/>
          </w:tcPr>
          <w:p w14:paraId="18F85AB8" w14:textId="77777777">
            <w:pPr>
              <w:keepNext/>
              <w:keepLines/>
              <w:rPr>
                <w:noProof/>
                <w:sz w:val="20"/>
                <w:szCs w:val="20"/>
                <w:lang w:eastAsia="en-US" w:bidi="ar-SA"/>
              </w:rPr>
            </w:pPr>
            <w:r>
              <w:rPr>
                <w:noProof/>
                <w:sz w:val="20"/>
                <w:szCs w:val="20"/>
                <w:lang w:eastAsia="en-US" w:bidi="ar-SA"/>
              </w:rPr>
              <w:t>&lt;g&gt;</w:t>
            </w:r>
          </w:p>
        </w:tc>
        <w:tc>
          <w:tcPr>
            <w:tcW w:w="1460" w:type="pct"/>
            <w:vAlign w:val="center"/>
            <w:hideMark/>
          </w:tcPr>
          <w:p w14:paraId="0ABD0A02" w14:textId="77777777">
            <w:pPr>
              <w:keepNext/>
              <w:keepLines/>
              <w:rPr>
                <w:sz w:val="20"/>
                <w:szCs w:val="20"/>
                <w:lang w:eastAsia="en-US" w:bidi="ar-SA"/>
              </w:rPr>
            </w:pPr>
            <w:r>
              <w:rPr>
                <w:sz w:val="20"/>
                <w:szCs w:val="20"/>
                <w:lang w:eastAsia="en-US" w:bidi="ar-SA"/>
              </w:rPr>
              <w:t>clear</w:t>
            </w:r>
          </w:p>
        </w:tc>
        <w:tc>
          <w:tcPr>
            <w:tcW w:w="468" w:type="pct"/>
            <w:vAlign w:val="center"/>
            <w:hideMark/>
          </w:tcPr>
          <w:p w14:paraId="113594F1" w14:textId="77777777">
            <w:pPr>
              <w:keepNext/>
              <w:keepLines/>
              <w:rPr>
                <w:sz w:val="20"/>
                <w:szCs w:val="20"/>
                <w:lang w:eastAsia="en-US" w:bidi="ar-SA"/>
              </w:rPr>
            </w:pPr>
            <w:r>
              <w:rPr>
                <w:sz w:val="20"/>
                <w:szCs w:val="20"/>
                <w:lang w:eastAsia="en-US" w:bidi="ar-SA"/>
              </w:rPr>
              <w:t>—</w:t>
            </w:r>
          </w:p>
        </w:tc>
        <w:tc>
          <w:tcPr>
            <w:tcW w:w="1167" w:type="pct"/>
            <w:vAlign w:val="center"/>
            <w:hideMark/>
          </w:tcPr>
          <w:p w14:paraId="4F9FAD74" w14:textId="77777777">
            <w:pPr>
              <w:keepNext/>
              <w:keepLines/>
              <w:rPr>
                <w:sz w:val="20"/>
                <w:szCs w:val="20"/>
                <w:lang w:eastAsia="en-US" w:bidi="ar-SA"/>
              </w:rPr>
            </w:pPr>
            <w:r>
              <w:rPr>
                <w:sz w:val="20"/>
                <w:szCs w:val="20"/>
                <w:lang w:eastAsia="en-US" w:bidi="ar-SA"/>
              </w:rPr>
              <w:t>—</w:t>
            </w:r>
          </w:p>
        </w:tc>
      </w:tr>
      <w:tr w14:paraId="4E59CF35" w14:textId="77777777">
        <w:trPr>
          <w:trHeight w:val="440"/>
        </w:trPr>
        <w:tc>
          <w:tcPr>
            <w:tcW w:w="798" w:type="pct"/>
            <w:vMerge/>
            <w:shd w:val="clear" w:color="auto" w:fill="F0F7D7"/>
            <w:vAlign w:val="center"/>
            <w:hideMark/>
          </w:tcPr>
          <w:p w14:paraId="6C0A92B9" w14:textId="77777777">
            <w:pPr>
              <w:keepNext/>
              <w:keepLines/>
              <w:rPr>
                <w:sz w:val="20"/>
                <w:szCs w:val="20"/>
                <w:lang w:eastAsia="en-US" w:bidi="ar-SA"/>
              </w:rPr>
            </w:pPr>
          </w:p>
        </w:tc>
        <w:tc>
          <w:tcPr>
            <w:tcW w:w="1107" w:type="pct"/>
            <w:shd w:val="clear" w:color="auto" w:fill="F0F7D7"/>
            <w:vAlign w:val="center"/>
            <w:hideMark/>
          </w:tcPr>
          <w:p w14:paraId="6CABBED6" w14:textId="77777777">
            <w:pPr>
              <w:keepNext/>
              <w:keepLines/>
              <w:rPr>
                <w:noProof/>
                <w:sz w:val="20"/>
                <w:szCs w:val="20"/>
                <w:lang w:eastAsia="en-US" w:bidi="ar-SA"/>
              </w:rPr>
            </w:pPr>
            <w:r>
              <w:rPr>
                <w:noProof/>
                <w:sz w:val="20"/>
                <w:szCs w:val="20"/>
                <w:lang w:eastAsia="en-US" w:bidi="ar-SA"/>
              </w:rPr>
              <w:t>@type</w:t>
            </w:r>
          </w:p>
        </w:tc>
        <w:tc>
          <w:tcPr>
            <w:tcW w:w="1460" w:type="pct"/>
            <w:vAlign w:val="center"/>
            <w:hideMark/>
          </w:tcPr>
          <w:p w14:paraId="13C50CDC" w14:textId="77777777">
            <w:pPr>
              <w:keepNext/>
              <w:keepLines/>
              <w:rPr>
                <w:sz w:val="20"/>
                <w:szCs w:val="20"/>
                <w:lang w:eastAsia="en-US" w:bidi="ar-SA"/>
              </w:rPr>
            </w:pPr>
            <w:r>
              <w:rPr>
                <w:sz w:val="20"/>
                <w:szCs w:val="20"/>
                <w:lang w:eastAsia="en-US" w:bidi="ar-SA"/>
              </w:rPr>
              <w:t>—</w:t>
            </w:r>
          </w:p>
        </w:tc>
        <w:tc>
          <w:tcPr>
            <w:tcW w:w="468" w:type="pct"/>
            <w:vAlign w:val="center"/>
            <w:hideMark/>
          </w:tcPr>
          <w:p w14:paraId="098B03CE" w14:textId="77777777">
            <w:pPr>
              <w:keepNext/>
              <w:keepLines/>
              <w:rPr>
                <w:sz w:val="20"/>
                <w:szCs w:val="20"/>
                <w:lang w:eastAsia="en-US" w:bidi="ar-SA"/>
              </w:rPr>
            </w:pPr>
            <w:r>
              <w:rPr>
                <w:sz w:val="20"/>
                <w:szCs w:val="20"/>
                <w:lang w:eastAsia="en-US" w:bidi="ar-SA"/>
              </w:rPr>
              <w:t>—</w:t>
            </w:r>
          </w:p>
        </w:tc>
        <w:tc>
          <w:tcPr>
            <w:tcW w:w="1167" w:type="pct"/>
            <w:vAlign w:val="center"/>
            <w:hideMark/>
          </w:tcPr>
          <w:p w14:paraId="351DABEF" w14:textId="77777777">
            <w:pPr>
              <w:keepNext/>
              <w:keepLines/>
              <w:rPr>
                <w:sz w:val="20"/>
                <w:szCs w:val="20"/>
                <w:lang w:eastAsia="en-US" w:bidi="ar-SA"/>
              </w:rPr>
            </w:pPr>
            <w:r>
              <w:rPr>
                <w:sz w:val="20"/>
                <w:szCs w:val="20"/>
                <w:lang w:eastAsia="en-US" w:bidi="ar-SA"/>
              </w:rPr>
              <w:t>basic</w:t>
            </w:r>
          </w:p>
        </w:tc>
      </w:tr>
      <w:tr w14:paraId="17C36548" w14:textId="77777777">
        <w:trPr>
          <w:trHeight w:val="440"/>
        </w:trPr>
        <w:tc>
          <w:tcPr>
            <w:tcW w:w="798" w:type="pct"/>
            <w:vMerge/>
            <w:shd w:val="clear" w:color="auto" w:fill="F0F7D7"/>
            <w:vAlign w:val="center"/>
            <w:hideMark/>
          </w:tcPr>
          <w:p w14:paraId="666F06DC" w14:textId="77777777">
            <w:pPr>
              <w:rPr>
                <w:sz w:val="20"/>
                <w:szCs w:val="20"/>
                <w:lang w:eastAsia="en-US" w:bidi="ar-SA"/>
              </w:rPr>
            </w:pPr>
          </w:p>
        </w:tc>
        <w:tc>
          <w:tcPr>
            <w:tcW w:w="1107" w:type="pct"/>
            <w:shd w:val="clear" w:color="auto" w:fill="F0F7D7"/>
            <w:vAlign w:val="center"/>
            <w:hideMark/>
          </w:tcPr>
          <w:p w14:paraId="4C670142" w14:textId="77777777">
            <w:pPr>
              <w:rPr>
                <w:noProof/>
                <w:sz w:val="20"/>
                <w:szCs w:val="20"/>
                <w:lang w:eastAsia="en-US" w:bidi="ar-SA"/>
              </w:rPr>
            </w:pPr>
            <w:r>
              <w:rPr>
                <w:noProof/>
                <w:sz w:val="20"/>
                <w:szCs w:val="20"/>
                <w:lang w:eastAsia="en-US" w:bidi="ar-SA"/>
              </w:rPr>
              <w:t>@ref</w:t>
            </w:r>
          </w:p>
        </w:tc>
        <w:tc>
          <w:tcPr>
            <w:tcW w:w="1460" w:type="pct"/>
            <w:vAlign w:val="center"/>
            <w:hideMark/>
          </w:tcPr>
          <w:p w14:paraId="26A82AED" w14:textId="77777777">
            <w:pPr>
              <w:rPr>
                <w:sz w:val="20"/>
                <w:szCs w:val="20"/>
                <w:lang w:eastAsia="en-US" w:bidi="ar-SA"/>
              </w:rPr>
            </w:pPr>
            <w:r>
              <w:rPr>
                <w:sz w:val="20"/>
                <w:szCs w:val="20"/>
                <w:lang w:eastAsia="en-US" w:bidi="ar-SA"/>
              </w:rPr>
              <w:t>—</w:t>
            </w:r>
          </w:p>
        </w:tc>
        <w:tc>
          <w:tcPr>
            <w:tcW w:w="468" w:type="pct"/>
            <w:vAlign w:val="center"/>
            <w:hideMark/>
          </w:tcPr>
          <w:p w14:paraId="1C8399CC" w14:textId="539FA3A8">
            <w:pPr>
              <w:rPr>
                <w:sz w:val="20"/>
                <w:szCs w:val="20"/>
                <w:lang w:eastAsia="en-US" w:bidi="ar-SA"/>
              </w:rPr>
            </w:pPr>
            <w:r>
              <w:rPr>
                <w:sz w:val="20"/>
                <w:szCs w:val="20"/>
                <w:lang w:eastAsia="en-US" w:bidi="ar-SA"/>
              </w:rPr>
              <w:t>specific</w:t>
            </w:r>
          </w:p>
        </w:tc>
        <w:tc>
          <w:tcPr>
            <w:tcW w:w="1167" w:type="pct"/>
            <w:vAlign w:val="center"/>
            <w:hideMark/>
          </w:tcPr>
          <w:p w14:paraId="7FAFD676" w14:textId="77777777">
            <w:pPr>
              <w:rPr>
                <w:sz w:val="20"/>
                <w:szCs w:val="20"/>
                <w:lang w:eastAsia="en-US" w:bidi="ar-SA"/>
              </w:rPr>
            </w:pPr>
            <w:r>
              <w:rPr>
                <w:noProof/>
                <w:sz w:val="20"/>
                <w:szCs w:val="20"/>
                <w:lang w:eastAsia="en-US" w:bidi="ar-SA"/>
              </w:rPr>
              <w:t>(</w:t>
            </w:r>
            <w:r>
              <w:rPr>
                <w:sz w:val="20"/>
                <w:szCs w:val="20"/>
                <w:lang w:eastAsia="en-US" w:bidi="ar-SA"/>
              </w:rPr>
              <w:t>implied for ideograms)</w:t>
            </w:r>
          </w:p>
        </w:tc>
      </w:tr>
    </w:tbl>
    <w:p w14:paraId="3E112ABC" w14:textId="77777777">
      <w:pPr>
        <w:pStyle w:val="Cmsor4"/>
      </w:pPr>
      <w:r>
        <w:t>What counts as a symbol?</w:t>
      </w:r>
    </w:p>
    <w:p w14:paraId="33A15540" w14:textId="0493B829">
      <w:pPr>
        <w:rPr>
          <w:lang w:eastAsia="en-US" w:bidi="ar-SA"/>
        </w:rPr>
      </w:pPr>
      <w:r>
        <w:rPr>
          <w:lang w:eastAsia="en-US" w:bidi="ar-SA"/>
        </w:rPr>
        <w:t>The symbols discussed in this section are graphemes, with the implication that they signify information that pertains, however vaguely, to language. Any other graphic content in an original document may be described in annotation, but shall not be represented in transliteration and through symbol encoding, as discussed in TG §3.1.4.3. In particular, the following features are not symbols:</w:t>
      </w:r>
    </w:p>
    <w:p w14:paraId="4F5041C1" w14:textId="77777777">
      <w:pPr>
        <w:pStyle w:val="Lista"/>
        <w:rPr>
          <w:lang w:eastAsia="en-US" w:bidi="ar-SA"/>
        </w:rPr>
      </w:pPr>
      <w:r>
        <w:rPr>
          <w:lang w:eastAsia="en-US" w:bidi="ar-SA"/>
        </w:rPr>
        <w:t>decorative or illustrative imagery, which is to be annotated</w:t>
      </w:r>
    </w:p>
    <w:p w14:paraId="54F76A38" w14:textId="17DBD742">
      <w:pPr>
        <w:pStyle w:val="Lista"/>
        <w:rPr>
          <w:lang w:eastAsia="en-US" w:bidi="ar-SA"/>
        </w:rPr>
      </w:pPr>
      <w:r>
        <w:rPr>
          <w:lang w:eastAsia="en-US" w:bidi="ar-SA"/>
        </w:rPr>
        <w:t xml:space="preserve">scribal (premodern editorial) marks, which are represented in the encoding but not in the text </w:t>
      </w:r>
      <w:r>
        <w:t>(see §</w:t>
      </w:r>
      <w:r>
        <w:fldChar w:fldCharType="begin"/>
      </w:r>
      <w:r>
        <w:instrText xml:space="preserve"> REF _Ref156807687 \r \h </w:instrText>
      </w:r>
      <w:r>
        <w:fldChar w:fldCharType="separate"/>
      </w:r>
      <w:r>
        <w:t>5.5.2.1</w:t>
      </w:r>
      <w:r>
        <w:fldChar w:fldCharType="end"/>
      </w:r>
      <w:r>
        <w:t xml:space="preserve"> about marks used in lieu of text not inscribed; §</w:t>
      </w:r>
      <w:r>
        <w:fldChar w:fldCharType="begin"/>
      </w:r>
      <w:r>
        <w:instrText xml:space="preserve"> REF _Ref183012048 \r \h </w:instrText>
      </w:r>
      <w:r>
        <w:fldChar w:fldCharType="separate"/>
      </w:r>
      <w:r>
        <w:t>5.5.4</w:t>
      </w:r>
      <w:r>
        <w:fldChar w:fldCharType="end"/>
      </w:r>
      <w:r>
        <w:t xml:space="preserve"> about marks for scribal correction)</w:t>
      </w:r>
    </w:p>
    <w:p w14:paraId="32B2CFC5" w14:textId="1E362F6D">
      <w:pPr>
        <w:pStyle w:val="Lista"/>
      </w:pPr>
      <w:r>
        <w:t>as per §</w:t>
      </w:r>
      <w:r>
        <w:fldChar w:fldCharType="begin"/>
      </w:r>
      <w:r>
        <w:instrText xml:space="preserve"> REF _Ref226033790 \r \h </w:instrText>
      </w:r>
      <w:r>
        <w:fldChar w:fldCharType="separate"/>
      </w:r>
      <w:r>
        <w:t>5.2.5</w:t>
      </w:r>
      <w:r>
        <w:fldChar w:fldCharType="end"/>
      </w:r>
      <w:r>
        <w:t xml:space="preserve"> and §</w:t>
      </w:r>
      <w:r>
        <w:fldChar w:fldCharType="begin"/>
      </w:r>
      <w:r>
        <w:instrText xml:space="preserve"> REF _Ref226033797 \r \h </w:instrText>
      </w:r>
      <w:r>
        <w:fldChar w:fldCharType="separate"/>
      </w:r>
      <w:r>
        <w:t>5.3.3</w:t>
      </w:r>
      <w:r>
        <w:fldChar w:fldCharType="end"/>
      </w:r>
      <w:r>
        <w:t>, core glyphs (i.e. phonographic and numeral glyphs) are not symbols in this sense even when they are employed in a symbolic function, and shall therefore be transliterated according to their primary signification and not wrapped in glyph encoding for symbols</w:t>
      </w:r>
    </w:p>
    <w:p w14:paraId="10D981D9" w14:textId="77777777">
      <w:pPr>
        <w:pStyle w:val="Lista2"/>
      </w:pPr>
      <w:r>
        <w:t xml:space="preserve">however, as per </w:t>
      </w:r>
      <w:r>
        <w:rPr>
          <w:lang w:eastAsia="en-US" w:bidi="ar-SA"/>
        </w:rPr>
        <w:t xml:space="preserve">TG §6.2, symbol glyphs whose shape is similar to a core glyph but not identical to that glyph as attested or expected in the given writing system (e.g. the glyph </w:t>
      </w:r>
      <w:r>
        <w:rPr>
          <w:rStyle w:val="Foreign"/>
        </w:rPr>
        <w:t>oṁ</w:t>
      </w:r>
      <w:r>
        <w:t xml:space="preserve"> written in a conspicuously archaic or </w:t>
      </w:r>
      <w:r>
        <w:rPr>
          <w:lang w:eastAsia="en-US" w:bidi="ar-SA"/>
        </w:rPr>
        <w:t>stylised form) shall be treated as peripheral graphemes</w:t>
      </w:r>
    </w:p>
    <w:p w14:paraId="03572E0A" w14:textId="77777777">
      <w:pPr>
        <w:pStyle w:val="Cmsor3"/>
      </w:pPr>
      <w:bookmarkStart w:id="410" w:name="_Ref226023506"/>
      <w:bookmarkStart w:id="411" w:name="_Toc242889500"/>
      <w:r>
        <w:lastRenderedPageBreak/>
        <w:t>Classifying symbols by function</w:t>
      </w:r>
      <w:bookmarkEnd w:id="410"/>
      <w:bookmarkEnd w:id="411"/>
    </w:p>
    <w:p w14:paraId="428DDEB2" w14:textId="77777777">
      <w:pPr>
        <w:rPr>
          <w:lang w:eastAsia="en-US" w:bidi="ar-SA"/>
        </w:rPr>
      </w:pPr>
      <w:r>
        <w:rPr>
          <w:lang w:eastAsia="en-US" w:bidi="ar-SA"/>
        </w:rPr>
        <w:t xml:space="preserve">For the purposes of transliteration as well as encoding, we categorise peripheral graphemes into four broad functional classes: ideograms, punctuation marks, connectors and abstract symbols. These classes are discussed in TG §5 and only briefly summarised here. We find that because of the vague nature of many symbols a more precise differentiation by function would entail difficulty in defining functions and inconsistency in applying the classification. Moreover, across the writing systems in our scope — and even within a single writing tradition or a single document — any particular glyph may be used in any of these basic functions (or without a clear function). Therefore, even though particular shapes are often associated with particular functions, functional classification must be judged on a case-by-case basis, and the assignment of a grapheme to a particular function never implies any particular shape. </w:t>
      </w:r>
    </w:p>
    <w:p w14:paraId="57A51AD2" w14:textId="77777777">
      <w:pPr>
        <w:pStyle w:val="Cmsor4"/>
      </w:pPr>
      <w:r>
        <w:t>Ideograms</w:t>
      </w:r>
    </w:p>
    <w:p w14:paraId="7402C10E" w14:textId="77777777">
      <w:pPr>
        <w:pStyle w:val="Lista"/>
      </w:pPr>
      <w:r>
        <w:t xml:space="preserve">ideograms (TG §5.2) are graphemes </w:t>
      </w:r>
      <w:r>
        <w:rPr>
          <w:lang w:eastAsia="en-US" w:bidi="ar-SA"/>
        </w:rPr>
        <w:t xml:space="preserve">that signify </w:t>
      </w:r>
      <w:r>
        <w:t>words, morphemes or abstract concepts</w:t>
      </w:r>
    </w:p>
    <w:p w14:paraId="28B51CF7" w14:textId="77777777">
      <w:pPr>
        <w:pStyle w:val="Lista"/>
      </w:pPr>
      <w:r>
        <w:t>modern international examples include |+| |%| |$| |€|</w:t>
      </w:r>
    </w:p>
    <w:p w14:paraId="4724F257" w14:textId="77777777">
      <w:pPr>
        <w:pStyle w:val="Lista"/>
      </w:pPr>
      <w:r>
        <w:t>examples in Indic writing systems include |</w:t>
      </w:r>
      <w:r>
        <w:rPr>
          <w:rStyle w:val="ForeignDevanagariAlt"/>
          <w:rFonts w:hint="cs"/>
          <w:cs/>
        </w:rPr>
        <w:t>ॐ</w:t>
      </w:r>
      <w:r>
        <w:t xml:space="preserve">| (Devanagari </w:t>
      </w:r>
      <w:r>
        <w:rPr>
          <w:rStyle w:val="Foreign"/>
        </w:rPr>
        <w:t>oṁ</w:t>
      </w:r>
      <w:r>
        <w:t>), |</w:t>
      </w:r>
      <w:r>
        <w:rPr>
          <w:rStyle w:val="ForeignTamilScript"/>
          <w:cs/>
          <w:lang w:bidi="ta-IN"/>
        </w:rPr>
        <w:t>௳</w:t>
      </w:r>
      <w:r>
        <w:t xml:space="preserve">| (Tamil </w:t>
      </w:r>
      <w:r>
        <w:rPr>
          <w:rStyle w:val="Foreign"/>
        </w:rPr>
        <w:t>piḷḷaiyār cuḻi</w:t>
      </w:r>
      <w:r>
        <w:t>)</w:t>
      </w:r>
    </w:p>
    <w:p w14:paraId="6F71DFCD" w14:textId="10F8B681">
      <w:pPr>
        <w:pStyle w:val="Lista"/>
      </w:pPr>
      <w:r>
        <w:t>numerals are technically also ideograms, but from a practical point of view we treat them as core graphemes (§</w:t>
      </w:r>
      <w:r>
        <w:fldChar w:fldCharType="begin"/>
      </w:r>
      <w:r>
        <w:instrText xml:space="preserve"> REF _Ref226015920 \r \h </w:instrText>
      </w:r>
      <w:r>
        <w:fldChar w:fldCharType="separate"/>
      </w:r>
      <w:r>
        <w:t>5.3</w:t>
      </w:r>
      <w:r>
        <w:fldChar w:fldCharType="end"/>
      </w:r>
      <w:r>
        <w:t>)</w:t>
      </w:r>
    </w:p>
    <w:p w14:paraId="7EA3A066" w14:textId="77777777">
      <w:pPr>
        <w:pStyle w:val="Cmsor4"/>
      </w:pPr>
      <w:r>
        <w:t>Punctuation marks</w:t>
      </w:r>
    </w:p>
    <w:p w14:paraId="664D5CAB" w14:textId="77777777">
      <w:pPr>
        <w:pStyle w:val="Lista"/>
      </w:pPr>
      <w:r>
        <w:t>punctuation marks (TG §5.3) are graphic signs employed for segmentation into syntactic or metrical units such as such as sentences, clauses, list items and stanzas or their subdivisions</w:t>
      </w:r>
    </w:p>
    <w:p w14:paraId="40E8F073" w14:textId="77777777">
      <w:pPr>
        <w:pStyle w:val="Lista2"/>
      </w:pPr>
      <w:r>
        <w:t>throughout this Guide, the term ‘punctuation mark’ is always used in this specific and restricted sense</w:t>
      </w:r>
    </w:p>
    <w:p w14:paraId="435D4DEF" w14:textId="77777777">
      <w:pPr>
        <w:pStyle w:val="Lista2"/>
      </w:pPr>
      <w:r>
        <w:t>thus, figural and ornamental signs, as well as “typographic” signs used to mark the end or beginning of an entire text or a major section of text, are generally excluded from this class</w:t>
      </w:r>
    </w:p>
    <w:p w14:paraId="6D83A1B6" w14:textId="77777777">
      <w:pPr>
        <w:pStyle w:val="Lista"/>
      </w:pPr>
      <w:r>
        <w:t>modern international examples include |.| |,| |!|</w:t>
      </w:r>
    </w:p>
    <w:p w14:paraId="6DDFC5CA" w14:textId="77777777">
      <w:pPr>
        <w:pStyle w:val="Lista"/>
      </w:pPr>
      <w:r>
        <w:t>examples in Indic writing systems include vertical bars, horizontal dashes and their variations</w:t>
      </w:r>
    </w:p>
    <w:p w14:paraId="3CB3CE32" w14:textId="77777777">
      <w:pPr>
        <w:pStyle w:val="Cmsor4"/>
      </w:pPr>
      <w:bookmarkStart w:id="412" w:name="_Ref226038881"/>
      <w:r>
        <w:t>Connectors</w:t>
      </w:r>
      <w:bookmarkEnd w:id="412"/>
    </w:p>
    <w:p w14:paraId="58FA18B9" w14:textId="77777777">
      <w:pPr>
        <w:pStyle w:val="Lista"/>
      </w:pPr>
      <w:r>
        <w:t>connectors (TG §5.4) are a special set of marks which signify that a spatial interruption in the script is not to be understood as a break in linguistic structure</w:t>
      </w:r>
    </w:p>
    <w:p w14:paraId="0D9352C4" w14:textId="77777777">
      <w:pPr>
        <w:pStyle w:val="Lista2"/>
      </w:pPr>
      <w:r>
        <w:t>connectors include the marks called ‘space fillers’ in previous versions of this Guide, used where a part of the writing surface could not accommodate the text to be written, filling it up with one or more marks in order to preserve the continuity of the writing</w:t>
      </w:r>
    </w:p>
    <w:p w14:paraId="67DAEFB5" w14:textId="77777777">
      <w:pPr>
        <w:pStyle w:val="Lista2"/>
      </w:pPr>
      <w:r>
        <w:t>as well as marks used singly at line ends to signify that a word break is not present (like a modern hyphen)</w:t>
      </w:r>
    </w:p>
    <w:p w14:paraId="552AF008" w14:textId="74915241">
      <w:pPr>
        <w:pStyle w:val="Lista"/>
      </w:pPr>
      <w:r>
        <w:t>conversely, signs used by the scribe as placeholders for characters of text he was unable to provide (for example because they were illegible in the manuscript being copied) are not connectors and shall be encoded as per §</w:t>
      </w:r>
      <w:r>
        <w:fldChar w:fldCharType="begin"/>
      </w:r>
      <w:r>
        <w:instrText xml:space="preserve"> REF _Ref156807687 \r \h </w:instrText>
      </w:r>
      <w:r>
        <w:fldChar w:fldCharType="separate"/>
      </w:r>
      <w:r>
        <w:t>5.5.2.1</w:t>
      </w:r>
      <w:r>
        <w:fldChar w:fldCharType="end"/>
      </w:r>
    </w:p>
    <w:p w14:paraId="6B4757B8" w14:textId="77777777">
      <w:pPr>
        <w:pStyle w:val="Cmsor4"/>
      </w:pPr>
      <w:bookmarkStart w:id="413" w:name="_Ref231893872"/>
      <w:r>
        <w:t>Abstract symbols</w:t>
      </w:r>
      <w:bookmarkEnd w:id="413"/>
    </w:p>
    <w:p w14:paraId="2AFD0E81" w14:textId="77777777">
      <w:pPr>
        <w:pStyle w:val="Lista"/>
      </w:pPr>
      <w:r>
        <w:t>abstract symbols (TG §5.5) are all peripheral graphemes that cannot be confidently assigned to either of the above three classes</w:t>
      </w:r>
    </w:p>
    <w:p w14:paraId="49222AA1" w14:textId="77777777">
      <w:pPr>
        <w:pStyle w:val="Lista2"/>
      </w:pPr>
      <w:r>
        <w:t>abstract symbols are also called simply ‘symbols’, but we also use the term ‘symbol’ in a generic sense to refer to all peripheral graphemes</w:t>
      </w:r>
    </w:p>
    <w:p w14:paraId="3ECA2C11" w14:textId="77777777">
      <w:pPr>
        <w:pStyle w:val="Lista"/>
        <w:rPr>
          <w:lang w:eastAsia="en-US" w:bidi="ar-SA"/>
        </w:rPr>
      </w:pPr>
      <w:r>
        <w:rPr>
          <w:lang w:eastAsia="en-US" w:bidi="ar-SA"/>
        </w:rPr>
        <w:t>classifying a grapheme as an abstract symbol means choosing not to assert any particular linguistic function for it, but is not an assertion that it has no function at all</w:t>
      </w:r>
    </w:p>
    <w:p w14:paraId="6D097040" w14:textId="77777777">
      <w:pPr>
        <w:pStyle w:val="Lista2"/>
        <w:rPr>
          <w:lang w:eastAsia="en-US" w:bidi="ar-SA"/>
        </w:rPr>
      </w:pPr>
      <w:r>
        <w:rPr>
          <w:lang w:eastAsia="en-US" w:bidi="ar-SA"/>
        </w:rPr>
        <w:t>thus, all graphemes whose function is ambiguous or uncertain shall be classified as abstract symbols, even if there is a chance that they might qualify for one of the specific classes</w:t>
      </w:r>
    </w:p>
    <w:p w14:paraId="1E242C8E" w14:textId="77777777">
      <w:pPr>
        <w:pStyle w:val="Lista2"/>
        <w:rPr>
          <w:lang w:eastAsia="en-US" w:bidi="ar-SA"/>
        </w:rPr>
      </w:pPr>
      <w:r>
        <w:t>encoding an abstract symbol instead of a specific function is not an error and will have little ultimate impact on the quality of our corpus</w:t>
      </w:r>
    </w:p>
    <w:p w14:paraId="6CCE0D3D" w14:textId="77777777">
      <w:pPr>
        <w:pStyle w:val="Cmsor3"/>
      </w:pPr>
      <w:bookmarkStart w:id="414" w:name="_Toc242889501"/>
      <w:r>
        <w:lastRenderedPageBreak/>
        <w:t>Transliterating peripheral graphemes</w:t>
      </w:r>
      <w:bookmarkEnd w:id="414"/>
    </w:p>
    <w:p w14:paraId="37DECC34" w14:textId="51D046C9">
      <w:pPr>
        <w:rPr>
          <w:lang w:eastAsia="en-US" w:bidi="ar-SA"/>
        </w:rPr>
      </w:pPr>
      <w:r>
        <w:rPr>
          <w:lang w:eastAsia="en-US" w:bidi="ar-SA"/>
        </w:rPr>
        <w:t>The placeholders used for peripheral graphemes are a device of transliteration, and are accordingly discussed in TG §5. Here, we summarise only the essentials. We dedicate a default placeholder to each of the broad functional classes introduced in §</w:t>
      </w:r>
      <w:r>
        <w:rPr>
          <w:lang w:eastAsia="en-US" w:bidi="ar-SA"/>
        </w:rPr>
        <w:fldChar w:fldCharType="begin"/>
      </w:r>
      <w:r>
        <w:rPr>
          <w:lang w:eastAsia="en-US" w:bidi="ar-SA"/>
        </w:rPr>
        <w:instrText xml:space="preserve"> REF _Ref226023506 \r \h </w:instrText>
      </w:r>
      <w:r>
        <w:rPr>
          <w:lang w:eastAsia="en-US" w:bidi="ar-SA"/>
        </w:rPr>
      </w:r>
      <w:r>
        <w:rPr>
          <w:lang w:eastAsia="en-US" w:bidi="ar-SA"/>
        </w:rPr>
        <w:fldChar w:fldCharType="separate"/>
      </w:r>
      <w:r>
        <w:rPr>
          <w:lang w:eastAsia="en-US" w:bidi="ar-SA"/>
        </w:rPr>
        <w:t>5.4.2</w:t>
      </w:r>
      <w:r>
        <w:rPr>
          <w:lang w:eastAsia="en-US" w:bidi="ar-SA"/>
        </w:rPr>
        <w:fldChar w:fldCharType="end"/>
      </w:r>
      <w:r>
        <w:rPr>
          <w:lang w:eastAsia="en-US" w:bidi="ar-SA"/>
        </w:rPr>
        <w:t xml:space="preserve"> above. When an arbitrary placeholder (§</w:t>
      </w:r>
      <w:r>
        <w:rPr>
          <w:lang w:eastAsia="en-US" w:bidi="ar-SA"/>
        </w:rPr>
        <w:fldChar w:fldCharType="begin"/>
      </w:r>
      <w:r>
        <w:rPr>
          <w:lang w:eastAsia="en-US" w:bidi="ar-SA"/>
        </w:rPr>
        <w:instrText xml:space="preserve"> REF _Ref225955892 \r \h </w:instrText>
      </w:r>
      <w:r>
        <w:rPr>
          <w:lang w:eastAsia="en-US" w:bidi="ar-SA"/>
        </w:rPr>
      </w:r>
      <w:r>
        <w:rPr>
          <w:lang w:eastAsia="en-US" w:bidi="ar-SA"/>
        </w:rPr>
        <w:fldChar w:fldCharType="separate"/>
      </w:r>
      <w:r>
        <w:rPr>
          <w:lang w:eastAsia="en-US" w:bidi="ar-SA"/>
        </w:rPr>
        <w:t>5.4.3.2</w:t>
      </w:r>
      <w:r>
        <w:rPr>
          <w:lang w:eastAsia="en-US" w:bidi="ar-SA"/>
        </w:rPr>
        <w:fldChar w:fldCharType="end"/>
      </w:r>
      <w:r>
        <w:rPr>
          <w:lang w:eastAsia="en-US" w:bidi="ar-SA"/>
        </w:rPr>
        <w:t>) is not desired, every peripheral grapheme in the source must be transliterated with the default placeholder appropriate to its class.</w:t>
      </w:r>
    </w:p>
    <w:p w14:paraId="794CC838" w14:textId="77777777">
      <w:pPr>
        <w:pStyle w:val="Cmsor4"/>
      </w:pPr>
      <w:bookmarkStart w:id="415" w:name="_Ref226036268"/>
      <w:r>
        <w:t>Default placeholders</w:t>
      </w:r>
      <w:bookmarkEnd w:id="415"/>
    </w:p>
    <w:p w14:paraId="11AA0AAD" w14:textId="77777777">
      <w:pPr>
        <w:pStyle w:val="Lista"/>
      </w:pPr>
      <w:r>
        <w:t>the default placeholders for the classes are as follows</w:t>
      </w:r>
    </w:p>
    <w:p w14:paraId="43684BEA" w14:textId="77777777">
      <w:pPr>
        <w:pStyle w:val="Lista2"/>
      </w:pPr>
      <w:r>
        <w:t xml:space="preserve">for ideograms: @ </w:t>
      </w:r>
      <w:r>
        <w:rPr>
          <w:noProof/>
        </w:rPr>
        <w:t>(</w:t>
      </w:r>
      <w:r>
        <w:t>at sign)</w:t>
      </w:r>
    </w:p>
    <w:p w14:paraId="13352B46" w14:textId="77777777">
      <w:pPr>
        <w:pStyle w:val="Lista2"/>
      </w:pPr>
      <w:r>
        <w:t xml:space="preserve">for punctuation marks: . </w:t>
      </w:r>
      <w:r>
        <w:rPr>
          <w:noProof/>
        </w:rPr>
        <w:t>(</w:t>
      </w:r>
      <w:r>
        <w:t>dot, period or full stop)</w:t>
      </w:r>
    </w:p>
    <w:p w14:paraId="79C9D90B" w14:textId="77777777">
      <w:pPr>
        <w:pStyle w:val="Lista2"/>
      </w:pPr>
      <w:r>
        <w:t xml:space="preserve">for connectors: § </w:t>
      </w:r>
      <w:r>
        <w:rPr>
          <w:noProof/>
        </w:rPr>
        <w:t>(</w:t>
      </w:r>
      <w:r>
        <w:t>section sign)</w:t>
      </w:r>
    </w:p>
    <w:p w14:paraId="4F98792D" w14:textId="77777777">
      <w:pPr>
        <w:pStyle w:val="Lista2"/>
      </w:pPr>
      <w:r>
        <w:t xml:space="preserve">for abstract symbols: * </w:t>
      </w:r>
      <w:r>
        <w:rPr>
          <w:noProof/>
        </w:rPr>
        <w:t>(</w:t>
      </w:r>
      <w:r>
        <w:t>asterisk)</w:t>
      </w:r>
    </w:p>
    <w:p w14:paraId="276D88B1" w14:textId="14253F3A">
      <w:pPr>
        <w:pStyle w:val="Lista"/>
      </w:pPr>
      <w:r>
        <w:rPr>
          <w:lang w:eastAsia="en-US" w:bidi="ar-SA"/>
        </w:rPr>
        <w:t>in XML editions, the default placeholders will usually be combined with glyph encoding (§</w:t>
      </w:r>
      <w:r>
        <w:rPr>
          <w:lang w:eastAsia="en-US" w:bidi="ar-SA"/>
        </w:rPr>
        <w:fldChar w:fldCharType="begin"/>
      </w:r>
      <w:r>
        <w:rPr>
          <w:lang w:eastAsia="en-US" w:bidi="ar-SA"/>
        </w:rPr>
        <w:instrText xml:space="preserve"> REF _Ref226028934 \r \h </w:instrText>
      </w:r>
      <w:r>
        <w:rPr>
          <w:lang w:eastAsia="en-US" w:bidi="ar-SA"/>
        </w:rPr>
      </w:r>
      <w:r>
        <w:rPr>
          <w:lang w:eastAsia="en-US" w:bidi="ar-SA"/>
        </w:rPr>
        <w:fldChar w:fldCharType="separate"/>
      </w:r>
      <w:r>
        <w:rPr>
          <w:lang w:eastAsia="en-US" w:bidi="ar-SA"/>
        </w:rPr>
        <w:t>5.4.4</w:t>
      </w:r>
      <w:r>
        <w:rPr>
          <w:lang w:eastAsia="en-US" w:bidi="ar-SA"/>
        </w:rPr>
        <w:fldChar w:fldCharType="end"/>
      </w:r>
      <w:r>
        <w:rPr>
          <w:lang w:eastAsia="en-US" w:bidi="ar-SA"/>
        </w:rPr>
        <w:t>)</w:t>
      </w:r>
    </w:p>
    <w:p w14:paraId="3021C3DF" w14:textId="77777777">
      <w:pPr>
        <w:pStyle w:val="Lista"/>
      </w:pPr>
      <w:r>
        <w:rPr>
          <w:lang w:eastAsia="en-US" w:bidi="ar-SA"/>
        </w:rPr>
        <w:t xml:space="preserve">default placeholders may be used without being wrapped in a </w:t>
      </w:r>
      <w:r>
        <w:rPr>
          <w:rStyle w:val="Code"/>
        </w:rPr>
        <w:t>&lt;g&gt;</w:t>
      </w:r>
      <w:r>
        <w:t xml:space="preserve"> element in the following circumstances:</w:t>
      </w:r>
    </w:p>
    <w:p w14:paraId="1A640620" w14:textId="7260A1EE">
      <w:pPr>
        <w:pStyle w:val="Lista2"/>
      </w:pPr>
      <w:r>
        <w:t>when supplying editorial punctuation for the purpose of semantic segmentation, as per §</w:t>
      </w:r>
      <w:r>
        <w:fldChar w:fldCharType="begin"/>
      </w:r>
      <w:r>
        <w:instrText xml:space="preserve"> REF _Ref229060537 \r \h </w:instrText>
      </w:r>
      <w:r>
        <w:fldChar w:fldCharType="separate"/>
      </w:r>
      <w:r>
        <w:t>7.8.3</w:t>
      </w:r>
      <w:r>
        <w:fldChar w:fldCharType="end"/>
      </w:r>
    </w:p>
    <w:p w14:paraId="0A4BB160" w14:textId="77777777">
      <w:pPr>
        <w:pStyle w:val="Lista2"/>
      </w:pPr>
      <w:r>
        <w:t>when encoding a text from a previous edition, without access to the original or a surrogate, if that edition records the presence of a symbol without describing its appearance</w:t>
      </w:r>
    </w:p>
    <w:p w14:paraId="14E068C0" w14:textId="77777777">
      <w:pPr>
        <w:pStyle w:val="Cmsor4"/>
      </w:pPr>
      <w:bookmarkStart w:id="416" w:name="_Ref225955892"/>
      <w:r>
        <w:t>Arbitrary placeholders</w:t>
      </w:r>
      <w:bookmarkEnd w:id="416"/>
    </w:p>
    <w:p w14:paraId="001F3C0F" w14:textId="77777777">
      <w:pPr>
        <w:rPr>
          <w:lang w:eastAsia="en-US" w:bidi="ar-SA"/>
        </w:rPr>
      </w:pPr>
      <w:r>
        <w:rPr>
          <w:lang w:eastAsia="en-US" w:bidi="ar-SA"/>
        </w:rPr>
        <w:t>At the editor’s discretion, arbitrary target graphemes (or strings of target graphemes) may be used for representing any peripheral grapheme in the source. Arbitrary placeholders can be Unicode characters chosen to resemble the source grapheme’s graphetic appearance or to imitate its perceived graphemic function, as well as strings alluding to an emic name of the source grapheme or describing it in etic terms (TG §5.1.2).</w:t>
      </w:r>
    </w:p>
    <w:p w14:paraId="494FC8AA" w14:textId="79163324">
      <w:pPr>
        <w:pStyle w:val="Lista"/>
        <w:rPr>
          <w:lang w:eastAsia="en-US" w:bidi="ar-SA"/>
        </w:rPr>
      </w:pPr>
      <w:r>
        <w:rPr>
          <w:lang w:eastAsia="en-US" w:bidi="ar-SA"/>
        </w:rPr>
        <w:t>in XML editions, it is generally preferable to use only the default placeholders and combine them with glyph encoding (§</w:t>
      </w:r>
      <w:r>
        <w:rPr>
          <w:lang w:eastAsia="en-US" w:bidi="ar-SA"/>
        </w:rPr>
        <w:fldChar w:fldCharType="begin"/>
      </w:r>
      <w:r>
        <w:rPr>
          <w:lang w:eastAsia="en-US" w:bidi="ar-SA"/>
        </w:rPr>
        <w:instrText xml:space="preserve"> REF _Ref226016620 \r \h </w:instrText>
      </w:r>
      <w:r>
        <w:rPr>
          <w:lang w:eastAsia="en-US" w:bidi="ar-SA"/>
        </w:rPr>
      </w:r>
      <w:r>
        <w:rPr>
          <w:lang w:eastAsia="en-US" w:bidi="ar-SA"/>
        </w:rPr>
        <w:fldChar w:fldCharType="separate"/>
      </w:r>
      <w:r>
        <w:rPr>
          <w:lang w:eastAsia="en-US" w:bidi="ar-SA"/>
        </w:rPr>
        <w:t>5.4.4</w:t>
      </w:r>
      <w:r>
        <w:rPr>
          <w:lang w:eastAsia="en-US" w:bidi="ar-SA"/>
        </w:rPr>
        <w:fldChar w:fldCharType="end"/>
      </w:r>
      <w:r>
        <w:rPr>
          <w:lang w:eastAsia="en-US" w:bidi="ar-SA"/>
        </w:rPr>
        <w:t>)</w:t>
      </w:r>
    </w:p>
    <w:p w14:paraId="14D20AF6" w14:textId="77777777">
      <w:pPr>
        <w:pStyle w:val="Lista"/>
        <w:rPr>
          <w:lang w:eastAsia="en-US" w:bidi="ar-SA"/>
        </w:rPr>
      </w:pPr>
      <w:r>
        <w:rPr>
          <w:lang w:eastAsia="en-US" w:bidi="ar-SA"/>
        </w:rPr>
        <w:t>nonetheless, because they can help reduce code clutter, arbitrary placeholders are permitted in XML contexts if they are deemed to be satisfactory representations of the source grapheme</w:t>
      </w:r>
    </w:p>
    <w:p w14:paraId="58FB4221" w14:textId="77777777">
      <w:pPr>
        <w:pStyle w:val="Lista2"/>
      </w:pPr>
      <w:r>
        <w:rPr>
          <w:lang w:eastAsia="en-US" w:bidi="ar-SA"/>
        </w:rPr>
        <w:t>arbitrary placeholders may be used without glyph encoding provided that they consist of a single character</w:t>
      </w:r>
    </w:p>
    <w:p w14:paraId="3A24BFC2" w14:textId="2B446F79">
      <w:pPr>
        <w:pStyle w:val="Lista2"/>
        <w:rPr>
          <w:lang w:eastAsia="en-US" w:bidi="ar-SA"/>
        </w:rPr>
      </w:pPr>
      <w:r>
        <w:rPr>
          <w:lang w:eastAsia="en-US" w:bidi="ar-SA"/>
        </w:rPr>
        <w:t>multi-character arbitrary placeholders must, however, always be combined with glyph encoding (§</w:t>
      </w:r>
      <w:r>
        <w:rPr>
          <w:lang w:eastAsia="en-US" w:bidi="ar-SA"/>
        </w:rPr>
        <w:fldChar w:fldCharType="begin"/>
      </w:r>
      <w:r>
        <w:rPr>
          <w:lang w:eastAsia="en-US" w:bidi="ar-SA"/>
        </w:rPr>
        <w:instrText xml:space="preserve"> REF _Ref226028934 \r \h </w:instrText>
      </w:r>
      <w:r>
        <w:rPr>
          <w:lang w:eastAsia="en-US" w:bidi="ar-SA"/>
        </w:rPr>
      </w:r>
      <w:r>
        <w:rPr>
          <w:lang w:eastAsia="en-US" w:bidi="ar-SA"/>
        </w:rPr>
        <w:fldChar w:fldCharType="separate"/>
      </w:r>
      <w:r>
        <w:rPr>
          <w:lang w:eastAsia="en-US" w:bidi="ar-SA"/>
        </w:rPr>
        <w:t>5.4.4</w:t>
      </w:r>
      <w:r>
        <w:rPr>
          <w:lang w:eastAsia="en-US" w:bidi="ar-SA"/>
        </w:rPr>
        <w:fldChar w:fldCharType="end"/>
      </w:r>
      <w:r>
        <w:rPr>
          <w:lang w:eastAsia="en-US" w:bidi="ar-SA"/>
        </w:rPr>
        <w:t>) to make it clear that a particular string of target characters corresponds to a single source grapheme</w:t>
      </w:r>
    </w:p>
    <w:p w14:paraId="2EDD522A" w14:textId="77777777">
      <w:pPr>
        <w:pStyle w:val="Lista"/>
        <w:rPr>
          <w:lang w:eastAsia="en-US" w:bidi="ar-SA"/>
        </w:rPr>
      </w:pPr>
      <w:r>
        <w:rPr>
          <w:lang w:eastAsia="en-US" w:bidi="ar-SA"/>
        </w:rPr>
        <w:t>strategies for combining the available transliteration and encoding options are outlined in TG §5.1.3</w:t>
      </w:r>
    </w:p>
    <w:p w14:paraId="7BA5E32E" w14:textId="77777777">
      <w:pPr>
        <w:pStyle w:val="Lista"/>
        <w:rPr>
          <w:lang w:eastAsia="en-US" w:bidi="ar-SA"/>
        </w:rPr>
      </w:pPr>
      <w:r>
        <w:rPr>
          <w:lang w:eastAsia="en-US" w:bidi="ar-SA"/>
        </w:rPr>
        <w:t>in XML editions, arbitrary placeholders are most likely to be used for basic forms of punctuation marks, as follows</w:t>
      </w:r>
    </w:p>
    <w:p w14:paraId="26095852" w14:textId="77777777">
      <w:pPr>
        <w:pStyle w:val="Lista3"/>
        <w:rPr>
          <w:rFonts w:eastAsia="Arial"/>
        </w:rPr>
      </w:pPr>
      <w:r>
        <w:t xml:space="preserve">| </w:t>
      </w:r>
      <w:r>
        <w:rPr>
          <w:noProof/>
        </w:rPr>
        <w:t>(</w:t>
      </w:r>
      <w:r>
        <w:rPr>
          <w:rStyle w:val="Code"/>
        </w:rPr>
        <w:t>U+007C</w:t>
      </w:r>
      <w:r>
        <w:t xml:space="preserve"> Vertical Line) for signs comprised of a single plain vertical bar</w:t>
      </w:r>
    </w:p>
    <w:p w14:paraId="4F8DF7F6" w14:textId="77777777">
      <w:pPr>
        <w:pStyle w:val="Lista3"/>
      </w:pPr>
      <w:r>
        <w:t xml:space="preserve">/ </w:t>
      </w:r>
      <w:r>
        <w:rPr>
          <w:noProof/>
        </w:rPr>
        <w:t>(</w:t>
      </w:r>
      <w:r>
        <w:t>slash) for signs comprised of a single vertical bar with a hook, crossbar or ornamental addition</w:t>
      </w:r>
    </w:p>
    <w:p w14:paraId="146E7EB9" w14:textId="77777777">
      <w:pPr>
        <w:pStyle w:val="Lista3"/>
      </w:pPr>
      <w:r>
        <w:t xml:space="preserve">, </w:t>
      </w:r>
      <w:r>
        <w:rPr>
          <w:noProof/>
        </w:rPr>
        <w:t>(</w:t>
      </w:r>
      <w:r>
        <w:t>comma) for short, predominantly vertical and often curved strokes at any height</w:t>
      </w:r>
    </w:p>
    <w:p w14:paraId="6E003753" w14:textId="77777777">
      <w:pPr>
        <w:pStyle w:val="Lista2"/>
        <w:rPr>
          <w:lang w:eastAsia="en-US" w:bidi="ar-SA"/>
        </w:rPr>
      </w:pPr>
      <w:r>
        <w:rPr>
          <w:lang w:eastAsia="en-US" w:bidi="ar-SA"/>
        </w:rPr>
        <w:t>additional recommendations for arbitrary placeholders are available in the TG sections (under §5) discussing the functional classes</w:t>
      </w:r>
    </w:p>
    <w:p w14:paraId="19576D3B" w14:textId="77777777">
      <w:pPr>
        <w:pStyle w:val="Cmsor3"/>
      </w:pPr>
      <w:bookmarkStart w:id="417" w:name="_Ref225955927"/>
      <w:bookmarkStart w:id="418" w:name="_Ref226016620"/>
      <w:bookmarkStart w:id="419" w:name="_Ref226028934"/>
      <w:bookmarkStart w:id="420" w:name="_Ref226032987"/>
      <w:bookmarkStart w:id="421" w:name="_Toc242889502"/>
      <w:r>
        <w:t>Glyph encoding for peripheral graphemes</w:t>
      </w:r>
      <w:bookmarkEnd w:id="417"/>
      <w:bookmarkEnd w:id="418"/>
      <w:bookmarkEnd w:id="419"/>
      <w:bookmarkEnd w:id="420"/>
      <w:bookmarkEnd w:id="421"/>
    </w:p>
    <w:p w14:paraId="4A06307F" w14:textId="018252A5">
      <w:r>
        <w:t xml:space="preserve">We use the TEI element </w:t>
      </w:r>
      <w:r>
        <w:rPr>
          <w:rStyle w:val="Code"/>
        </w:rPr>
        <w:t>&lt;g&gt;</w:t>
      </w:r>
      <w:r>
        <w:t xml:space="preserve"> </w:t>
      </w:r>
      <w:r>
        <w:rPr>
          <w:noProof/>
        </w:rPr>
        <w:t>(</w:t>
      </w:r>
      <w:r>
        <w:t>for “glyph” or “gaiji”</w:t>
      </w:r>
      <w:r>
        <w:rPr>
          <w:rStyle w:val="Lbjegyzet-hivatkozs"/>
        </w:rPr>
        <w:footnoteReference w:id="22"/>
      </w:r>
      <w:r>
        <w:t>) in the encoding of all glyphs other than phonographic ones and decimal digits. The use of this element indicates that our set of target graphemes provides no direct equivalent to the original glyph, and that the contents of this element represent a single source grapheme.</w:t>
      </w:r>
    </w:p>
    <w:p w14:paraId="6A7F5D96" w14:textId="77777777">
      <w:pPr>
        <w:pStyle w:val="Lista"/>
      </w:pPr>
      <w:r>
        <w:lastRenderedPageBreak/>
        <w:t xml:space="preserve">the (default or arbitrary) placeholders that correspond in transliteration to a peripheral grapheme in the source may be wrapped in the element </w:t>
      </w:r>
      <w:r>
        <w:rPr>
          <w:rStyle w:val="Code"/>
        </w:rPr>
        <w:t>&lt;g&gt;</w:t>
      </w:r>
    </w:p>
    <w:p w14:paraId="33364173" w14:textId="77777777">
      <w:pPr>
        <w:pStyle w:val="Lista2"/>
      </w:pPr>
      <w:r>
        <w:t>this encoding is mandatory for arbitrary placeholders that consist of more than one character and optional but recommended for all other placeholders</w:t>
      </w:r>
    </w:p>
    <w:p w14:paraId="43799937" w14:textId="77777777">
      <w:pPr>
        <w:pStyle w:val="Lista2"/>
      </w:pPr>
      <w:r>
        <w:t xml:space="preserve">the </w:t>
      </w:r>
      <w:r>
        <w:rPr>
          <w:rStyle w:val="Code"/>
        </w:rPr>
        <w:t>&lt;g&gt;</w:t>
      </w:r>
      <w:r>
        <w:t xml:space="preserve"> element for peripheral graphemes can be supplemented with the following attributes</w:t>
      </w:r>
    </w:p>
    <w:p w14:paraId="2AF7B4EA" w14:textId="595D9354">
      <w:pPr>
        <w:pStyle w:val="Lista3"/>
      </w:pPr>
      <w:r>
        <w:t xml:space="preserve">optionally or as required, </w:t>
      </w:r>
      <w:r>
        <w:rPr>
          <w:rStyle w:val="Codeattribute"/>
        </w:rPr>
        <w:t>@type</w:t>
      </w:r>
      <w:r>
        <w:t xml:space="preserve"> to assign the grapheme to a functional class as per §</w:t>
      </w:r>
      <w:r>
        <w:fldChar w:fldCharType="begin"/>
      </w:r>
      <w:r>
        <w:instrText xml:space="preserve"> REF _Ref226017652 \r \h </w:instrText>
      </w:r>
      <w:r>
        <w:fldChar w:fldCharType="separate"/>
      </w:r>
      <w:r>
        <w:t>5.4.4.1</w:t>
      </w:r>
      <w:r>
        <w:fldChar w:fldCharType="end"/>
      </w:r>
    </w:p>
    <w:p w14:paraId="7BE437FE" w14:textId="2B869B3A">
      <w:pPr>
        <w:pStyle w:val="Lista3"/>
      </w:pPr>
      <w:r>
        <w:t xml:space="preserve">optionally, </w:t>
      </w:r>
      <w:r>
        <w:rPr>
          <w:rStyle w:val="Codeattribute"/>
        </w:rPr>
        <w:t>@ref</w:t>
      </w:r>
      <w:r>
        <w:t xml:space="preserve"> to associate the grapheme with an item in our authority file for symbols as per §</w:t>
      </w:r>
      <w:r>
        <w:fldChar w:fldCharType="begin"/>
      </w:r>
      <w:r>
        <w:instrText xml:space="preserve"> REF _Ref226036269 \r \h </w:instrText>
      </w:r>
      <w:r>
        <w:fldChar w:fldCharType="separate"/>
      </w:r>
      <w:r>
        <w:t>5.4.4.2</w:t>
      </w:r>
      <w:r>
        <w:fldChar w:fldCharType="end"/>
      </w:r>
      <w:r>
        <w:t xml:space="preserve"> </w:t>
      </w:r>
    </w:p>
    <w:p w14:paraId="7D44F3F2" w14:textId="77777777">
      <w:pPr>
        <w:pStyle w:val="Lista"/>
        <w:rPr>
          <w:lang w:eastAsia="en-US" w:bidi="ar-SA"/>
        </w:rPr>
      </w:pPr>
      <w:r>
        <w:t xml:space="preserve">in DHARMA practice, </w:t>
      </w:r>
      <w:r>
        <w:rPr>
          <w:rStyle w:val="Code"/>
        </w:rPr>
        <w:t>&lt;g&gt;</w:t>
      </w:r>
      <w:r>
        <w:t xml:space="preserve"> for symbol encoding shall always contain text (a transliteration placeholder) </w:t>
      </w:r>
    </w:p>
    <w:p w14:paraId="594F81AD" w14:textId="77777777">
      <w:pPr>
        <w:pStyle w:val="Lista2"/>
        <w:rPr>
          <w:lang w:eastAsia="en-US" w:bidi="ar-SA"/>
        </w:rPr>
      </w:pPr>
      <w:r>
        <w:rPr>
          <w:lang w:eastAsia="en-US" w:bidi="ar-SA"/>
        </w:rPr>
        <w:t xml:space="preserve">unlike the earlier versions of this Guide, which endorsed empty </w:t>
      </w:r>
      <w:r>
        <w:rPr>
          <w:rStyle w:val="Code"/>
        </w:rPr>
        <w:t>&lt;g/&gt;</w:t>
      </w:r>
      <w:r>
        <w:t xml:space="preserve"> elements for certain kinds of symbols</w:t>
      </w:r>
    </w:p>
    <w:p w14:paraId="5A2E9FF0" w14:textId="77777777">
      <w:pPr>
        <w:pStyle w:val="Cmsor4"/>
      </w:pPr>
      <w:bookmarkStart w:id="422" w:name="_Ref226017652"/>
      <w:bookmarkStart w:id="423" w:name="_Ref226031926"/>
      <w:r>
        <w:t xml:space="preserve">Encoding symbol </w:t>
      </w:r>
      <w:bookmarkEnd w:id="422"/>
      <w:r>
        <w:t>function</w:t>
      </w:r>
      <w:bookmarkEnd w:id="423"/>
    </w:p>
    <w:p w14:paraId="49BAAF13" w14:textId="5305BAB3">
      <w:pPr>
        <w:rPr>
          <w:lang w:eastAsia="en-US" w:bidi="ar-SA"/>
        </w:rPr>
      </w:pPr>
      <w:r>
        <w:rPr>
          <w:lang w:eastAsia="en-US" w:bidi="ar-SA"/>
        </w:rPr>
        <w:t xml:space="preserve">The attribute </w:t>
      </w:r>
      <w:r>
        <w:rPr>
          <w:rStyle w:val="Codeattribute"/>
        </w:rPr>
        <w:t>@type</w:t>
      </w:r>
      <w:r>
        <w:t xml:space="preserve"> on the </w:t>
      </w:r>
      <w:r>
        <w:rPr>
          <w:rStyle w:val="Code"/>
        </w:rPr>
        <w:t>&lt;g&gt;</w:t>
      </w:r>
      <w:r>
        <w:t xml:space="preserve"> element for peripheral graphemes formally associates the glyph with one of the basic functional classes introduced in §</w:t>
      </w:r>
      <w:r>
        <w:fldChar w:fldCharType="begin"/>
      </w:r>
      <w:r>
        <w:instrText xml:space="preserve"> REF _Ref226023506 \r \h </w:instrText>
      </w:r>
      <w:r>
        <w:fldChar w:fldCharType="separate"/>
      </w:r>
      <w:r>
        <w:t>5.4.2</w:t>
      </w:r>
      <w:r>
        <w:fldChar w:fldCharType="end"/>
      </w:r>
      <w:r>
        <w:t xml:space="preserve">. </w:t>
      </w:r>
      <w:r>
        <w:rPr>
          <w:lang w:eastAsia="en-US" w:bidi="ar-SA"/>
        </w:rPr>
        <w:t>It thus redundantly represents the same information as the choice of default placeholder, but does so in a rigorous machine-readable manner.</w:t>
      </w:r>
    </w:p>
    <w:p w14:paraId="19DB5388" w14:textId="77777777">
      <w:pPr>
        <w:pStyle w:val="Lista"/>
        <w:rPr>
          <w:lang w:eastAsia="en-US" w:bidi="ar-SA"/>
        </w:rPr>
      </w:pPr>
      <w:r>
        <w:rPr>
          <w:lang w:eastAsia="en-US" w:bidi="ar-SA"/>
        </w:rPr>
        <w:t xml:space="preserve">the available values of </w:t>
      </w:r>
      <w:r>
        <w:rPr>
          <w:rStyle w:val="Codeattribute"/>
        </w:rPr>
        <w:t>@type</w:t>
      </w:r>
      <w:r>
        <w:t xml:space="preserve"> for symbol encoding are as follows</w:t>
      </w:r>
      <w:r>
        <w:rPr>
          <w:rStyle w:val="Lbjegyzet-hivatkozs"/>
        </w:rPr>
        <w:footnoteReference w:id="23"/>
      </w:r>
    </w:p>
    <w:p w14:paraId="0E2043E7" w14:textId="77777777">
      <w:pPr>
        <w:pStyle w:val="Lista2"/>
        <w:rPr>
          <w:lang w:eastAsia="en-US" w:bidi="ar-SA"/>
        </w:rPr>
      </w:pPr>
      <w:r>
        <w:rPr>
          <w:rStyle w:val="Codevalue"/>
        </w:rPr>
        <w:t>"ideogram"</w:t>
      </w:r>
      <w:r>
        <w:t xml:space="preserve"> for ideograms (other than numerals)</w:t>
      </w:r>
    </w:p>
    <w:p w14:paraId="06D9B0F0" w14:textId="77777777">
      <w:pPr>
        <w:pStyle w:val="Lista2"/>
        <w:rPr>
          <w:lang w:eastAsia="en-US" w:bidi="ar-SA"/>
        </w:rPr>
      </w:pPr>
      <w:r>
        <w:rPr>
          <w:rStyle w:val="Codevalue"/>
        </w:rPr>
        <w:t>"punctuation"</w:t>
      </w:r>
      <w:r>
        <w:t xml:space="preserve"> for punctuation marks</w:t>
      </w:r>
    </w:p>
    <w:p w14:paraId="6865AD9E" w14:textId="77777777">
      <w:pPr>
        <w:pStyle w:val="Lista2"/>
        <w:rPr>
          <w:lang w:eastAsia="en-US" w:bidi="ar-SA"/>
        </w:rPr>
      </w:pPr>
      <w:r>
        <w:rPr>
          <w:rStyle w:val="Codevalue"/>
        </w:rPr>
        <w:t>"connector"</w:t>
      </w:r>
      <w:r>
        <w:t xml:space="preserve"> for connectors</w:t>
      </w:r>
    </w:p>
    <w:p w14:paraId="1FC27CB6" w14:textId="77777777">
      <w:pPr>
        <w:pStyle w:val="Lista2"/>
        <w:rPr>
          <w:lang w:eastAsia="en-US" w:bidi="ar-SA"/>
        </w:rPr>
      </w:pPr>
      <w:r>
        <w:rPr>
          <w:rStyle w:val="Codevalue"/>
        </w:rPr>
        <w:t>"symbol"</w:t>
      </w:r>
      <w:r>
        <w:t xml:space="preserve"> for abstract symbols, i.e. anything not explicitly assigned to any of the above classes</w:t>
      </w:r>
    </w:p>
    <w:p w14:paraId="033724B1" w14:textId="77777777">
      <w:pPr>
        <w:pStyle w:val="Lista3"/>
        <w:rPr>
          <w:lang w:eastAsia="en-US" w:bidi="ar-SA"/>
        </w:rPr>
      </w:pPr>
      <w:r>
        <w:rPr>
          <w:lang w:eastAsia="en-US" w:bidi="ar-SA"/>
        </w:rPr>
        <w:t xml:space="preserve">this is the default value of </w:t>
      </w:r>
      <w:r>
        <w:rPr>
          <w:rStyle w:val="Codeattribute"/>
        </w:rPr>
        <w:t>@type</w:t>
      </w:r>
      <w:r>
        <w:t xml:space="preserve">, meaning that if the attribute is not present in the code, the </w:t>
      </w:r>
      <w:r>
        <w:rPr>
          <w:rStyle w:val="Code"/>
        </w:rPr>
        <w:t>&lt;g&gt;</w:t>
      </w:r>
      <w:r>
        <w:t xml:space="preserve"> element will automatically be understood to have this type</w:t>
      </w:r>
    </w:p>
    <w:p w14:paraId="75875438" w14:textId="72C6C817">
      <w:pPr>
        <w:pStyle w:val="Lista3"/>
        <w:rPr>
          <w:lang w:eastAsia="en-US" w:bidi="ar-SA"/>
        </w:rPr>
      </w:pPr>
      <w:r>
        <w:t xml:space="preserve">for this reason, </w:t>
      </w:r>
      <w:r>
        <w:rPr>
          <w:rStyle w:val="Codeattribute"/>
        </w:rPr>
        <w:t>@type</w:t>
      </w:r>
      <w:r>
        <w:t xml:space="preserve"> should always be explicitly encoded in conjunction with default placeholders other than * (i.e. the default placeholders for any of the other three classes), because omitting </w:t>
      </w:r>
      <w:r>
        <w:rPr>
          <w:rStyle w:val="Codeattribute"/>
        </w:rPr>
        <w:t>@type</w:t>
      </w:r>
      <w:r>
        <w:t xml:space="preserve"> would then result in a contradictory classification</w:t>
      </w:r>
    </w:p>
    <w:p w14:paraId="63B6D1D8" w14:textId="77777777">
      <w:pPr>
        <w:pStyle w:val="Cmsor4"/>
      </w:pPr>
      <w:bookmarkStart w:id="424" w:name="_Ref226036269"/>
      <w:bookmarkStart w:id="425" w:name="_Ref228178759"/>
      <w:bookmarkStart w:id="426" w:name="_Ref43980440"/>
      <w:bookmarkStart w:id="427" w:name="_Ref44577917"/>
      <w:bookmarkStart w:id="428" w:name="_Ref44577928"/>
      <w:bookmarkStart w:id="429" w:name="_Ref44577934"/>
      <w:bookmarkStart w:id="430" w:name="_Ref44577939"/>
      <w:r>
        <w:t>Encoding symbol identification</w:t>
      </w:r>
      <w:bookmarkEnd w:id="424"/>
      <w:r>
        <w:t xml:space="preserve"> through the authority file</w:t>
      </w:r>
      <w:bookmarkEnd w:id="425"/>
    </w:p>
    <w:p w14:paraId="779D32CB" w14:textId="77777777">
      <w:r>
        <w:rPr>
          <w:lang w:eastAsia="en-US" w:bidi="ar-SA"/>
        </w:rPr>
        <w:t xml:space="preserve">The attribute </w:t>
      </w:r>
      <w:r>
        <w:rPr>
          <w:rStyle w:val="Codeattribute"/>
        </w:rPr>
        <w:t>@ref</w:t>
      </w:r>
      <w:r>
        <w:t xml:space="preserve"> on the </w:t>
      </w:r>
      <w:r>
        <w:rPr>
          <w:rStyle w:val="Code"/>
        </w:rPr>
        <w:t>&lt;g&gt;</w:t>
      </w:r>
      <w:r>
        <w:t xml:space="preserve"> element for peripheral graphemes formally associates the glyph with an entry in our authority file for Glyph Taxonomy.</w:t>
      </w:r>
      <w:r>
        <w:rPr>
          <w:rStyle w:val="Lbjegyzet-hivatkozs"/>
        </w:rPr>
        <w:footnoteReference w:id="24"/>
      </w:r>
      <w:r>
        <w:t xml:space="preserve"> The contents and use of the of the Taxonomy are explained in the authority file itself and are only briefly summarised here.</w:t>
      </w:r>
    </w:p>
    <w:p w14:paraId="64B28217" w14:textId="77777777">
      <w:pPr>
        <w:pStyle w:val="Normlbehzs"/>
      </w:pPr>
      <w:r>
        <w:t xml:space="preserve">The authority file is a classified list of </w:t>
      </w:r>
      <w:r>
        <w:rPr>
          <w:b/>
          <w:bCs/>
        </w:rPr>
        <w:t>symbol tokens</w:t>
      </w:r>
      <w:r>
        <w:t>, which are short descriptive labels identifying various kinds of symbols. Within the authority file, tokens are divided at the top level into an etic and an emic class. The etic class consists of tokens that describe the graphic appearance of symbols in simple and objective terms. This class is structured hierarchically in the manner of a taxonomy, with a small number of “genus” tokens for basic classes such as vertical bars, horizontal dashes, bullets, etc., and a larger number of “species” and “subspecies” tokens for more or less specific varieties of these classes. The emic class includes tokens that identify a language and specify a source-language term for a particular symbol that has a name in a given writing tradition. The language tags in the emic tokens correspond to the genus names of the etic class, while the symbol terms correspond to species names.</w:t>
      </w:r>
    </w:p>
    <w:p w14:paraId="2F359F5F" w14:textId="0E074445">
      <w:pPr>
        <w:pStyle w:val="Normlbehzs"/>
      </w:pPr>
      <w:r>
        <w:t>For each token, the authority file includes a “name” and a “description.” Names are either very concise indications of the symbol’s appearance, or terms designating the symbol’s meaning. Descriptions contain more detailed, but still concise, information about the symbol. Entries also optionally include a “mapping,” which is a Unicode character that is in some way similar to and representative of the original symbol. These details are involved in the generation of display in a DHARMA environment (§</w:t>
      </w:r>
      <w:r>
        <w:fldChar w:fldCharType="begin"/>
      </w:r>
      <w:r>
        <w:instrText xml:space="preserve"> REF _Ref228179055 \r \h </w:instrText>
      </w:r>
      <w:r>
        <w:fldChar w:fldCharType="separate"/>
      </w:r>
      <w:r>
        <w:t>5.4.4.3</w:t>
      </w:r>
      <w:r>
        <w:fldChar w:fldCharType="end"/>
      </w:r>
      <w:r>
        <w:t>).</w:t>
      </w:r>
    </w:p>
    <w:p w14:paraId="372FD262" w14:textId="77777777">
      <w:pPr>
        <w:pStyle w:val="Lista"/>
        <w:rPr>
          <w:lang w:eastAsia="en-US" w:bidi="ar-SA"/>
        </w:rPr>
      </w:pPr>
      <w:r>
        <w:rPr>
          <w:lang w:eastAsia="en-US" w:bidi="ar-SA"/>
        </w:rPr>
        <w:lastRenderedPageBreak/>
        <w:t xml:space="preserve">the value of </w:t>
      </w:r>
      <w:r>
        <w:rPr>
          <w:rStyle w:val="Codeattribute"/>
        </w:rPr>
        <w:t>@ref</w:t>
      </w:r>
      <w:r>
        <w:t xml:space="preserve"> on the </w:t>
      </w:r>
      <w:r>
        <w:rPr>
          <w:rStyle w:val="Code"/>
        </w:rPr>
        <w:t>&lt;g&gt;</w:t>
      </w:r>
      <w:r>
        <w:t xml:space="preserve"> element representing a symbol must begin with the abbreviation </w:t>
      </w:r>
      <w:r>
        <w:rPr>
          <w:rStyle w:val="Codevalue"/>
        </w:rPr>
        <w:t>"sym:"</w:t>
      </w:r>
      <w:r>
        <w:t>, indicating that it refers to our Glyph Taxonomy authority file, followed by a symbol token, e.g.</w:t>
      </w:r>
    </w:p>
    <w:p w14:paraId="40A6CF65" w14:textId="77777777">
      <w:pPr>
        <w:pStyle w:val="Lista2"/>
        <w:rPr>
          <w:lang w:eastAsia="en-US" w:bidi="ar-SA"/>
        </w:rPr>
      </w:pPr>
      <w:r>
        <w:rPr>
          <w:lang w:eastAsia="en-US" w:bidi="ar-SA"/>
        </w:rPr>
        <w:t xml:space="preserve">with emic tokens, </w:t>
      </w:r>
      <w:r>
        <w:rPr>
          <w:rStyle w:val="Codevalue"/>
        </w:rPr>
        <w:t>"sym:tam-kalancu"</w:t>
      </w:r>
      <w:r>
        <w:t xml:space="preserve"> to refer to the sign called </w:t>
      </w:r>
      <w:r>
        <w:rPr>
          <w:rStyle w:val="Foreign"/>
        </w:rPr>
        <w:t>kaḻañcu</w:t>
      </w:r>
      <w:r>
        <w:t xml:space="preserve"> in the Tamil writing tradition</w:t>
      </w:r>
    </w:p>
    <w:p w14:paraId="5A6F2EB4" w14:textId="77777777">
      <w:pPr>
        <w:pStyle w:val="Lista2"/>
        <w:rPr>
          <w:lang w:eastAsia="en-US" w:bidi="ar-SA"/>
        </w:rPr>
      </w:pPr>
      <w:r>
        <w:t xml:space="preserve">with etic tokens, </w:t>
      </w:r>
      <w:r>
        <w:rPr>
          <w:rStyle w:val="Codevalue"/>
        </w:rPr>
        <w:t>"sym:bullet-double"</w:t>
      </w:r>
      <w:r>
        <w:t xml:space="preserve"> to refer to a sign in the shape of a double bullet (an entity of the “bullet” genus and within that to the “double” species)</w:t>
      </w:r>
    </w:p>
    <w:p w14:paraId="765FA77F" w14:textId="77777777">
      <w:pPr>
        <w:pStyle w:val="Lista"/>
        <w:rPr>
          <w:lang w:eastAsia="en-US" w:bidi="ar-SA"/>
        </w:rPr>
      </w:pPr>
      <w:r>
        <w:rPr>
          <w:lang w:eastAsia="en-US" w:bidi="ar-SA"/>
        </w:rPr>
        <w:t xml:space="preserve">when </w:t>
      </w:r>
      <w:r>
        <w:rPr>
          <w:rStyle w:val="Codeattribute"/>
        </w:rPr>
        <w:t>@ref</w:t>
      </w:r>
      <w:r>
        <w:t xml:space="preserve"> is not present on a symbol encoded with </w:t>
      </w:r>
      <w:r>
        <w:rPr>
          <w:rStyle w:val="Code"/>
        </w:rPr>
        <w:t>&lt;g&gt;</w:t>
      </w:r>
      <w:r>
        <w:t>¸ the symbol will by default be understood to be unclassified, meaning that the encoder has chosen not to associate this peripheral grapheme with the Taxonomy, for example</w:t>
      </w:r>
    </w:p>
    <w:p w14:paraId="4EA9B9DB" w14:textId="77777777">
      <w:pPr>
        <w:pStyle w:val="Lista2"/>
        <w:rPr>
          <w:lang w:eastAsia="en-US" w:bidi="ar-SA"/>
        </w:rPr>
      </w:pPr>
      <w:r>
        <w:rPr>
          <w:lang w:eastAsia="en-US" w:bidi="ar-SA"/>
        </w:rPr>
        <w:t>because the symbol is too unclear to assert any shape for it</w:t>
      </w:r>
    </w:p>
    <w:p w14:paraId="604BF72D" w14:textId="77777777">
      <w:pPr>
        <w:pStyle w:val="Lista2"/>
        <w:rPr>
          <w:lang w:eastAsia="en-US" w:bidi="ar-SA"/>
        </w:rPr>
      </w:pPr>
      <w:r>
        <w:rPr>
          <w:lang w:eastAsia="en-US" w:bidi="ar-SA"/>
        </w:rPr>
        <w:t>because no visual documentation is available and a previous editor did not describe the symbol</w:t>
      </w:r>
    </w:p>
    <w:p w14:paraId="5D565369" w14:textId="77777777">
      <w:pPr>
        <w:pStyle w:val="Lista2"/>
        <w:rPr>
          <w:lang w:eastAsia="en-US" w:bidi="ar-SA"/>
        </w:rPr>
      </w:pPr>
      <w:r>
        <w:rPr>
          <w:lang w:eastAsia="en-US" w:bidi="ar-SA"/>
        </w:rPr>
        <w:t>because the shape of the symbol is not deemed relevant</w:t>
      </w:r>
    </w:p>
    <w:p w14:paraId="53CAC9B8" w14:textId="77777777">
      <w:pPr>
        <w:pStyle w:val="Cmsor4"/>
      </w:pPr>
      <w:bookmarkStart w:id="431" w:name="_Ref228179055"/>
      <w:r>
        <w:t>Rendering symbols for display</w:t>
      </w:r>
      <w:bookmarkEnd w:id="431"/>
    </w:p>
    <w:p w14:paraId="25A98B3C" w14:textId="7AF02BA6">
      <w:pPr>
        <w:rPr>
          <w:lang w:eastAsia="en-US" w:bidi="ar-SA"/>
        </w:rPr>
      </w:pPr>
      <w:r>
        <w:rPr>
          <w:lang w:eastAsia="en-US" w:bidi="ar-SA"/>
        </w:rPr>
        <w:t xml:space="preserve">When rendered for display in the DHARMA ecosystem, encoded symbols will appear as described below. Arbitrary placeholders used without a </w:t>
      </w:r>
      <w:r>
        <w:rPr>
          <w:rStyle w:val="Code"/>
        </w:rPr>
        <w:t>&lt;g&gt;</w:t>
      </w:r>
      <w:r>
        <w:t xml:space="preserve"> wrapper will of course be shown as plain text. The examples in §</w:t>
      </w:r>
      <w:r>
        <w:fldChar w:fldCharType="begin"/>
      </w:r>
      <w:r>
        <w:instrText xml:space="preserve"> REF _Ref228180176 \r \h </w:instrText>
      </w:r>
      <w:r>
        <w:fldChar w:fldCharType="separate"/>
      </w:r>
      <w:r>
        <w:t>5.4.4.4</w:t>
      </w:r>
      <w:r>
        <w:fldChar w:fldCharType="end"/>
      </w:r>
      <w:r>
        <w:t xml:space="preserve"> also show the display rendition of encoded symbols.</w:t>
      </w:r>
    </w:p>
    <w:p w14:paraId="744F4C25" w14:textId="77777777">
      <w:pPr>
        <w:pStyle w:val="Lista"/>
        <w:rPr>
          <w:lang w:eastAsia="en-US" w:bidi="ar-SA"/>
        </w:rPr>
      </w:pPr>
      <w:r>
        <w:rPr>
          <w:lang w:eastAsia="en-US" w:bidi="ar-SA"/>
        </w:rPr>
        <w:t>the actual text representing the symbol will be as follows:</w:t>
      </w:r>
    </w:p>
    <w:p w14:paraId="21290EFF" w14:textId="7FE9CD33">
      <w:pPr>
        <w:pStyle w:val="Lista2"/>
        <w:rPr>
          <w:lang w:eastAsia="en-US" w:bidi="ar-SA"/>
        </w:rPr>
      </w:pPr>
      <w:r>
        <w:rPr>
          <w:lang w:eastAsia="en-US" w:bidi="ar-SA"/>
        </w:rPr>
        <w:t>by default, the mapping assigned to the token in the authority file (§</w:t>
      </w:r>
      <w:r>
        <w:rPr>
          <w:lang w:eastAsia="en-US" w:bidi="ar-SA"/>
        </w:rPr>
        <w:fldChar w:fldCharType="begin"/>
      </w:r>
      <w:r>
        <w:rPr>
          <w:lang w:eastAsia="en-US" w:bidi="ar-SA"/>
        </w:rPr>
        <w:instrText xml:space="preserve"> REF _Ref228178759 \r \h </w:instrText>
      </w:r>
      <w:r>
        <w:rPr>
          <w:lang w:eastAsia="en-US" w:bidi="ar-SA"/>
        </w:rPr>
      </w:r>
      <w:r>
        <w:rPr>
          <w:lang w:eastAsia="en-US" w:bidi="ar-SA"/>
        </w:rPr>
        <w:fldChar w:fldCharType="separate"/>
      </w:r>
      <w:r>
        <w:rPr>
          <w:lang w:eastAsia="en-US" w:bidi="ar-SA"/>
        </w:rPr>
        <w:t>5.4.4.2</w:t>
      </w:r>
      <w:r>
        <w:rPr>
          <w:lang w:eastAsia="en-US" w:bidi="ar-SA"/>
        </w:rPr>
        <w:fldChar w:fldCharType="end"/>
      </w:r>
      <w:r>
        <w:rPr>
          <w:lang w:eastAsia="en-US" w:bidi="ar-SA"/>
        </w:rPr>
        <w:t>) will be displayed</w:t>
      </w:r>
    </w:p>
    <w:p w14:paraId="3F310150" w14:textId="77777777">
      <w:pPr>
        <w:pStyle w:val="Lista3"/>
        <w:rPr>
          <w:lang w:eastAsia="en-US" w:bidi="ar-SA"/>
        </w:rPr>
      </w:pPr>
      <w:r>
        <w:rPr>
          <w:lang w:eastAsia="en-US" w:bidi="ar-SA"/>
        </w:rPr>
        <w:t xml:space="preserve">this is possible whenever the symbol is encoded with a </w:t>
      </w:r>
      <w:r>
        <w:rPr>
          <w:rStyle w:val="Code"/>
        </w:rPr>
        <w:t>&lt;g&gt;</w:t>
      </w:r>
      <w:r>
        <w:t xml:space="preserve"> element, which has the attribute </w:t>
      </w:r>
      <w:r>
        <w:rPr>
          <w:rStyle w:val="Codeattribute"/>
        </w:rPr>
        <w:t>@ref</w:t>
      </w:r>
      <w:r>
        <w:t>, which points to a valid token in the authority file, which has a “mapping”</w:t>
      </w:r>
    </w:p>
    <w:p w14:paraId="560C2823" w14:textId="77777777">
      <w:pPr>
        <w:pStyle w:val="Lista3"/>
        <w:rPr>
          <w:lang w:eastAsia="en-US" w:bidi="ar-SA"/>
        </w:rPr>
      </w:pPr>
      <w:r>
        <w:t>by design, mapping is included in the authority file only for a limited range of symbols that can be satisfactorily mapped to reasonably similar-looking digital characters with reasonably broad font support</w:t>
      </w:r>
    </w:p>
    <w:p w14:paraId="2B6CAAE5" w14:textId="7CC0C526">
      <w:pPr>
        <w:pStyle w:val="Lista2"/>
        <w:rPr>
          <w:lang w:eastAsia="en-US" w:bidi="ar-SA"/>
        </w:rPr>
      </w:pPr>
      <w:r>
        <w:rPr>
          <w:lang w:eastAsia="en-US" w:bidi="ar-SA"/>
        </w:rPr>
        <w:t>if no mapping is available for a symbol, then the name assigned to the token in the authority file (§</w:t>
      </w:r>
      <w:r>
        <w:rPr>
          <w:lang w:eastAsia="en-US" w:bidi="ar-SA"/>
        </w:rPr>
        <w:fldChar w:fldCharType="begin"/>
      </w:r>
      <w:r>
        <w:rPr>
          <w:lang w:eastAsia="en-US" w:bidi="ar-SA"/>
        </w:rPr>
        <w:instrText xml:space="preserve"> REF _Ref228178759 \r \h </w:instrText>
      </w:r>
      <w:r>
        <w:rPr>
          <w:lang w:eastAsia="en-US" w:bidi="ar-SA"/>
        </w:rPr>
      </w:r>
      <w:r>
        <w:rPr>
          <w:lang w:eastAsia="en-US" w:bidi="ar-SA"/>
        </w:rPr>
        <w:fldChar w:fldCharType="separate"/>
      </w:r>
      <w:r>
        <w:rPr>
          <w:lang w:eastAsia="en-US" w:bidi="ar-SA"/>
        </w:rPr>
        <w:t>5.4.4.2</w:t>
      </w:r>
      <w:r>
        <w:rPr>
          <w:lang w:eastAsia="en-US" w:bidi="ar-SA"/>
        </w:rPr>
        <w:fldChar w:fldCharType="end"/>
      </w:r>
      <w:r>
        <w:rPr>
          <w:lang w:eastAsia="en-US" w:bidi="ar-SA"/>
        </w:rPr>
        <w:t>) will be displayed</w:t>
      </w:r>
    </w:p>
    <w:p w14:paraId="02E4E76A" w14:textId="77777777">
      <w:pPr>
        <w:pStyle w:val="Lista3"/>
        <w:rPr>
          <w:lang w:eastAsia="en-US" w:bidi="ar-SA"/>
        </w:rPr>
      </w:pPr>
      <w:r>
        <w:rPr>
          <w:lang w:eastAsia="en-US" w:bidi="ar-SA"/>
        </w:rPr>
        <w:t xml:space="preserve">this is possible whenever the symbol is encoded with a </w:t>
      </w:r>
      <w:r>
        <w:rPr>
          <w:rStyle w:val="Code"/>
        </w:rPr>
        <w:t>&lt;g&gt;</w:t>
      </w:r>
      <w:r>
        <w:t xml:space="preserve"> element, which has the attribute </w:t>
      </w:r>
      <w:r>
        <w:rPr>
          <w:rStyle w:val="Codeattribute"/>
        </w:rPr>
        <w:t>@ref</w:t>
      </w:r>
      <w:r>
        <w:t>, which points to a valid token in the authority file</w:t>
      </w:r>
    </w:p>
    <w:p w14:paraId="228E8748" w14:textId="77777777">
      <w:pPr>
        <w:pStyle w:val="Lista3"/>
        <w:rPr>
          <w:lang w:eastAsia="en-US" w:bidi="ar-SA"/>
        </w:rPr>
      </w:pPr>
      <w:r>
        <w:t>all tokens in the authority file have a name</w:t>
      </w:r>
    </w:p>
    <w:p w14:paraId="50E88A5B" w14:textId="77777777">
      <w:pPr>
        <w:pStyle w:val="Lista3"/>
        <w:rPr>
          <w:lang w:eastAsia="en-US" w:bidi="ar-SA"/>
        </w:rPr>
      </w:pPr>
      <w:r>
        <w:t>the objective of this display is to indicate the precise type of the symbol to the end user when no mapping has been assigned to a token</w:t>
      </w:r>
    </w:p>
    <w:p w14:paraId="0410B48E" w14:textId="77777777">
      <w:pPr>
        <w:pStyle w:val="Lista2"/>
        <w:rPr>
          <w:lang w:eastAsia="en-US" w:bidi="ar-SA"/>
        </w:rPr>
      </w:pPr>
      <w:r>
        <w:rPr>
          <w:lang w:eastAsia="en-US" w:bidi="ar-SA"/>
        </w:rPr>
        <w:t xml:space="preserve">if neither a mapping nor a name are available, then the content of the </w:t>
      </w:r>
      <w:r>
        <w:rPr>
          <w:rStyle w:val="Code"/>
        </w:rPr>
        <w:t>&lt;g&gt;</w:t>
      </w:r>
      <w:r>
        <w:t xml:space="preserve"> element will be displayed</w:t>
      </w:r>
    </w:p>
    <w:p w14:paraId="0FEB69DB" w14:textId="77777777">
      <w:pPr>
        <w:pStyle w:val="Lista3"/>
        <w:rPr>
          <w:lang w:eastAsia="en-US" w:bidi="ar-SA"/>
        </w:rPr>
      </w:pPr>
      <w:r>
        <w:rPr>
          <w:lang w:eastAsia="en-US" w:bidi="ar-SA"/>
        </w:rPr>
        <w:t xml:space="preserve">this is possible whenever the symbol is encoded with a </w:t>
      </w:r>
      <w:r>
        <w:rPr>
          <w:rStyle w:val="Code"/>
        </w:rPr>
        <w:t>&lt;g&gt;</w:t>
      </w:r>
      <w:r>
        <w:t xml:space="preserve"> element</w:t>
      </w:r>
    </w:p>
    <w:p w14:paraId="5548A7DC" w14:textId="73F8F8F6">
      <w:pPr>
        <w:pStyle w:val="Lista3"/>
        <w:rPr>
          <w:lang w:eastAsia="en-US" w:bidi="ar-SA"/>
        </w:rPr>
      </w:pPr>
      <w:r>
        <w:t>the objective of this display is primarily to show an arbitrary placeholder (§</w:t>
      </w:r>
      <w:r>
        <w:fldChar w:fldCharType="begin"/>
      </w:r>
      <w:r>
        <w:instrText xml:space="preserve"> REF _Ref225955892 \r \h </w:instrText>
      </w:r>
      <w:r>
        <w:fldChar w:fldCharType="separate"/>
      </w:r>
      <w:r>
        <w:t>5.4.3.2</w:t>
      </w:r>
      <w:r>
        <w:fldChar w:fldCharType="end"/>
      </w:r>
      <w:r>
        <w:t>) used in transliteration, but it is also a fallback display option for default placeholders</w:t>
      </w:r>
      <w:r>
        <w:rPr>
          <w:lang w:eastAsia="en-US" w:bidi="ar-SA"/>
        </w:rPr>
        <w:t xml:space="preserve"> encoded with </w:t>
      </w:r>
      <w:r>
        <w:rPr>
          <w:rStyle w:val="Code"/>
        </w:rPr>
        <w:t>&lt;g&gt;</w:t>
      </w:r>
      <w:r>
        <w:t xml:space="preserve"> but not associated with a valid token (because </w:t>
      </w:r>
      <w:r>
        <w:rPr>
          <w:rStyle w:val="Codeattribute"/>
        </w:rPr>
        <w:t>@ref</w:t>
      </w:r>
      <w:r>
        <w:t xml:space="preserve"> was not added or its value is not a valid token)</w:t>
      </w:r>
    </w:p>
    <w:p w14:paraId="5F5C90B1" w14:textId="77777777">
      <w:pPr>
        <w:pStyle w:val="Lista"/>
        <w:rPr>
          <w:lang w:eastAsia="en-US" w:bidi="ar-SA"/>
        </w:rPr>
      </w:pPr>
      <w:r>
        <w:rPr>
          <w:lang w:eastAsia="en-US" w:bidi="ar-SA"/>
        </w:rPr>
        <w:t>the above text will be highlighted with a different font colour (purple)</w:t>
      </w:r>
    </w:p>
    <w:p w14:paraId="7D27B41C" w14:textId="77777777">
      <w:pPr>
        <w:pStyle w:val="Lista2"/>
        <w:rPr>
          <w:lang w:eastAsia="en-US" w:bidi="ar-SA"/>
        </w:rPr>
      </w:pPr>
      <w:r>
        <w:rPr>
          <w:lang w:eastAsia="en-US" w:bidi="ar-SA"/>
        </w:rPr>
        <w:t>when the text displayed is the name assigned to a token, then this will also be surrounded with angle brackets and a cartouche, to disambiguate the name from text present in the source and to allow retaining this disambiguation when the rendered text is copied and pasted into another working environment</w:t>
      </w:r>
    </w:p>
    <w:p w14:paraId="77357FE5" w14:textId="77777777">
      <w:pPr>
        <w:pStyle w:val="Lista"/>
        <w:rPr>
          <w:lang w:eastAsia="en-US" w:bidi="ar-SA"/>
        </w:rPr>
      </w:pPr>
      <w:r>
        <w:rPr>
          <w:lang w:eastAsia="en-US" w:bidi="ar-SA"/>
        </w:rPr>
        <w:t>when the user moves their mouse over the display rendition of an encoded symbol, the following additional information will be shown</w:t>
      </w:r>
    </w:p>
    <w:p w14:paraId="5A78596B" w14:textId="45EBF307">
      <w:pPr>
        <w:pStyle w:val="Lista2"/>
        <w:rPr>
          <w:lang w:eastAsia="en-US" w:bidi="ar-SA"/>
        </w:rPr>
      </w:pPr>
      <w:r>
        <w:rPr>
          <w:lang w:eastAsia="en-US" w:bidi="ar-SA"/>
        </w:rPr>
        <w:t>the functional class of the symbol (§</w:t>
      </w:r>
      <w:r>
        <w:rPr>
          <w:lang w:eastAsia="en-US" w:bidi="ar-SA"/>
        </w:rPr>
        <w:fldChar w:fldCharType="begin"/>
      </w:r>
      <w:r>
        <w:rPr>
          <w:lang w:eastAsia="en-US" w:bidi="ar-SA"/>
        </w:rPr>
        <w:instrText xml:space="preserve"> REF _Ref226023506 \r \h </w:instrText>
      </w:r>
      <w:r>
        <w:rPr>
          <w:lang w:eastAsia="en-US" w:bidi="ar-SA"/>
        </w:rPr>
      </w:r>
      <w:r>
        <w:rPr>
          <w:lang w:eastAsia="en-US" w:bidi="ar-SA"/>
        </w:rPr>
        <w:fldChar w:fldCharType="separate"/>
      </w:r>
      <w:r>
        <w:rPr>
          <w:lang w:eastAsia="en-US" w:bidi="ar-SA"/>
        </w:rPr>
        <w:t>5.4.2</w:t>
      </w:r>
      <w:r>
        <w:rPr>
          <w:lang w:eastAsia="en-US" w:bidi="ar-SA"/>
        </w:rPr>
        <w:fldChar w:fldCharType="end"/>
      </w:r>
      <w:r>
        <w:rPr>
          <w:lang w:eastAsia="en-US" w:bidi="ar-SA"/>
        </w:rPr>
        <w:t xml:space="preserve">) if encoded with </w:t>
      </w:r>
      <w:r>
        <w:rPr>
          <w:rStyle w:val="Codeattribute"/>
        </w:rPr>
        <w:t>@type</w:t>
      </w:r>
    </w:p>
    <w:p w14:paraId="560B46FF" w14:textId="77777777">
      <w:pPr>
        <w:pStyle w:val="Lista2"/>
        <w:rPr>
          <w:lang w:eastAsia="en-US" w:bidi="ar-SA"/>
        </w:rPr>
      </w:pPr>
      <w:r>
        <w:t xml:space="preserve">the name of the symbol if a valid token is encoded with </w:t>
      </w:r>
      <w:r>
        <w:rPr>
          <w:rStyle w:val="Codeattribute"/>
        </w:rPr>
        <w:t>@ref</w:t>
      </w:r>
    </w:p>
    <w:p w14:paraId="09AF7869" w14:textId="77777777">
      <w:pPr>
        <w:pStyle w:val="Lista2"/>
        <w:rPr>
          <w:lang w:eastAsia="en-US" w:bidi="ar-SA"/>
        </w:rPr>
      </w:pPr>
      <w:r>
        <w:t xml:space="preserve">the description of the symbol if a valid token is encoded with </w:t>
      </w:r>
      <w:r>
        <w:rPr>
          <w:rStyle w:val="Codeattribute"/>
        </w:rPr>
        <w:t>@ref</w:t>
      </w:r>
    </w:p>
    <w:p w14:paraId="2BAB0A78" w14:textId="77777777">
      <w:pPr>
        <w:pStyle w:val="Cmsor4"/>
      </w:pPr>
      <w:bookmarkStart w:id="432" w:name="_Ref228180176"/>
      <w:r>
        <w:t>Examples of symbol encoding</w:t>
      </w:r>
      <w:bookmarkEnd w:id="432"/>
    </w:p>
    <w:p w14:paraId="5BBD6B85" w14:textId="77777777">
      <w:bookmarkStart w:id="433" w:name="_ocw59j4fd9ai" w:colFirst="0" w:colLast="0"/>
      <w:bookmarkStart w:id="434" w:name="_n0tb9t590fso" w:colFirst="0" w:colLast="0"/>
      <w:bookmarkEnd w:id="426"/>
      <w:bookmarkEnd w:id="427"/>
      <w:bookmarkEnd w:id="428"/>
      <w:bookmarkEnd w:id="429"/>
      <w:bookmarkEnd w:id="430"/>
      <w:bookmarkEnd w:id="433"/>
      <w:bookmarkEnd w:id="434"/>
      <w:r>
        <w:t>The Exhibits in this section provide examples of symbols transliterated with default placeholders and encoded for function and identification.</w:t>
      </w:r>
    </w:p>
    <w:p w14:paraId="0CD2A390" w14:textId="77777777"/>
    <w:tbl>
      <w:tblPr>
        <w:tblStyle w:val="CodeSampleTable"/>
        <w:tblW w:w="5000" w:type="pct"/>
        <w:tblLook w:val="04A0" w:firstRow="1" w:lastRow="0" w:firstColumn="1" w:lastColumn="0" w:noHBand="0" w:noVBand="1"/>
      </w:tblPr>
      <w:tblGrid>
        <w:gridCol w:w="9628"/>
      </w:tblGrid>
      <w:tr w14:paraId="3E46788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7D9816A" w14:textId="28A3163A">
            <w:pPr>
              <w:pStyle w:val="Kpalrs"/>
              <w:keepLines/>
            </w:pPr>
            <w:r>
              <w:lastRenderedPageBreak/>
              <w:t xml:space="preserve">Exhibit </w:t>
            </w:r>
            <w:fldSimple w:instr=" STYLEREF 2 \s ">
              <w:r>
                <w:rPr>
                  <w:noProof/>
                </w:rPr>
                <w:t>5.4</w:t>
              </w:r>
            </w:fldSimple>
            <w:r>
              <w:t>.</w:t>
            </w:r>
            <w:fldSimple w:instr=" SEQ Exhibit \* ALPHABETIC \s 2 ">
              <w:r>
                <w:rPr>
                  <w:noProof/>
                </w:rPr>
                <w:t>B</w:t>
              </w:r>
            </w:fldSimple>
            <w:r>
              <w:t>: encoding ideograms</w:t>
            </w:r>
          </w:p>
        </w:tc>
      </w:tr>
      <w:tr w14:paraId="54677CA4" w14:textId="77777777">
        <w:tc>
          <w:tcPr>
            <w:tcW w:w="5000" w:type="pct"/>
            <w:vAlign w:val="center"/>
          </w:tcPr>
          <w:p w14:paraId="308AB5A6" w14:textId="77777777">
            <w:pPr>
              <w:pStyle w:val="Image"/>
              <w:keepLines/>
              <w:rPr>
                <w:rStyle w:val="Code"/>
              </w:rPr>
            </w:pPr>
            <w:r>
              <w:drawing>
                <wp:inline distT="0" distB="0" distL="0" distR="0" wp14:anchorId="4354AA35" wp14:editId="221297CF">
                  <wp:extent cx="968400" cy="720000"/>
                  <wp:effectExtent l="0" t="0" r="3175" b="4445"/>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68400" cy="720000"/>
                          </a:xfrm>
                          <a:prstGeom prst="rect">
                            <a:avLst/>
                          </a:prstGeom>
                          <a:noFill/>
                          <a:ln>
                            <a:noFill/>
                          </a:ln>
                        </pic:spPr>
                      </pic:pic>
                    </a:graphicData>
                  </a:graphic>
                </wp:inline>
              </w:drawing>
            </w:r>
          </w:p>
        </w:tc>
      </w:tr>
      <w:tr w14:paraId="3819D3BD" w14:textId="77777777">
        <w:tc>
          <w:tcPr>
            <w:tcW w:w="5000" w:type="pct"/>
          </w:tcPr>
          <w:p w14:paraId="21258987" w14:textId="77777777">
            <w:pPr>
              <w:pStyle w:val="CodeParagraph"/>
              <w:keepNext/>
              <w:keepLines/>
            </w:pPr>
            <w:r>
              <w:rPr>
                <w:rStyle w:val="Code"/>
              </w:rPr>
              <w:t xml:space="preserve">&lt;g </w:t>
            </w:r>
            <w:r>
              <w:rPr>
                <w:rStyle w:val="Codeattribute"/>
              </w:rPr>
              <w:t>type=</w:t>
            </w:r>
            <w:r>
              <w:rPr>
                <w:rStyle w:val="Codevalue"/>
              </w:rPr>
              <w:t xml:space="preserve">"ideogram" </w:t>
            </w:r>
            <w:r>
              <w:rPr>
                <w:rStyle w:val="Codeattribute"/>
              </w:rPr>
              <w:t>ref=</w:t>
            </w:r>
            <w:r>
              <w:rPr>
                <w:rStyle w:val="Codevalue"/>
              </w:rPr>
              <w:t>"sym:tam-varusam"</w:t>
            </w:r>
            <w:r>
              <w:rPr>
                <w:rStyle w:val="Code"/>
              </w:rPr>
              <w:t>&gt;</w:t>
            </w:r>
            <w:r>
              <w:rPr>
                <w:rStyle w:val="Codetext"/>
              </w:rPr>
              <w:t>@</w:t>
            </w:r>
            <w:r>
              <w:rPr>
                <w:rStyle w:val="Code"/>
              </w:rPr>
              <w:t>&lt;/g&gt;</w:t>
            </w:r>
          </w:p>
        </w:tc>
      </w:tr>
      <w:tr w14:paraId="1F0C8E49" w14:textId="77777777">
        <w:tc>
          <w:tcPr>
            <w:tcW w:w="5000" w:type="pct"/>
          </w:tcPr>
          <w:p w14:paraId="51DCCF61" w14:textId="77777777">
            <w:pPr>
              <w:pStyle w:val="TableNote"/>
            </w:pPr>
            <w:r>
              <w:t xml:space="preserve">this will appear in display as </w:t>
            </w:r>
            <w:r>
              <w:rPr>
                <w:rStyle w:val="ForeignTamilScript"/>
                <w:cs/>
                <w:lang w:bidi="ta-IN"/>
              </w:rPr>
              <w:t>௵</w:t>
            </w:r>
            <w:r>
              <w:t xml:space="preserve"> (based on the mapping in the authority file)</w:t>
            </w:r>
          </w:p>
        </w:tc>
      </w:tr>
    </w:tbl>
    <w:p w14:paraId="3FBB5C63" w14:textId="77777777"/>
    <w:tbl>
      <w:tblPr>
        <w:tblStyle w:val="CodeSampleTable"/>
        <w:tblW w:w="5000" w:type="pct"/>
        <w:tblLook w:val="04A0" w:firstRow="1" w:lastRow="0" w:firstColumn="1" w:lastColumn="0" w:noHBand="0" w:noVBand="1"/>
      </w:tblPr>
      <w:tblGrid>
        <w:gridCol w:w="9628"/>
      </w:tblGrid>
      <w:tr w14:paraId="122734E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1D421F3" w14:textId="5FB55A8A">
            <w:pPr>
              <w:pStyle w:val="Kpalrs"/>
              <w:keepLines/>
            </w:pPr>
            <w:bookmarkStart w:id="435" w:name="_zhzv8lagn4n3" w:colFirst="0" w:colLast="0"/>
            <w:bookmarkStart w:id="436" w:name="_Ref182577267"/>
            <w:bookmarkStart w:id="437" w:name="_Ref43985052"/>
            <w:bookmarkEnd w:id="435"/>
            <w:r>
              <w:t xml:space="preserve">Exhibit </w:t>
            </w:r>
            <w:fldSimple w:instr=" STYLEREF 2 \s ">
              <w:r>
                <w:rPr>
                  <w:noProof/>
                </w:rPr>
                <w:t>5.4</w:t>
              </w:r>
            </w:fldSimple>
            <w:r>
              <w:t>.</w:t>
            </w:r>
            <w:fldSimple w:instr=" SEQ Exhibit \* ALPHABETIC \s 2 ">
              <w:r>
                <w:rPr>
                  <w:noProof/>
                </w:rPr>
                <w:t>C</w:t>
              </w:r>
            </w:fldSimple>
            <w:bookmarkEnd w:id="436"/>
            <w:r>
              <w:t>: encoding punctuation marks</w:t>
            </w:r>
          </w:p>
        </w:tc>
      </w:tr>
      <w:tr w14:paraId="06466741" w14:textId="77777777">
        <w:tc>
          <w:tcPr>
            <w:tcW w:w="5000" w:type="pct"/>
            <w:vAlign w:val="center"/>
          </w:tcPr>
          <w:p w14:paraId="052562A8" w14:textId="77777777">
            <w:pPr>
              <w:pStyle w:val="Image"/>
              <w:keepLines/>
              <w:rPr>
                <w:rStyle w:val="Code"/>
              </w:rPr>
            </w:pPr>
            <w:r>
              <w:drawing>
                <wp:inline distT="0" distB="0" distL="0" distR="0" wp14:anchorId="3E56B0E6" wp14:editId="1ECD3316">
                  <wp:extent cx="6114415" cy="621030"/>
                  <wp:effectExtent l="0" t="0" r="635" b="7620"/>
                  <wp:docPr id="42249825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14415" cy="621030"/>
                          </a:xfrm>
                          <a:prstGeom prst="rect">
                            <a:avLst/>
                          </a:prstGeom>
                          <a:noFill/>
                          <a:ln>
                            <a:noFill/>
                          </a:ln>
                        </pic:spPr>
                      </pic:pic>
                    </a:graphicData>
                  </a:graphic>
                </wp:inline>
              </w:drawing>
            </w:r>
          </w:p>
        </w:tc>
      </w:tr>
      <w:tr w14:paraId="07EA690C" w14:textId="77777777">
        <w:tc>
          <w:tcPr>
            <w:tcW w:w="5000" w:type="pct"/>
          </w:tcPr>
          <w:p w14:paraId="55F3E022" w14:textId="77777777">
            <w:pPr>
              <w:pStyle w:val="CodeParagraph"/>
              <w:keepNext/>
              <w:keepLines/>
            </w:pPr>
            <w:r>
              <w:rPr>
                <w:rStyle w:val="Codetext"/>
              </w:rPr>
              <w:t>deśam apālayaT</w:t>
            </w:r>
            <w:r>
              <w:rPr>
                <w:rStyle w:val="Code"/>
              </w:rPr>
              <w:t xml:space="preserve">&lt;g </w:t>
            </w:r>
            <w:r>
              <w:rPr>
                <w:rStyle w:val="Codeattribute"/>
              </w:rPr>
              <w:t>type=</w:t>
            </w:r>
            <w:r>
              <w:rPr>
                <w:rStyle w:val="Codevalue"/>
              </w:rPr>
              <w:t xml:space="preserve">"punctuation" </w:t>
            </w:r>
            <w:r>
              <w:rPr>
                <w:rStyle w:val="Codeattribute"/>
              </w:rPr>
              <w:t>ref=</w:t>
            </w:r>
            <w:r>
              <w:rPr>
                <w:rStyle w:val="Codevalue"/>
              </w:rPr>
              <w:t>"sym:doubleBar-serifed"</w:t>
            </w:r>
            <w:r>
              <w:rPr>
                <w:rStyle w:val="Code"/>
              </w:rPr>
              <w:t>&gt;</w:t>
            </w:r>
            <w:r>
              <w:rPr>
                <w:rStyle w:val="Codetext"/>
              </w:rPr>
              <w:t>.</w:t>
            </w:r>
            <w:r>
              <w:rPr>
                <w:rStyle w:val="Code"/>
              </w:rPr>
              <w:t>&lt;/g&gt;</w:t>
            </w:r>
            <w:r>
              <w:rPr>
                <w:rStyle w:val="Codetext"/>
              </w:rPr>
              <w:t xml:space="preserve"> tat-putro jayasiṁhas trayastriṁśataṁ</w:t>
            </w:r>
            <w:r>
              <w:rPr>
                <w:rStyle w:val="Code"/>
              </w:rPr>
              <w:t xml:space="preserve">&lt;g </w:t>
            </w:r>
            <w:r>
              <w:rPr>
                <w:rStyle w:val="Codeattribute"/>
              </w:rPr>
              <w:t>type=</w:t>
            </w:r>
            <w:r>
              <w:rPr>
                <w:rStyle w:val="Codevalue"/>
              </w:rPr>
              <w:t xml:space="preserve">"punctuation" </w:t>
            </w:r>
            <w:r>
              <w:rPr>
                <w:rStyle w:val="Codeattribute"/>
              </w:rPr>
              <w:t>ref=</w:t>
            </w:r>
            <w:r>
              <w:rPr>
                <w:rStyle w:val="Codevalue"/>
              </w:rPr>
              <w:t>"sym:bar-serifed"</w:t>
            </w:r>
            <w:r>
              <w:rPr>
                <w:rStyle w:val="Code"/>
              </w:rPr>
              <w:t>&gt;</w:t>
            </w:r>
            <w:r>
              <w:rPr>
                <w:rStyle w:val="Codetext"/>
              </w:rPr>
              <w:t>.</w:t>
            </w:r>
            <w:r>
              <w:rPr>
                <w:rStyle w:val="Code"/>
              </w:rPr>
              <w:t>&lt;/g&gt;</w:t>
            </w:r>
          </w:p>
        </w:tc>
      </w:tr>
      <w:bookmarkEnd w:id="437"/>
      <w:tr w14:paraId="26789595" w14:textId="77777777">
        <w:tc>
          <w:tcPr>
            <w:tcW w:w="5000" w:type="pct"/>
          </w:tcPr>
          <w:p w14:paraId="46CCAC07" w14:textId="77777777">
            <w:pPr>
              <w:pStyle w:val="TableNote"/>
            </w:pPr>
            <w:r>
              <w:t xml:space="preserve">these will appear in display as </w:t>
            </w:r>
            <w:r>
              <w:rPr>
                <w:rStyle w:val="Foreign"/>
              </w:rPr>
              <w:t>apālayaT</w:t>
            </w:r>
            <w:r>
              <w:rPr>
                <w:rStyle w:val="Foreign"/>
                <w:rFonts w:ascii="Cambria Math" w:hAnsi="Cambria Math" w:cs="Cambria Math"/>
              </w:rPr>
              <w:t>∥</w:t>
            </w:r>
            <w:r>
              <w:t xml:space="preserve"> and </w:t>
            </w:r>
            <w:r>
              <w:rPr>
                <w:rStyle w:val="Foreign"/>
              </w:rPr>
              <w:t>trayastriṁśataṁ|</w:t>
            </w:r>
            <w:r>
              <w:t xml:space="preserve"> (based on the mapping in the authority file)</w:t>
            </w:r>
          </w:p>
          <w:p w14:paraId="34F06B00" w14:textId="77777777">
            <w:pPr>
              <w:pStyle w:val="TableNote"/>
              <w:rPr>
                <w:rFonts w:ascii="Consolas" w:hAnsi="Consolas" w:cs="Consolas"/>
                <w:noProof/>
                <w:color w:val="002060"/>
                <w:shd w:val="clear" w:color="auto" w:fill="F2F2F2" w:themeFill="background1" w:themeFillShade="F2"/>
              </w:rPr>
            </w:pPr>
            <w:r>
              <w:t>if a rough representation of the shape is sufficient, the arbitrary placeholders || and | may be used</w:t>
            </w:r>
          </w:p>
          <w:p w14:paraId="0645AC68" w14:textId="77777777">
            <w:pPr>
              <w:pStyle w:val="TableNote"/>
              <w:rPr>
                <w:rFonts w:ascii="Consolas" w:hAnsi="Consolas" w:cs="Consolas"/>
                <w:noProof/>
                <w:color w:val="002060"/>
                <w:shd w:val="clear" w:color="auto" w:fill="F2F2F2" w:themeFill="background1" w:themeFillShade="F2"/>
              </w:rPr>
            </w:pPr>
            <w:r>
              <w:t>encoding is not required for |, but mandatory for ||, which consists of two characters</w:t>
            </w:r>
          </w:p>
          <w:p w14:paraId="39F3B73F" w14:textId="77777777">
            <w:pPr>
              <w:pStyle w:val="TableNote"/>
              <w:ind w:left="709"/>
              <w:rPr>
                <w:rFonts w:ascii="Consolas" w:hAnsi="Consolas" w:cs="Consolas"/>
                <w:noProof/>
                <w:color w:val="002060"/>
                <w:shd w:val="clear" w:color="auto" w:fill="F2F2F2" w:themeFill="background1" w:themeFillShade="F2"/>
              </w:rPr>
            </w:pPr>
            <w:r>
              <w:rPr>
                <w:rStyle w:val="Code"/>
              </w:rPr>
              <w:t xml:space="preserve">&lt;g </w:t>
            </w:r>
            <w:r>
              <w:rPr>
                <w:rStyle w:val="Codeattribute"/>
              </w:rPr>
              <w:t>type=</w:t>
            </w:r>
            <w:r>
              <w:rPr>
                <w:rStyle w:val="Codevalue"/>
              </w:rPr>
              <w:t xml:space="preserve">"punctuation" </w:t>
            </w:r>
            <w:r>
              <w:rPr>
                <w:rStyle w:val="Codeattribute"/>
              </w:rPr>
              <w:t>ref=</w:t>
            </w:r>
            <w:r>
              <w:rPr>
                <w:rStyle w:val="Codevalue"/>
              </w:rPr>
              <w:t>"sym:doubleBar-serifed"</w:t>
            </w:r>
            <w:r>
              <w:rPr>
                <w:rStyle w:val="Code"/>
              </w:rPr>
              <w:t>&gt;</w:t>
            </w:r>
            <w:r>
              <w:rPr>
                <w:rStyle w:val="Codetext"/>
              </w:rPr>
              <w:t>||</w:t>
            </w:r>
            <w:r>
              <w:rPr>
                <w:rStyle w:val="Code"/>
              </w:rPr>
              <w:t>&lt;/g&gt;</w:t>
            </w:r>
            <w:r>
              <w:t xml:space="preserve"> for full identification (displayed as </w:t>
            </w:r>
            <w:r>
              <w:rPr>
                <w:rFonts w:ascii="Cambria Math" w:hAnsi="Cambria Math" w:cs="Cambria Math"/>
              </w:rPr>
              <w:t>∥</w:t>
            </w:r>
            <w:r>
              <w:t>, not as ||, as the mapping in the authority file overrides the content)</w:t>
            </w:r>
          </w:p>
          <w:p w14:paraId="55C9BED5" w14:textId="77777777">
            <w:pPr>
              <w:pStyle w:val="TableNote"/>
              <w:ind w:left="709"/>
              <w:rPr>
                <w:rFonts w:ascii="Consolas" w:hAnsi="Consolas" w:cs="Consolas"/>
                <w:noProof/>
                <w:color w:val="002060"/>
                <w:shd w:val="clear" w:color="auto" w:fill="F2F2F2" w:themeFill="background1" w:themeFillShade="F2"/>
              </w:rPr>
            </w:pPr>
            <w:r>
              <w:rPr>
                <w:rStyle w:val="Code"/>
              </w:rPr>
              <w:t xml:space="preserve">&lt;g </w:t>
            </w:r>
            <w:r>
              <w:rPr>
                <w:rStyle w:val="Codeattribute"/>
              </w:rPr>
              <w:t>type=</w:t>
            </w:r>
            <w:r>
              <w:rPr>
                <w:rStyle w:val="Codevalue"/>
              </w:rPr>
              <w:t>"punctuation"</w:t>
            </w:r>
            <w:r>
              <w:rPr>
                <w:rStyle w:val="Code"/>
              </w:rPr>
              <w:t>&gt;</w:t>
            </w:r>
            <w:r>
              <w:rPr>
                <w:rStyle w:val="Codetext"/>
              </w:rPr>
              <w:t>||</w:t>
            </w:r>
            <w:r>
              <w:rPr>
                <w:rStyle w:val="Code"/>
              </w:rPr>
              <w:t>&lt;/g&gt;</w:t>
            </w:r>
            <w:r>
              <w:t xml:space="preserve"> to clarify only the function (displayed as ||, the content of the </w:t>
            </w:r>
            <w:r>
              <w:rPr>
                <w:rStyle w:val="Code"/>
              </w:rPr>
              <w:t>&lt;g&gt;</w:t>
            </w:r>
            <w:r>
              <w:t xml:space="preserve"> element, because there is no reference to the authority file)</w:t>
            </w:r>
          </w:p>
          <w:p w14:paraId="37AACE24" w14:textId="77777777">
            <w:pPr>
              <w:pStyle w:val="TableNote"/>
              <w:ind w:left="709"/>
              <w:rPr>
                <w:rFonts w:ascii="Consolas" w:hAnsi="Consolas" w:cs="Consolas"/>
                <w:noProof/>
                <w:color w:val="002060"/>
                <w:shd w:val="clear" w:color="auto" w:fill="F2F2F2" w:themeFill="background1" w:themeFillShade="F2"/>
              </w:rPr>
            </w:pPr>
            <w:r>
              <w:rPr>
                <w:rStyle w:val="Code"/>
              </w:rPr>
              <w:t>&lt;g&gt;</w:t>
            </w:r>
            <w:r>
              <w:rPr>
                <w:rStyle w:val="Codetext"/>
              </w:rPr>
              <w:t>||</w:t>
            </w:r>
            <w:r>
              <w:rPr>
                <w:rStyle w:val="Code"/>
              </w:rPr>
              <w:t>&lt;/g&gt;</w:t>
            </w:r>
            <w:r>
              <w:t xml:space="preserve"> as a minimal representation  (displayed as || because there is no reference to the authority file)</w:t>
            </w:r>
          </w:p>
          <w:p w14:paraId="2EB30FF9" w14:textId="77777777">
            <w:pPr>
              <w:pStyle w:val="TableNote"/>
              <w:ind w:left="709"/>
              <w:rPr>
                <w:rStyle w:val="Code"/>
              </w:rPr>
            </w:pPr>
            <w:r>
              <w:t xml:space="preserve">alternatively, </w:t>
            </w:r>
            <w:bookmarkStart w:id="438" w:name="_Hlk226031260"/>
            <w:r>
              <w:t>‖ (</w:t>
            </w:r>
            <w:r>
              <w:rPr>
                <w:rStyle w:val="Code"/>
              </w:rPr>
              <w:t>U+2016</w:t>
            </w:r>
            <w:r>
              <w:t xml:space="preserve"> Double Vertical Line)</w:t>
            </w:r>
            <w:bookmarkEnd w:id="438"/>
            <w:r>
              <w:t>, a single Unicode character, may be used without encoding</w:t>
            </w:r>
          </w:p>
        </w:tc>
      </w:tr>
    </w:tbl>
    <w:p w14:paraId="7B0F2B99" w14:textId="77777777"/>
    <w:tbl>
      <w:tblPr>
        <w:tblStyle w:val="CodeSampleTable"/>
        <w:tblW w:w="5000" w:type="pct"/>
        <w:tblLook w:val="04A0" w:firstRow="1" w:lastRow="0" w:firstColumn="1" w:lastColumn="0" w:noHBand="0" w:noVBand="1"/>
      </w:tblPr>
      <w:tblGrid>
        <w:gridCol w:w="9628"/>
      </w:tblGrid>
      <w:tr w14:paraId="335B695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0088ED0" w14:textId="71F965E8">
            <w:pPr>
              <w:pStyle w:val="Kpalrs"/>
              <w:keepLines/>
            </w:pPr>
            <w:bookmarkStart w:id="439" w:name="_Ref182576762"/>
            <w:bookmarkStart w:id="440" w:name="_Ref182579118"/>
            <w:r>
              <w:t xml:space="preserve">Exhibit </w:t>
            </w:r>
            <w:fldSimple w:instr=" STYLEREF 2 \s ">
              <w:r>
                <w:rPr>
                  <w:noProof/>
                </w:rPr>
                <w:t>5.4</w:t>
              </w:r>
            </w:fldSimple>
            <w:r>
              <w:t>.</w:t>
            </w:r>
            <w:fldSimple w:instr=" SEQ Exhibit \* ALPHABETIC \s 2 ">
              <w:r>
                <w:rPr>
                  <w:noProof/>
                </w:rPr>
                <w:t>D</w:t>
              </w:r>
            </w:fldSimple>
            <w:bookmarkEnd w:id="439"/>
            <w:r>
              <w:t xml:space="preserve">: encoding </w:t>
            </w:r>
            <w:bookmarkEnd w:id="440"/>
            <w:r>
              <w:t>connectors</w:t>
            </w:r>
          </w:p>
        </w:tc>
      </w:tr>
      <w:tr w14:paraId="7F994CC7" w14:textId="77777777">
        <w:tc>
          <w:tcPr>
            <w:tcW w:w="5000" w:type="pct"/>
            <w:vAlign w:val="center"/>
          </w:tcPr>
          <w:p w14:paraId="54E5667B" w14:textId="77777777">
            <w:pPr>
              <w:pStyle w:val="Image"/>
              <w:keepLines/>
              <w:rPr>
                <w:rStyle w:val="Code"/>
              </w:rPr>
            </w:pPr>
            <w:r>
              <w:drawing>
                <wp:inline distT="114300" distB="114300" distL="114300" distR="114300" wp14:anchorId="412D8A11" wp14:editId="0B167510">
                  <wp:extent cx="2000567" cy="489935"/>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4"/>
                          <a:srcRect/>
                          <a:stretch>
                            <a:fillRect/>
                          </a:stretch>
                        </pic:blipFill>
                        <pic:spPr>
                          <a:xfrm>
                            <a:off x="0" y="0"/>
                            <a:ext cx="2000567" cy="489935"/>
                          </a:xfrm>
                          <a:prstGeom prst="rect">
                            <a:avLst/>
                          </a:prstGeom>
                          <a:ln/>
                        </pic:spPr>
                      </pic:pic>
                    </a:graphicData>
                  </a:graphic>
                </wp:inline>
              </w:drawing>
            </w:r>
          </w:p>
        </w:tc>
      </w:tr>
      <w:tr w14:paraId="6652A44C" w14:textId="77777777">
        <w:tc>
          <w:tcPr>
            <w:tcW w:w="5000" w:type="pct"/>
          </w:tcPr>
          <w:p w14:paraId="3723752A" w14:textId="77777777">
            <w:pPr>
              <w:pStyle w:val="CodeParagraph"/>
              <w:keepNext/>
              <w:keepLines/>
            </w:pPr>
            <w:r>
              <w:rPr>
                <w:rStyle w:val="Codetext"/>
              </w:rPr>
              <w:t>karuhun di:rghăyūrăro</w:t>
            </w:r>
            <w:r>
              <w:rPr>
                <w:rStyle w:val="Code"/>
              </w:rPr>
              <w:t xml:space="preserve">&lt;g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"sym:bar-curly"</w:t>
            </w:r>
            <w:r>
              <w:rPr>
                <w:rStyle w:val="Code"/>
              </w:rPr>
              <w:t>&gt;</w:t>
            </w:r>
            <w:r>
              <w:rPr>
                <w:rStyle w:val="Codetext"/>
              </w:rPr>
              <w:t>§</w:t>
            </w:r>
            <w:r>
              <w:rPr>
                <w:rStyle w:val="Code"/>
              </w:rPr>
              <w:t>&lt;/g&gt;</w:t>
            </w:r>
          </w:p>
        </w:tc>
      </w:tr>
      <w:tr w14:paraId="5DB29AEE" w14:textId="77777777">
        <w:tc>
          <w:tcPr>
            <w:tcW w:w="5000" w:type="pct"/>
          </w:tcPr>
          <w:p w14:paraId="0B75E1DC" w14:textId="77777777">
            <w:pPr>
              <w:pStyle w:val="TableNote"/>
              <w:numPr>
                <w:ilvl w:val="0"/>
                <w:numId w:val="0"/>
              </w:numPr>
              <w:ind w:left="360" w:hanging="360"/>
              <w:rPr>
                <w:rFonts w:ascii="Consolas" w:hAnsi="Consolas" w:cs="Consolas"/>
                <w:noProof/>
                <w:color w:val="002060"/>
                <w:shd w:val="clear" w:color="auto" w:fill="F2F2F2" w:themeFill="background1" w:themeFillShade="F2"/>
              </w:rPr>
            </w:pPr>
            <w:bookmarkStart w:id="441" w:name="_ds0gogy82fug" w:colFirst="0" w:colLast="0"/>
            <w:bookmarkEnd w:id="441"/>
            <w:r>
              <w:t>alternatives:</w:t>
            </w:r>
          </w:p>
          <w:p w14:paraId="44667E20" w14:textId="77777777">
            <w:pPr>
              <w:pStyle w:val="TableNote"/>
            </w:pPr>
            <w:r>
              <w:t>§ as a minimal representation without encoding</w:t>
            </w:r>
          </w:p>
          <w:p w14:paraId="2B017D39" w14:textId="77777777">
            <w:pPr>
              <w:pStyle w:val="TableNote"/>
            </w:pPr>
            <w:r>
              <w:t>¦ (</w:t>
            </w:r>
            <w:r>
              <w:rPr>
                <w:rStyle w:val="Code"/>
              </w:rPr>
              <w:t>U+00A6</w:t>
            </w:r>
            <w:r>
              <w:t xml:space="preserve"> Broken Bar) as an arbitrary placeholder without encoding</w:t>
            </w:r>
          </w:p>
          <w:p w14:paraId="732DC740" w14:textId="77777777">
            <w:pPr>
              <w:pStyle w:val="TableNote"/>
              <w:rPr>
                <w:rStyle w:val="Code"/>
              </w:rPr>
            </w:pPr>
            <w:r>
              <w:rPr>
                <w:rStyle w:val="Code"/>
              </w:rPr>
              <w:t xml:space="preserve">&lt;g </w:t>
            </w:r>
            <w:r>
              <w:rPr>
                <w:rStyle w:val="Codeattribute"/>
              </w:rPr>
              <w:t>type</w:t>
            </w:r>
            <w:r>
              <w:rPr>
                <w:rStyle w:val="Code"/>
              </w:rPr>
              <w:t>=</w:t>
            </w:r>
            <w:r>
              <w:rPr>
                <w:rStyle w:val="Codevalue"/>
              </w:rPr>
              <w:t>"connector"</w:t>
            </w:r>
            <w:r>
              <w:rPr>
                <w:rStyle w:val="Code"/>
              </w:rPr>
              <w:t>&gt;</w:t>
            </w:r>
            <w:r>
              <w:rPr>
                <w:rStyle w:val="Codetext"/>
              </w:rPr>
              <w:t>§</w:t>
            </w:r>
            <w:r>
              <w:rPr>
                <w:rStyle w:val="Code"/>
              </w:rPr>
              <w:t>&lt;/g&gt;</w:t>
            </w:r>
            <w:r>
              <w:t xml:space="preserve"> to make no assertion regarding shape (displayed as the content § because there is no </w:t>
            </w:r>
            <w:r>
              <w:rPr>
                <w:rStyle w:val="Codeattribute"/>
              </w:rPr>
              <w:t>@ref</w:t>
            </w:r>
            <w:r>
              <w:t>)</w:t>
            </w:r>
          </w:p>
          <w:p w14:paraId="3E41D065" w14:textId="77777777">
            <w:pPr>
              <w:pStyle w:val="TableNote"/>
              <w:rPr>
                <w:rFonts w:ascii="Consolas" w:hAnsi="Consolas" w:cs="Consolas"/>
                <w:noProof/>
                <w:color w:val="002060"/>
                <w:shd w:val="clear" w:color="auto" w:fill="F2F2F2" w:themeFill="background1" w:themeFillShade="F2"/>
              </w:rPr>
            </w:pPr>
            <w:r>
              <w:rPr>
                <w:rStyle w:val="Code"/>
              </w:rPr>
              <w:t xml:space="preserve">&lt;g </w:t>
            </w:r>
            <w:r>
              <w:rPr>
                <w:rStyle w:val="Codeattribute"/>
              </w:rPr>
              <w:t>ref</w:t>
            </w:r>
            <w:r>
              <w:rPr>
                <w:rStyle w:val="Code"/>
              </w:rPr>
              <w:t>=</w:t>
            </w:r>
            <w:r>
              <w:rPr>
                <w:rStyle w:val="Codevalue"/>
              </w:rPr>
              <w:t>"sym:bar-curly"</w:t>
            </w:r>
            <w:r>
              <w:rPr>
                <w:rStyle w:val="Code"/>
              </w:rPr>
              <w:t>&gt;</w:t>
            </w:r>
            <w:r>
              <w:rPr>
                <w:rStyle w:val="Codetext"/>
              </w:rPr>
              <w:t>¦</w:t>
            </w:r>
            <w:r>
              <w:rPr>
                <w:rStyle w:val="Code"/>
              </w:rPr>
              <w:t>&lt;/g&gt;</w:t>
            </w:r>
            <w:r>
              <w:t xml:space="preserve"> or </w:t>
            </w:r>
            <w:r>
              <w:rPr>
                <w:rStyle w:val="Code"/>
              </w:rPr>
              <w:t xml:space="preserve">&lt;g </w:t>
            </w:r>
            <w:r>
              <w:rPr>
                <w:rStyle w:val="Codeattribute"/>
              </w:rPr>
              <w:t>ref</w:t>
            </w:r>
            <w:r>
              <w:rPr>
                <w:rStyle w:val="Code"/>
              </w:rPr>
              <w:t>=</w:t>
            </w:r>
            <w:r>
              <w:rPr>
                <w:rStyle w:val="Codevalue"/>
              </w:rPr>
              <w:t>"sym:bar-curly"</w:t>
            </w:r>
            <w:r>
              <w:rPr>
                <w:rStyle w:val="Code"/>
              </w:rPr>
              <w:t>&gt;</w:t>
            </w:r>
            <w:r>
              <w:rPr>
                <w:rStyle w:val="Codetext"/>
              </w:rPr>
              <w:t>*</w:t>
            </w:r>
            <w:r>
              <w:rPr>
                <w:rStyle w:val="Code"/>
              </w:rPr>
              <w:t>&lt;/g&gt;</w:t>
            </w:r>
            <w:r>
              <w:t xml:space="preserve"> to make no assertion regarding function</w:t>
            </w:r>
          </w:p>
          <w:p w14:paraId="7DE48D20" w14:textId="77777777">
            <w:pPr>
              <w:pStyle w:val="TableNote"/>
              <w:ind w:left="709"/>
            </w:pPr>
            <w:r>
              <w:t>both of these will be displayed as | (the mapping assigned to the token in the authority file overriding the content)</w:t>
            </w:r>
          </w:p>
          <w:p w14:paraId="44070E0B" w14:textId="1EC9FC6F">
            <w:pPr>
              <w:pStyle w:val="TableNote"/>
              <w:ind w:left="709"/>
              <w:rPr>
                <w:rStyle w:val="Code"/>
              </w:rPr>
            </w:pPr>
            <w:r>
              <w:t xml:space="preserve">if the default placeholder § is wrapped in </w:t>
            </w:r>
            <w:r>
              <w:rPr>
                <w:rStyle w:val="Code"/>
              </w:rPr>
              <w:t>&lt;g&gt;</w:t>
            </w:r>
            <w:r>
              <w:t xml:space="preserve">, then </w:t>
            </w:r>
            <w:r>
              <w:rPr>
                <w:rStyle w:val="Codeattribute"/>
              </w:rPr>
              <w:t>@type</w:t>
            </w:r>
            <w:r>
              <w:t xml:space="preserve"> must also be present (§</w:t>
            </w:r>
            <w:r>
              <w:fldChar w:fldCharType="begin"/>
            </w:r>
            <w:r>
              <w:instrText xml:space="preserve"> REF _Ref226031926 \r \h </w:instrText>
            </w:r>
            <w:r>
              <w:fldChar w:fldCharType="separate"/>
            </w:r>
            <w:r>
              <w:t>5.4.4.1</w:t>
            </w:r>
            <w:r>
              <w:fldChar w:fldCharType="end"/>
            </w:r>
            <w:r>
              <w:t xml:space="preserve">), while arbitrary placeholders may be wrapped in </w:t>
            </w:r>
            <w:r>
              <w:rPr>
                <w:rStyle w:val="Code"/>
              </w:rPr>
              <w:t>&lt;g&gt;</w:t>
            </w:r>
            <w:r>
              <w:t xml:space="preserve"> without </w:t>
            </w:r>
            <w:r>
              <w:rPr>
                <w:rStyle w:val="Codeattribute"/>
              </w:rPr>
              <w:t>@type</w:t>
            </w:r>
          </w:p>
        </w:tc>
      </w:tr>
    </w:tbl>
    <w:p w14:paraId="27EE7B9F" w14:textId="77777777"/>
    <w:tbl>
      <w:tblPr>
        <w:tblStyle w:val="CodeSampleTable"/>
        <w:tblW w:w="5000" w:type="pct"/>
        <w:tblLook w:val="04A0" w:firstRow="1" w:lastRow="0" w:firstColumn="1" w:lastColumn="0" w:noHBand="0" w:noVBand="1"/>
      </w:tblPr>
      <w:tblGrid>
        <w:gridCol w:w="9628"/>
      </w:tblGrid>
      <w:tr w14:paraId="1760A69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3095077" w14:textId="43A3F3DB">
            <w:pPr>
              <w:pStyle w:val="Kpalrs"/>
              <w:keepLines/>
            </w:pPr>
            <w:bookmarkStart w:id="442" w:name="_szxkvje7z9d2" w:colFirst="0" w:colLast="0"/>
            <w:bookmarkStart w:id="443" w:name="_Ref182577960"/>
            <w:bookmarkStart w:id="444" w:name="_Ref44577965"/>
            <w:bookmarkEnd w:id="442"/>
            <w:r>
              <w:lastRenderedPageBreak/>
              <w:t xml:space="preserve">Exhibit </w:t>
            </w:r>
            <w:fldSimple w:instr=" STYLEREF 2 \s ">
              <w:r>
                <w:rPr>
                  <w:noProof/>
                </w:rPr>
                <w:t>5.4</w:t>
              </w:r>
            </w:fldSimple>
            <w:r>
              <w:t>.</w:t>
            </w:r>
            <w:fldSimple w:instr=" SEQ Exhibit \* ALPHABETIC \s 2 ">
              <w:r>
                <w:rPr>
                  <w:noProof/>
                </w:rPr>
                <w:t>E</w:t>
              </w:r>
            </w:fldSimple>
            <w:bookmarkEnd w:id="443"/>
            <w:r>
              <w:t>: encoding abstract symbols</w:t>
            </w:r>
          </w:p>
        </w:tc>
      </w:tr>
      <w:tr w14:paraId="2A57B0C4" w14:textId="77777777">
        <w:tc>
          <w:tcPr>
            <w:tcW w:w="5000" w:type="pct"/>
            <w:vAlign w:val="center"/>
          </w:tcPr>
          <w:p w14:paraId="71E2F180" w14:textId="77777777">
            <w:pPr>
              <w:pStyle w:val="Image"/>
              <w:keepLines/>
              <w:rPr>
                <w:rStyle w:val="Code"/>
              </w:rPr>
            </w:pPr>
            <w:r>
              <w:rPr>
                <w:rStyle w:val="Code"/>
              </w:rPr>
              <w:drawing>
                <wp:inline distT="0" distB="0" distL="0" distR="0" wp14:anchorId="779593D7" wp14:editId="4055A5AD">
                  <wp:extent cx="1018800" cy="579600"/>
                  <wp:effectExtent l="0" t="0" r="0" b="0"/>
                  <wp:docPr id="403080985"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018800" cy="579600"/>
                          </a:xfrm>
                          <a:prstGeom prst="rect">
                            <a:avLst/>
                          </a:prstGeom>
                          <a:noFill/>
                          <a:ln>
                            <a:noFill/>
                          </a:ln>
                        </pic:spPr>
                      </pic:pic>
                    </a:graphicData>
                  </a:graphic>
                </wp:inline>
              </w:drawing>
            </w:r>
          </w:p>
        </w:tc>
      </w:tr>
      <w:tr w14:paraId="05714D0A" w14:textId="77777777">
        <w:tc>
          <w:tcPr>
            <w:tcW w:w="5000" w:type="pct"/>
          </w:tcPr>
          <w:p w14:paraId="01250D06" w14:textId="77777777">
            <w:pPr>
              <w:pStyle w:val="CodeParagraph"/>
              <w:keepNext/>
              <w:keepLines/>
              <w:rPr>
                <w:rStyle w:val="Codetext"/>
              </w:rPr>
            </w:pPr>
            <w:r>
              <w:rPr>
                <w:rStyle w:val="Code"/>
              </w:rPr>
              <w:t>&lt;g</w:t>
            </w:r>
            <w:r>
              <w:rPr>
                <w:rStyle w:val="Codeattribute"/>
              </w:rPr>
              <w:t xml:space="preserve"> ref</w:t>
            </w:r>
            <w:r>
              <w:rPr>
                <w:rStyle w:val="Code"/>
              </w:rPr>
              <w:t>=</w:t>
            </w:r>
            <w:r>
              <w:rPr>
                <w:rStyle w:val="Codevalue"/>
              </w:rPr>
              <w:t>"sym:floret-complex"</w:t>
            </w:r>
            <w:r>
              <w:rPr>
                <w:rStyle w:val="Code"/>
              </w:rPr>
              <w:t>&gt;</w:t>
            </w:r>
            <w:r>
              <w:rPr>
                <w:rStyle w:val="Codetext"/>
              </w:rPr>
              <w:t>*</w:t>
            </w:r>
            <w:r>
              <w:rPr>
                <w:rStyle w:val="Code"/>
              </w:rPr>
              <w:t xml:space="preserve">&lt;/g&gt; </w:t>
            </w:r>
            <w:r>
              <w:rPr>
                <w:rStyle w:val="Codetext"/>
              </w:rPr>
              <w:t>svasti</w:t>
            </w:r>
          </w:p>
        </w:tc>
      </w:tr>
      <w:tr w14:paraId="34B693C2" w14:textId="77777777">
        <w:tc>
          <w:tcPr>
            <w:tcW w:w="5000" w:type="pct"/>
          </w:tcPr>
          <w:p w14:paraId="66A53267" w14:textId="77777777">
            <w:pPr>
              <w:pStyle w:val="TableNote"/>
              <w:rPr>
                <w:rFonts w:ascii="Consolas" w:hAnsi="Consolas" w:cs="Consolas"/>
                <w:noProof/>
                <w:color w:val="002060"/>
                <w:shd w:val="clear" w:color="auto" w:fill="F2F2F2" w:themeFill="background1" w:themeFillShade="F2"/>
              </w:rPr>
            </w:pPr>
            <w:r>
              <w:rPr>
                <w:rStyle w:val="Codeattribute"/>
              </w:rPr>
              <w:t>type</w:t>
            </w:r>
            <w:r>
              <w:rPr>
                <w:rStyle w:val="Code"/>
              </w:rPr>
              <w:t>=</w:t>
            </w:r>
            <w:r>
              <w:rPr>
                <w:rStyle w:val="Codevalue"/>
              </w:rPr>
              <w:t>"symbol"</w:t>
            </w:r>
            <w:r>
              <w:t xml:space="preserve"> could be added, but is not necessary because this is the default value</w:t>
            </w:r>
          </w:p>
          <w:p w14:paraId="6A8B807A" w14:textId="77777777">
            <w:pPr>
              <w:pStyle w:val="TableNote"/>
            </w:pPr>
            <w:r>
              <w:t xml:space="preserve">the display will be </w:t>
            </w:r>
            <w:r>
              <w:rPr>
                <w:rFonts w:ascii="Segoe UI Symbol" w:hAnsi="Segoe UI Symbol" w:cs="Segoe UI Symbol"/>
              </w:rPr>
              <w:t>⁜</w:t>
            </w:r>
            <w:r>
              <w:t xml:space="preserve"> (the mapping assigned to the token in the authority file)</w:t>
            </w:r>
          </w:p>
          <w:p w14:paraId="04CCA7DC" w14:textId="77777777">
            <w:pPr>
              <w:pStyle w:val="TableNote"/>
              <w:rPr>
                <w:rFonts w:ascii="Consolas" w:hAnsi="Consolas" w:cs="Consolas"/>
                <w:noProof/>
                <w:color w:val="002060"/>
                <w:shd w:val="clear" w:color="auto" w:fill="F2F2F2" w:themeFill="background1" w:themeFillShade="F2"/>
              </w:rPr>
            </w:pPr>
            <w:r>
              <w:t xml:space="preserve">alternatively, an arbitrary placeholder such as </w:t>
            </w:r>
            <w:r>
              <w:rPr>
                <w:rStyle w:val="ForeignDingbat"/>
              </w:rPr>
              <w:t>✤</w:t>
            </w:r>
            <w:r>
              <w:rPr>
                <w:lang w:eastAsia="en-US" w:bidi="ar-SA"/>
              </w:rPr>
              <w:t xml:space="preserve"> </w:t>
            </w:r>
            <w:r>
              <w:t xml:space="preserve">might be used, with or without a </w:t>
            </w:r>
            <w:r>
              <w:rPr>
                <w:rStyle w:val="Code"/>
              </w:rPr>
              <w:t>&lt;g&gt;</w:t>
            </w:r>
            <w:r>
              <w:t xml:space="preserve"> wrapper and with or without </w:t>
            </w:r>
            <w:r>
              <w:rPr>
                <w:rStyle w:val="Codeattribute"/>
              </w:rPr>
              <w:t>@ref</w:t>
            </w:r>
          </w:p>
          <w:p w14:paraId="3A5046BD" w14:textId="77777777">
            <w:pPr>
              <w:pStyle w:val="TableNote"/>
              <w:ind w:left="709"/>
            </w:pPr>
            <w:r>
              <w:t xml:space="preserve">if </w:t>
            </w:r>
            <w:r>
              <w:rPr>
                <w:rStyle w:val="Codeattribute"/>
              </w:rPr>
              <w:t>@ref</w:t>
            </w:r>
            <w:r>
              <w:t xml:space="preserve"> is not present, then the arbitrary placeholder will be displayed</w:t>
            </w:r>
          </w:p>
        </w:tc>
      </w:tr>
    </w:tbl>
    <w:p w14:paraId="5B4F3DCF" w14:textId="77777777">
      <w:pPr>
        <w:pStyle w:val="Cmsor3"/>
      </w:pPr>
      <w:bookmarkStart w:id="445" w:name="_1jfnyljo6f10" w:colFirst="0" w:colLast="0"/>
      <w:bookmarkStart w:id="446" w:name="_Ref182551676"/>
      <w:bookmarkStart w:id="447" w:name="_Ref43989284"/>
      <w:bookmarkStart w:id="448" w:name="_Ref183075544"/>
      <w:bookmarkStart w:id="449" w:name="_Toc242889503"/>
      <w:bookmarkEnd w:id="444"/>
      <w:bookmarkEnd w:id="445"/>
      <w:r>
        <w:t>Multiple peripheral graphemes</w:t>
      </w:r>
      <w:bookmarkEnd w:id="449"/>
    </w:p>
    <w:p w14:paraId="0A032138" w14:textId="77777777">
      <w:pPr>
        <w:pStyle w:val="Lista"/>
      </w:pPr>
      <w:r>
        <w:t xml:space="preserve">groups of peripheral graphemes appearing together, whether identical or different, shall normally be encoded with separate </w:t>
      </w:r>
      <w:r>
        <w:rPr>
          <w:rStyle w:val="Code"/>
        </w:rPr>
        <w:t>&lt;g&gt;</w:t>
      </w:r>
      <w:r>
        <w:t xml:space="preserve"> wrappers</w:t>
      </w:r>
    </w:p>
    <w:p w14:paraId="351E0DDA" w14:textId="77777777">
      <w:pPr>
        <w:pStyle w:val="Lista2"/>
      </w:pPr>
      <w:r>
        <w:t xml:space="preserve">clusters of symbols that are frequently used together in a given writing tradition can, however, be treated as single glyphs and, accordingly, wrapped in just one </w:t>
      </w:r>
      <w:r>
        <w:rPr>
          <w:rStyle w:val="Code"/>
        </w:rPr>
        <w:t>&lt;g&gt;</w:t>
      </w:r>
      <w:r>
        <w:t xml:space="preserve"> element</w:t>
      </w:r>
    </w:p>
    <w:p w14:paraId="5D0639FD" w14:textId="77777777">
      <w:pPr>
        <w:pStyle w:val="Lista3"/>
      </w:pPr>
      <w:r>
        <w:t>this applies in particular to the double vertical bars which are quite ubiquitous in the Indic writing system</w:t>
      </w:r>
    </w:p>
    <w:p w14:paraId="52EB77ED" w14:textId="77777777">
      <w:pPr>
        <w:pStyle w:val="Lista3"/>
      </w:pPr>
      <w:r>
        <w:t>but can also apply to more elaborate combinations when these belong to an established convention, such as the Balinese punctuation marks in TG §5.3.1</w:t>
      </w:r>
    </w:p>
    <w:p w14:paraId="2E6490D9" w14:textId="77777777">
      <w:pPr>
        <w:pStyle w:val="Lista"/>
      </w:pPr>
      <w:r>
        <w:t>series of more than two identical glyphs (e.g. three vertical bars) are best treated as combinations of singles, unless some of them are clearly doubles (as indicated by spacing or by additional strokes joining the pairs)</w:t>
      </w:r>
    </w:p>
    <w:p w14:paraId="63158ED3" w14:textId="77777777">
      <w:pPr>
        <w:pStyle w:val="Lista"/>
      </w:pPr>
      <w:r>
        <w:t xml:space="preserve">the requirement of individual wrapping applies likewise to connectors (for which earlier versions of this Guide prescribed a single wrapper) </w:t>
      </w:r>
    </w:p>
    <w:p w14:paraId="4D15251F" w14:textId="60462C3C">
      <w:pPr>
        <w:pStyle w:val="Lista2"/>
      </w:pPr>
      <w:r>
        <w:t xml:space="preserve">this increases code clutter for iterated connectors, as illustrated in </w:t>
      </w:r>
      <w:r>
        <w:fldChar w:fldCharType="begin"/>
      </w:r>
      <w:r>
        <w:instrText xml:space="preserve"> REF _Ref182576763 \h </w:instrText>
      </w:r>
      <w:r>
        <w:fldChar w:fldCharType="separate"/>
      </w:r>
      <w:r>
        <w:t xml:space="preserve">Exhibit </w:t>
      </w:r>
      <w:r>
        <w:rPr>
          <w:noProof/>
        </w:rPr>
        <w:t>5.4</w:t>
      </w:r>
      <w:r>
        <w:t>.</w:t>
      </w:r>
      <w:r>
        <w:rPr>
          <w:noProof/>
        </w:rPr>
        <w:t>F</w:t>
      </w:r>
      <w:r>
        <w:fldChar w:fldCharType="end"/>
      </w:r>
      <w:r>
        <w:t>, but is desirable in order to ensure consistency in the encoding</w:t>
      </w:r>
    </w:p>
    <w:p w14:paraId="3F3DE264" w14:textId="77777777"/>
    <w:tbl>
      <w:tblPr>
        <w:tblStyle w:val="CodeSampleTable"/>
        <w:tblW w:w="5000" w:type="pct"/>
        <w:tblLook w:val="04A0" w:firstRow="1" w:lastRow="0" w:firstColumn="1" w:lastColumn="0" w:noHBand="0" w:noVBand="1"/>
      </w:tblPr>
      <w:tblGrid>
        <w:gridCol w:w="9628"/>
      </w:tblGrid>
      <w:tr w14:paraId="08C9914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422DEC9" w14:textId="1AEF0020">
            <w:pPr>
              <w:pStyle w:val="Kpalrs"/>
            </w:pPr>
            <w:bookmarkStart w:id="450" w:name="_Ref182576763"/>
            <w:r>
              <w:t xml:space="preserve">Exhibit </w:t>
            </w:r>
            <w:fldSimple w:instr=" STYLEREF 2 \s ">
              <w:r>
                <w:rPr>
                  <w:noProof/>
                </w:rPr>
                <w:t>5.4</w:t>
              </w:r>
            </w:fldSimple>
            <w:r>
              <w:t>.</w:t>
            </w:r>
            <w:fldSimple w:instr=" SEQ Exhibit \* ALPHABETIC \s 2 ">
              <w:r>
                <w:rPr>
                  <w:noProof/>
                </w:rPr>
                <w:t>F</w:t>
              </w:r>
            </w:fldSimple>
            <w:bookmarkEnd w:id="450"/>
            <w:r>
              <w:t>: encoding multiple connectors</w:t>
            </w:r>
          </w:p>
        </w:tc>
      </w:tr>
      <w:tr w14:paraId="70C5D565" w14:textId="77777777">
        <w:tc>
          <w:tcPr>
            <w:tcW w:w="5000" w:type="pct"/>
            <w:vAlign w:val="center"/>
          </w:tcPr>
          <w:p w14:paraId="37D7E701" w14:textId="77777777">
            <w:pPr>
              <w:pStyle w:val="Image"/>
              <w:rPr>
                <w:rStyle w:val="Code"/>
              </w:rPr>
            </w:pPr>
            <w:r>
              <w:drawing>
                <wp:inline distT="114300" distB="114300" distL="114300" distR="114300" wp14:anchorId="30C1C061" wp14:editId="13FE1D9C">
                  <wp:extent cx="3810000" cy="523875"/>
                  <wp:effectExtent l="0" t="0" r="0" b="0"/>
                  <wp:docPr id="32"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56"/>
                          <a:srcRect/>
                          <a:stretch>
                            <a:fillRect/>
                          </a:stretch>
                        </pic:blipFill>
                        <pic:spPr>
                          <a:xfrm>
                            <a:off x="0" y="0"/>
                            <a:ext cx="3810000" cy="523875"/>
                          </a:xfrm>
                          <a:prstGeom prst="rect">
                            <a:avLst/>
                          </a:prstGeom>
                          <a:ln/>
                        </pic:spPr>
                      </pic:pic>
                    </a:graphicData>
                  </a:graphic>
                </wp:inline>
              </w:drawing>
            </w:r>
          </w:p>
        </w:tc>
      </w:tr>
      <w:tr w14:paraId="25A13E99" w14:textId="77777777">
        <w:tc>
          <w:tcPr>
            <w:tcW w:w="5000" w:type="pct"/>
          </w:tcPr>
          <w:p w14:paraId="70988132" w14:textId="77777777">
            <w:pPr>
              <w:pStyle w:val="CodeParagraph"/>
            </w:pPr>
            <w:r>
              <w:rPr>
                <w:rStyle w:val="Codetext"/>
              </w:rPr>
              <w:t>kr̥tavān imām·</w:t>
            </w:r>
            <w:r>
              <w:rPr>
                <w:rStyle w:val="Code"/>
              </w:rPr>
              <w:t xml:space="preserve"> &lt;g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&lt;/g&gt;</w:t>
            </w:r>
          </w:p>
        </w:tc>
      </w:tr>
    </w:tbl>
    <w:p w14:paraId="35EB288F" w14:textId="77777777"/>
    <w:p w14:paraId="197FB98A" w14:textId="77777777">
      <w:pPr>
        <w:pStyle w:val="Cmsor3"/>
      </w:pPr>
      <w:bookmarkStart w:id="451" w:name="_Ref227836867"/>
      <w:bookmarkStart w:id="452" w:name="_Toc242889504"/>
      <w:r>
        <w:t>Peripheral graphemes and their context</w:t>
      </w:r>
      <w:bookmarkEnd w:id="451"/>
      <w:bookmarkEnd w:id="452"/>
    </w:p>
    <w:p w14:paraId="53FD9077" w14:textId="77777777">
      <w:pPr>
        <w:pStyle w:val="Lista"/>
      </w:pPr>
      <w:r>
        <w:t xml:space="preserve">use spaces around transliterated symbols as instructed in TG §7.3.4.4, i.e. essentially: </w:t>
      </w:r>
    </w:p>
    <w:p w14:paraId="419BFAF3" w14:textId="77777777">
      <w:pPr>
        <w:pStyle w:val="Lista2"/>
      </w:pPr>
      <w:r>
        <w:t>add spaces to separate the transliterated (and, if applicable, encoded) representation of any and all peripheral graphemes from any and all adjacent graphemes, except:</w:t>
      </w:r>
    </w:p>
    <w:p w14:paraId="17F70E54" w14:textId="77777777">
      <w:pPr>
        <w:pStyle w:val="Lista3"/>
      </w:pPr>
      <w:r>
        <w:t>punctuation marks shall not be separated with a space from preceding text</w:t>
      </w:r>
    </w:p>
    <w:p w14:paraId="7BED5C04" w14:textId="77777777">
      <w:pPr>
        <w:pStyle w:val="Lista3"/>
      </w:pPr>
      <w:r>
        <w:t>groups of symbols appearing together may be spaced or not, at your discretion</w:t>
      </w:r>
    </w:p>
    <w:p w14:paraId="5BF00BCC" w14:textId="386E3C92">
      <w:pPr>
        <w:pStyle w:val="Lista3"/>
      </w:pPr>
      <w:r>
        <w:t xml:space="preserve">use no spaces around a peripheral grapheme that interrupts a word, as in </w:t>
      </w:r>
      <w:r>
        <w:fldChar w:fldCharType="begin"/>
      </w:r>
      <w:r>
        <w:instrText xml:space="preserve"> REF _Ref182576762 \h </w:instrText>
      </w:r>
      <w:r>
        <w:fldChar w:fldCharType="separate"/>
      </w:r>
      <w:r>
        <w:t xml:space="preserve">Exhibit </w:t>
      </w:r>
      <w:r>
        <w:rPr>
          <w:noProof/>
        </w:rPr>
        <w:t>5.4</w:t>
      </w:r>
      <w:r>
        <w:t>.</w:t>
      </w:r>
      <w:r>
        <w:rPr>
          <w:noProof/>
        </w:rPr>
        <w:t>D</w:t>
      </w:r>
      <w:r>
        <w:fldChar w:fldCharType="end"/>
      </w:r>
    </w:p>
    <w:p w14:paraId="2301852D" w14:textId="148608CD">
      <w:pPr>
        <w:pStyle w:val="Lista"/>
      </w:pPr>
      <w:r>
        <w:t>if a peripheral grapheme appears at the boundary of two block-level containers for intrinsic structure (§</w:t>
      </w:r>
      <w:r>
        <w:fldChar w:fldCharType="begin"/>
      </w:r>
      <w:r>
        <w:instrText xml:space="preserve"> REF _Ref43978632 \r \h </w:instrText>
      </w:r>
      <w:r>
        <w:fldChar w:fldCharType="separate"/>
      </w:r>
      <w:r>
        <w:t>3</w:t>
      </w:r>
      <w:r>
        <w:fldChar w:fldCharType="end"/>
      </w:r>
      <w:r>
        <w:t>), allocate it to one of the containers depending on your judgement of its semantic function</w:t>
      </w:r>
    </w:p>
    <w:p w14:paraId="0C5ED0B0" w14:textId="77777777">
      <w:pPr>
        <w:pStyle w:val="Lista2"/>
      </w:pPr>
      <w:r>
        <w:t>when in doubt, e.g. because a generic symbol marks the transition from one passage to another without being semantically associated with either, allocate it to the end of the earlier containing block</w:t>
      </w:r>
    </w:p>
    <w:p w14:paraId="2C78B267" w14:textId="77777777">
      <w:pPr>
        <w:pStyle w:val="Lista"/>
      </w:pPr>
      <w:r>
        <w:t xml:space="preserve">as a special case, peripheral graphemes, especially punctuation marks, may be written at an </w:t>
      </w:r>
      <w:r>
        <w:rPr>
          <w:rStyle w:val="Foreign"/>
        </w:rPr>
        <w:t>akṣara</w:t>
      </w:r>
      <w:r>
        <w:t xml:space="preserve"> boundary next to, but not coincident with, a word boundary (which would fall within the </w:t>
      </w:r>
      <w:r>
        <w:rPr>
          <w:rStyle w:val="Foreign"/>
        </w:rPr>
        <w:t>akṣara</w:t>
      </w:r>
      <w:r>
        <w:t>)</w:t>
      </w:r>
    </w:p>
    <w:p w14:paraId="2D60D151" w14:textId="77777777">
      <w:pPr>
        <w:pStyle w:val="Lista2"/>
      </w:pPr>
      <w:r>
        <w:lastRenderedPageBreak/>
        <w:t>such symbols must always be represented in the transliterated text at their actual location (and thus without editorial spacing)</w:t>
      </w:r>
    </w:p>
    <w:p w14:paraId="764AD73B" w14:textId="6C10D77A">
      <w:pPr>
        <w:pStyle w:val="Lista2"/>
      </w:pPr>
      <w:r>
        <w:t>however, it is recommended that you flag this as non-standard usage and optionally also normalise the text (§</w:t>
      </w:r>
      <w:r>
        <w:fldChar w:fldCharType="begin"/>
      </w:r>
      <w:r>
        <w:instrText xml:space="preserve"> REF _Ref43978565 \r \h </w:instrText>
      </w:r>
      <w:r>
        <w:fldChar w:fldCharType="separate"/>
      </w:r>
      <w:r>
        <w:t>7</w:t>
      </w:r>
      <w:r>
        <w:fldChar w:fldCharType="end"/>
      </w:r>
      <w:r>
        <w:t xml:space="preserve">) by restoring the symbol at the word boundary and changing the sandhi and editorial spacing as applicable, as in </w:t>
      </w:r>
      <w:r>
        <w:fldChar w:fldCharType="begin"/>
      </w:r>
      <w:r>
        <w:instrText xml:space="preserve"> REF _Ref182562508 \h </w:instrText>
      </w:r>
      <w:r>
        <w:fldChar w:fldCharType="separate"/>
      </w:r>
      <w:r>
        <w:t xml:space="preserve">Exhibit </w:t>
      </w:r>
      <w:r>
        <w:rPr>
          <w:noProof/>
        </w:rPr>
        <w:t>5.4</w:t>
      </w:r>
      <w:r>
        <w:t>.</w:t>
      </w:r>
      <w:r>
        <w:rPr>
          <w:noProof/>
        </w:rPr>
        <w:t>G</w:t>
      </w:r>
      <w:r>
        <w:fldChar w:fldCharType="end"/>
      </w:r>
    </w:p>
    <w:p w14:paraId="302FE53A" w14:textId="47398A6F">
      <w:pPr>
        <w:pStyle w:val="Lista2"/>
      </w:pPr>
      <w:r>
        <w:t>when this happens at the end of a container element such as a verse line, encode the container boundary at its logical place (§</w:t>
      </w:r>
      <w:r>
        <w:fldChar w:fldCharType="begin"/>
      </w:r>
      <w:r>
        <w:instrText xml:space="preserve"> REF _Ref225328264 \r \h </w:instrText>
      </w:r>
      <w:r>
        <w:fldChar w:fldCharType="separate"/>
      </w:r>
      <w:r>
        <w:t>3.2.4.1</w:t>
      </w:r>
      <w:r>
        <w:fldChar w:fldCharType="end"/>
      </w:r>
      <w:r>
        <w:t xml:space="preserve">), disregarding the </w:t>
      </w:r>
      <w:r>
        <w:rPr>
          <w:rStyle w:val="Foreign"/>
        </w:rPr>
        <w:t>akṣara</w:t>
      </w:r>
      <w:r>
        <w:t xml:space="preserve"> boundary and the symbol</w:t>
      </w:r>
    </w:p>
    <w:p w14:paraId="3879A009" w14:textId="77777777"/>
    <w:tbl>
      <w:tblPr>
        <w:tblStyle w:val="FigureTable"/>
        <w:tblW w:w="5000" w:type="pct"/>
        <w:tblLook w:val="04A0" w:firstRow="1" w:lastRow="0" w:firstColumn="1" w:lastColumn="0" w:noHBand="0" w:noVBand="1"/>
      </w:tblPr>
      <w:tblGrid>
        <w:gridCol w:w="9628"/>
      </w:tblGrid>
      <w:tr w14:paraId="0EA93C7E"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CFD5B6D" w14:textId="786D6491">
            <w:pPr>
              <w:pStyle w:val="Kpalrs"/>
              <w:keepLines/>
            </w:pPr>
            <w:bookmarkStart w:id="453" w:name="_Ref182562508"/>
            <w:r>
              <w:t xml:space="preserve">Exhibit </w:t>
            </w:r>
            <w:fldSimple w:instr=" STYLEREF 2 \s ">
              <w:r>
                <w:rPr>
                  <w:noProof/>
                </w:rPr>
                <w:t>5.4</w:t>
              </w:r>
            </w:fldSimple>
            <w:r>
              <w:t>.</w:t>
            </w:r>
            <w:fldSimple w:instr=" SEQ Exhibit \* ALPHABETIC \s 2 ">
              <w:r>
                <w:rPr>
                  <w:noProof/>
                </w:rPr>
                <w:t>G</w:t>
              </w:r>
            </w:fldSimple>
            <w:bookmarkEnd w:id="453"/>
            <w:r>
              <w:t xml:space="preserve">: punctuation placed at </w:t>
            </w:r>
            <w:r>
              <w:rPr>
                <w:rStyle w:val="Foreign"/>
              </w:rPr>
              <w:t>akṣara</w:t>
            </w:r>
            <w:r>
              <w:t xml:space="preserve"> boundary rather than word boundary</w:t>
            </w:r>
          </w:p>
        </w:tc>
      </w:tr>
      <w:tr w14:paraId="5E3881A7" w14:textId="77777777">
        <w:tc>
          <w:tcPr>
            <w:tcW w:w="5000" w:type="pct"/>
          </w:tcPr>
          <w:p w14:paraId="0D8263BA" w14:textId="77777777">
            <w:pPr>
              <w:pStyle w:val="Image"/>
              <w:keepLines/>
              <w:widowControl/>
              <w:rPr>
                <w:rStyle w:val="Code"/>
              </w:rPr>
            </w:pPr>
            <w:r>
              <w:drawing>
                <wp:inline distT="0" distB="0" distL="0" distR="0" wp14:anchorId="16C2B162" wp14:editId="461BA98F">
                  <wp:extent cx="6120765" cy="1009650"/>
                  <wp:effectExtent l="0" t="0" r="0" b="0"/>
                  <wp:docPr id="58615828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120765" cy="1009650"/>
                          </a:xfrm>
                          <a:prstGeom prst="rect">
                            <a:avLst/>
                          </a:prstGeom>
                          <a:noFill/>
                          <a:ln>
                            <a:noFill/>
                          </a:ln>
                        </pic:spPr>
                      </pic:pic>
                    </a:graphicData>
                  </a:graphic>
                </wp:inline>
              </w:drawing>
            </w:r>
          </w:p>
        </w:tc>
      </w:tr>
      <w:tr w14:paraId="3FA23720" w14:textId="77777777">
        <w:tc>
          <w:tcPr>
            <w:tcW w:w="5000" w:type="pct"/>
          </w:tcPr>
          <w:p w14:paraId="38D2CE84" w14:textId="77777777">
            <w:pPr>
              <w:pStyle w:val="TableNote"/>
              <w:keepNext/>
              <w:keepLines/>
              <w:rPr>
                <w:rStyle w:val="Codetext"/>
              </w:rPr>
            </w:pPr>
            <w:r>
              <w:t xml:space="preserve">flagged: </w:t>
            </w:r>
            <w:r>
              <w:rPr>
                <w:rStyle w:val="Codetext"/>
              </w:rPr>
              <w:t xml:space="preserve">...yuvarājaḫ </w:t>
            </w:r>
            <w:bookmarkStart w:id="454" w:name="_Hlk227836756"/>
            <w:r>
              <w:rPr>
                <w:rStyle w:val="Codetext"/>
              </w:rPr>
              <w:t>paṁcaviṁśati</w:t>
            </w:r>
            <w:r>
              <w:rPr>
                <w:rStyle w:val="Code"/>
              </w:rPr>
              <w:t>&lt;orig&gt;</w:t>
            </w:r>
            <w:r>
              <w:rPr>
                <w:rStyle w:val="Codetext"/>
              </w:rPr>
              <w:t>|n</w:t>
            </w:r>
            <w:r>
              <w:rPr>
                <w:rStyle w:val="Code"/>
              </w:rPr>
              <w:t>&lt;/orig&gt;</w:t>
            </w:r>
            <w:r>
              <w:rPr>
                <w:rStyle w:val="Codetext"/>
              </w:rPr>
              <w:t>tat-putro</w:t>
            </w:r>
            <w:bookmarkEnd w:id="454"/>
            <w:r>
              <w:rPr>
                <w:rStyle w:val="Codetext"/>
              </w:rPr>
              <w:t>...</w:t>
            </w:r>
          </w:p>
          <w:p w14:paraId="0A49788C" w14:textId="77777777">
            <w:pPr>
              <w:pStyle w:val="TableNote"/>
              <w:keepNext/>
              <w:keepLines/>
              <w:rPr>
                <w:rStyle w:val="Code"/>
              </w:rPr>
            </w:pPr>
            <w:r>
              <w:t xml:space="preserve">normalised: </w:t>
            </w:r>
            <w:r>
              <w:rPr>
                <w:rStyle w:val="Codetext"/>
              </w:rPr>
              <w:t>...yuvarājaḫ paṁcaviṁśati</w:t>
            </w:r>
            <w:r>
              <w:rPr>
                <w:rStyle w:val="Code"/>
              </w:rPr>
              <w:t>&lt;choice&gt;&lt;orig&gt;</w:t>
            </w:r>
            <w:r>
              <w:rPr>
                <w:rStyle w:val="Codetext"/>
              </w:rPr>
              <w:t>|n</w:t>
            </w:r>
            <w:r>
              <w:rPr>
                <w:rStyle w:val="Code"/>
              </w:rPr>
              <w:t>&lt;/orig&gt;&lt;reg&gt;</w:t>
            </w:r>
            <w:r>
              <w:rPr>
                <w:rStyle w:val="Codetext"/>
              </w:rPr>
              <w:t xml:space="preserve">M| </w:t>
            </w:r>
            <w:r>
              <w:rPr>
                <w:rStyle w:val="Code"/>
              </w:rPr>
              <w:t>&lt;/reg&gt;&lt;/choice&gt;</w:t>
            </w:r>
            <w:r>
              <w:rPr>
                <w:rStyle w:val="Codetext"/>
              </w:rPr>
              <w:t>tat-putro...</w:t>
            </w:r>
          </w:p>
        </w:tc>
      </w:tr>
      <w:tr w14:paraId="3EAA321E" w14:textId="77777777">
        <w:tc>
          <w:tcPr>
            <w:tcW w:w="5000" w:type="pct"/>
          </w:tcPr>
          <w:p w14:paraId="4D299D2B" w14:textId="77777777">
            <w:pPr>
              <w:pStyle w:val="TableNote"/>
            </w:pPr>
            <w:r>
              <w:t xml:space="preserve">the punctuation mark belonging at the end of the word </w:t>
            </w:r>
            <w:r>
              <w:rPr>
                <w:rStyle w:val="Foreign"/>
              </w:rPr>
              <w:t>paṁcaviṁśatim</w:t>
            </w:r>
            <w:r>
              <w:t xml:space="preserve"> is written after </w:t>
            </w:r>
            <w:r>
              <w:rPr>
                <w:rStyle w:val="Foreign"/>
              </w:rPr>
              <w:t>ti</w:t>
            </w:r>
            <w:r>
              <w:t>, because the end of this word has been inscribed as a homorganic nasal forming a conjunct with the beginning of the next word</w:t>
            </w:r>
          </w:p>
          <w:p w14:paraId="507F4C98" w14:textId="77777777">
            <w:pPr>
              <w:pStyle w:val="TableNote"/>
            </w:pPr>
            <w:r>
              <w:t>the arbitrary placeholder | used in the illustration could of course be supplemented with encoding or replaced with a default placeholder plus encoding</w:t>
            </w:r>
          </w:p>
        </w:tc>
      </w:tr>
    </w:tbl>
    <w:p w14:paraId="22518D01" w14:textId="77777777">
      <w:pPr>
        <w:pStyle w:val="Cmsor2"/>
      </w:pPr>
      <w:bookmarkStart w:id="455" w:name="_Toc242889505"/>
      <w:bookmarkEnd w:id="446"/>
      <w:r>
        <w:t>Space</w:t>
      </w:r>
      <w:bookmarkEnd w:id="447"/>
      <w:r>
        <w:t xml:space="preserve"> left blank in the original</w:t>
      </w:r>
      <w:bookmarkEnd w:id="448"/>
      <w:bookmarkEnd w:id="455"/>
    </w:p>
    <w:p w14:paraId="2D9B2C9E" w14:textId="561054AF">
      <w:r>
        <w:t xml:space="preserve">As discussed in TG §5.6, all spaces in our transliterated texts will be considered editorial. Consequently, </w:t>
      </w:r>
      <w:r>
        <w:rPr>
          <w:lang w:eastAsia="en-US" w:bidi="ar-SA"/>
        </w:rPr>
        <w:t>s</w:t>
      </w:r>
      <w:r>
        <w:t xml:space="preserve">paces present in the source and deemed significant must always be represented in transliterated texts. The _ (underscore) character is a dedicated placeholder for significant space in DHARMA transliteration. In XML editions, this must normally be replaced by (not wrapped in) the empty element </w:t>
      </w:r>
      <w:r>
        <w:rPr>
          <w:rStyle w:val="Code"/>
        </w:rPr>
        <w:t>&lt;space/&gt;</w:t>
      </w:r>
      <w:r>
        <w:t>. This encoding, unlike the transliteration placeholder, allows us to record the nature (§</w:t>
      </w:r>
      <w:r>
        <w:fldChar w:fldCharType="begin"/>
      </w:r>
      <w:r>
        <w:instrText xml:space="preserve"> REF _Ref227833893 \r \h </w:instrText>
      </w:r>
      <w:r>
        <w:fldChar w:fldCharType="separate"/>
      </w:r>
      <w:r>
        <w:t>5.5.2</w:t>
      </w:r>
      <w:r>
        <w:fldChar w:fldCharType="end"/>
      </w:r>
      <w:r>
        <w:t>) and size (§</w:t>
      </w:r>
      <w:r>
        <w:fldChar w:fldCharType="begin"/>
      </w:r>
      <w:r>
        <w:instrText xml:space="preserve"> REF _Ref183008428 \r \h </w:instrText>
      </w:r>
      <w:r>
        <w:fldChar w:fldCharType="separate"/>
      </w:r>
      <w:r>
        <w:t>5.5.2.4</w:t>
      </w:r>
      <w:r>
        <w:fldChar w:fldCharType="end"/>
      </w:r>
      <w:r>
        <w:t>) of each space in attributes of that element. Small spaces used for semantic segmentation (§</w:t>
      </w:r>
      <w:r>
        <w:fldChar w:fldCharType="begin"/>
      </w:r>
      <w:r>
        <w:instrText xml:space="preserve"> REF _Ref183011891 \r \h </w:instrText>
      </w:r>
      <w:r>
        <w:fldChar w:fldCharType="separate"/>
      </w:r>
      <w:r>
        <w:t>5.5.1</w:t>
      </w:r>
      <w:r>
        <w:fldChar w:fldCharType="end"/>
      </w:r>
      <w:r>
        <w:t xml:space="preserve">) do not require these details and may be represented either by means of </w:t>
      </w:r>
      <w:r>
        <w:rPr>
          <w:rStyle w:val="Code"/>
        </w:rPr>
        <w:t>&lt;space/&gt;</w:t>
      </w:r>
      <w:r>
        <w:t xml:space="preserve"> without attributes or by means of the underscore, but the former is preferable in an XML context.</w:t>
      </w:r>
    </w:p>
    <w:p w14:paraId="350B674A" w14:textId="77777777">
      <w:pPr>
        <w:pStyle w:val="Cmsor3"/>
      </w:pPr>
      <w:bookmarkStart w:id="456" w:name="_g16v5ug6dm4p" w:colFirst="0" w:colLast="0"/>
      <w:bookmarkStart w:id="457" w:name="_Ref183011891"/>
      <w:bookmarkStart w:id="458" w:name="_Ref43987645"/>
      <w:bookmarkStart w:id="459" w:name="_Ref134026679"/>
      <w:bookmarkStart w:id="460" w:name="_Toc242889506"/>
      <w:bookmarkEnd w:id="456"/>
      <w:r>
        <w:t>Space for semantic segmentation</w:t>
      </w:r>
      <w:bookmarkEnd w:id="457"/>
      <w:bookmarkEnd w:id="460"/>
    </w:p>
    <w:p w14:paraId="11865D13" w14:textId="4BBC127A">
      <w:r>
        <w:t>This subsection is about spaces employed within lines with the presumed purpose of separating semantic units. Regular TEI practice</w:t>
      </w:r>
      <w:r>
        <w:rPr>
          <w:rStyle w:val="Lbjegyzet-hivatkozs"/>
        </w:rPr>
        <w:footnoteReference w:id="25"/>
      </w:r>
      <w:r>
        <w:t xml:space="preserve"> is not to use </w:t>
      </w:r>
      <w:r>
        <w:rPr>
          <w:rStyle w:val="Code"/>
        </w:rPr>
        <w:t>&lt;space/&gt;</w:t>
      </w:r>
      <w:r>
        <w:t xml:space="preserve"> for interword spaces, but since our texts normally use </w:t>
      </w:r>
      <w:r>
        <w:rPr>
          <w:rStyle w:val="Foreign"/>
        </w:rPr>
        <w:t>scriptio continua</w:t>
      </w:r>
      <w:r>
        <w:t xml:space="preserve"> (i.e. they do not space words), we generally consider them to be significant spaces when they do occur and encode them accordingly. Guidelines for when interword spaces are, or are not, to be recognised as significant are given in §</w:t>
      </w:r>
      <w:r>
        <w:fldChar w:fldCharType="begin"/>
      </w:r>
      <w:r>
        <w:instrText xml:space="preserve"> REF _Ref227833891 \r \h </w:instrText>
      </w:r>
      <w:r>
        <w:fldChar w:fldCharType="separate"/>
      </w:r>
      <w:r>
        <w:t>5.5.1.1</w:t>
      </w:r>
      <w:r>
        <w:fldChar w:fldCharType="end"/>
      </w:r>
      <w:r>
        <w:t xml:space="preserve"> below, while the special case of spacing metrical units is discussed in §</w:t>
      </w:r>
      <w:r>
        <w:fldChar w:fldCharType="begin"/>
      </w:r>
      <w:r>
        <w:instrText xml:space="preserve"> REF _Ref227833892 \r \h </w:instrText>
      </w:r>
      <w:r>
        <w:fldChar w:fldCharType="separate"/>
      </w:r>
      <w:r>
        <w:t>5.5.1.2</w:t>
      </w:r>
      <w:r>
        <w:fldChar w:fldCharType="end"/>
      </w:r>
      <w:r>
        <w:t>.</w:t>
      </w:r>
    </w:p>
    <w:p w14:paraId="6AAD578C" w14:textId="77777777">
      <w:pPr>
        <w:pStyle w:val="Lista"/>
      </w:pPr>
      <w:r>
        <w:t>for our purposes, spaces are deemed to serve semantic segmentation when they appear</w:t>
      </w:r>
    </w:p>
    <w:p w14:paraId="1704982A" w14:textId="77777777">
      <w:pPr>
        <w:pStyle w:val="Lista2"/>
      </w:pPr>
      <w:r>
        <w:t>between words</w:t>
      </w:r>
    </w:p>
    <w:p w14:paraId="264E31DD" w14:textId="77777777">
      <w:pPr>
        <w:pStyle w:val="Lista2"/>
      </w:pPr>
      <w:r>
        <w:t>after stanzas or verse lines</w:t>
      </w:r>
    </w:p>
    <w:p w14:paraId="20DBC461" w14:textId="52B8AEB0">
      <w:pPr>
        <w:pStyle w:val="Lista3"/>
      </w:pPr>
      <w:r>
        <w:t>spaces at the same horizontal position in multiple lines, dividing the text into visually separate columns, may instead be encoded as gridlike partitions as per §</w:t>
      </w:r>
      <w:r>
        <w:fldChar w:fldCharType="begin"/>
      </w:r>
      <w:r>
        <w:instrText xml:space="preserve"> REF _Ref43984651 \r \h </w:instrText>
      </w:r>
      <w:r>
        <w:fldChar w:fldCharType="separate"/>
      </w:r>
      <w:r>
        <w:t>4.6</w:t>
      </w:r>
      <w:r>
        <w:fldChar w:fldCharType="end"/>
      </w:r>
    </w:p>
    <w:p w14:paraId="2A096F97" w14:textId="77777777">
      <w:pPr>
        <w:pStyle w:val="Lista2"/>
      </w:pPr>
      <w:r>
        <w:t>at a transition from verse to prose or vice versa</w:t>
      </w:r>
    </w:p>
    <w:p w14:paraId="470AD018" w14:textId="77777777">
      <w:pPr>
        <w:pStyle w:val="Lista2"/>
      </w:pPr>
      <w:r>
        <w:lastRenderedPageBreak/>
        <w:t>at points where the topic changes markedly, for instance</w:t>
      </w:r>
    </w:p>
    <w:p w14:paraId="04DDF334" w14:textId="77777777">
      <w:pPr>
        <w:pStyle w:val="Lista3"/>
      </w:pPr>
      <w:r>
        <w:t>after an initial salutation or auspicious phrase</w:t>
      </w:r>
    </w:p>
    <w:p w14:paraId="51C7B422" w14:textId="77777777">
      <w:pPr>
        <w:pStyle w:val="Lista3"/>
      </w:pPr>
      <w:r>
        <w:t>before a colophon</w:t>
      </w:r>
    </w:p>
    <w:p w14:paraId="75565690" w14:textId="77777777">
      <w:pPr>
        <w:pStyle w:val="Lista"/>
      </w:pPr>
      <w:r>
        <w:t xml:space="preserve">space employed for semantic segmentation shall normally be encoded using the </w:t>
      </w:r>
      <w:r>
        <w:rPr>
          <w:rStyle w:val="Code"/>
        </w:rPr>
        <w:t>&lt;space/&gt;</w:t>
      </w:r>
      <w:r>
        <w:t xml:space="preserve"> element</w:t>
      </w:r>
    </w:p>
    <w:p w14:paraId="0C43C6D4" w14:textId="77777777">
      <w:pPr>
        <w:pStyle w:val="Lista2"/>
      </w:pPr>
      <w:r>
        <w:t xml:space="preserve">without </w:t>
      </w:r>
      <w:r>
        <w:rPr>
          <w:rStyle w:val="Codeattribute"/>
        </w:rPr>
        <w:t>@type</w:t>
      </w:r>
      <w:r>
        <w:t>, i.e. semantic spacing is understood in our convention to be the default type of space</w:t>
      </w:r>
    </w:p>
    <w:p w14:paraId="1F2F77E1" w14:textId="77777777">
      <w:pPr>
        <w:pStyle w:val="Lista2"/>
      </w:pPr>
      <w:r>
        <w:t>without size encoding, because semantic spacing is usually normal-sized</w:t>
      </w:r>
    </w:p>
    <w:p w14:paraId="7B16A370" w14:textId="66FE067B">
      <w:pPr>
        <w:pStyle w:val="Lista2"/>
      </w:pPr>
      <w:r>
        <w:t>however, for conspicuously large semantic spaces (exceeding two average character widths),</w:t>
      </w:r>
      <w:r>
        <w:rPr>
          <w:noProof/>
        </w:rPr>
        <w:t xml:space="preserve"> </w:t>
      </w:r>
      <w:r>
        <w:t>size must be encoded as per §</w:t>
      </w:r>
      <w:r>
        <w:fldChar w:fldCharType="begin"/>
      </w:r>
      <w:r>
        <w:instrText xml:space="preserve"> REF _Ref183008428 \r \h </w:instrText>
      </w:r>
      <w:r>
        <w:fldChar w:fldCharType="separate"/>
      </w:r>
      <w:r>
        <w:t>5.5.2.4</w:t>
      </w:r>
      <w:r>
        <w:fldChar w:fldCharType="end"/>
      </w:r>
    </w:p>
    <w:p w14:paraId="2E890270" w14:textId="77777777">
      <w:pPr>
        <w:pStyle w:val="Cmsor4"/>
      </w:pPr>
      <w:bookmarkStart w:id="461" w:name="_Ref227833891"/>
      <w:bookmarkStart w:id="462" w:name="_Ref183008079"/>
      <w:bookmarkStart w:id="463" w:name="_Ref183006525"/>
      <w:r>
        <w:t>When is interword spacing significant?</w:t>
      </w:r>
      <w:bookmarkEnd w:id="461"/>
    </w:p>
    <w:p w14:paraId="592F5B2D" w14:textId="77777777">
      <w:pPr>
        <w:pStyle w:val="Lista"/>
      </w:pPr>
      <w:r>
        <w:t>spaces smaller than the width of one average character may be ignored at your discretion</w:t>
      </w:r>
    </w:p>
    <w:p w14:paraId="08C9BB0C" w14:textId="77777777">
      <w:pPr>
        <w:pStyle w:val="Lista"/>
      </w:pPr>
      <w:r>
        <w:t xml:space="preserve">it is generally </w:t>
      </w:r>
      <w:r>
        <w:rPr>
          <w:b/>
          <w:bCs/>
        </w:rPr>
        <w:t>preferable not to encode semantic spaces</w:t>
      </w:r>
      <w:r>
        <w:t xml:space="preserve"> in the following cases:</w:t>
      </w:r>
    </w:p>
    <w:p w14:paraId="3E196BD7" w14:textId="77777777">
      <w:pPr>
        <w:pStyle w:val="Lista2"/>
      </w:pPr>
      <w:r>
        <w:t>when small spaces appear without an obvious semantic function, such as</w:t>
      </w:r>
    </w:p>
    <w:p w14:paraId="704ADE96" w14:textId="77777777">
      <w:pPr>
        <w:pStyle w:val="Lista3"/>
      </w:pPr>
      <w:r>
        <w:t>space between adjacent glyphs within a word</w:t>
      </w:r>
    </w:p>
    <w:p w14:paraId="034A0546" w14:textId="77777777">
      <w:pPr>
        <w:pStyle w:val="Lista3"/>
      </w:pPr>
      <w:r>
        <w:t>interword spaces that are no larger than spaces occurring between glyphs within a word</w:t>
      </w:r>
    </w:p>
    <w:p w14:paraId="49B90DBE" w14:textId="011C4A29">
      <w:pPr>
        <w:pStyle w:val="Lista3"/>
      </w:pPr>
      <w:r>
        <w:t>however, segments written in conspicuously widely spaced glyphs may be marked up as per §</w:t>
      </w:r>
      <w:r>
        <w:fldChar w:fldCharType="begin"/>
      </w:r>
      <w:r>
        <w:instrText xml:space="preserve"> REF _Ref43987586 \w \h  \* MERGEFORMAT </w:instrText>
      </w:r>
      <w:r>
        <w:fldChar w:fldCharType="separate"/>
      </w:r>
      <w:r>
        <w:t>8.3</w:t>
      </w:r>
      <w:r>
        <w:fldChar w:fldCharType="end"/>
      </w:r>
    </w:p>
    <w:p w14:paraId="5B511E85" w14:textId="77777777">
      <w:pPr>
        <w:pStyle w:val="Lista2"/>
      </w:pPr>
      <w:r>
        <w:t>when small spaces appear between phonographic and other graphemes, such as</w:t>
      </w:r>
    </w:p>
    <w:p w14:paraId="520CC5C2" w14:textId="77777777">
      <w:pPr>
        <w:pStyle w:val="Lista3"/>
      </w:pPr>
      <w:r>
        <w:t>before and/or after numeral signs</w:t>
      </w:r>
    </w:p>
    <w:p w14:paraId="4F0B7D77" w14:textId="77777777">
      <w:pPr>
        <w:pStyle w:val="Lista3"/>
      </w:pPr>
      <w:r>
        <w:t>before and/or after punctuation marks and other symbols</w:t>
      </w:r>
    </w:p>
    <w:p w14:paraId="06D91DD8" w14:textId="77777777">
      <w:pPr>
        <w:pStyle w:val="Lista2"/>
      </w:pPr>
      <w:r>
        <w:t>when interword spaces appear consistently throughout an inscription</w:t>
      </w:r>
    </w:p>
    <w:p w14:paraId="525A9241" w14:textId="77777777">
      <w:pPr>
        <w:pStyle w:val="Lista3"/>
      </w:pPr>
      <w:r>
        <w:t xml:space="preserve">this feature of an inscription (i.e. the fact that it does not use </w:t>
      </w:r>
      <w:r>
        <w:rPr>
          <w:rStyle w:val="Foreign"/>
        </w:rPr>
        <w:t>scriptio continua</w:t>
      </w:r>
      <w:r>
        <w:t>) may be mentioned in the metadata or commentary rather than being encoded at every instance</w:t>
      </w:r>
    </w:p>
    <w:p w14:paraId="77A99696" w14:textId="77777777">
      <w:pPr>
        <w:pStyle w:val="Lista2"/>
      </w:pPr>
      <w:r>
        <w:t xml:space="preserve">it is generally </w:t>
      </w:r>
      <w:r>
        <w:rPr>
          <w:b/>
          <w:bCs/>
        </w:rPr>
        <w:t>preferable to encode semantic spaces</w:t>
      </w:r>
      <w:r>
        <w:t xml:space="preserve"> in the following cases, even if they are smaller than one typical character width:</w:t>
      </w:r>
    </w:p>
    <w:p w14:paraId="4002E391" w14:textId="77777777">
      <w:pPr>
        <w:pStyle w:val="Lista3"/>
      </w:pPr>
      <w:r>
        <w:t>when interword spaces are used inconsistently in an inscription</w:t>
      </w:r>
    </w:p>
    <w:p w14:paraId="49E0FAE1" w14:textId="77777777">
      <w:pPr>
        <w:pStyle w:val="Lista3"/>
      </w:pPr>
      <w:r>
        <w:t>when a particular space appears in lieu of punctuation at the end of a semantic unit (e.g. stanza, verse line or a topic in prose)</w:t>
      </w:r>
    </w:p>
    <w:p w14:paraId="57057556" w14:textId="77777777">
      <w:pPr>
        <w:pStyle w:val="Cmsor4"/>
      </w:pPr>
      <w:bookmarkStart w:id="464" w:name="_Ref227833892"/>
      <w:r>
        <w:t>Spacing on a metrical basis</w:t>
      </w:r>
      <w:bookmarkEnd w:id="464"/>
    </w:p>
    <w:p w14:paraId="077337CA" w14:textId="24E22F17">
      <w:r>
        <w:t xml:space="preserve">The boundaries of metrical units (stanzas, verse lines, cola) are sometimes indicated in inscriptions with spaces, regardless of whether they coincide with a semantic boundary or not. Metrically based spaces, for instance between stanza quarters, may appear consistently one below the other, in effect dividing the text into two or more quasi-columns. In this special case, illustrated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 you can choose at your discretion to encode gridlike partitions for the quasi-columns as per §</w:t>
      </w:r>
      <w:r>
        <w:fldChar w:fldCharType="begin"/>
      </w:r>
      <w:r>
        <w:instrText xml:space="preserve"> REF _Ref43984651 \r \h </w:instrText>
      </w:r>
      <w:r>
        <w:fldChar w:fldCharType="separate"/>
      </w:r>
      <w:r>
        <w:t>4.6</w:t>
      </w:r>
      <w:r>
        <w:fldChar w:fldCharType="end"/>
      </w:r>
      <w:r>
        <w:t xml:space="preserve">, or simply to encode each space in its place. Both encodings are shown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w:t>
      </w:r>
    </w:p>
    <w:p w14:paraId="6A300829" w14:textId="014F3D37">
      <w:pPr>
        <w:pStyle w:val="Normlbehzs"/>
      </w:pPr>
      <w:r>
        <w:t xml:space="preserve">In other cases, typically when the inscribed lines do not coincide with metrical units, the spacing of metrical units does not give rise a layout feature. Instead, the metrical spaces will be staggered line after line as illustrated in </w:t>
      </w:r>
      <w:r>
        <w:fldChar w:fldCharType="begin"/>
      </w:r>
      <w:r>
        <w:instrText xml:space="preserve"> REF _Ref182995673 \h </w:instrText>
      </w:r>
      <w:r>
        <w:fldChar w:fldCharType="separate"/>
      </w:r>
      <w:r>
        <w:t xml:space="preserve">Exhibit </w:t>
      </w:r>
      <w:r>
        <w:rPr>
          <w:noProof/>
        </w:rPr>
        <w:t>5.5</w:t>
      </w:r>
      <w:r>
        <w:t>.</w:t>
      </w:r>
      <w:r>
        <w:rPr>
          <w:noProof/>
        </w:rPr>
        <w:t>A</w:t>
      </w:r>
      <w:r>
        <w:fldChar w:fldCharType="end"/>
      </w:r>
      <w:r>
        <w:t xml:space="preserve">, rather than lining up vertically. In this case, the metrical spaces can only be encoded as </w:t>
      </w:r>
      <w:r>
        <w:rPr>
          <w:rStyle w:val="Code"/>
        </w:rPr>
        <w:t>&lt;space/&gt;</w:t>
      </w:r>
      <w:r>
        <w:t xml:space="preserve"> elements; or, when they coincide with the boundaries of encoded containers (as the ends of verse lines in </w:t>
      </w:r>
      <w:r>
        <w:fldChar w:fldCharType="begin"/>
      </w:r>
      <w:r>
        <w:instrText xml:space="preserve"> REF _Ref182995673 \h </w:instrText>
      </w:r>
      <w:r>
        <w:fldChar w:fldCharType="separate"/>
      </w:r>
      <w:r>
        <w:t xml:space="preserve">Exhibit </w:t>
      </w:r>
      <w:r>
        <w:rPr>
          <w:noProof/>
        </w:rPr>
        <w:t>5.5</w:t>
      </w:r>
      <w:r>
        <w:t>.</w:t>
      </w:r>
      <w:r>
        <w:rPr>
          <w:noProof/>
        </w:rPr>
        <w:t>A</w:t>
      </w:r>
      <w:r>
        <w:fldChar w:fldCharType="end"/>
      </w:r>
      <w:r>
        <w:t>), they may be left unencoded at your discretion.</w:t>
      </w:r>
    </w:p>
    <w:tbl>
      <w:tblPr>
        <w:tblStyle w:val="CodeSampleTable"/>
        <w:tblW w:w="5000" w:type="pct"/>
        <w:tblLook w:val="04A0" w:firstRow="1" w:lastRow="0" w:firstColumn="1" w:lastColumn="0" w:noHBand="0" w:noVBand="1"/>
      </w:tblPr>
      <w:tblGrid>
        <w:gridCol w:w="9628"/>
      </w:tblGrid>
      <w:tr w14:paraId="163288F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FB60D8C" w14:textId="5BA9B13B">
            <w:pPr>
              <w:pStyle w:val="Kpalrs"/>
            </w:pPr>
            <w:bookmarkStart w:id="465" w:name="_Ref182995673"/>
            <w:r>
              <w:lastRenderedPageBreak/>
              <w:t xml:space="preserve">Exhibit </w:t>
            </w:r>
            <w:fldSimple w:instr=" STYLEREF 2 \s ">
              <w:r>
                <w:rPr>
                  <w:noProof/>
                </w:rPr>
                <w:t>5.5</w:t>
              </w:r>
            </w:fldSimple>
            <w:r>
              <w:t>.</w:t>
            </w:r>
            <w:fldSimple w:instr=" SEQ Exhibit \* ALPHABETIC \s 2 ">
              <w:r>
                <w:rPr>
                  <w:noProof/>
                </w:rPr>
                <w:t>A</w:t>
              </w:r>
            </w:fldSimple>
            <w:bookmarkEnd w:id="465"/>
            <w:r>
              <w:t>: spacing between prosodic units</w:t>
            </w:r>
          </w:p>
        </w:tc>
      </w:tr>
      <w:tr w14:paraId="2A5BE64F" w14:textId="77777777">
        <w:tc>
          <w:tcPr>
            <w:tcW w:w="5000" w:type="pct"/>
          </w:tcPr>
          <w:p w14:paraId="2BBDC5D9" w14:textId="77777777">
            <w:pPr>
              <w:pStyle w:val="Image"/>
            </w:pPr>
            <w:r>
              <w:drawing>
                <wp:inline distT="0" distB="0" distL="0" distR="0" wp14:anchorId="2E44AC31" wp14:editId="1B8E9418">
                  <wp:extent cx="5397500" cy="1515110"/>
                  <wp:effectExtent l="0" t="0" r="0" b="889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7500" cy="1515110"/>
                          </a:xfrm>
                          <a:prstGeom prst="rect">
                            <a:avLst/>
                          </a:prstGeom>
                          <a:noFill/>
                          <a:ln>
                            <a:noFill/>
                          </a:ln>
                        </pic:spPr>
                      </pic:pic>
                    </a:graphicData>
                  </a:graphic>
                </wp:inline>
              </w:drawing>
            </w:r>
          </w:p>
        </w:tc>
      </w:tr>
      <w:tr w14:paraId="61C804FE" w14:textId="77777777">
        <w:tc>
          <w:tcPr>
            <w:tcW w:w="5000" w:type="pct"/>
          </w:tcPr>
          <w:p w14:paraId="229F1B53" w14:textId="77777777">
            <w:pPr>
              <w:pStyle w:val="TableNote"/>
            </w:pPr>
            <w:r>
              <w:t>in this inscription, spaces have been left blank in the text at caesuras and line ends</w:t>
            </w:r>
          </w:p>
          <w:p w14:paraId="4CE80296" w14:textId="2DE9FE18">
            <w:pPr>
              <w:pStyle w:val="TableNote"/>
            </w:pPr>
            <w:r>
              <w:t xml:space="preserve">however, the spaces do not line up one below the other (as they do in </w:t>
            </w:r>
            <w:r>
              <w:fldChar w:fldCharType="begin"/>
            </w:r>
            <w:r>
              <w:instrText xml:space="preserve"> REF _Ref44078509 \h  \* MERGEFORMAT </w:instrText>
            </w:r>
            <w:r>
              <w:fldChar w:fldCharType="separate"/>
            </w:r>
            <w:r>
              <w:t>Exhibit 4.7.Q</w:t>
            </w:r>
            <w:r>
              <w:fldChar w:fldCharType="end"/>
            </w:r>
            <w:r>
              <w:t>)</w:t>
            </w:r>
          </w:p>
          <w:p w14:paraId="7BB8209C" w14:textId="225F0761">
            <w:pPr>
              <w:pStyle w:val="TableNote"/>
            </w:pPr>
            <w:r>
              <w:t>therefore, they are to be encoded as semantic spaces (if at all), not as gridlike milestones</w:t>
            </w:r>
          </w:p>
        </w:tc>
      </w:tr>
      <w:tr w14:paraId="7CC91C79" w14:textId="77777777">
        <w:tc>
          <w:tcPr>
            <w:tcW w:w="5000" w:type="pct"/>
          </w:tcPr>
          <w:p w14:paraId="51747C15" w14:textId="77777777">
            <w:pPr>
              <w:pStyle w:val="CodeParagraph"/>
              <w:rPr>
                <w:rStyle w:val="Code"/>
                <w:color w:val="000000" w:themeColor="text1"/>
              </w:rPr>
            </w:pPr>
            <w:r>
              <w:rPr>
                <w:rStyle w:val="Code"/>
              </w:rPr>
              <w:t xml:space="preserve">&lt;lg </w:t>
            </w:r>
            <w:r>
              <w:rPr>
                <w:rStyle w:val="Codeattribute"/>
              </w:rPr>
              <w:t>n</w:t>
            </w:r>
            <w:r>
              <w:rPr>
                <w:rStyle w:val="Code"/>
              </w:rPr>
              <w:t>=</w:t>
            </w:r>
            <w:r>
              <w:rPr>
                <w:rStyle w:val="Codevalue"/>
              </w:rPr>
              <w:t>"1"</w:t>
            </w:r>
            <w:r>
              <w:rPr>
                <w:rStyle w:val="Code"/>
              </w:rPr>
              <w:t>&gt;</w:t>
            </w:r>
            <w:r>
              <w:rPr>
                <w:rStyle w:val="Codetext"/>
              </w:rPr>
              <w:br/>
              <w:t xml:space="preserve">  </w:t>
            </w:r>
            <w:r>
              <w:rPr>
                <w:rStyle w:val="Code"/>
              </w:rPr>
              <w:t>&lt;l</w:t>
            </w:r>
            <w:r>
              <w:rPr>
                <w:rStyle w:val="Codeattribute"/>
              </w:rPr>
              <w:t xml:space="preserve"> 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/&gt;</w:t>
            </w:r>
            <w:r>
              <w:t xml:space="preserve"> </w:t>
            </w:r>
            <w:r>
              <w:rPr>
                <w:rStyle w:val="Codetext"/>
              </w:rPr>
              <w:t xml:space="preserve">Chip the glasses and </w:t>
            </w:r>
            <w:r>
              <w:rPr>
                <w:rStyle w:val="Code"/>
              </w:rPr>
              <w:t>&lt;space/&gt;</w:t>
            </w:r>
            <w:r>
              <w:rPr>
                <w:rStyle w:val="Codetext"/>
              </w:rPr>
              <w:t>crack the plates!</w:t>
            </w:r>
            <w:r>
              <w:rPr>
                <w:rStyle w:val="Code"/>
              </w:rPr>
              <w:t>&lt;space/&gt;&lt;/l&gt;</w:t>
            </w:r>
            <w:r>
              <w:rPr>
                <w:rStyle w:val="Codetext"/>
              </w:rPr>
              <w:br/>
              <w:t xml:space="preserve">  </w:t>
            </w:r>
            <w:r>
              <w:rPr>
                <w:rStyle w:val="Code"/>
              </w:rPr>
              <w:t>&lt;l</w:t>
            </w:r>
            <w:r>
              <w:rPr>
                <w:rStyle w:val="Codeattribute"/>
              </w:rPr>
              <w:t xml:space="preserve"> n</w:t>
            </w:r>
            <w:r>
              <w:rPr>
                <w:rStyle w:val="Code"/>
              </w:rPr>
              <w:t>=</w:t>
            </w:r>
            <w:r>
              <w:rPr>
                <w:rStyle w:val="Codevalue"/>
              </w:rPr>
              <w:t>"b"</w:t>
            </w:r>
            <w:r>
              <w:rPr>
                <w:rStyle w:val="Code"/>
              </w:rPr>
              <w:t>&gt;</w:t>
            </w:r>
            <w:r>
              <w:rPr>
                <w:rStyle w:val="Codetext"/>
              </w:rPr>
              <w:t xml:space="preserve">Blunt </w:t>
            </w:r>
            <w:r>
              <w:rPr>
                <w:rStyle w:val="Code"/>
              </w:rPr>
              <w:t xml:space="preserve">&lt;lb </w:t>
            </w:r>
            <w:r>
              <w:rPr>
                <w:rStyle w:val="Codeattribute"/>
              </w:rPr>
              <w:t>n</w:t>
            </w:r>
            <w:r>
              <w:rPr>
                <w:rStyle w:val="Code"/>
              </w:rPr>
              <w:t>=</w:t>
            </w:r>
            <w:r>
              <w:rPr>
                <w:rStyle w:val="Codevalue"/>
              </w:rPr>
              <w:t>"2"</w:t>
            </w:r>
            <w:r>
              <w:rPr>
                <w:rStyle w:val="Code"/>
              </w:rPr>
              <w:t>/&gt;</w:t>
            </w:r>
            <w:r>
              <w:rPr>
                <w:rStyle w:val="Codetext"/>
              </w:rPr>
              <w:t xml:space="preserve">the knives and </w:t>
            </w:r>
            <w:r>
              <w:rPr>
                <w:rStyle w:val="Code"/>
              </w:rPr>
              <w:t>&lt;space/&gt;</w:t>
            </w:r>
            <w:r>
              <w:rPr>
                <w:rStyle w:val="Codetext"/>
              </w:rPr>
              <w:t>bend the forks!</w:t>
            </w:r>
            <w:r>
              <w:rPr>
                <w:rStyle w:val="Code"/>
              </w:rPr>
              <w:t>&lt;space/&gt;&lt;/l&gt;</w:t>
            </w:r>
            <w:r>
              <w:rPr>
                <w:rStyle w:val="Codetext"/>
              </w:rPr>
              <w:br/>
              <w:t xml:space="preserve">  </w:t>
            </w:r>
            <w:r>
              <w:rPr>
                <w:rStyle w:val="Code"/>
              </w:rPr>
              <w:t>&lt;l</w:t>
            </w:r>
            <w:r>
              <w:rPr>
                <w:rStyle w:val="Codeattribute"/>
              </w:rPr>
              <w:t xml:space="preserve"> n</w:t>
            </w:r>
            <w:r>
              <w:rPr>
                <w:rStyle w:val="Code"/>
              </w:rPr>
              <w:t>=</w:t>
            </w:r>
            <w:r>
              <w:rPr>
                <w:rStyle w:val="Codevalue"/>
              </w:rPr>
              <w:t>"c"</w:t>
            </w:r>
            <w:r>
              <w:rPr>
                <w:rStyle w:val="Code"/>
              </w:rPr>
              <w:t>&gt;</w:t>
            </w:r>
            <w:r>
              <w:rPr>
                <w:rStyle w:val="Codetext"/>
              </w:rPr>
              <w:t xml:space="preserve">That’s what </w:t>
            </w:r>
            <w:r>
              <w:rPr>
                <w:rStyle w:val="Code"/>
              </w:rPr>
              <w:t xml:space="preserve">&lt;lb </w:t>
            </w:r>
            <w:r>
              <w:rPr>
                <w:rStyle w:val="Codeattribute"/>
              </w:rPr>
              <w:t>n</w:t>
            </w:r>
            <w:r>
              <w:rPr>
                <w:rStyle w:val="Code"/>
              </w:rPr>
              <w:t>=</w:t>
            </w:r>
            <w:r>
              <w:rPr>
                <w:rStyle w:val="Codevalue"/>
              </w:rPr>
              <w:t>"3"</w:t>
            </w:r>
            <w:r>
              <w:rPr>
                <w:rStyle w:val="Code"/>
              </w:rPr>
              <w:t>/&gt;</w:t>
            </w:r>
            <w:r>
              <w:rPr>
                <w:rStyle w:val="Codetext"/>
              </w:rPr>
              <w:t xml:space="preserve">Bilbo </w:t>
            </w:r>
            <w:r>
              <w:rPr>
                <w:rStyle w:val="Code"/>
              </w:rPr>
              <w:t>&lt;space/&gt;</w:t>
            </w:r>
            <w:r>
              <w:rPr>
                <w:rStyle w:val="Codetext"/>
              </w:rPr>
              <w:t xml:space="preserve"> Baggins hates—</w:t>
            </w:r>
            <w:r>
              <w:rPr>
                <w:rStyle w:val="Code"/>
              </w:rPr>
              <w:t>&lt;space/&gt;&lt;/l&gt;</w:t>
            </w:r>
            <w:r>
              <w:rPr>
                <w:rStyle w:val="Codetext"/>
              </w:rPr>
              <w:br/>
              <w:t xml:space="preserve">  </w:t>
            </w:r>
            <w:r>
              <w:rPr>
                <w:rStyle w:val="Code"/>
              </w:rPr>
              <w:t>&lt;l</w:t>
            </w:r>
            <w:r>
              <w:rPr>
                <w:rStyle w:val="Codeattribute"/>
              </w:rPr>
              <w:t xml:space="preserve"> n</w:t>
            </w:r>
            <w:r>
              <w:rPr>
                <w:rStyle w:val="Code"/>
              </w:rPr>
              <w:t>=</w:t>
            </w:r>
            <w:r>
              <w:rPr>
                <w:rStyle w:val="Codevalue"/>
              </w:rPr>
              <w:t>"d"</w:t>
            </w:r>
            <w:r>
              <w:rPr>
                <w:rStyle w:val="Code"/>
              </w:rPr>
              <w:t>&gt;</w:t>
            </w:r>
            <w:r>
              <w:rPr>
                <w:rStyle w:val="Codetext"/>
              </w:rPr>
              <w:t xml:space="preserve">Smash the bottles and </w:t>
            </w:r>
            <w:r>
              <w:rPr>
                <w:rStyle w:val="Code"/>
              </w:rPr>
              <w:t xml:space="preserve">&lt;lb </w:t>
            </w:r>
            <w:r>
              <w:rPr>
                <w:rStyle w:val="Codeattribute"/>
              </w:rPr>
              <w:t>n</w:t>
            </w:r>
            <w:r>
              <w:rPr>
                <w:rStyle w:val="Code"/>
              </w:rPr>
              <w:t>=</w:t>
            </w:r>
            <w:r>
              <w:rPr>
                <w:rStyle w:val="Codevalue"/>
              </w:rPr>
              <w:t>"4"</w:t>
            </w:r>
            <w:r>
              <w:rPr>
                <w:rStyle w:val="Code"/>
              </w:rPr>
              <w:t>/&gt;</w:t>
            </w:r>
            <w:r>
              <w:rPr>
                <w:rStyle w:val="Codetext"/>
              </w:rPr>
              <w:t>burn the corks!</w:t>
            </w:r>
            <w:r>
              <w:rPr>
                <w:rStyle w:val="Code"/>
              </w:rPr>
              <w:t>&lt;/l&gt;</w:t>
            </w:r>
            <w:r>
              <w:rPr>
                <w:rStyle w:val="Codetext"/>
              </w:rPr>
              <w:br/>
            </w:r>
            <w:r>
              <w:rPr>
                <w:rStyle w:val="Code"/>
              </w:rPr>
              <w:t>&lt;/lg&gt;</w:t>
            </w:r>
          </w:p>
        </w:tc>
      </w:tr>
    </w:tbl>
    <w:p w14:paraId="4A564EE9" w14:textId="77777777"/>
    <w:p w14:paraId="6C1E0B58" w14:textId="77777777">
      <w:pPr>
        <w:pStyle w:val="Cmsor3"/>
      </w:pPr>
      <w:bookmarkStart w:id="466" w:name="_Ref227833893"/>
      <w:bookmarkStart w:id="467" w:name="_Toc242889507"/>
      <w:r>
        <w:t>Other kinds of space</w:t>
      </w:r>
      <w:bookmarkEnd w:id="462"/>
      <w:bookmarkEnd w:id="466"/>
      <w:bookmarkEnd w:id="467"/>
    </w:p>
    <w:p w14:paraId="57A632D7" w14:textId="30C491EF">
      <w:pPr>
        <w:rPr>
          <w:lang w:eastAsia="en-US" w:bidi="ar-SA"/>
        </w:rPr>
      </w:pPr>
      <w:r>
        <w:rPr>
          <w:lang w:eastAsia="en-US" w:bidi="ar-SA"/>
        </w:rPr>
        <w:t>Spaces left blank in the original document may be considered significant even when they do not serve to indicate semantic or metrical boundaries. This subsection describes the encoding of other kinds of significant space, and discusses the use of space for layout (§</w:t>
      </w:r>
      <w:r>
        <w:rPr>
          <w:lang w:eastAsia="en-US" w:bidi="ar-SA"/>
        </w:rPr>
        <w:fldChar w:fldCharType="begin"/>
      </w:r>
      <w:r>
        <w:rPr>
          <w:lang w:eastAsia="en-US" w:bidi="ar-SA"/>
        </w:rPr>
        <w:instrText xml:space="preserve"> REF _Ref227835279 \r \h </w:instrText>
      </w:r>
      <w:r>
        <w:rPr>
          <w:lang w:eastAsia="en-US" w:bidi="ar-SA"/>
        </w:rPr>
      </w:r>
      <w:r>
        <w:rPr>
          <w:lang w:eastAsia="en-US" w:bidi="ar-SA"/>
        </w:rPr>
        <w:fldChar w:fldCharType="separate"/>
      </w:r>
      <w:r>
        <w:rPr>
          <w:lang w:eastAsia="en-US" w:bidi="ar-SA"/>
        </w:rPr>
        <w:t>5.5.2.4</w:t>
      </w:r>
      <w:r>
        <w:rPr>
          <w:lang w:eastAsia="en-US" w:bidi="ar-SA"/>
        </w:rPr>
        <w:fldChar w:fldCharType="end"/>
      </w:r>
      <w:r>
        <w:rPr>
          <w:lang w:eastAsia="en-US" w:bidi="ar-SA"/>
        </w:rPr>
        <w:t>), which is not to be encoded as space.</w:t>
      </w:r>
    </w:p>
    <w:p w14:paraId="1DF95652" w14:textId="77777777">
      <w:pPr>
        <w:pStyle w:val="Cmsor4"/>
      </w:pPr>
      <w:bookmarkStart w:id="468" w:name="_ezodp8p1jvoq" w:colFirst="0" w:colLast="0"/>
      <w:bookmarkStart w:id="469" w:name="_Ref43987728"/>
      <w:bookmarkStart w:id="470" w:name="_Ref156807687"/>
      <w:bookmarkStart w:id="471" w:name="_Ref156807827"/>
      <w:bookmarkStart w:id="472" w:name="_Ref227847574"/>
      <w:bookmarkEnd w:id="458"/>
      <w:bookmarkEnd w:id="459"/>
      <w:bookmarkEnd w:id="463"/>
      <w:bookmarkEnd w:id="468"/>
      <w:r>
        <w:t xml:space="preserve">Space left blank </w:t>
      </w:r>
      <w:bookmarkEnd w:id="469"/>
      <w:r>
        <w:t xml:space="preserve">for </w:t>
      </w:r>
      <w:bookmarkEnd w:id="470"/>
      <w:bookmarkEnd w:id="471"/>
      <w:r>
        <w:t>missing content</w:t>
      </w:r>
      <w:bookmarkEnd w:id="472"/>
    </w:p>
    <w:p w14:paraId="01715711" w14:textId="0E841C77">
      <w:r>
        <w:t xml:space="preserve">This subsection is about areas that were deliberately left blank when the rest of the inscription was engraved, because the content to be written was not available to the engraver. This usually happens either because certain particulars, such as a name or a date, were to be added later, or because the engraver was unable to interpret a glyph in the archetype he was working from. Such spaces are called </w:t>
      </w:r>
      <w:r>
        <w:rPr>
          <w:rStyle w:val="Foreign"/>
        </w:rPr>
        <w:t>vacat</w:t>
      </w:r>
      <w:r>
        <w:t xml:space="preserve"> in the western scholarly tradition.</w:t>
      </w:r>
    </w:p>
    <w:p w14:paraId="7425E164" w14:textId="77777777">
      <w:pPr>
        <w:pStyle w:val="Lista"/>
      </w:pPr>
      <w:r>
        <w:t xml:space="preserve">to encode spaces left blank for missing content, use </w:t>
      </w:r>
      <w:r>
        <w:rPr>
          <w:rStyle w:val="Code"/>
        </w:rPr>
        <w:t>&lt;space/&gt;</w:t>
      </w:r>
      <w:r>
        <w:t xml:space="preserve">  with </w:t>
      </w:r>
      <w:r>
        <w:rPr>
          <w:rStyle w:val="Codeattribute"/>
        </w:rPr>
        <w:t>@type=</w:t>
      </w:r>
      <w:r>
        <w:rPr>
          <w:rStyle w:val="Codevalue"/>
        </w:rPr>
        <w:t>"vacat"</w:t>
      </w:r>
      <w:r>
        <w:t xml:space="preserve"> </w:t>
      </w:r>
    </w:p>
    <w:p w14:paraId="6C44BEB3" w14:textId="49345751">
      <w:pPr>
        <w:pStyle w:val="Lista2"/>
      </w:pPr>
      <w:r>
        <w:t>encoding the size of such spaces (§</w:t>
      </w:r>
      <w:r>
        <w:fldChar w:fldCharType="begin"/>
      </w:r>
      <w:r>
        <w:instrText xml:space="preserve"> REF _Ref183008428 \r \h </w:instrText>
      </w:r>
      <w:r>
        <w:fldChar w:fldCharType="separate"/>
      </w:r>
      <w:r>
        <w:t>5.5.2.4</w:t>
      </w:r>
      <w:r>
        <w:fldChar w:fldCharType="end"/>
      </w:r>
      <w:r>
        <w:t>) is recommended even if they are normal-sized</w:t>
      </w:r>
    </w:p>
    <w:p w14:paraId="2454CAB2" w14:textId="77777777">
      <w:pPr>
        <w:pStyle w:val="Lista2"/>
      </w:pPr>
      <w:r>
        <w:t xml:space="preserve">e.g. </w:t>
      </w:r>
      <w:r>
        <w:rPr>
          <w:rStyle w:val="Code"/>
        </w:rPr>
        <w:t xml:space="preserve">&lt;space </w:t>
      </w:r>
      <w:r>
        <w:rPr>
          <w:rStyle w:val="Codeattribute"/>
        </w:rPr>
        <w:t>type</w:t>
      </w:r>
      <w:r>
        <w:rPr>
          <w:rStyle w:val="Code"/>
        </w:rPr>
        <w:t>=</w:t>
      </w:r>
      <w:r>
        <w:rPr>
          <w:rStyle w:val="Codevalue"/>
        </w:rPr>
        <w:t>"vacat"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p>
    <w:tbl>
      <w:tblPr>
        <w:tblStyle w:val="FigureTable"/>
        <w:tblpPr w:leftFromText="180" w:rightFromText="180" w:vertAnchor="text" w:tblpXSpec="right" w:tblpY="1"/>
        <w:tblW w:w="0" w:type="auto"/>
        <w:tblLook w:val="04A0" w:firstRow="1" w:lastRow="0" w:firstColumn="1" w:lastColumn="0" w:noHBand="0" w:noVBand="1"/>
      </w:tblPr>
      <w:tblGrid>
        <w:gridCol w:w="4246"/>
      </w:tblGrid>
      <w:tr w14:paraId="297F4C48" w14:textId="77777777">
        <w:trPr>
          <w:cnfStyle w:val="100000000000" w:firstRow="1" w:lastRow="0" w:firstColumn="0" w:lastColumn="0" w:oddVBand="0" w:evenVBand="0" w:oddHBand="0" w:evenHBand="0" w:firstRowFirstColumn="0" w:firstRowLastColumn="0" w:lastRowFirstColumn="0" w:lastRowLastColumn="0"/>
        </w:trPr>
        <w:tc>
          <w:tcPr>
            <w:tcW w:w="4246" w:type="dxa"/>
          </w:tcPr>
          <w:p w14:paraId="63F0D745" w14:textId="41A4A6AC">
            <w:pPr>
              <w:pStyle w:val="Kpalrs"/>
            </w:pPr>
            <w:bookmarkStart w:id="473" w:name="_Ref226038753"/>
            <w:r>
              <w:t xml:space="preserve">Exhibit </w:t>
            </w:r>
            <w:fldSimple w:instr=" STYLEREF 2 \s ">
              <w:r>
                <w:rPr>
                  <w:noProof/>
                </w:rPr>
                <w:t>5.5</w:t>
              </w:r>
            </w:fldSimple>
            <w:r>
              <w:t>.</w:t>
            </w:r>
            <w:fldSimple w:instr=" SEQ Exhibit \* ALPHABETIC \s 2 ">
              <w:r>
                <w:rPr>
                  <w:noProof/>
                </w:rPr>
                <w:t>B</w:t>
              </w:r>
            </w:fldSimple>
            <w:bookmarkEnd w:id="473"/>
            <w:r>
              <w:t>. space marked for missing content</w:t>
            </w:r>
          </w:p>
        </w:tc>
      </w:tr>
      <w:tr w14:paraId="37497F7C" w14:textId="77777777">
        <w:tc>
          <w:tcPr>
            <w:tcW w:w="4246" w:type="dxa"/>
          </w:tcPr>
          <w:p w14:paraId="139E344F" w14:textId="77777777">
            <w:pPr>
              <w:pStyle w:val="Image"/>
            </w:pPr>
            <w:r>
              <w:drawing>
                <wp:inline distT="0" distB="0" distL="0" distR="0" wp14:anchorId="47D40A5A" wp14:editId="18225781">
                  <wp:extent cx="2322000" cy="968400"/>
                  <wp:effectExtent l="0" t="0" r="2540" b="3175"/>
                  <wp:docPr id="3933449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22000" cy="968400"/>
                          </a:xfrm>
                          <a:prstGeom prst="rect">
                            <a:avLst/>
                          </a:prstGeom>
                          <a:noFill/>
                          <a:ln>
                            <a:noFill/>
                          </a:ln>
                        </pic:spPr>
                      </pic:pic>
                    </a:graphicData>
                  </a:graphic>
                </wp:inline>
              </w:drawing>
            </w:r>
          </w:p>
        </w:tc>
      </w:tr>
      <w:tr w14:paraId="0AEFD3F4" w14:textId="77777777">
        <w:tc>
          <w:tcPr>
            <w:tcW w:w="4246" w:type="dxa"/>
          </w:tcPr>
          <w:p w14:paraId="19AC8826" w14:textId="77777777">
            <w:pPr>
              <w:pStyle w:val="CodeParagraph"/>
            </w:pPr>
            <w:r>
              <w:rPr>
                <w:rStyle w:val="Code"/>
              </w:rPr>
              <w:t xml:space="preserve">&lt;space </w:t>
            </w:r>
            <w:r>
              <w:rPr>
                <w:rStyle w:val="Codeattribute"/>
              </w:rPr>
              <w:t>type</w:t>
            </w:r>
            <w:r>
              <w:rPr>
                <w:rStyle w:val="Code"/>
              </w:rPr>
              <w:t>=</w:t>
            </w:r>
            <w:r>
              <w:rPr>
                <w:rStyle w:val="Codevalue"/>
              </w:rPr>
              <w:t>"vacat"</w:t>
            </w:r>
            <w:r>
              <w:rPr>
                <w:rStyle w:val="Code"/>
              </w:rPr>
              <w:t xml:space="preserve"> </w:t>
            </w:r>
            <w:r>
              <w:rPr>
                <w:rStyle w:val="Codeattribute"/>
              </w:rPr>
              <w:t>rend</w:t>
            </w:r>
            <w:r>
              <w:rPr>
                <w:rStyle w:val="Code"/>
              </w:rPr>
              <w:t>=</w:t>
            </w:r>
            <w:r>
              <w:rPr>
                <w:rStyle w:val="Codevalue"/>
              </w:rPr>
              <w:t xml:space="preserve">"mark" </w:t>
            </w:r>
            <w:r>
              <w:rPr>
                <w:rStyle w:val="Codeattribute"/>
              </w:rPr>
              <w:t>quantity</w:t>
            </w:r>
            <w:r>
              <w:rPr>
                <w:rStyle w:val="Code"/>
              </w:rPr>
              <w:t>=</w:t>
            </w:r>
            <w:r>
              <w:rPr>
                <w:rStyle w:val="Codevalue"/>
              </w:rPr>
              <w:t>"9"</w:t>
            </w:r>
            <w:r>
              <w:rPr>
                <w:rStyle w:val="Code"/>
              </w:rPr>
              <w:t xml:space="preserve"> </w:t>
            </w:r>
            <w:r>
              <w:rPr>
                <w:rStyle w:val="Codeattribute"/>
              </w:rPr>
              <w:t>unit</w:t>
            </w:r>
            <w:r>
              <w:rPr>
                <w:rStyle w:val="Code"/>
              </w:rPr>
              <w:t>=</w:t>
            </w:r>
            <w:r>
              <w:rPr>
                <w:rStyle w:val="Codevalue"/>
              </w:rPr>
              <w:t>"character"</w:t>
            </w:r>
            <w:r>
              <w:rPr>
                <w:rStyle w:val="Code"/>
              </w:rPr>
              <w:t>/&gt;</w:t>
            </w:r>
          </w:p>
        </w:tc>
      </w:tr>
    </w:tbl>
    <w:p w14:paraId="2DA2E952" w14:textId="25E0124A">
      <w:pPr>
        <w:pStyle w:val="Lista"/>
      </w:pPr>
      <w:r>
        <w:t xml:space="preserve">if unwritten space is filled with some kind of scribal mark such as dotting, horizontal lines, etc., as in </w:t>
      </w:r>
      <w:r>
        <w:fldChar w:fldCharType="begin"/>
      </w:r>
      <w:r>
        <w:instrText xml:space="preserve"> REF _Ref226038753 \h </w:instrText>
      </w:r>
      <w:r>
        <w:fldChar w:fldCharType="separate"/>
      </w:r>
      <w:r>
        <w:t xml:space="preserve">Exhibit </w:t>
      </w:r>
      <w:r>
        <w:rPr>
          <w:noProof/>
        </w:rPr>
        <w:t>5.5</w:t>
      </w:r>
      <w:r>
        <w:t>.</w:t>
      </w:r>
      <w:r>
        <w:rPr>
          <w:noProof/>
        </w:rPr>
        <w:t>B</w:t>
      </w:r>
      <w:r>
        <w:fldChar w:fldCharType="end"/>
      </w:r>
    </w:p>
    <w:p w14:paraId="5DDDB2AC" w14:textId="77777777">
      <w:pPr>
        <w:pStyle w:val="Lista2"/>
      </w:pPr>
      <w:r>
        <w:t xml:space="preserve">add the attribute </w:t>
      </w:r>
      <w:r>
        <w:rPr>
          <w:rStyle w:val="Codeattribute"/>
        </w:rPr>
        <w:t>@rend</w:t>
      </w:r>
      <w:r>
        <w:rPr>
          <w:rStyle w:val="Code"/>
        </w:rPr>
        <w:t>=</w:t>
      </w:r>
      <w:r>
        <w:rPr>
          <w:rStyle w:val="Codevalue"/>
        </w:rPr>
        <w:t>"mark"</w:t>
      </w:r>
      <w:r>
        <w:t xml:space="preserve"> to the space element encoded as above</w:t>
      </w:r>
    </w:p>
    <w:p w14:paraId="1D1C600E" w14:textId="77777777">
      <w:pPr>
        <w:pStyle w:val="Lista2"/>
      </w:pPr>
      <w:r>
        <w:t>the appearance of the mark may be described in your annotation</w:t>
      </w:r>
    </w:p>
    <w:p w14:paraId="649DBE51" w14:textId="1673F6BF">
      <w:pPr>
        <w:pStyle w:val="Lista2"/>
      </w:pPr>
      <w:r>
        <w:t>such scribal marks are to be distinguished from connectors (§</w:t>
      </w:r>
      <w:r>
        <w:fldChar w:fldCharType="begin"/>
      </w:r>
      <w:r>
        <w:instrText xml:space="preserve"> REF _Ref226038881 \r \h </w:instrText>
      </w:r>
      <w:r>
        <w:fldChar w:fldCharType="separate"/>
      </w:r>
      <w:r>
        <w:t>5.4.2.3</w:t>
      </w:r>
      <w:r>
        <w:fldChar w:fldCharType="end"/>
      </w:r>
      <w:r>
        <w:t>), which are used when there is no missing content</w:t>
      </w:r>
    </w:p>
    <w:p w14:paraId="129B2356" w14:textId="65BE80A8">
      <w:pPr>
        <w:pStyle w:val="Lista"/>
      </w:pPr>
      <w:r>
        <w:t>if space was left blank and later partially or completely filled with text, it may be difficult to determine whether, and exactly where, this has happened, as well as to distinguish this from deletion followed by rewriting, which is to be treated as per §</w:t>
      </w:r>
      <w:r>
        <w:fldChar w:fldCharType="begin"/>
      </w:r>
      <w:r>
        <w:instrText xml:space="preserve"> REF _Ref74727538 \r \h </w:instrText>
      </w:r>
      <w:r>
        <w:fldChar w:fldCharType="separate"/>
      </w:r>
      <w:r>
        <w:t>5.6.3</w:t>
      </w:r>
      <w:r>
        <w:fldChar w:fldCharType="end"/>
      </w:r>
    </w:p>
    <w:p w14:paraId="64A76206" w14:textId="77777777">
      <w:pPr>
        <w:pStyle w:val="Lista2"/>
      </w:pPr>
      <w:r>
        <w:t>if any uncertainty is involved, proceed as follows</w:t>
      </w:r>
    </w:p>
    <w:p w14:paraId="04685A79" w14:textId="77777777">
      <w:pPr>
        <w:pStyle w:val="Lista3"/>
      </w:pPr>
      <w:r>
        <w:t>edit the text normally, without any special encoding for vacat</w:t>
      </w:r>
    </w:p>
    <w:p w14:paraId="326382B7" w14:textId="77777777">
      <w:pPr>
        <w:pStyle w:val="Lista3"/>
      </w:pPr>
      <w:r>
        <w:t>if any space remains, encode it normally</w:t>
      </w:r>
    </w:p>
    <w:p w14:paraId="2E9A6725" w14:textId="77777777">
      <w:pPr>
        <w:pStyle w:val="Lista4"/>
      </w:pPr>
      <w:r>
        <w:t>as vacat if you are certain of this identification</w:t>
      </w:r>
    </w:p>
    <w:p w14:paraId="7473C6E9" w14:textId="29A928FD">
      <w:pPr>
        <w:pStyle w:val="Lista4"/>
      </w:pPr>
      <w:r>
        <w:lastRenderedPageBreak/>
        <w:t>as unclassified (§</w:t>
      </w:r>
      <w:r>
        <w:fldChar w:fldCharType="begin"/>
      </w:r>
      <w:r>
        <w:instrText xml:space="preserve"> REF _Ref63674539 \r \h </w:instrText>
      </w:r>
      <w:r>
        <w:fldChar w:fldCharType="separate"/>
      </w:r>
      <w:r>
        <w:t>5.5.2.3</w:t>
      </w:r>
      <w:r>
        <w:fldChar w:fldCharType="end"/>
      </w:r>
      <w:r>
        <w:t>) if you are not certain</w:t>
      </w:r>
    </w:p>
    <w:p w14:paraId="18A2DBFF" w14:textId="77777777">
      <w:pPr>
        <w:pStyle w:val="Lista3"/>
      </w:pPr>
      <w:r>
        <w:t>describe the situation in your annotation</w:t>
      </w:r>
    </w:p>
    <w:p w14:paraId="3ADE8926" w14:textId="77777777">
      <w:pPr>
        <w:pStyle w:val="Lista2"/>
      </w:pPr>
      <w:r>
        <w:t>if you are quite certain that space had been left blank and later filled, and are able to determine its beginning and endpoint precisely,</w:t>
      </w:r>
    </w:p>
    <w:p w14:paraId="06404389" w14:textId="77777777">
      <w:pPr>
        <w:pStyle w:val="Lista3"/>
      </w:pPr>
      <w:r>
        <w:t>encode vacat for the entire length of the space originally left blank</w:t>
      </w:r>
    </w:p>
    <w:p w14:paraId="6A6B923E" w14:textId="728C3CF5">
      <w:pPr>
        <w:pStyle w:val="Lista3"/>
      </w:pPr>
      <w:r>
        <w:t xml:space="preserve">immediately after the </w:t>
      </w:r>
      <w:r>
        <w:rPr>
          <w:rStyle w:val="Code"/>
        </w:rPr>
        <w:t>&lt;space/&gt;</w:t>
      </w:r>
      <w:r>
        <w:t xml:space="preserve"> element, encode a premodern inline addition </w:t>
      </w:r>
      <w:r>
        <w:rPr>
          <w:noProof/>
        </w:rPr>
        <w:t>(</w:t>
      </w:r>
      <w:r>
        <w:t>§</w:t>
      </w:r>
      <w:r>
        <w:fldChar w:fldCharType="begin"/>
      </w:r>
      <w:r>
        <w:instrText xml:space="preserve"> REF _Ref43978471 \r \h  \* MERGEFORMAT </w:instrText>
      </w:r>
      <w:r>
        <w:fldChar w:fldCharType="separate"/>
      </w:r>
      <w:r>
        <w:t>5.6.2</w:t>
      </w:r>
      <w:r>
        <w:fldChar w:fldCharType="end"/>
      </w:r>
      <w:r>
        <w:t>)</w:t>
      </w:r>
    </w:p>
    <w:p w14:paraId="3BD64C8F" w14:textId="19B55A01">
      <w:pPr>
        <w:pStyle w:val="Lista3"/>
      </w:pPr>
      <w:r>
        <w:t>if any blank space remains, include an unclassified space (§</w:t>
      </w:r>
      <w:r>
        <w:fldChar w:fldCharType="begin"/>
      </w:r>
      <w:r>
        <w:instrText xml:space="preserve"> REF _Ref63674539 \r \h </w:instrText>
      </w:r>
      <w:r>
        <w:fldChar w:fldCharType="separate"/>
      </w:r>
      <w:r>
        <w:t>5.5.2.3</w:t>
      </w:r>
      <w:r>
        <w:fldChar w:fldCharType="end"/>
      </w:r>
      <w:r>
        <w:t>) within the encoded premodern addition</w:t>
      </w:r>
    </w:p>
    <w:p w14:paraId="2743E357" w14:textId="77777777">
      <w:pPr>
        <w:pStyle w:val="Cmsor4"/>
      </w:pPr>
      <w:bookmarkStart w:id="474" w:name="_8rva2rlyx9df" w:colFirst="0" w:colLast="0"/>
      <w:bookmarkStart w:id="475" w:name="_3hdkntv18hp0" w:colFirst="0" w:colLast="0"/>
      <w:bookmarkStart w:id="476" w:name="_Ref43985107"/>
      <w:bookmarkEnd w:id="474"/>
      <w:bookmarkEnd w:id="475"/>
      <w:r>
        <w:t>Space imposed by physical necessity</w:t>
      </w:r>
      <w:bookmarkEnd w:id="476"/>
    </w:p>
    <w:p w14:paraId="72754ED4" w14:textId="77777777">
      <w:r>
        <w:t>This subsection is about spaces left blank because a physical feature of the support prevented the engraver from writing on a certain area. Encoding such interruptions as significant space is helpful because their presence may be the cause of non-standard sandhi and scribal errors.</w:t>
      </w:r>
    </w:p>
    <w:p w14:paraId="195E0D22" w14:textId="77777777">
      <w:pPr>
        <w:pStyle w:val="Lista"/>
      </w:pPr>
      <w:r>
        <w:t>the encoding of spaces imposed by physical necessity is optional, and may not be possible when working from a printed edition without access to the original or a surrogate</w:t>
      </w:r>
    </w:p>
    <w:p w14:paraId="482A9D67" w14:textId="77777777">
      <w:pPr>
        <w:pStyle w:val="Lista"/>
      </w:pPr>
      <w:r>
        <w:t>if you do choose to encode any such space in an edition, then do so consistently throughout that particular edition</w:t>
      </w:r>
    </w:p>
    <w:p w14:paraId="25E56045" w14:textId="77777777">
      <w:pPr>
        <w:pStyle w:val="Lista2"/>
      </w:pPr>
      <w:r>
        <w:t>consistency does not necessarily mean encoding each and every imposed space; instead, you may opt for one of the following strategies:</w:t>
      </w:r>
    </w:p>
    <w:p w14:paraId="6BAB0776" w14:textId="7CF86570">
      <w:pPr>
        <w:pStyle w:val="Lista3"/>
      </w:pPr>
      <w:r>
        <w:t>encoding all imposed spaces of a particular class (of those listed below), but not other classes</w:t>
      </w:r>
    </w:p>
    <w:p w14:paraId="1B4A3640" w14:textId="77777777">
      <w:pPr>
        <w:pStyle w:val="Lista3"/>
      </w:pPr>
      <w:r>
        <w:t>encoding imposed spaces when they disrupt the text by falling inside a word, but not encoding them when they fall between words</w:t>
      </w:r>
    </w:p>
    <w:p w14:paraId="090FFCCF" w14:textId="77777777">
      <w:pPr>
        <w:pStyle w:val="Lista2"/>
      </w:pPr>
      <w:r>
        <w:t>consistency should be complete within an edition, but cannot be realistically expected across our entire corpus or even across the body of texts encoded by a single person</w:t>
      </w:r>
    </w:p>
    <w:p w14:paraId="45625695" w14:textId="77777777">
      <w:pPr>
        <w:pStyle w:val="Lista3"/>
      </w:pPr>
      <w:r>
        <w:t>aiming for consistency across your subcorpus is a good idea, but feel free to adopt a different strategy for any text where this seems desirable</w:t>
      </w:r>
    </w:p>
    <w:p w14:paraId="68A0739C" w14:textId="77777777">
      <w:pPr>
        <w:pStyle w:val="Lista"/>
      </w:pPr>
      <w:r>
        <w:t xml:space="preserve">when encoding spaces imposed by physical necessity, distinguish these from other spaces by adding the attribute </w:t>
      </w:r>
      <w:r>
        <w:rPr>
          <w:rStyle w:val="Codeattribute"/>
        </w:rPr>
        <w:t>@type</w:t>
      </w:r>
      <w:r>
        <w:t xml:space="preserve"> to </w:t>
      </w:r>
      <w:r>
        <w:rPr>
          <w:rStyle w:val="Code"/>
        </w:rPr>
        <w:t>&lt;space/&gt;</w:t>
      </w:r>
      <w:r>
        <w:t>, with a value depending on the nature of the interruption as follows</w:t>
      </w:r>
    </w:p>
    <w:p w14:paraId="6E800D92" w14:textId="77777777">
      <w:pPr>
        <w:pStyle w:val="Lista2"/>
      </w:pPr>
      <w:r>
        <w:rPr>
          <w:rStyle w:val="Codevalue"/>
        </w:rPr>
        <w:t>"binding-hole"</w:t>
      </w:r>
      <w:r>
        <w:t xml:space="preserve"> for the binding hole in a copper plate or manuscript page</w:t>
      </w:r>
    </w:p>
    <w:p w14:paraId="41959B71" w14:textId="77777777">
      <w:pPr>
        <w:pStyle w:val="Lista3"/>
      </w:pPr>
      <w:r>
        <w:t>see also below for additional instructions concerning the encoding of such holes</w:t>
      </w:r>
    </w:p>
    <w:p w14:paraId="23790C34" w14:textId="77777777">
      <w:pPr>
        <w:pStyle w:val="Lista2"/>
      </w:pPr>
      <w:r>
        <w:rPr>
          <w:rStyle w:val="Codevalue"/>
        </w:rPr>
        <w:t>"descender"</w:t>
      </w:r>
      <w:r>
        <w:t xml:space="preserve"> for part of a glyph encroaching from the previous line</w:t>
      </w:r>
    </w:p>
    <w:p w14:paraId="75D5EBAC" w14:textId="77777777">
      <w:pPr>
        <w:pStyle w:val="Lista2"/>
      </w:pPr>
      <w:r>
        <w:rPr>
          <w:rStyle w:val="Codevalue"/>
        </w:rPr>
        <w:t>"ascender"</w:t>
      </w:r>
      <w:r>
        <w:t xml:space="preserve"> for part of a glyph encroaching from the following line</w:t>
      </w:r>
    </w:p>
    <w:tbl>
      <w:tblPr>
        <w:tblStyle w:val="FigureTable"/>
        <w:tblpPr w:leftFromText="180" w:rightFromText="180" w:vertAnchor="text" w:tblpXSpec="right" w:tblpY="1"/>
        <w:tblW w:w="3402" w:type="dxa"/>
        <w:tblLook w:val="04A0" w:firstRow="1" w:lastRow="0" w:firstColumn="1" w:lastColumn="0" w:noHBand="0" w:noVBand="1"/>
      </w:tblPr>
      <w:tblGrid>
        <w:gridCol w:w="3402"/>
      </w:tblGrid>
      <w:tr w14:paraId="197A5A6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A14C29A" w14:textId="37F40BE9">
            <w:pPr>
              <w:pStyle w:val="Kpalrs"/>
            </w:pPr>
            <w:bookmarkStart w:id="477" w:name="_Ref226041197"/>
            <w:r>
              <w:t xml:space="preserve">Exhibit </w:t>
            </w:r>
            <w:fldSimple w:instr=" STYLEREF 2 \s ">
              <w:r>
                <w:rPr>
                  <w:noProof/>
                </w:rPr>
                <w:t>5.5</w:t>
              </w:r>
            </w:fldSimple>
            <w:r>
              <w:t>.</w:t>
            </w:r>
            <w:fldSimple w:instr=" SEQ Exhibit \* ALPHABETIC \s 2 ">
              <w:r>
                <w:rPr>
                  <w:noProof/>
                </w:rPr>
                <w:t>C</w:t>
              </w:r>
            </w:fldSimple>
            <w:bookmarkEnd w:id="477"/>
            <w:r>
              <w:t>. space skipped due to feature</w:t>
            </w:r>
          </w:p>
        </w:tc>
      </w:tr>
      <w:tr w14:paraId="764A6442" w14:textId="77777777">
        <w:tc>
          <w:tcPr>
            <w:tcW w:w="0" w:type="auto"/>
          </w:tcPr>
          <w:p w14:paraId="05E9D2D8" w14:textId="77777777">
            <w:pPr>
              <w:pStyle w:val="Image"/>
            </w:pPr>
            <w:r>
              <w:drawing>
                <wp:inline distT="0" distB="0" distL="0" distR="0" wp14:anchorId="4C05BDB4" wp14:editId="134B891F">
                  <wp:extent cx="2081530" cy="1078230"/>
                  <wp:effectExtent l="0" t="0" r="0" b="7620"/>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81530" cy="1078230"/>
                          </a:xfrm>
                          <a:prstGeom prst="rect">
                            <a:avLst/>
                          </a:prstGeom>
                          <a:noFill/>
                          <a:ln>
                            <a:noFill/>
                          </a:ln>
                        </pic:spPr>
                      </pic:pic>
                    </a:graphicData>
                  </a:graphic>
                </wp:inline>
              </w:drawing>
            </w:r>
          </w:p>
        </w:tc>
      </w:tr>
      <w:tr w14:paraId="402E51D2" w14:textId="77777777">
        <w:tc>
          <w:tcPr>
            <w:tcW w:w="0" w:type="auto"/>
          </w:tcPr>
          <w:p w14:paraId="1EF5363C" w14:textId="77777777">
            <w:pPr>
              <w:pStyle w:val="CodeParagraph"/>
            </w:pPr>
            <w:r>
              <w:rPr>
                <w:rStyle w:val="Code"/>
              </w:rPr>
              <w:t xml:space="preserve">&lt;space </w:t>
            </w:r>
            <w:r>
              <w:rPr>
                <w:rStyle w:val="Codeattribute"/>
              </w:rPr>
              <w:t>type</w:t>
            </w:r>
            <w:r>
              <w:rPr>
                <w:rStyle w:val="Code"/>
              </w:rPr>
              <w:t>=</w:t>
            </w:r>
            <w:r>
              <w:rPr>
                <w:rStyle w:val="Codevalue"/>
              </w:rPr>
              <w:t>"feature"</w:t>
            </w:r>
            <w:r>
              <w:rPr>
                <w:rStyle w:val="Code"/>
              </w:rPr>
              <w:t>/&gt;</w:t>
            </w:r>
          </w:p>
        </w:tc>
      </w:tr>
    </w:tbl>
    <w:p w14:paraId="73EA3801" w14:textId="780483EA">
      <w:pPr>
        <w:pStyle w:val="Lista2"/>
      </w:pPr>
      <w:r>
        <w:rPr>
          <w:rStyle w:val="Codevalue"/>
        </w:rPr>
        <w:t>"feature"</w:t>
      </w:r>
      <w:r>
        <w:t xml:space="preserve"> for a deliberately created feature on the surface (such as engraved artwork, high relief, or a seal attached directly to a copper plate, excluding binding holes, ascenders and descenders covered above), as in </w:t>
      </w:r>
      <w:r>
        <w:fldChar w:fldCharType="begin"/>
      </w:r>
      <w:r>
        <w:instrText xml:space="preserve"> REF _Ref226041197 \h </w:instrText>
      </w:r>
      <w:r>
        <w:fldChar w:fldCharType="separate"/>
      </w:r>
      <w:r>
        <w:t xml:space="preserve">Exhibit </w:t>
      </w:r>
      <w:r>
        <w:rPr>
          <w:noProof/>
        </w:rPr>
        <w:t>5.5</w:t>
      </w:r>
      <w:r>
        <w:t>.</w:t>
      </w:r>
      <w:r>
        <w:rPr>
          <w:noProof/>
        </w:rPr>
        <w:t>C</w:t>
      </w:r>
      <w:r>
        <w:fldChar w:fldCharType="end"/>
      </w:r>
    </w:p>
    <w:p w14:paraId="2ABF1BF3" w14:textId="77777777">
      <w:pPr>
        <w:pStyle w:val="Lista2"/>
      </w:pPr>
      <w:r>
        <w:rPr>
          <w:rStyle w:val="Codevalue"/>
        </w:rPr>
        <w:t>"defect"</w:t>
      </w:r>
      <w:r>
        <w:t xml:space="preserve"> for a blemish of the surface that was not deliberately created (such as a natural crack or pit, or a fault in the creation of the writing surface)</w:t>
      </w:r>
    </w:p>
    <w:p w14:paraId="335134E1" w14:textId="77777777">
      <w:pPr>
        <w:pStyle w:val="Lista"/>
      </w:pPr>
      <w:r>
        <w:t xml:space="preserve">imposed spaces shall always be encoded without further attributes, i.e. never use </w:t>
      </w:r>
      <w:r>
        <w:rPr>
          <w:rStyle w:val="Codeattribute"/>
        </w:rPr>
        <w:t>@quantity</w:t>
      </w:r>
      <w:r>
        <w:t xml:space="preserve"> and </w:t>
      </w:r>
      <w:r>
        <w:rPr>
          <w:rStyle w:val="Codeattribute"/>
        </w:rPr>
        <w:t>@unit</w:t>
      </w:r>
      <w:r>
        <w:t xml:space="preserve"> to encode their size, because the size of such spaces is determined by factors extraneous to the text</w:t>
      </w:r>
    </w:p>
    <w:p w14:paraId="4D66592E" w14:textId="77777777">
      <w:pPr>
        <w:pStyle w:val="Lista2"/>
      </w:pPr>
      <w:r>
        <w:t>the location and size of large surface irregularities, whether or not you have encoded them as space elements, may be described in your layout description (briefly), your commentary (when you wish to discuss them at some length), or an apparatus note (to discuss a specific imposed space)</w:t>
      </w:r>
    </w:p>
    <w:p w14:paraId="6A781173" w14:textId="6C72646E">
      <w:pPr>
        <w:pStyle w:val="Lista"/>
      </w:pPr>
      <w:r>
        <w:t>unlike other encoded spaces, imposed space will frequently occur within a word, in which case you should not surround the element with editorial spaces (§</w:t>
      </w:r>
      <w:r>
        <w:fldChar w:fldCharType="begin"/>
      </w:r>
      <w:r>
        <w:instrText xml:space="preserve"> REF _Ref183011230 \r \h </w:instrText>
      </w:r>
      <w:r>
        <w:fldChar w:fldCharType="separate"/>
      </w:r>
      <w:r>
        <w:t>5.5.4</w:t>
      </w:r>
      <w:r>
        <w:fldChar w:fldCharType="end"/>
      </w:r>
      <w:r>
        <w:t>)</w:t>
      </w:r>
    </w:p>
    <w:p w14:paraId="1B425D85" w14:textId="77777777">
      <w:pPr>
        <w:pStyle w:val="Lista"/>
        <w:rPr>
          <w:rFonts w:ascii="Arial" w:hAnsi="Arial" w:cs="Arial"/>
        </w:rPr>
      </w:pPr>
      <w:r>
        <w:t>when a single surface irregularity affects more than one line in this way, separately encode an imposed space for every affected line</w:t>
      </w:r>
    </w:p>
    <w:p w14:paraId="5C0A6AA4" w14:textId="77777777">
      <w:pPr>
        <w:pStyle w:val="Lista2"/>
        <w:rPr>
          <w:rFonts w:ascii="Arial" w:hAnsi="Arial" w:cs="Arial"/>
        </w:rPr>
      </w:pPr>
      <w:r>
        <w:lastRenderedPageBreak/>
        <w:t>we use no explicit encoding for the fact that these interruptions are due to a single irregularity (but this may be mentioned in your annotation)</w:t>
      </w:r>
    </w:p>
    <w:p w14:paraId="16A9FFAE" w14:textId="77777777">
      <w:pPr>
        <w:pStyle w:val="Lista"/>
      </w:pPr>
      <w:bookmarkStart w:id="478" w:name="_mo8ye4cvqr4s" w:colFirst="0" w:colLast="0"/>
      <w:bookmarkEnd w:id="478"/>
      <w:r>
        <w:t>when encoding binding holes, keep in mind that the occasion for encoding is not the presence of a binding hole, but the fact that such a hole has obliged the engraver to skip horizontally, therefore</w:t>
      </w:r>
    </w:p>
    <w:p w14:paraId="12C2717B" w14:textId="7F993269">
      <w:pPr>
        <w:pStyle w:val="Lista2"/>
      </w:pPr>
      <w:r>
        <w:t xml:space="preserve">do not encode a space for a hole that is fully outside a margin line </w:t>
      </w:r>
      <w:r>
        <w:rPr>
          <w:noProof/>
        </w:rPr>
        <w:t>(</w:t>
      </w:r>
      <w:r>
        <w:t xml:space="preserve">in the area surrounding the text field), as in </w:t>
      </w:r>
      <w:r>
        <w:fldChar w:fldCharType="begin"/>
      </w:r>
      <w:r>
        <w:instrText xml:space="preserve"> REF _Ref44063881 \h  \* MERGEFORMAT </w:instrText>
      </w:r>
      <w:r>
        <w:fldChar w:fldCharType="separate"/>
      </w:r>
      <w:r>
        <w:t xml:space="preserve">Exhibit </w:t>
      </w:r>
      <w:r>
        <w:rPr>
          <w:noProof/>
        </w:rPr>
        <w:t>5.5.D</w:t>
      </w:r>
      <w:r>
        <w:fldChar w:fldCharType="end"/>
      </w:r>
      <w:r>
        <w:t>/1</w:t>
      </w:r>
    </w:p>
    <w:p w14:paraId="48884929" w14:textId="048DE006">
      <w:pPr>
        <w:pStyle w:val="Lista2"/>
      </w:pPr>
      <w:r>
        <w:t xml:space="preserve">do not encode a space for a hole that lies within the text field, but between lines, as in </w:t>
      </w:r>
      <w:r>
        <w:fldChar w:fldCharType="begin"/>
      </w:r>
      <w:r>
        <w:instrText xml:space="preserve"> REF _Ref44063881 \h  \* MERGEFORMAT </w:instrText>
      </w:r>
      <w:r>
        <w:fldChar w:fldCharType="separate"/>
      </w:r>
      <w:r>
        <w:t xml:space="preserve">Exhibit </w:t>
      </w:r>
      <w:r>
        <w:rPr>
          <w:noProof/>
        </w:rPr>
        <w:t>5.5.D</w:t>
      </w:r>
      <w:r>
        <w:fldChar w:fldCharType="end"/>
      </w:r>
      <w:r>
        <w:t>/2</w:t>
      </w:r>
    </w:p>
    <w:p w14:paraId="2F6B7CB1" w14:textId="77777777">
      <w:pPr>
        <w:pStyle w:val="Lista3"/>
      </w:pPr>
      <w:r>
        <w:t>this applies even if lines above/below the hole bend, or if glyphs in those lines are distorted in order to accommodate the hole</w:t>
      </w:r>
    </w:p>
    <w:p w14:paraId="499B6120" w14:textId="3E167A30">
      <w:pPr>
        <w:pStyle w:val="Lista2"/>
      </w:pPr>
      <w:r>
        <w:t xml:space="preserve">optionally encode a space for a hole that is on or within the margin line, causing one or more text lines to begin with an indent, as in </w:t>
      </w:r>
      <w:r>
        <w:fldChar w:fldCharType="begin"/>
      </w:r>
      <w:r>
        <w:instrText xml:space="preserve"> REF _Ref44063881 \h  \* MERGEFORMAT </w:instrText>
      </w:r>
      <w:r>
        <w:fldChar w:fldCharType="separate"/>
      </w:r>
      <w:r>
        <w:t xml:space="preserve">Exhibit </w:t>
      </w:r>
      <w:r>
        <w:rPr>
          <w:noProof/>
        </w:rPr>
        <w:t>5.5.D</w:t>
      </w:r>
      <w:r>
        <w:fldChar w:fldCharType="end"/>
      </w:r>
      <w:r>
        <w:t>/3</w:t>
      </w:r>
    </w:p>
    <w:p w14:paraId="68E9E5C2" w14:textId="012ABED8">
      <w:pPr>
        <w:pStyle w:val="Lista2"/>
      </w:pPr>
      <w:r>
        <w:t xml:space="preserve">preferably encode a space for a hole that is fully within the text field, interrupting one or more text lines, as in </w:t>
      </w:r>
      <w:r>
        <w:fldChar w:fldCharType="begin"/>
      </w:r>
      <w:r>
        <w:instrText xml:space="preserve"> REF _Ref44063881 \h  \* MERGEFORMAT </w:instrText>
      </w:r>
      <w:r>
        <w:fldChar w:fldCharType="separate"/>
      </w:r>
      <w:r>
        <w:t xml:space="preserve">Exhibit </w:t>
      </w:r>
      <w:r>
        <w:rPr>
          <w:noProof/>
        </w:rPr>
        <w:t>5.5.D</w:t>
      </w:r>
      <w:r>
        <w:fldChar w:fldCharType="end"/>
      </w:r>
      <w:r>
        <w:t>/4</w:t>
      </w:r>
    </w:p>
    <w:p w14:paraId="70203B36" w14:textId="299E3B20">
      <w:pPr>
        <w:pStyle w:val="Lista3"/>
      </w:pPr>
      <w:r>
        <w:t xml:space="preserve">this applies to all lines that skip some space around the hole, even if the hole itself does not penetrate into the area where a line’s text could have been inscribed, as in </w:t>
      </w:r>
      <w:r>
        <w:fldChar w:fldCharType="begin"/>
      </w:r>
      <w:r>
        <w:instrText xml:space="preserve"> REF _Ref44063881 \h  \* MERGEFORMAT </w:instrText>
      </w:r>
      <w:r>
        <w:fldChar w:fldCharType="separate"/>
      </w:r>
      <w:r>
        <w:t xml:space="preserve">Exhibit </w:t>
      </w:r>
      <w:r>
        <w:rPr>
          <w:noProof/>
        </w:rPr>
        <w:t>5.5.D</w:t>
      </w:r>
      <w:r>
        <w:fldChar w:fldCharType="end"/>
      </w:r>
      <w:r>
        <w:t>/5</w:t>
      </w:r>
    </w:p>
    <w:tbl>
      <w:tblPr>
        <w:tblStyle w:val="CodeSampleTable"/>
        <w:tblW w:w="5000" w:type="pct"/>
        <w:tblLook w:val="04A0" w:firstRow="1" w:lastRow="0" w:firstColumn="1" w:lastColumn="0" w:noHBand="0" w:noVBand="1"/>
      </w:tblPr>
      <w:tblGrid>
        <w:gridCol w:w="1925"/>
        <w:gridCol w:w="1925"/>
        <w:gridCol w:w="1926"/>
        <w:gridCol w:w="1926"/>
        <w:gridCol w:w="1926"/>
      </w:tblGrid>
      <w:tr w14:paraId="376BF6F5"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5"/>
            <w:tcBorders>
              <w:bottom w:val="single" w:sz="4" w:space="0" w:color="auto"/>
            </w:tcBorders>
          </w:tcPr>
          <w:p w14:paraId="68DE68EB" w14:textId="5D51EF3D">
            <w:pPr>
              <w:pStyle w:val="Kpalrs"/>
              <w:keepLines/>
            </w:pPr>
            <w:bookmarkStart w:id="479" w:name="_Ref44063881"/>
            <w:bookmarkStart w:id="480" w:name="_Ref44063878"/>
            <w:r>
              <w:t xml:space="preserve">Exhibit </w:t>
            </w:r>
            <w:fldSimple w:instr=" STYLEREF 2 \s ">
              <w:r>
                <w:rPr>
                  <w:noProof/>
                </w:rPr>
                <w:t>5.5</w:t>
              </w:r>
            </w:fldSimple>
            <w:r>
              <w:t>.</w:t>
            </w:r>
            <w:fldSimple w:instr=" SEQ Exhibit \* ALPHABETIC \s 2 ">
              <w:r>
                <w:rPr>
                  <w:noProof/>
                </w:rPr>
                <w:t>D</w:t>
              </w:r>
            </w:fldSimple>
            <w:bookmarkEnd w:id="479"/>
            <w:r>
              <w:t>: positions of a binding hole relative to text</w:t>
            </w:r>
            <w:bookmarkEnd w:id="480"/>
          </w:p>
        </w:tc>
      </w:tr>
      <w:tr w14:paraId="76131BD6" w14:textId="77777777">
        <w:tc>
          <w:tcPr>
            <w:tcW w:w="1000" w:type="pct"/>
            <w:tcBorders>
              <w:right w:val="single" w:sz="4" w:space="0" w:color="auto"/>
            </w:tcBorders>
            <w:vAlign w:val="center"/>
          </w:tcPr>
          <w:p w14:paraId="43EDEAF2" w14:textId="77777777">
            <w:pPr>
              <w:pStyle w:val="Tabletext"/>
              <w:keepNext/>
              <w:jc w:val="center"/>
            </w:pPr>
            <w:r>
              <w:t>1</w:t>
            </w:r>
          </w:p>
        </w:tc>
        <w:tc>
          <w:tcPr>
            <w:tcW w:w="1000" w:type="pct"/>
            <w:tcBorders>
              <w:left w:val="single" w:sz="4" w:space="0" w:color="auto"/>
              <w:right w:val="single" w:sz="4" w:space="0" w:color="auto"/>
            </w:tcBorders>
            <w:vAlign w:val="center"/>
          </w:tcPr>
          <w:p w14:paraId="195B2CDE" w14:textId="77777777">
            <w:pPr>
              <w:pStyle w:val="Tabletext"/>
              <w:keepNext/>
              <w:jc w:val="center"/>
            </w:pPr>
            <w:r>
              <w:t>2</w:t>
            </w:r>
          </w:p>
        </w:tc>
        <w:tc>
          <w:tcPr>
            <w:tcW w:w="1000" w:type="pct"/>
            <w:tcBorders>
              <w:left w:val="single" w:sz="4" w:space="0" w:color="auto"/>
              <w:right w:val="single" w:sz="4" w:space="0" w:color="auto"/>
            </w:tcBorders>
            <w:vAlign w:val="center"/>
          </w:tcPr>
          <w:p w14:paraId="59D50A27" w14:textId="77777777">
            <w:pPr>
              <w:pStyle w:val="Tabletext"/>
              <w:keepNext/>
              <w:jc w:val="center"/>
            </w:pPr>
            <w:r>
              <w:t>3</w:t>
            </w:r>
          </w:p>
        </w:tc>
        <w:tc>
          <w:tcPr>
            <w:tcW w:w="1000" w:type="pct"/>
            <w:tcBorders>
              <w:left w:val="single" w:sz="4" w:space="0" w:color="auto"/>
              <w:right w:val="single" w:sz="4" w:space="0" w:color="auto"/>
            </w:tcBorders>
            <w:vAlign w:val="center"/>
          </w:tcPr>
          <w:p w14:paraId="5CF35B46" w14:textId="77777777">
            <w:pPr>
              <w:pStyle w:val="Tabletext"/>
              <w:keepNext/>
              <w:jc w:val="center"/>
            </w:pPr>
            <w:r>
              <w:t>4</w:t>
            </w:r>
          </w:p>
        </w:tc>
        <w:tc>
          <w:tcPr>
            <w:tcW w:w="1000" w:type="pct"/>
            <w:tcBorders>
              <w:left w:val="single" w:sz="4" w:space="0" w:color="auto"/>
            </w:tcBorders>
          </w:tcPr>
          <w:p w14:paraId="7F0175DA" w14:textId="77777777">
            <w:pPr>
              <w:pStyle w:val="Tabletext"/>
              <w:keepNext/>
              <w:jc w:val="center"/>
            </w:pPr>
            <w:r>
              <w:t>5</w:t>
            </w:r>
          </w:p>
        </w:tc>
      </w:tr>
      <w:tr w14:paraId="7746D041" w14:textId="77777777">
        <w:tc>
          <w:tcPr>
            <w:tcW w:w="1000" w:type="pct"/>
            <w:tcBorders>
              <w:right w:val="single" w:sz="4" w:space="0" w:color="auto"/>
            </w:tcBorders>
            <w:vAlign w:val="center"/>
          </w:tcPr>
          <w:p w14:paraId="561FD375" w14:textId="77777777">
            <w:pPr>
              <w:pStyle w:val="Image"/>
              <w:keepNext w:val="0"/>
            </w:pPr>
            <w:r>
              <w:drawing>
                <wp:inline distT="0" distB="0" distL="0" distR="0" wp14:anchorId="613806BC" wp14:editId="3D674898">
                  <wp:extent cx="1170000" cy="990000"/>
                  <wp:effectExtent l="0" t="0" r="0" b="635"/>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right w:val="single" w:sz="4" w:space="0" w:color="auto"/>
            </w:tcBorders>
            <w:vAlign w:val="center"/>
          </w:tcPr>
          <w:p w14:paraId="1E000CF1" w14:textId="77777777">
            <w:pPr>
              <w:pStyle w:val="Image"/>
              <w:keepNext w:val="0"/>
            </w:pPr>
            <w:r>
              <w:drawing>
                <wp:inline distT="0" distB="0" distL="0" distR="0" wp14:anchorId="3E58B115" wp14:editId="6B8E3F81">
                  <wp:extent cx="1170000" cy="990000"/>
                  <wp:effectExtent l="0" t="0" r="0" b="635"/>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right w:val="single" w:sz="4" w:space="0" w:color="auto"/>
            </w:tcBorders>
            <w:vAlign w:val="center"/>
          </w:tcPr>
          <w:p w14:paraId="02FD4070" w14:textId="77777777">
            <w:pPr>
              <w:pStyle w:val="Image"/>
              <w:keepNext w:val="0"/>
            </w:pPr>
            <w:r>
              <w:drawing>
                <wp:inline distT="0" distB="0" distL="0" distR="0" wp14:anchorId="4B271FA3" wp14:editId="36F5A015">
                  <wp:extent cx="1170000" cy="990000"/>
                  <wp:effectExtent l="0" t="0" r="0" b="635"/>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right w:val="single" w:sz="4" w:space="0" w:color="auto"/>
            </w:tcBorders>
            <w:vAlign w:val="center"/>
          </w:tcPr>
          <w:p w14:paraId="489DB5B8" w14:textId="77777777">
            <w:pPr>
              <w:pStyle w:val="Image"/>
              <w:keepNext w:val="0"/>
            </w:pPr>
            <w:r>
              <w:drawing>
                <wp:inline distT="0" distB="0" distL="0" distR="0" wp14:anchorId="080B26BD" wp14:editId="2ED9E3B9">
                  <wp:extent cx="1170000" cy="990000"/>
                  <wp:effectExtent l="0" t="0" r="0" b="635"/>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tcBorders>
          </w:tcPr>
          <w:p w14:paraId="6551340D" w14:textId="77777777">
            <w:pPr>
              <w:pStyle w:val="Image"/>
              <w:keepNext w:val="0"/>
            </w:pPr>
            <w:r>
              <w:drawing>
                <wp:inline distT="0" distB="0" distL="0" distR="0" wp14:anchorId="7801F97C" wp14:editId="7ECCFC9C">
                  <wp:extent cx="1170000" cy="990000"/>
                  <wp:effectExtent l="0" t="0" r="0" b="635"/>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r>
    </w:tbl>
    <w:p w14:paraId="0A73FC09" w14:textId="77777777"/>
    <w:p w14:paraId="72B03F47" w14:textId="77777777">
      <w:pPr>
        <w:pStyle w:val="Cmsor4"/>
      </w:pPr>
      <w:bookmarkStart w:id="481" w:name="_4ie6uwnthfaw" w:colFirst="0" w:colLast="0"/>
      <w:bookmarkStart w:id="482" w:name="_9qk9995s9cyz" w:colFirst="0" w:colLast="0"/>
      <w:bookmarkStart w:id="483" w:name="_Ref63674539"/>
      <w:bookmarkStart w:id="484" w:name="_Ref43985257"/>
      <w:bookmarkEnd w:id="481"/>
      <w:bookmarkEnd w:id="482"/>
      <w:r>
        <w:t>Unclassified space</w:t>
      </w:r>
      <w:bookmarkEnd w:id="483"/>
    </w:p>
    <w:p w14:paraId="6E7875C2" w14:textId="77777777">
      <w:r>
        <w:t>This subsection concerns spaces which may be deemed significant even though they cannot be assigned to any of the types dealt with above.</w:t>
      </w:r>
    </w:p>
    <w:p w14:paraId="1E4A9421" w14:textId="77777777">
      <w:pPr>
        <w:pStyle w:val="Lista"/>
      </w:pPr>
      <w:r>
        <w:t>spaces may, for instance, be unclassified because</w:t>
      </w:r>
    </w:p>
    <w:p w14:paraId="2E218B2F" w14:textId="77777777">
      <w:pPr>
        <w:pStyle w:val="Lista2"/>
      </w:pPr>
      <w:r>
        <w:t>working without access to a good surrogate, you cannot decide if any of the classes apply, or</w:t>
      </w:r>
    </w:p>
    <w:p w14:paraId="57E551B4" w14:textId="77777777">
      <w:pPr>
        <w:pStyle w:val="Lista2"/>
      </w:pPr>
      <w:r>
        <w:t>none of these types correspond closely enough to your hypothesis of why the space is present</w:t>
      </w:r>
    </w:p>
    <w:p w14:paraId="137C591C" w14:textId="77777777">
      <w:pPr>
        <w:pStyle w:val="Lista"/>
      </w:pPr>
      <w:r>
        <w:t xml:space="preserve">unclassified spaces shall be encoded using </w:t>
      </w:r>
      <w:r>
        <w:rPr>
          <w:rStyle w:val="Code"/>
        </w:rPr>
        <w:t>&lt;space/&gt;</w:t>
      </w:r>
      <w:r>
        <w:t xml:space="preserve"> with </w:t>
      </w:r>
      <w:r>
        <w:rPr>
          <w:rStyle w:val="Codeattribute"/>
        </w:rPr>
        <w:t>@type</w:t>
      </w:r>
      <w:r>
        <w:rPr>
          <w:rStyle w:val="Code"/>
        </w:rPr>
        <w:t>=</w:t>
      </w:r>
      <w:r>
        <w:rPr>
          <w:rStyle w:val="Codevalue"/>
        </w:rPr>
        <w:t>"unclassified"</w:t>
      </w:r>
    </w:p>
    <w:p w14:paraId="24733E2C" w14:textId="77777777">
      <w:pPr>
        <w:pStyle w:val="Lista2"/>
      </w:pPr>
      <w:r>
        <w:t>add no further attributes for normal-sized spaces</w:t>
      </w:r>
    </w:p>
    <w:p w14:paraId="7424DDE5" w14:textId="111BFE90">
      <w:pPr>
        <w:pStyle w:val="Lista2"/>
      </w:pPr>
      <w:r>
        <w:t>for larger spaces, encode size as per §</w:t>
      </w:r>
      <w:r>
        <w:fldChar w:fldCharType="begin"/>
      </w:r>
      <w:r>
        <w:instrText xml:space="preserve"> REF _Ref183008428 \r \h </w:instrText>
      </w:r>
      <w:r>
        <w:fldChar w:fldCharType="separate"/>
      </w:r>
      <w:r>
        <w:t>5.5.2.4</w:t>
      </w:r>
      <w:r>
        <w:fldChar w:fldCharType="end"/>
      </w:r>
    </w:p>
    <w:p w14:paraId="45619812" w14:textId="77777777">
      <w:pPr>
        <w:pStyle w:val="Cmsor4"/>
      </w:pPr>
      <w:bookmarkStart w:id="485" w:name="_Ref227835279"/>
      <w:bookmarkStart w:id="486" w:name="_Ref183008428"/>
      <w:bookmarkStart w:id="487" w:name="_Ref182216826"/>
      <w:r>
        <w:t>Layout spacing</w:t>
      </w:r>
      <w:bookmarkEnd w:id="485"/>
    </w:p>
    <w:p w14:paraId="4C13CA5F" w14:textId="77777777">
      <w:r>
        <w:t>Space left blank in a document for the sake of visual layout should not, as a rule, be marked up as space. Such features should be mentioned in the annotation, and may be represented through encoding as follows:</w:t>
      </w:r>
    </w:p>
    <w:p w14:paraId="2E478491" w14:textId="6FF81C3C">
      <w:pPr>
        <w:pStyle w:val="Lista"/>
      </w:pPr>
      <w:r>
        <w:t xml:space="preserve">for </w:t>
      </w:r>
      <w:r>
        <w:rPr>
          <w:b/>
          <w:bCs/>
        </w:rPr>
        <w:t>inline layout blanks</w:t>
      </w:r>
      <w:r>
        <w:t>: optionally encode specially aligned lines as per §</w:t>
      </w:r>
      <w:r>
        <w:fldChar w:fldCharType="begin"/>
      </w:r>
      <w:r>
        <w:instrText xml:space="preserve"> REF _Ref43987598 \r \h </w:instrText>
      </w:r>
      <w:r>
        <w:fldChar w:fldCharType="separate"/>
      </w:r>
      <w:r>
        <w:t>8.5.1</w:t>
      </w:r>
      <w:r>
        <w:fldChar w:fldCharType="end"/>
      </w:r>
      <w:r>
        <w:t xml:space="preserve"> when spaces appear</w:t>
      </w:r>
    </w:p>
    <w:p w14:paraId="08B5714A" w14:textId="77777777">
      <w:pPr>
        <w:pStyle w:val="Lista2"/>
      </w:pPr>
      <w:r>
        <w:t>at the end of a line that begins flush with the left margin</w:t>
      </w:r>
    </w:p>
    <w:p w14:paraId="33C7E9B8" w14:textId="77777777">
      <w:pPr>
        <w:pStyle w:val="Lista2"/>
      </w:pPr>
      <w:r>
        <w:t>at the beginning of a line that ends flush with the right margin</w:t>
      </w:r>
    </w:p>
    <w:p w14:paraId="175DF669" w14:textId="77777777">
      <w:pPr>
        <w:pStyle w:val="Lista2"/>
      </w:pPr>
      <w:r>
        <w:t>at the beginning and end of a line that is centred between the two margins</w:t>
      </w:r>
    </w:p>
    <w:p w14:paraId="0AC2E753" w14:textId="77777777">
      <w:pPr>
        <w:pStyle w:val="Lista2"/>
      </w:pPr>
      <w:r>
        <w:t>between words or glyphs throughout a line that is justified to both margins</w:t>
      </w:r>
    </w:p>
    <w:p w14:paraId="72311212" w14:textId="77777777">
      <w:pPr>
        <w:pStyle w:val="Lista"/>
      </w:pPr>
      <w:r>
        <w:t xml:space="preserve">for </w:t>
      </w:r>
      <w:r>
        <w:rPr>
          <w:b/>
          <w:bCs/>
        </w:rPr>
        <w:t>blank areas between lines</w:t>
      </w:r>
      <w:r>
        <w:t>: by default encode nothing</w:t>
      </w:r>
    </w:p>
    <w:p w14:paraId="5F8F4236" w14:textId="77777777">
      <w:pPr>
        <w:pStyle w:val="Lista2"/>
      </w:pPr>
      <w:r>
        <w:t xml:space="preserve">create no </w:t>
      </w:r>
      <w:r>
        <w:rPr>
          <w:rStyle w:val="Code"/>
        </w:rPr>
        <w:t>&lt;lb/&gt;</w:t>
      </w:r>
      <w:r>
        <w:t xml:space="preserve"> elements for empty lines and insert no </w:t>
      </w:r>
      <w:r>
        <w:rPr>
          <w:rStyle w:val="Code"/>
        </w:rPr>
        <w:t>&lt;space/&gt;</w:t>
      </w:r>
      <w:r>
        <w:t xml:space="preserve"> elements to represent them</w:t>
      </w:r>
    </w:p>
    <w:p w14:paraId="15EBED42" w14:textId="77777777">
      <w:pPr>
        <w:pStyle w:val="Lista2"/>
      </w:pPr>
      <w:r>
        <w:t>the regular line spacing and any deviations from it should be described for human readers in the layout description</w:t>
      </w:r>
    </w:p>
    <w:p w14:paraId="16F9B613" w14:textId="2EEAA2C0">
      <w:pPr>
        <w:pStyle w:val="Lista2"/>
      </w:pPr>
      <w:r>
        <w:t>opening passages (incipits) separated by space from the body of an inscription may be given special line numbers as per §</w:t>
      </w:r>
      <w:r>
        <w:fldChar w:fldCharType="begin"/>
      </w:r>
      <w:r>
        <w:instrText xml:space="preserve"> REF _Ref43978135 \r \h </w:instrText>
      </w:r>
      <w:r>
        <w:fldChar w:fldCharType="separate"/>
      </w:r>
      <w:r>
        <w:t>4.7.1.1</w:t>
      </w:r>
      <w:r>
        <w:fldChar w:fldCharType="end"/>
      </w:r>
    </w:p>
    <w:p w14:paraId="04CABA1E" w14:textId="12901FF9">
      <w:pPr>
        <w:pStyle w:val="Lista"/>
      </w:pPr>
      <w:r>
        <w:t xml:space="preserve">for </w:t>
      </w:r>
      <w:r>
        <w:rPr>
          <w:b/>
          <w:bCs/>
        </w:rPr>
        <w:t>blank pages in copper plates</w:t>
      </w:r>
      <w:r>
        <w:t xml:space="preserve">: encode </w:t>
      </w:r>
      <w:r>
        <w:rPr>
          <w:rStyle w:val="Code"/>
        </w:rPr>
        <w:t>&lt;pb/&gt;</w:t>
      </w:r>
      <w:r>
        <w:t xml:space="preserve"> elements for each page as per §</w:t>
      </w:r>
      <w:r>
        <w:fldChar w:fldCharType="begin"/>
      </w:r>
      <w:r>
        <w:instrText xml:space="preserve"> REF _Ref182318940 \r \h </w:instrText>
      </w:r>
      <w:r>
        <w:fldChar w:fldCharType="separate"/>
      </w:r>
      <w:r>
        <w:t>4.4.2.2</w:t>
      </w:r>
      <w:r>
        <w:fldChar w:fldCharType="end"/>
      </w:r>
      <w:r>
        <w:t xml:space="preserve">, but insert no </w:t>
      </w:r>
      <w:r>
        <w:rPr>
          <w:rStyle w:val="Code"/>
        </w:rPr>
        <w:t>&lt;space/&gt;</w:t>
      </w:r>
      <w:r>
        <w:t xml:space="preserve"> elements to represent their content</w:t>
      </w:r>
    </w:p>
    <w:p w14:paraId="7052C1C0" w14:textId="77777777">
      <w:pPr>
        <w:pStyle w:val="Cmsor3"/>
      </w:pPr>
      <w:bookmarkStart w:id="488" w:name="_Toc242889508"/>
      <w:r>
        <w:lastRenderedPageBreak/>
        <w:t>The size of spaces</w:t>
      </w:r>
      <w:bookmarkEnd w:id="486"/>
      <w:bookmarkEnd w:id="488"/>
    </w:p>
    <w:p w14:paraId="31DFCD13" w14:textId="77777777">
      <w:pPr>
        <w:pStyle w:val="Lista"/>
      </w:pPr>
      <w:r>
        <w:t xml:space="preserve">to encode the size of a space, add both of the following attributes to the </w:t>
      </w:r>
      <w:r>
        <w:rPr>
          <w:rStyle w:val="Code"/>
        </w:rPr>
        <w:t>&lt;space/&gt;</w:t>
      </w:r>
      <w:r>
        <w:t xml:space="preserve"> element</w:t>
      </w:r>
    </w:p>
    <w:p w14:paraId="71CB2226" w14:textId="77777777">
      <w:pPr>
        <w:pStyle w:val="Lista2"/>
      </w:pPr>
      <w:r>
        <w:rPr>
          <w:rStyle w:val="Codeattribute"/>
        </w:rPr>
        <w:t>@quantity</w:t>
      </w:r>
      <w:r>
        <w:t xml:space="preserve">, whose value shall be the width of the space given as the number of characters that could fit into it </w:t>
      </w:r>
      <w:r>
        <w:rPr>
          <w:noProof/>
        </w:rPr>
        <w:t>(</w:t>
      </w:r>
      <w:r>
        <w:t xml:space="preserve">i.e., the number of widths of an average </w:t>
      </w:r>
      <w:r>
        <w:rPr>
          <w:rStyle w:val="Foreign"/>
        </w:rPr>
        <w:t>akṣara</w:t>
      </w:r>
      <w:r>
        <w:t>)</w:t>
      </w:r>
    </w:p>
    <w:p w14:paraId="18E9FA40" w14:textId="77777777">
      <w:pPr>
        <w:pStyle w:val="Lista3"/>
      </w:pPr>
      <w:r>
        <w:t>this quantity is always understood to be approximate</w:t>
      </w:r>
    </w:p>
    <w:p w14:paraId="63323932" w14:textId="77777777">
      <w:pPr>
        <w:pStyle w:val="Lista2"/>
      </w:pPr>
      <w:r>
        <w:rPr>
          <w:rStyle w:val="Codeattribute"/>
        </w:rPr>
        <w:t>@unit</w:t>
      </w:r>
      <w:r>
        <w:t xml:space="preserve">, with the value </w:t>
      </w:r>
      <w:r>
        <w:rPr>
          <w:rStyle w:val="Codevalue"/>
        </w:rPr>
        <w:t>"character"</w:t>
      </w:r>
    </w:p>
    <w:p w14:paraId="18C92C1A" w14:textId="77777777">
      <w:pPr>
        <w:pStyle w:val="Lista3"/>
      </w:pPr>
      <w:r>
        <w:t>our encoding does not use any other units for the size of spaces</w:t>
      </w:r>
    </w:p>
    <w:p w14:paraId="78AD9B5D" w14:textId="77777777">
      <w:pPr>
        <w:pStyle w:val="Lista"/>
      </w:pPr>
      <w:r>
        <w:t xml:space="preserve">when these attributes are not present, </w:t>
      </w:r>
      <w:r>
        <w:rPr>
          <w:rStyle w:val="Code"/>
        </w:rPr>
        <w:t>&lt;space/&gt;</w:t>
      </w:r>
      <w:r>
        <w:t xml:space="preserve"> is by default understood to represent a “normal” space such as that found between two words, which usually has a breadth no larger than two average characters</w:t>
      </w:r>
    </w:p>
    <w:p w14:paraId="372E2849" w14:textId="77777777">
      <w:pPr>
        <w:pStyle w:val="Lista2"/>
      </w:pPr>
      <w:r>
        <w:t>it is therefore not necessary to explicitly encode the size of normal spaces</w:t>
      </w:r>
    </w:p>
    <w:p w14:paraId="00CC48C6" w14:textId="77777777">
      <w:pPr>
        <w:pStyle w:val="Cmsor3"/>
      </w:pPr>
      <w:bookmarkStart w:id="489" w:name="_Ref183011230"/>
      <w:bookmarkStart w:id="490" w:name="_Ref227836913"/>
      <w:bookmarkStart w:id="491" w:name="_Ref183012048"/>
      <w:bookmarkStart w:id="492" w:name="_Toc242889509"/>
      <w:r>
        <w:t xml:space="preserve">Spaces </w:t>
      </w:r>
      <w:bookmarkEnd w:id="489"/>
      <w:r>
        <w:t>and their context</w:t>
      </w:r>
      <w:bookmarkEnd w:id="490"/>
      <w:bookmarkEnd w:id="492"/>
    </w:p>
    <w:p w14:paraId="381075A6" w14:textId="77777777">
      <w:pPr>
        <w:pStyle w:val="Lista"/>
        <w:rPr>
          <w:lang w:eastAsia="en-US" w:bidi="ar-SA"/>
        </w:rPr>
      </w:pPr>
      <w:r>
        <w:t xml:space="preserve">the element </w:t>
      </w:r>
      <w:r>
        <w:rPr>
          <w:rStyle w:val="Code"/>
        </w:rPr>
        <w:t>&lt;space/&gt;</w:t>
      </w:r>
      <w:r>
        <w:t xml:space="preserve"> should normally be separated from surrounding text by editorial spaces in your file, except:</w:t>
      </w:r>
    </w:p>
    <w:p w14:paraId="6A7E311A" w14:textId="5443EAE7">
      <w:pPr>
        <w:pStyle w:val="Lista2"/>
        <w:rPr>
          <w:lang w:eastAsia="en-US" w:bidi="ar-SA"/>
        </w:rPr>
      </w:pPr>
      <w:r>
        <w:t xml:space="preserve">if a </w:t>
      </w:r>
      <w:r>
        <w:rPr>
          <w:rStyle w:val="Code"/>
        </w:rPr>
        <w:t>&lt;space/&gt;</w:t>
      </w:r>
      <w:r>
        <w:t xml:space="preserve"> occurs within a word of the text, no spaces must be added around the element; see §</w:t>
      </w:r>
      <w:r>
        <w:fldChar w:fldCharType="begin"/>
      </w:r>
      <w:r>
        <w:instrText xml:space="preserve"> REF _Ref43984944 \w \h  \* MERGEFORMAT </w:instrText>
      </w:r>
      <w:r>
        <w:fldChar w:fldCharType="separate"/>
      </w:r>
      <w:r>
        <w:t>7.8.1</w:t>
      </w:r>
      <w:r>
        <w:fldChar w:fldCharType="end"/>
      </w:r>
      <w:r>
        <w:t xml:space="preserve"> for more details.</w:t>
      </w:r>
    </w:p>
    <w:p w14:paraId="062EA8E9" w14:textId="77777777">
      <w:pPr>
        <w:pStyle w:val="Lista3"/>
        <w:rPr>
          <w:lang w:eastAsia="en-US" w:bidi="ar-SA"/>
        </w:rPr>
      </w:pPr>
      <w:r>
        <w:rPr>
          <w:lang w:eastAsia="en-US" w:bidi="ar-SA"/>
        </w:rPr>
        <w:t>there is no explicit encoding for the fact that a space interrupts a word</w:t>
      </w:r>
    </w:p>
    <w:p w14:paraId="4712ACCA" w14:textId="77777777">
      <w:pPr>
        <w:pStyle w:val="Lista2"/>
        <w:rPr>
          <w:lang w:eastAsia="en-US" w:bidi="ar-SA"/>
        </w:rPr>
      </w:pPr>
      <w:r>
        <w:t xml:space="preserve">if a </w:t>
      </w:r>
      <w:r>
        <w:rPr>
          <w:rStyle w:val="Code"/>
        </w:rPr>
        <w:t>&lt;space/&gt;</w:t>
      </w:r>
      <w:r>
        <w:t xml:space="preserve"> occurs at the boundary (beginning or end) of a structural container, do not add a space between the containing element’s tag and the </w:t>
      </w:r>
      <w:r>
        <w:rPr>
          <w:rStyle w:val="Code"/>
        </w:rPr>
        <w:t>&lt;space/&gt;</w:t>
      </w:r>
      <w:r>
        <w:t xml:space="preserve"> element</w:t>
      </w:r>
    </w:p>
    <w:p w14:paraId="327B996D" w14:textId="68AB6A38">
      <w:pPr>
        <w:pStyle w:val="Lista"/>
      </w:pPr>
      <w:r>
        <w:t>if a space appears in lieu of punctuation at the boundary of two block-level containers for intrinsic structure (§</w:t>
      </w:r>
      <w:r>
        <w:fldChar w:fldCharType="begin"/>
      </w:r>
      <w:r>
        <w:instrText xml:space="preserve"> REF _Ref43978632 \r \h </w:instrText>
      </w:r>
      <w:r>
        <w:fldChar w:fldCharType="separate"/>
      </w:r>
      <w:r>
        <w:t>3</w:t>
      </w:r>
      <w:r>
        <w:fldChar w:fldCharType="end"/>
      </w:r>
      <w:r>
        <w:t>), allocate it to the end of the earlier container unless you strongly feel that it belongs to the beginning of the latter container</w:t>
      </w:r>
    </w:p>
    <w:p w14:paraId="4AB9AE7B" w14:textId="77777777">
      <w:pPr>
        <w:pStyle w:val="Lista"/>
      </w:pPr>
      <w:r>
        <w:t xml:space="preserve">as a special case, spaces may appear at an </w:t>
      </w:r>
      <w:r>
        <w:rPr>
          <w:rStyle w:val="Foreign"/>
        </w:rPr>
        <w:t>akṣara</w:t>
      </w:r>
      <w:r>
        <w:t xml:space="preserve"> boundary next to, but not coincident with, a word boundary (which would fall within the </w:t>
      </w:r>
      <w:r>
        <w:rPr>
          <w:rStyle w:val="Foreign"/>
        </w:rPr>
        <w:t>akṣara</w:t>
      </w:r>
      <w:r>
        <w:t>)</w:t>
      </w:r>
    </w:p>
    <w:p w14:paraId="50679440" w14:textId="77777777">
      <w:pPr>
        <w:pStyle w:val="Lista2"/>
      </w:pPr>
      <w:r>
        <w:t>such spaces must always be represented in the transliterated text at their actual location (and thus without editorial spacing)</w:t>
      </w:r>
    </w:p>
    <w:p w14:paraId="30AF46D9" w14:textId="31E6E328">
      <w:pPr>
        <w:pStyle w:val="Lista2"/>
      </w:pPr>
      <w:r>
        <w:t>however, it is recommended that you flag this as non-standard usage and optionally also normalise the text (§</w:t>
      </w:r>
      <w:r>
        <w:fldChar w:fldCharType="begin"/>
      </w:r>
      <w:r>
        <w:instrText xml:space="preserve"> REF _Ref43978565 \r \h </w:instrText>
      </w:r>
      <w:r>
        <w:fldChar w:fldCharType="separate"/>
      </w:r>
      <w:r>
        <w:t>7</w:t>
      </w:r>
      <w:r>
        <w:fldChar w:fldCharType="end"/>
      </w:r>
      <w:r>
        <w:t xml:space="preserve">) by restoring the symbol at the word boundary and changing the sandhi and editorial spacing as applicable, as in </w:t>
      </w:r>
      <w:r>
        <w:fldChar w:fldCharType="begin"/>
      </w:r>
      <w:r>
        <w:instrText xml:space="preserve"> REF _Ref227838262 \h </w:instrText>
      </w:r>
      <w:r>
        <w:fldChar w:fldCharType="separate"/>
      </w:r>
      <w:r>
        <w:t xml:space="preserve">Exhibit </w:t>
      </w:r>
      <w:r>
        <w:rPr>
          <w:noProof/>
        </w:rPr>
        <w:t>5.5</w:t>
      </w:r>
      <w:r>
        <w:t>.</w:t>
      </w:r>
      <w:r>
        <w:rPr>
          <w:noProof/>
        </w:rPr>
        <w:t>E</w:t>
      </w:r>
      <w:r>
        <w:fldChar w:fldCharType="end"/>
      </w:r>
    </w:p>
    <w:p w14:paraId="4F3DC660" w14:textId="3DA0A429">
      <w:pPr>
        <w:pStyle w:val="Lista2"/>
      </w:pPr>
      <w:r>
        <w:t>when this happens at the end of a container element such as a verse line, encode the container boundary at its logical place (§</w:t>
      </w:r>
      <w:r>
        <w:fldChar w:fldCharType="begin"/>
      </w:r>
      <w:r>
        <w:instrText xml:space="preserve"> REF _Ref225328264 \r \h </w:instrText>
      </w:r>
      <w:r>
        <w:fldChar w:fldCharType="separate"/>
      </w:r>
      <w:r>
        <w:t>3.2.4.1</w:t>
      </w:r>
      <w:r>
        <w:fldChar w:fldCharType="end"/>
      </w:r>
      <w:r>
        <w:t xml:space="preserve">), disregarding the </w:t>
      </w:r>
      <w:r>
        <w:rPr>
          <w:rStyle w:val="Foreign"/>
        </w:rPr>
        <w:t>akṣara</w:t>
      </w:r>
      <w:r>
        <w:t xml:space="preserve"> boundary and the symbol</w:t>
      </w:r>
    </w:p>
    <w:tbl>
      <w:tblPr>
        <w:tblStyle w:val="CodeSampleTable"/>
        <w:tblW w:w="5000" w:type="pct"/>
        <w:tblLook w:val="04A0" w:firstRow="1" w:lastRow="0" w:firstColumn="1" w:lastColumn="0" w:noHBand="0" w:noVBand="1"/>
      </w:tblPr>
      <w:tblGrid>
        <w:gridCol w:w="9628"/>
      </w:tblGrid>
      <w:tr w14:paraId="0EAE7D1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FF03F06" w14:textId="4FCDB138">
            <w:pPr>
              <w:pStyle w:val="Kpalrs"/>
            </w:pPr>
            <w:bookmarkStart w:id="493" w:name="_Ref227838262"/>
            <w:r>
              <w:t xml:space="preserve">Exhibit </w:t>
            </w:r>
            <w:fldSimple w:instr=" STYLEREF 2 \s ">
              <w:r>
                <w:rPr>
                  <w:noProof/>
                </w:rPr>
                <w:t>5.5</w:t>
              </w:r>
            </w:fldSimple>
            <w:r>
              <w:t>.</w:t>
            </w:r>
            <w:fldSimple w:instr=" SEQ Exhibit \* ALPHABETIC \s 2 ">
              <w:r>
                <w:rPr>
                  <w:noProof/>
                </w:rPr>
                <w:t>E</w:t>
              </w:r>
            </w:fldSimple>
            <w:bookmarkEnd w:id="493"/>
            <w:r>
              <w:t xml:space="preserve">: space at </w:t>
            </w:r>
            <w:r>
              <w:rPr>
                <w:rStyle w:val="Foreign"/>
              </w:rPr>
              <w:t>akṣara</w:t>
            </w:r>
            <w:r>
              <w:t xml:space="preserve"> boundary rather than word boundary</w:t>
            </w:r>
          </w:p>
        </w:tc>
      </w:tr>
      <w:tr w14:paraId="21B4B812" w14:textId="77777777">
        <w:tc>
          <w:tcPr>
            <w:tcW w:w="5000" w:type="pct"/>
          </w:tcPr>
          <w:p w14:paraId="570249ED" w14:textId="77777777">
            <w:pPr>
              <w:pStyle w:val="TableNote"/>
              <w:rPr>
                <w:rFonts w:ascii="Consolas" w:hAnsi="Consolas" w:cs="Consolas"/>
                <w:noProof/>
                <w:color w:val="000000" w:themeColor="text1"/>
                <w:shd w:val="clear" w:color="auto" w:fill="F2F2F2" w:themeFill="background1" w:themeFillShade="F2"/>
              </w:rPr>
            </w:pPr>
            <w:r>
              <w:t xml:space="preserve">original: </w:t>
            </w:r>
            <w:r>
              <w:rPr>
                <w:rStyle w:val="Code"/>
              </w:rPr>
              <w:t xml:space="preserve">&lt;l </w:t>
            </w:r>
            <w:r>
              <w:rPr>
                <w:rStyle w:val="Codeattribute"/>
              </w:rPr>
              <w:t>n</w:t>
            </w:r>
            <w:r>
              <w:rPr>
                <w:rStyle w:val="Codetext"/>
              </w:rPr>
              <w:t>=</w:t>
            </w:r>
            <w:r>
              <w:rPr>
                <w:rStyle w:val="Codevalue"/>
              </w:rPr>
              <w:t>"a"</w:t>
            </w:r>
            <w:r>
              <w:rPr>
                <w:rStyle w:val="Code"/>
              </w:rPr>
              <w:t>&gt;</w:t>
            </w:r>
            <w:r>
              <w:rPr>
                <w:rStyle w:val="Codetext"/>
              </w:rPr>
              <w:t>jayatīndrādidevāsya</w:t>
            </w:r>
            <w:r>
              <w:rPr>
                <w:rStyle w:val="Code"/>
              </w:rPr>
              <w:t xml:space="preserve">&lt;space/&gt;ś&lt;/l&gt;&lt;l </w:t>
            </w:r>
            <w:r>
              <w:rPr>
                <w:rStyle w:val="Codeattribute"/>
              </w:rPr>
              <w:t>n</w:t>
            </w:r>
            <w:r>
              <w:rPr>
                <w:rStyle w:val="Codetext"/>
              </w:rPr>
              <w:t>=</w:t>
            </w:r>
            <w:r>
              <w:rPr>
                <w:rStyle w:val="Codevalue"/>
              </w:rPr>
              <w:t>"b"</w:t>
            </w:r>
            <w:r>
              <w:rPr>
                <w:rStyle w:val="Code"/>
              </w:rPr>
              <w:t>&gt;</w:t>
            </w:r>
            <w:r>
              <w:rPr>
                <w:rStyle w:val="Codetext"/>
              </w:rPr>
              <w:t>śrīmān yajñapatīśvaraḥ</w:t>
            </w:r>
            <w:r>
              <w:rPr>
                <w:rStyle w:val="Code"/>
              </w:rPr>
              <w:t>&lt;/l&gt;</w:t>
            </w:r>
          </w:p>
          <w:p w14:paraId="0DDAF021" w14:textId="77777777">
            <w:pPr>
              <w:pStyle w:val="TableNote"/>
              <w:rPr>
                <w:rFonts w:ascii="Consolas" w:hAnsi="Consolas" w:cs="Consolas"/>
                <w:noProof/>
                <w:color w:val="000000" w:themeColor="text1"/>
                <w:shd w:val="clear" w:color="auto" w:fill="F2F2F2" w:themeFill="background1" w:themeFillShade="F2"/>
              </w:rPr>
            </w:pPr>
            <w:r>
              <w:t xml:space="preserve">flagged: </w:t>
            </w:r>
            <w:r>
              <w:rPr>
                <w:rStyle w:val="Code"/>
              </w:rPr>
              <w:t xml:space="preserve">&lt;l </w:t>
            </w:r>
            <w:r>
              <w:rPr>
                <w:rStyle w:val="Codeattribute"/>
              </w:rPr>
              <w:t>n</w:t>
            </w:r>
            <w:r>
              <w:rPr>
                <w:rStyle w:val="Codetext"/>
              </w:rPr>
              <w:t>=</w:t>
            </w:r>
            <w:r>
              <w:rPr>
                <w:rStyle w:val="Codevalue"/>
              </w:rPr>
              <w:t>"a"</w:t>
            </w:r>
            <w:r>
              <w:rPr>
                <w:rStyle w:val="Code"/>
              </w:rPr>
              <w:t>&gt;</w:t>
            </w:r>
            <w:r>
              <w:rPr>
                <w:rStyle w:val="Codetext"/>
              </w:rPr>
              <w:t>jayatīndrādidevāsya</w:t>
            </w:r>
            <w:r>
              <w:rPr>
                <w:rStyle w:val="Code"/>
              </w:rPr>
              <w:t xml:space="preserve">&lt;orig&gt;&lt;space/&gt;ś&lt;/orig&gt;&lt;/l&gt;&lt;l </w:t>
            </w:r>
            <w:r>
              <w:rPr>
                <w:rStyle w:val="Codeattribute"/>
              </w:rPr>
              <w:t>n</w:t>
            </w:r>
            <w:r>
              <w:rPr>
                <w:rStyle w:val="Codetext"/>
              </w:rPr>
              <w:t>=</w:t>
            </w:r>
            <w:r>
              <w:rPr>
                <w:rStyle w:val="Codevalue"/>
              </w:rPr>
              <w:t>"b"</w:t>
            </w:r>
            <w:r>
              <w:rPr>
                <w:rStyle w:val="Code"/>
              </w:rPr>
              <w:t>&gt;</w:t>
            </w:r>
            <w:r>
              <w:rPr>
                <w:rStyle w:val="Codetext"/>
              </w:rPr>
              <w:t>śrīmān yajñapatīśvaraḥ</w:t>
            </w:r>
            <w:r>
              <w:rPr>
                <w:rStyle w:val="Code"/>
              </w:rPr>
              <w:t>&lt;/l&gt;</w:t>
            </w:r>
          </w:p>
          <w:p w14:paraId="233ACC1A" w14:textId="77777777">
            <w:pPr>
              <w:pStyle w:val="TableNote"/>
              <w:rPr>
                <w:rStyle w:val="Code"/>
              </w:rPr>
            </w:pPr>
            <w:r>
              <w:t xml:space="preserve">normalised: </w:t>
            </w:r>
            <w:r>
              <w:rPr>
                <w:rStyle w:val="Code"/>
              </w:rPr>
              <w:t xml:space="preserve">&lt;l </w:t>
            </w:r>
            <w:r>
              <w:rPr>
                <w:rStyle w:val="Codeattribute"/>
              </w:rPr>
              <w:t>n</w:t>
            </w:r>
            <w:r>
              <w:rPr>
                <w:rStyle w:val="Codetext"/>
              </w:rPr>
              <w:t>=</w:t>
            </w:r>
            <w:r>
              <w:rPr>
                <w:rStyle w:val="Codevalue"/>
              </w:rPr>
              <w:t>"a"</w:t>
            </w:r>
            <w:r>
              <w:rPr>
                <w:rStyle w:val="Code"/>
              </w:rPr>
              <w:t>&gt;</w:t>
            </w:r>
            <w:r>
              <w:rPr>
                <w:rStyle w:val="Codetext"/>
              </w:rPr>
              <w:t>jayatīndrādidevāsya</w:t>
            </w:r>
            <w:r>
              <w:rPr>
                <w:rStyle w:val="Code"/>
              </w:rPr>
              <w:t>&lt;choice&gt;&lt;orig&gt;&lt;space/&gt;ś&lt;/orig&gt;&lt;reg&gt;</w:t>
            </w:r>
            <w:r>
              <w:rPr>
                <w:rStyle w:val="Codetext"/>
              </w:rPr>
              <w:t>ḥ</w:t>
            </w:r>
            <w:r>
              <w:rPr>
                <w:rStyle w:val="Code"/>
              </w:rPr>
              <w:t xml:space="preserve">&lt;space/&gt;&lt;/reg&gt;&lt;/choice&gt;&lt;/l&gt;&lt;l </w:t>
            </w:r>
            <w:r>
              <w:rPr>
                <w:rStyle w:val="Codeattribute"/>
              </w:rPr>
              <w:t>n</w:t>
            </w:r>
            <w:r>
              <w:rPr>
                <w:rStyle w:val="Codetext"/>
              </w:rPr>
              <w:t>=</w:t>
            </w:r>
            <w:r>
              <w:rPr>
                <w:rStyle w:val="Codevalue"/>
              </w:rPr>
              <w:t>"b"</w:t>
            </w:r>
            <w:r>
              <w:rPr>
                <w:rStyle w:val="Code"/>
              </w:rPr>
              <w:t>&gt;</w:t>
            </w:r>
            <w:r>
              <w:rPr>
                <w:rStyle w:val="Codetext"/>
              </w:rPr>
              <w:t>śrīmān yajñapatīśvaraḥ</w:t>
            </w:r>
            <w:r>
              <w:rPr>
                <w:rStyle w:val="Code"/>
              </w:rPr>
              <w:t>&lt;/l&gt;</w:t>
            </w:r>
          </w:p>
        </w:tc>
      </w:tr>
      <w:tr w14:paraId="65EA3594" w14:textId="77777777">
        <w:tc>
          <w:tcPr>
            <w:tcW w:w="5000" w:type="pct"/>
          </w:tcPr>
          <w:p w14:paraId="2D064DFA" w14:textId="77777777">
            <w:pPr>
              <w:pStyle w:val="TableNote"/>
            </w:pPr>
            <w:r>
              <w:t xml:space="preserve">the space belonging at the end of the word </w:t>
            </w:r>
            <w:r>
              <w:rPr>
                <w:rStyle w:val="Foreign"/>
              </w:rPr>
              <w:t xml:space="preserve">°āsyaḥ </w:t>
            </w:r>
            <w:r>
              <w:t xml:space="preserve">is placed after </w:t>
            </w:r>
            <w:r>
              <w:rPr>
                <w:rStyle w:val="Foreign"/>
              </w:rPr>
              <w:t>sya</w:t>
            </w:r>
            <w:r>
              <w:t xml:space="preserve">, because the end of this word has been merged in sandhi into conjunct </w:t>
            </w:r>
            <w:r>
              <w:rPr>
                <w:noProof/>
              </w:rPr>
              <w:t>(</w:t>
            </w:r>
            <w:r>
              <w:rPr>
                <w:rStyle w:val="Foreign"/>
              </w:rPr>
              <w:t>śśrī</w:t>
            </w:r>
            <w:r>
              <w:t>) with the beginning of the next word</w:t>
            </w:r>
          </w:p>
        </w:tc>
      </w:tr>
    </w:tbl>
    <w:p w14:paraId="65164CB9" w14:textId="77777777"/>
    <w:p w14:paraId="238A4CDF" w14:textId="77777777">
      <w:pPr>
        <w:pStyle w:val="Cmsor2"/>
      </w:pPr>
      <w:bookmarkStart w:id="494" w:name="_Ref228799393"/>
      <w:bookmarkStart w:id="495" w:name="_Toc242889510"/>
      <w:r>
        <w:t>Premodern scribal intervention</w:t>
      </w:r>
      <w:bookmarkEnd w:id="484"/>
      <w:bookmarkEnd w:id="487"/>
      <w:bookmarkEnd w:id="491"/>
      <w:bookmarkEnd w:id="494"/>
      <w:bookmarkEnd w:id="495"/>
    </w:p>
    <w:p w14:paraId="0BB3BD90" w14:textId="6EEEE7DA">
      <w:r>
        <w:t>The word ‘scribe’ refers in this Guide to any person who has made a purposeful and meaningful contribution to a written document before it became an object of modern study. Scribal intervention thus means a purposeful and meaningful change effected in an already written text, often by the original scribe and at or near the time of the original engraving, but in some cases by a different person and/or at a much later time. Scribal intervention is usually constructive (as in addition, discussed in §</w:t>
      </w:r>
      <w:r>
        <w:fldChar w:fldCharType="begin"/>
      </w:r>
      <w:r>
        <w:instrText xml:space="preserve"> REF _Ref43978471 \r \h </w:instrText>
      </w:r>
      <w:r>
        <w:fldChar w:fldCharType="separate"/>
      </w:r>
      <w:r>
        <w:t>5.6.2</w:t>
      </w:r>
      <w:r>
        <w:fldChar w:fldCharType="end"/>
      </w:r>
      <w:r>
        <w:t xml:space="preserve"> and correction, §</w:t>
      </w:r>
      <w:r>
        <w:fldChar w:fldCharType="begin"/>
      </w:r>
      <w:r>
        <w:instrText xml:space="preserve"> REF _Ref74727538 \r \h </w:instrText>
      </w:r>
      <w:r>
        <w:fldChar w:fldCharType="separate"/>
      </w:r>
      <w:r>
        <w:t>5.6.3</w:t>
      </w:r>
      <w:r>
        <w:fldChar w:fldCharType="end"/>
      </w:r>
      <w:r>
        <w:t xml:space="preserve">), but it </w:t>
      </w:r>
      <w:r>
        <w:lastRenderedPageBreak/>
        <w:t>may also be destructive in a deliberate and targeted manner (deletion, §</w:t>
      </w:r>
      <w:r>
        <w:fldChar w:fldCharType="begin"/>
      </w:r>
      <w:r>
        <w:instrText xml:space="preserve"> REF _Ref43985171 \r \h </w:instrText>
      </w:r>
      <w:r>
        <w:fldChar w:fldCharType="separate"/>
      </w:r>
      <w:r>
        <w:t>5.6.1</w:t>
      </w:r>
      <w:r>
        <w:fldChar w:fldCharType="end"/>
      </w:r>
      <w:r>
        <w:t>). Scribal intervention does not include the purposeful or accidental effacement of an entire inscription or random parts thereof, nor the engraving of a palimpsest over a pre-existing inscription.</w:t>
      </w:r>
    </w:p>
    <w:p w14:paraId="097BF9C9" w14:textId="77777777">
      <w:pPr>
        <w:pStyle w:val="Cmsor3"/>
      </w:pPr>
      <w:bookmarkStart w:id="496" w:name="_an1iq23tb1j" w:colFirst="0" w:colLast="0"/>
      <w:bookmarkStart w:id="497" w:name="_Ref43985171"/>
      <w:bookmarkStart w:id="498" w:name="_Toc242889511"/>
      <w:bookmarkEnd w:id="496"/>
      <w:r>
        <w:t>Scribal deletion</w:t>
      </w:r>
      <w:bookmarkEnd w:id="497"/>
      <w:bookmarkEnd w:id="498"/>
    </w:p>
    <w:p w14:paraId="742A3788" w14:textId="03A87C51">
      <w:r>
        <w:rPr>
          <w:lang w:eastAsia="en-US" w:bidi="ar-SA"/>
        </w:rPr>
        <w:t xml:space="preserve">Scribal deletion is the deliberate cancellation of one or more graphemes in a pre-written text by a scribe. Deletion is usually of an editorial nature, affecting parts of the text that were incorrectly or needlessly written. Deletion also </w:t>
      </w:r>
      <w:r>
        <w:t xml:space="preserve">includes the targeted removal of circumscribed sections of an inscription </w:t>
      </w:r>
      <w:r>
        <w:rPr>
          <w:noProof/>
        </w:rPr>
        <w:t>(</w:t>
      </w:r>
      <w:r>
        <w:t>e.g. of names). Deletion accompanied by a corrective or restitutive addition is correction, treated in §</w:t>
      </w:r>
      <w:r>
        <w:fldChar w:fldCharType="begin"/>
      </w:r>
      <w:r>
        <w:instrText xml:space="preserve"> REF _Ref74727538 \r \h </w:instrText>
      </w:r>
      <w:r>
        <w:fldChar w:fldCharType="separate"/>
      </w:r>
      <w:r>
        <w:t>5.6.3</w:t>
      </w:r>
      <w:r>
        <w:fldChar w:fldCharType="end"/>
      </w:r>
      <w:r>
        <w:t xml:space="preserve">. </w:t>
      </w:r>
      <w:r>
        <w:rPr>
          <w:lang w:eastAsia="en-US" w:bidi="ar-SA"/>
        </w:rPr>
        <w:t xml:space="preserve">Damage to the support is to be handled according to </w:t>
      </w:r>
      <w:r>
        <w:t>§</w:t>
      </w:r>
      <w:r>
        <w:fldChar w:fldCharType="begin"/>
      </w:r>
      <w:r>
        <w:instrText xml:space="preserve"> REF _Ref231895504 \r \h </w:instrText>
      </w:r>
      <w:r>
        <w:fldChar w:fldCharType="separate"/>
      </w:r>
      <w:r>
        <w:t>6</w:t>
      </w:r>
      <w:r>
        <w:fldChar w:fldCharType="end"/>
      </w:r>
      <w:r>
        <w:t>, while space left blank in an inscription is discussed in §</w:t>
      </w:r>
      <w:r>
        <w:fldChar w:fldCharType="begin"/>
      </w:r>
      <w:r>
        <w:instrText xml:space="preserve"> REF _Ref183075544 \r \h </w:instrText>
      </w:r>
      <w:r>
        <w:fldChar w:fldCharType="separate"/>
      </w:r>
      <w:r>
        <w:t>5.4.5</w:t>
      </w:r>
      <w:r>
        <w:fldChar w:fldCharType="end"/>
      </w:r>
      <w:r>
        <w:t>. When it is doubtful whether purposeful deletion has taken place, choose the encoding for the phenomenon you deem most likely, and discuss the matter in your annotation.</w:t>
      </w:r>
    </w:p>
    <w:p w14:paraId="12A1605C" w14:textId="77777777">
      <w:pPr>
        <w:pStyle w:val="Lista"/>
      </w:pPr>
      <w:r>
        <w:t xml:space="preserve">graphemes that were deleted in premodern time are to be wrapped in the element </w:t>
      </w:r>
      <w:r>
        <w:rPr>
          <w:rStyle w:val="Code"/>
        </w:rPr>
        <w:t>&lt;del&gt;</w:t>
      </w:r>
      <w:r>
        <w:t>, with the following attribute</w:t>
      </w:r>
    </w:p>
    <w:p w14:paraId="53FA57F4" w14:textId="69C02A3C">
      <w:pPr>
        <w:pStyle w:val="Lista2"/>
      </w:pPr>
      <w:r>
        <w:t xml:space="preserve">as applicable, </w:t>
      </w:r>
      <w:r>
        <w:rPr>
          <w:rStyle w:val="Codeattribute"/>
        </w:rPr>
        <w:t>@rend</w:t>
      </w:r>
      <w:r>
        <w:t xml:space="preserve"> for the manner of deletion as per §</w:t>
      </w:r>
      <w:r>
        <w:fldChar w:fldCharType="begin"/>
      </w:r>
      <w:r>
        <w:instrText xml:space="preserve"> REF _Ref227846179 \r \h </w:instrText>
      </w:r>
      <w:r>
        <w:fldChar w:fldCharType="separate"/>
      </w:r>
      <w:r>
        <w:t>5.6.1.1</w:t>
      </w:r>
      <w:r>
        <w:fldChar w:fldCharType="end"/>
      </w:r>
    </w:p>
    <w:p w14:paraId="460CFDC3" w14:textId="77777777">
      <w:pPr>
        <w:pStyle w:val="Lista"/>
      </w:pPr>
      <w:r>
        <w:t>this element must always contain text or markup equivalent to text</w:t>
      </w:r>
    </w:p>
    <w:p w14:paraId="7B6FFEAC" w14:textId="6FE970F7">
      <w:pPr>
        <w:pStyle w:val="Lista2"/>
      </w:pPr>
      <w:r>
        <w:t>if the vestiges of the deleted text cannot be read with confidence, use the applicable markup (§</w:t>
      </w:r>
      <w:r>
        <w:fldChar w:fldCharType="begin"/>
      </w:r>
      <w:r>
        <w:instrText xml:space="preserve"> REF _Ref43987867 \r \h </w:instrText>
      </w:r>
      <w:r>
        <w:fldChar w:fldCharType="separate"/>
      </w:r>
      <w:r>
        <w:t>6.3.1.3</w:t>
      </w:r>
      <w:r>
        <w:fldChar w:fldCharType="end"/>
      </w:r>
      <w:r>
        <w:t xml:space="preserve">) within the </w:t>
      </w:r>
      <w:r>
        <w:rPr>
          <w:rStyle w:val="Code"/>
        </w:rPr>
        <w:t>&lt;del&gt;</w:t>
      </w:r>
      <w:r>
        <w:t xml:space="preserve"> element</w:t>
      </w:r>
    </w:p>
    <w:p w14:paraId="128A0EB6" w14:textId="2EAFAA9B">
      <w:pPr>
        <w:pStyle w:val="Lista3"/>
        <w:rPr>
          <w:rStyle w:val="Code"/>
          <w:rFonts w:ascii="Gentium Plus" w:hAnsi="Gentium Plus" w:cs="Arial Unicode MS"/>
          <w:noProof w:val="0"/>
          <w:color w:val="auto"/>
          <w:shd w:val="clear" w:color="auto" w:fill="auto"/>
        </w:rPr>
      </w:pPr>
      <w:r>
        <w:t>text that has been rendered illegible by deletion must be marked up as a lacuna (§</w:t>
      </w:r>
      <w:r>
        <w:fldChar w:fldCharType="begin"/>
      </w:r>
      <w:r>
        <w:instrText xml:space="preserve"> REF _Ref228460110 \r \h </w:instrText>
      </w:r>
      <w:r>
        <w:fldChar w:fldCharType="separate"/>
      </w:r>
      <w:r>
        <w:t>6.5</w:t>
      </w:r>
      <w:r>
        <w:fldChar w:fldCharType="end"/>
      </w:r>
      <w:r>
        <w:t xml:space="preserve">) within the deletion, e.g. </w:t>
      </w:r>
      <w:r>
        <w:rPr>
          <w:rStyle w:val="Code"/>
        </w:rPr>
        <w:t xml:space="preserve">&lt;del&gt;&lt;gap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/&gt;&lt;/del&gt;</w:t>
      </w:r>
    </w:p>
    <w:p w14:paraId="55632A44" w14:textId="77777777">
      <w:pPr>
        <w:pStyle w:val="Cmsor4"/>
      </w:pPr>
      <w:bookmarkStart w:id="499" w:name="_Ref227846179"/>
      <w:r>
        <w:t>Encoding the manner of deletion</w:t>
      </w:r>
      <w:bookmarkEnd w:id="499"/>
    </w:p>
    <w:p w14:paraId="58595DD9" w14:textId="37172005">
      <w:r>
        <w:t xml:space="preserve">In DHARMA usage, the </w:t>
      </w:r>
      <w:r>
        <w:rPr>
          <w:rStyle w:val="Code"/>
        </w:rPr>
        <w:t>&lt;del&gt;</w:t>
      </w:r>
      <w:r>
        <w:t xml:space="preserve"> element will by default be understood to represent text rendered illegible through erasure by means such as chiselling the stone, hammering the copper flat, or rubbing the surface smooth. Deletion by erasure needs no additional encoding. In some inscriptions, scribal cancellation marks are employed instead of, or in addition to, erasure. In both of these cases, encode the presence of such marks by adding the </w:t>
      </w:r>
      <w:r>
        <w:rPr>
          <w:noProof/>
        </w:rPr>
        <w:t>attribute</w:t>
      </w:r>
      <w:r>
        <w:t xml:space="preserve"> </w:t>
      </w:r>
      <w:r>
        <w:rPr>
          <w:rStyle w:val="Codeattribute"/>
        </w:rPr>
        <w:t>@rend</w:t>
      </w:r>
      <w:r>
        <w:t xml:space="preserve"> to the </w:t>
      </w:r>
      <w:r>
        <w:rPr>
          <w:rStyle w:val="Code"/>
        </w:rPr>
        <w:t>&lt;del&gt;</w:t>
      </w:r>
      <w:r>
        <w:t xml:space="preserve"> element, as in </w:t>
      </w:r>
      <w:r>
        <w:fldChar w:fldCharType="begin"/>
      </w:r>
      <w:r>
        <w:instrText xml:space="preserve"> REF _Ref183076770 \h </w:instrText>
      </w:r>
      <w:r>
        <w:fldChar w:fldCharType="separate"/>
      </w:r>
      <w:r>
        <w:t xml:space="preserve">Exhibit </w:t>
      </w:r>
      <w:r>
        <w:rPr>
          <w:noProof/>
        </w:rPr>
        <w:t>5.6</w:t>
      </w:r>
      <w:r>
        <w:t>.</w:t>
      </w:r>
      <w:r>
        <w:rPr>
          <w:noProof/>
        </w:rPr>
        <w:t>A</w:t>
      </w:r>
      <w:r>
        <w:fldChar w:fldCharType="end"/>
      </w:r>
      <w:r>
        <w:t>.</w:t>
      </w:r>
    </w:p>
    <w:p w14:paraId="7772444A" w14:textId="77777777">
      <w:pPr>
        <w:pStyle w:val="Lista"/>
      </w:pPr>
      <w:r>
        <w:t xml:space="preserve">the following values are permitted for </w:t>
      </w:r>
      <w:r>
        <w:rPr>
          <w:rStyle w:val="Codeattribute"/>
        </w:rPr>
        <w:t>@rend</w:t>
      </w:r>
      <w:r>
        <w:t xml:space="preserve"> with </w:t>
      </w:r>
      <w:r>
        <w:rPr>
          <w:rStyle w:val="Code"/>
        </w:rPr>
        <w:t>&lt;del&gt;</w:t>
      </w:r>
      <w:r>
        <w:t>:</w:t>
      </w:r>
    </w:p>
    <w:p w14:paraId="75B2D1C0" w14:textId="77777777">
      <w:pPr>
        <w:pStyle w:val="Lista2"/>
      </w:pPr>
      <w:r>
        <w:rPr>
          <w:rStyle w:val="Codevalue"/>
        </w:rPr>
        <w:t>"strikeout"</w:t>
      </w:r>
      <w:r>
        <w:t xml:space="preserve"> for text struck through or cross-hatched</w:t>
      </w:r>
    </w:p>
    <w:p w14:paraId="6825B127" w14:textId="77777777">
      <w:pPr>
        <w:pStyle w:val="Lista2"/>
      </w:pPr>
      <w:r>
        <w:rPr>
          <w:rStyle w:val="Codevalue"/>
        </w:rPr>
        <w:t>"ui"</w:t>
      </w:r>
      <w:r>
        <w:t xml:space="preserve"> for the combined application of vowel markers </w:t>
      </w:r>
      <w:r>
        <w:rPr>
          <w:rStyle w:val="Foreign"/>
        </w:rPr>
        <w:t>u</w:t>
      </w:r>
      <w:r>
        <w:t xml:space="preserve"> and </w:t>
      </w:r>
      <w:r>
        <w:rPr>
          <w:rStyle w:val="Foreign"/>
        </w:rPr>
        <w:t>i</w:t>
      </w:r>
      <w:r>
        <w:t xml:space="preserve"> to glyphs to be deleted</w:t>
      </w:r>
    </w:p>
    <w:p w14:paraId="090A0F7F" w14:textId="77777777">
      <w:pPr>
        <w:pStyle w:val="Lista2"/>
      </w:pPr>
      <w:r>
        <w:rPr>
          <w:rStyle w:val="Codevalue"/>
        </w:rPr>
        <w:t>"other"</w:t>
      </w:r>
      <w:r>
        <w:t xml:space="preserve"> for any deletion marker other than those listed above </w:t>
      </w:r>
    </w:p>
    <w:p w14:paraId="620124F2" w14:textId="260525AE">
      <w:pPr>
        <w:pStyle w:val="Lista2"/>
      </w:pPr>
      <w:r>
        <w:rPr>
          <w:rStyle w:val="Codevalue"/>
        </w:rPr>
        <w:t>"corrected"</w:t>
      </w:r>
      <w:r>
        <w:t xml:space="preserve"> when neither erasure nor a cancellation mark is present, and deletion is implied by the presence of a correction written over the earlier text (to be encoded as per §</w:t>
      </w:r>
      <w:r>
        <w:fldChar w:fldCharType="begin"/>
      </w:r>
      <w:r>
        <w:instrText xml:space="preserve"> REF _Ref74727538 \r \h </w:instrText>
      </w:r>
      <w:r>
        <w:fldChar w:fldCharType="separate"/>
      </w:r>
      <w:r>
        <w:t>5.6.3</w:t>
      </w:r>
      <w:r>
        <w:fldChar w:fldCharType="end"/>
      </w:r>
      <w:r>
        <w:t>)</w:t>
      </w:r>
    </w:p>
    <w:p w14:paraId="60F33F63" w14:textId="77777777">
      <w:pPr>
        <w:pStyle w:val="Lista"/>
      </w:pPr>
      <w:r>
        <w:t>further details about the form and placement of deletion marks used in your inscription may be annotated</w:t>
      </w:r>
    </w:p>
    <w:tbl>
      <w:tblPr>
        <w:tblStyle w:val="CodeSampleTable"/>
        <w:tblW w:w="5000" w:type="pct"/>
        <w:tblLook w:val="04A0" w:firstRow="1" w:lastRow="0" w:firstColumn="1" w:lastColumn="0" w:noHBand="0" w:noVBand="1"/>
      </w:tblPr>
      <w:tblGrid>
        <w:gridCol w:w="5665"/>
        <w:gridCol w:w="3963"/>
      </w:tblGrid>
      <w:tr w14:paraId="4A906282"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6ED3B33F" w14:textId="2F5FD5FF">
            <w:pPr>
              <w:pStyle w:val="Kpalrs"/>
            </w:pPr>
            <w:bookmarkStart w:id="500" w:name="_Ref183076770"/>
            <w:r>
              <w:t xml:space="preserve">Exhibit </w:t>
            </w:r>
            <w:fldSimple w:instr=" STYLEREF 2 \s ">
              <w:r>
                <w:rPr>
                  <w:noProof/>
                </w:rPr>
                <w:t>5.6</w:t>
              </w:r>
            </w:fldSimple>
            <w:r>
              <w:t>.</w:t>
            </w:r>
            <w:fldSimple w:instr=" SEQ Exhibit \* ALPHABETIC \s 2 ">
              <w:r>
                <w:rPr>
                  <w:noProof/>
                </w:rPr>
                <w:t>A</w:t>
              </w:r>
            </w:fldSimple>
            <w:bookmarkEnd w:id="500"/>
            <w:r>
              <w:t>: premodern deletion with editorial marks</w:t>
            </w:r>
          </w:p>
        </w:tc>
      </w:tr>
      <w:tr w14:paraId="7032BB8A" w14:textId="77777777">
        <w:tc>
          <w:tcPr>
            <w:tcW w:w="2942" w:type="pct"/>
          </w:tcPr>
          <w:p w14:paraId="2020015A" w14:textId="77777777">
            <w:pPr>
              <w:pStyle w:val="TableNote"/>
            </w:pPr>
            <w:r>
              <w:t xml:space="preserve">the inscribed text </w:t>
            </w:r>
            <w:r>
              <w:rPr>
                <w:rStyle w:val="Foreign"/>
              </w:rPr>
              <w:t>naiḥ mas· su</w:t>
            </w:r>
            <w:r>
              <w:t xml:space="preserve"> has been marked for cancellation</w:t>
            </w:r>
          </w:p>
        </w:tc>
        <w:tc>
          <w:tcPr>
            <w:tcW w:w="2058" w:type="pct"/>
          </w:tcPr>
          <w:p w14:paraId="06E0914C" w14:textId="77777777">
            <w:pPr>
              <w:pStyle w:val="Image"/>
            </w:pPr>
            <w:r>
              <w:drawing>
                <wp:inline distT="0" distB="0" distL="0" distR="0" wp14:anchorId="1903E289" wp14:editId="451670F8">
                  <wp:extent cx="2329200" cy="720000"/>
                  <wp:effectExtent l="0" t="0" r="0" b="4445"/>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329200" cy="720000"/>
                          </a:xfrm>
                          <a:prstGeom prst="rect">
                            <a:avLst/>
                          </a:prstGeom>
                          <a:noFill/>
                          <a:ln>
                            <a:noFill/>
                          </a:ln>
                        </pic:spPr>
                      </pic:pic>
                    </a:graphicData>
                  </a:graphic>
                </wp:inline>
              </w:drawing>
            </w:r>
          </w:p>
        </w:tc>
      </w:tr>
      <w:tr w14:paraId="0783989E" w14:textId="77777777">
        <w:tc>
          <w:tcPr>
            <w:tcW w:w="5000" w:type="pct"/>
            <w:gridSpan w:val="2"/>
          </w:tcPr>
          <w:p w14:paraId="6551A068" w14:textId="77777777">
            <w:pPr>
              <w:pStyle w:val="CodeParagraph"/>
              <w:rPr>
                <w:rStyle w:val="Code"/>
              </w:rPr>
            </w:pPr>
            <w:r>
              <w:rPr>
                <w:rStyle w:val="Code"/>
              </w:rPr>
              <w:t xml:space="preserve">&lt;del </w:t>
            </w:r>
            <w:r>
              <w:rPr>
                <w:rStyle w:val="Codeattribute"/>
              </w:rPr>
              <w:t>rend</w:t>
            </w:r>
            <w:r>
              <w:rPr>
                <w:rStyle w:val="Codetext"/>
              </w:rPr>
              <w:t>=</w:t>
            </w:r>
            <w:r>
              <w:rPr>
                <w:rStyle w:val="Codevalue"/>
              </w:rPr>
              <w:t>"other"</w:t>
            </w:r>
            <w:r>
              <w:rPr>
                <w:rStyle w:val="Code"/>
              </w:rPr>
              <w:t>&gt;</w:t>
            </w:r>
            <w:r>
              <w:rPr>
                <w:rStyle w:val="Codetext"/>
              </w:rPr>
              <w:t>naiḥ mas· su</w:t>
            </w:r>
            <w:r>
              <w:rPr>
                <w:rStyle w:val="Code"/>
              </w:rPr>
              <w:t>&lt;/del&gt;</w:t>
            </w:r>
            <w:r>
              <w:rPr>
                <w:rStyle w:val="Codetext"/>
              </w:rPr>
              <w:t xml:space="preserve"> vḍihan·</w:t>
            </w:r>
          </w:p>
        </w:tc>
      </w:tr>
    </w:tbl>
    <w:p w14:paraId="5E8288EA" w14:textId="77777777">
      <w:pPr>
        <w:pStyle w:val="Cmsor3"/>
      </w:pPr>
      <w:bookmarkStart w:id="501" w:name="_dvngk7b8udu7" w:colFirst="0" w:colLast="0"/>
      <w:bookmarkStart w:id="502" w:name="_Ref43978471"/>
      <w:bookmarkStart w:id="503" w:name="_Ref227850832"/>
      <w:bookmarkStart w:id="504" w:name="_Toc242889512"/>
      <w:bookmarkEnd w:id="501"/>
      <w:r>
        <w:t xml:space="preserve">Scribal </w:t>
      </w:r>
      <w:bookmarkEnd w:id="502"/>
      <w:r>
        <w:t>addition</w:t>
      </w:r>
      <w:bookmarkEnd w:id="503"/>
      <w:bookmarkEnd w:id="504"/>
    </w:p>
    <w:p w14:paraId="50CB5698" w14:textId="79B6618A">
      <w:r>
        <w:t>Scribal addition is the insertion of one or more graphemes into a pre-written text by a scribe. Addition is usually of an editorial nature, restoring parts of the text that were erroneously omitted. Addition for the correction of deleted text is correction, treated in §</w:t>
      </w:r>
      <w:r>
        <w:fldChar w:fldCharType="begin"/>
      </w:r>
      <w:r>
        <w:instrText xml:space="preserve"> REF _Ref74727538 \r \h </w:instrText>
      </w:r>
      <w:r>
        <w:fldChar w:fldCharType="separate"/>
      </w:r>
      <w:r>
        <w:t>5.6.3</w:t>
      </w:r>
      <w:r>
        <w:fldChar w:fldCharType="end"/>
      </w:r>
      <w:r>
        <w:t xml:space="preserve">. Additions supplementing a previously written text with content that was presumably not originally intended at the time of its writing, such as an additional clause appended to an inscription, are generally to be treated as organic parts of the document and not as scribal additions. However, small supplementary items written in interlinear or marginal space may be </w:t>
      </w:r>
      <w:r>
        <w:lastRenderedPageBreak/>
        <w:t>treated as additions at your discretion. Additions written in space originally left blank with the purpose of filling later (§</w:t>
      </w:r>
      <w:r>
        <w:fldChar w:fldCharType="begin"/>
      </w:r>
      <w:r>
        <w:instrText xml:space="preserve"> REF _Ref227847574 \r \h </w:instrText>
      </w:r>
      <w:r>
        <w:fldChar w:fldCharType="separate"/>
      </w:r>
      <w:r>
        <w:t>5.5.2.1</w:t>
      </w:r>
      <w:r>
        <w:fldChar w:fldCharType="end"/>
      </w:r>
      <w:r>
        <w:t>) can and should be encoded as scribal addition if you are certain that this is what happened.</w:t>
      </w:r>
    </w:p>
    <w:p w14:paraId="23C5DA0A" w14:textId="77777777">
      <w:pPr>
        <w:pStyle w:val="Lista"/>
      </w:pPr>
      <w:r>
        <w:t>in the digital edition, text added by the scribe must be placed at its logical location (where it was meant to be read), regardless of its physical location in the original</w:t>
      </w:r>
    </w:p>
    <w:p w14:paraId="784A7CC8" w14:textId="77777777">
      <w:pPr>
        <w:pStyle w:val="Lista2"/>
      </w:pPr>
      <w:r>
        <w:t>in this subsection, we refer to an addition’s logical location as its locus, and its physical location as its place</w:t>
      </w:r>
    </w:p>
    <w:p w14:paraId="5CA20BFA" w14:textId="77777777">
      <w:pPr>
        <w:pStyle w:val="Lista2"/>
      </w:pPr>
      <w:r>
        <w:t>if you cannot confidently determine the intended locus of a piece of interpolated or marginal text, choose one of the following options at your discretion:</w:t>
      </w:r>
    </w:p>
    <w:p w14:paraId="4FB25175" w14:textId="236254A3">
      <w:pPr>
        <w:pStyle w:val="Lista3"/>
      </w:pPr>
      <w:r>
        <w:t>put the added text at its most likely locus and describe the situation in your annotation</w:t>
      </w:r>
    </w:p>
    <w:p w14:paraId="06EBD4F7" w14:textId="0BDF80B1">
      <w:pPr>
        <w:pStyle w:val="Lista3"/>
      </w:pPr>
      <w:r>
        <w:t>put the added text at a plausible structural point near to its place, such as the beginning or end of a line, page, semantic unit or the entire inscription and describe the situation in your annotation</w:t>
      </w:r>
    </w:p>
    <w:p w14:paraId="2055CAF2" w14:textId="09A8C333">
      <w:pPr>
        <w:pStyle w:val="Lista3"/>
      </w:pPr>
      <w:r>
        <w:t xml:space="preserve">encode the added text at or near its place as an additional line of the principal text </w:t>
      </w:r>
      <w:r>
        <w:rPr>
          <w:noProof/>
        </w:rPr>
        <w:t>(</w:t>
      </w:r>
      <w:r>
        <w:t>§</w:t>
      </w:r>
      <w:r>
        <w:fldChar w:fldCharType="begin"/>
      </w:r>
      <w:r>
        <w:instrText xml:space="preserve"> REF _Ref182233273 \r \h </w:instrText>
      </w:r>
      <w:r>
        <w:fldChar w:fldCharType="separate"/>
      </w:r>
      <w:r>
        <w:t>4.7.1.2</w:t>
      </w:r>
      <w:r>
        <w:fldChar w:fldCharType="end"/>
      </w:r>
      <w:r>
        <w:t>)</w:t>
      </w:r>
    </w:p>
    <w:p w14:paraId="165756C5" w14:textId="20833057">
      <w:pPr>
        <w:pStyle w:val="Lista3"/>
      </w:pPr>
      <w:r>
        <w:t>for longer additions that do not obviously integrate into the semantic structure of the principal text, especially when consisting of multiple lines, you may opt to create a separate textpart division (§</w:t>
      </w:r>
      <w:r>
        <w:fldChar w:fldCharType="begin"/>
      </w:r>
      <w:r>
        <w:instrText xml:space="preserve"> REF _Ref225778181 \r \h </w:instrText>
      </w:r>
      <w:r>
        <w:fldChar w:fldCharType="separate"/>
      </w:r>
      <w:r>
        <w:t>4.2</w:t>
      </w:r>
      <w:r>
        <w:fldChar w:fldCharType="end"/>
      </w:r>
      <w:r>
        <w:t>)</w:t>
      </w:r>
    </w:p>
    <w:p w14:paraId="2FA88787" w14:textId="60584045">
      <w:pPr>
        <w:pStyle w:val="Lista"/>
      </w:pPr>
      <w:r>
        <w:t xml:space="preserve">graphemes that were added in premodern time are to be wrapped in the element </w:t>
      </w:r>
      <w:r>
        <w:rPr>
          <w:rStyle w:val="Code"/>
        </w:rPr>
        <w:t>&lt;add&gt;</w:t>
      </w:r>
      <w:r>
        <w:t>, with the following attributes</w:t>
      </w:r>
    </w:p>
    <w:p w14:paraId="6F641637" w14:textId="792A164E">
      <w:pPr>
        <w:pStyle w:val="Lista2"/>
      </w:pPr>
      <w:r>
        <w:t xml:space="preserve">mandatorily, </w:t>
      </w:r>
      <w:r>
        <w:rPr>
          <w:rStyle w:val="Codeattribute"/>
        </w:rPr>
        <w:t>@place</w:t>
      </w:r>
      <w:r>
        <w:t xml:space="preserve"> for the physical location of the added text as per §</w:t>
      </w:r>
      <w:r>
        <w:fldChar w:fldCharType="begin"/>
      </w:r>
      <w:r>
        <w:instrText xml:space="preserve"> REF _Ref227848664 \r \h </w:instrText>
      </w:r>
      <w:r>
        <w:fldChar w:fldCharType="separate"/>
      </w:r>
      <w:r>
        <w:t>5.6.2.1</w:t>
      </w:r>
      <w:r>
        <w:fldChar w:fldCharType="end"/>
      </w:r>
    </w:p>
    <w:p w14:paraId="6DB52374" w14:textId="11988A19">
      <w:pPr>
        <w:pStyle w:val="Lista2"/>
      </w:pPr>
      <w:r>
        <w:t xml:space="preserve">as applicable, </w:t>
      </w:r>
      <w:r>
        <w:rPr>
          <w:rStyle w:val="Codeattribute"/>
        </w:rPr>
        <w:t>@rend</w:t>
      </w:r>
      <w:r>
        <w:t xml:space="preserve"> with the value </w:t>
      </w:r>
      <w:r>
        <w:rPr>
          <w:rStyle w:val="Codevalue"/>
        </w:rPr>
        <w:t>"mark"</w:t>
      </w:r>
      <w:r>
        <w:t xml:space="preserve"> to encode the involvement of a premodern scribal mark </w:t>
      </w:r>
      <w:r>
        <w:rPr>
          <w:noProof/>
        </w:rPr>
        <w:t>(</w:t>
      </w:r>
      <w:r>
        <w:t xml:space="preserve">Sanskrit </w:t>
      </w:r>
      <w:r>
        <w:rPr>
          <w:rStyle w:val="Foreign"/>
        </w:rPr>
        <w:t>kākapada</w:t>
      </w:r>
      <w:r>
        <w:t xml:space="preserve">), as illustrated in </w:t>
      </w:r>
      <w:r>
        <w:fldChar w:fldCharType="begin"/>
      </w:r>
      <w:r>
        <w:instrText xml:space="preserve"> REF _Ref44078703 \h  \* MERGEFORMAT </w:instrText>
      </w:r>
      <w:r>
        <w:fldChar w:fldCharType="separate"/>
      </w:r>
      <w:r>
        <w:t xml:space="preserve">Exhibit </w:t>
      </w:r>
      <w:r>
        <w:rPr>
          <w:noProof/>
        </w:rPr>
        <w:t>5.6.C</w:t>
      </w:r>
      <w:r>
        <w:fldChar w:fldCharType="end"/>
      </w:r>
      <w:r>
        <w:t xml:space="preserve"> and </w:t>
      </w:r>
      <w:r>
        <w:fldChar w:fldCharType="begin"/>
      </w:r>
      <w:r>
        <w:instrText xml:space="preserve"> REF _Ref227849782 \h </w:instrText>
      </w:r>
      <w:r>
        <w:fldChar w:fldCharType="separate"/>
      </w:r>
      <w:r>
        <w:t xml:space="preserve">Exhibit </w:t>
      </w:r>
      <w:r>
        <w:rPr>
          <w:noProof/>
        </w:rPr>
        <w:t>5.6</w:t>
      </w:r>
      <w:r>
        <w:t>.</w:t>
      </w:r>
      <w:r>
        <w:rPr>
          <w:noProof/>
        </w:rPr>
        <w:t>D</w:t>
      </w:r>
      <w:r>
        <w:fldChar w:fldCharType="end"/>
      </w:r>
    </w:p>
    <w:p w14:paraId="591E137F" w14:textId="77777777">
      <w:pPr>
        <w:pStyle w:val="Lista3"/>
      </w:pPr>
      <w:r>
        <w:t xml:space="preserve">this encoding distinguishes neither the shape of such a mark, nor its location (e.g. at the locus of insertion, next to the inserted text, or at both places) </w:t>
      </w:r>
    </w:p>
    <w:p w14:paraId="71DEE0CD" w14:textId="4485F0F1">
      <w:pPr>
        <w:pStyle w:val="Lista3"/>
      </w:pPr>
      <w:r>
        <w:t>the shape and location of the marks shall be described in an apparatus note (§</w:t>
      </w:r>
      <w:r>
        <w:fldChar w:fldCharType="begin"/>
      </w:r>
      <w:r>
        <w:instrText xml:space="preserve"> REF _Ref43988104 \w \h  \* MERGEFORMAT </w:instrText>
      </w:r>
      <w:r>
        <w:fldChar w:fldCharType="separate"/>
      </w:r>
      <w:r>
        <w:t>10.7</w:t>
      </w:r>
      <w:r>
        <w:fldChar w:fldCharType="end"/>
      </w:r>
      <w:r>
        <w:t>)</w:t>
      </w:r>
    </w:p>
    <w:p w14:paraId="0E63075F" w14:textId="77777777">
      <w:pPr>
        <w:pStyle w:val="Lista"/>
      </w:pPr>
      <w:r>
        <w:t>the inserted text may include additional markup when necessary</w:t>
      </w:r>
    </w:p>
    <w:p w14:paraId="081E7466" w14:textId="00369583">
      <w:pPr>
        <w:pStyle w:val="Lista2"/>
      </w:pPr>
      <w:r>
        <w:t>for any text-containing elements whose scope begins or ends outside the addition, take care to avoid overlap and split elements according to their hierarchy (§</w:t>
      </w:r>
      <w:r>
        <w:fldChar w:fldCharType="begin"/>
      </w:r>
      <w:r>
        <w:instrText xml:space="preserve"> REF _Ref43978660 \r \h </w:instrText>
      </w:r>
      <w:r>
        <w:fldChar w:fldCharType="separate"/>
      </w:r>
      <w:r>
        <w:t>16.2</w:t>
      </w:r>
      <w:r>
        <w:fldChar w:fldCharType="end"/>
      </w:r>
      <w:r>
        <w:t xml:space="preserve">) </w:t>
      </w:r>
    </w:p>
    <w:p w14:paraId="136418F7" w14:textId="248C4046">
      <w:pPr>
        <w:pStyle w:val="Lista2"/>
      </w:pPr>
      <w:r>
        <w:t>empty structural elements (line beginnings, §</w:t>
      </w:r>
      <w:r>
        <w:fldChar w:fldCharType="begin"/>
      </w:r>
      <w:r>
        <w:instrText xml:space="preserve"> REF _Ref224720155 \r \h </w:instrText>
      </w:r>
      <w:r>
        <w:fldChar w:fldCharType="separate"/>
      </w:r>
      <w:r>
        <w:t>4.5</w:t>
      </w:r>
      <w:r>
        <w:fldChar w:fldCharType="end"/>
      </w:r>
      <w:r>
        <w:t>; and gridlike milestones, §</w:t>
      </w:r>
      <w:r>
        <w:fldChar w:fldCharType="begin"/>
      </w:r>
      <w:r>
        <w:instrText xml:space="preserve"> REF _Ref43984651 \r \h </w:instrText>
      </w:r>
      <w:r>
        <w:fldChar w:fldCharType="separate"/>
      </w:r>
      <w:r>
        <w:t>4.6</w:t>
      </w:r>
      <w:r>
        <w:fldChar w:fldCharType="end"/>
      </w:r>
      <w:r>
        <w:t xml:space="preserve">) should normally be placed outside the </w:t>
      </w:r>
      <w:r>
        <w:rPr>
          <w:rStyle w:val="Code"/>
        </w:rPr>
        <w:t>&lt;add&gt;</w:t>
      </w:r>
      <w:r>
        <w:t xml:space="preserve"> tags, but if an addition takes up the entirety of one or more physical lines (or stretches of text indicated by a gridlike milestone), then you may encode line beginnings and milestones within an addition at your discretion and number them as you deem appropriate; see </w:t>
      </w:r>
      <w:r>
        <w:fldChar w:fldCharType="begin"/>
      </w:r>
      <w:r>
        <w:instrText xml:space="preserve"> REF _Ref54603376 \h  \* MERGEFORMAT </w:instrText>
      </w:r>
      <w:r>
        <w:fldChar w:fldCharType="separate"/>
      </w:r>
      <w:r>
        <w:t xml:space="preserve">Exhibit </w:t>
      </w:r>
      <w:r>
        <w:rPr>
          <w:noProof/>
        </w:rPr>
        <w:t>3.2.D</w:t>
      </w:r>
      <w:r>
        <w:fldChar w:fldCharType="end"/>
      </w:r>
      <w:r>
        <w:t xml:space="preserve"> for an illustration</w:t>
      </w:r>
    </w:p>
    <w:p w14:paraId="021E8025" w14:textId="77777777">
      <w:pPr>
        <w:pStyle w:val="Cmsor4"/>
      </w:pPr>
      <w:bookmarkStart w:id="505" w:name="_Ref227848664"/>
      <w:r>
        <w:t>Encoding the place of the addition</w:t>
      </w:r>
      <w:bookmarkEnd w:id="505"/>
    </w:p>
    <w:p w14:paraId="6726B8B2" w14:textId="77777777">
      <w:pPr>
        <w:pStyle w:val="Lista"/>
      </w:pPr>
      <w:r>
        <w:t xml:space="preserve">the physical location of text added by the scribe is to be encoded with the attribute </w:t>
      </w:r>
      <w:r>
        <w:rPr>
          <w:rStyle w:val="Codeattribute"/>
        </w:rPr>
        <w:t>@place</w:t>
      </w:r>
      <w:r>
        <w:t xml:space="preserve"> on the </w:t>
      </w:r>
      <w:r>
        <w:rPr>
          <w:rStyle w:val="Code"/>
        </w:rPr>
        <w:t>&lt;add&gt;</w:t>
      </w:r>
      <w:r>
        <w:t xml:space="preserve"> element</w:t>
      </w:r>
    </w:p>
    <w:p w14:paraId="538879C7" w14:textId="77777777">
      <w:pPr>
        <w:pStyle w:val="Lista2"/>
      </w:pPr>
      <w:r>
        <w:t xml:space="preserve">in DHARMA encoding practice, this attribute must always be explicitly present on </w:t>
      </w:r>
      <w:r>
        <w:rPr>
          <w:rStyle w:val="Code"/>
        </w:rPr>
        <w:t>&lt;add&gt;</w:t>
      </w:r>
    </w:p>
    <w:p w14:paraId="35B4B477" w14:textId="77777777">
      <w:pPr>
        <w:pStyle w:val="Lista"/>
      </w:pPr>
      <w:r>
        <w:t>the attribute may take the following values:</w:t>
      </w:r>
    </w:p>
    <w:p w14:paraId="707C05A8" w14:textId="77777777">
      <w:pPr>
        <w:pStyle w:val="Lista2"/>
      </w:pPr>
      <w:r>
        <w:rPr>
          <w:rStyle w:val="Codevalue"/>
        </w:rPr>
        <w:t>"unspecified"</w:t>
      </w:r>
      <w:r>
        <w:t xml:space="preserve"> for cases where your only source is a previous edition that does not specify the place of the inserted text</w:t>
      </w:r>
    </w:p>
    <w:p w14:paraId="60F1E25C" w14:textId="77777777">
      <w:pPr>
        <w:pStyle w:val="Lista2"/>
      </w:pPr>
      <w:r>
        <w:rPr>
          <w:rStyle w:val="Codevalue"/>
        </w:rPr>
        <w:t>"inline"</w:t>
      </w:r>
      <w:r>
        <w:t xml:space="preserve"> for an addition inscribed within the same line in the immediate vicinity of the locus, including</w:t>
      </w:r>
    </w:p>
    <w:p w14:paraId="3A85C5A7" w14:textId="77777777">
      <w:pPr>
        <w:pStyle w:val="Lista3"/>
      </w:pPr>
      <w:r>
        <w:t>one or more glyphs inserted between two pre-engraved glyphs</w:t>
      </w:r>
    </w:p>
    <w:p w14:paraId="38FC7687" w14:textId="61D7FD6A">
      <w:pPr>
        <w:pStyle w:val="Lista3"/>
      </w:pPr>
      <w:r>
        <w:t xml:space="preserve">one or more glyphs inserted into a space previously left blank </w:t>
      </w:r>
      <w:r>
        <w:rPr>
          <w:noProof/>
        </w:rPr>
        <w:t>(</w:t>
      </w:r>
      <w:r>
        <w:t>§</w:t>
      </w:r>
      <w:r>
        <w:fldChar w:fldCharType="begin"/>
      </w:r>
      <w:r>
        <w:instrText xml:space="preserve"> REF _Ref43987728 \w \h  \* MERGEFORMAT </w:instrText>
      </w:r>
      <w:r>
        <w:fldChar w:fldCharType="separate"/>
      </w:r>
      <w:r>
        <w:t>5.5.2.1</w:t>
      </w:r>
      <w:r>
        <w:fldChar w:fldCharType="end"/>
      </w:r>
      <w:r>
        <w:t>)</w:t>
      </w:r>
    </w:p>
    <w:p w14:paraId="485BF13C" w14:textId="77777777">
      <w:pPr>
        <w:pStyle w:val="Lista3"/>
      </w:pPr>
      <w:r>
        <w:t>one or more graphs (e.g. a vowel marker or a subscript consonant) inserted into a pre-engraved glyph</w:t>
      </w:r>
    </w:p>
    <w:p w14:paraId="0A425C9F" w14:textId="77777777">
      <w:pPr>
        <w:pStyle w:val="Lista2"/>
      </w:pPr>
      <w:r>
        <w:rPr>
          <w:rStyle w:val="Codevalue"/>
        </w:rPr>
        <w:t>"above"</w:t>
      </w:r>
      <w:r>
        <w:t xml:space="preserve"> for an interlinear addition above the locus (in any horizontal position)</w:t>
      </w:r>
    </w:p>
    <w:p w14:paraId="2EE800BA" w14:textId="581E15BE">
      <w:pPr>
        <w:pStyle w:val="Lista2"/>
      </w:pPr>
      <w:r>
        <w:rPr>
          <w:rStyle w:val="Codevalue"/>
        </w:rPr>
        <w:t>"below"</w:t>
      </w:r>
      <w:r>
        <w:t xml:space="preserve"> for an interlinear addition below the locus (in any horizontal position), as in </w:t>
      </w:r>
      <w:r>
        <w:fldChar w:fldCharType="begin"/>
      </w:r>
      <w:r>
        <w:instrText xml:space="preserve"> REF _Ref227849711 \h </w:instrText>
      </w:r>
      <w:r>
        <w:fldChar w:fldCharType="separate"/>
      </w:r>
      <w:r>
        <w:t xml:space="preserve">Exhibit </w:t>
      </w:r>
      <w:r>
        <w:rPr>
          <w:noProof/>
        </w:rPr>
        <w:t>5.6</w:t>
      </w:r>
      <w:r>
        <w:t>.</w:t>
      </w:r>
      <w:r>
        <w:rPr>
          <w:noProof/>
        </w:rPr>
        <w:t>B</w:t>
      </w:r>
      <w:r>
        <w:fldChar w:fldCharType="end"/>
      </w:r>
    </w:p>
    <w:p w14:paraId="1570A58E" w14:textId="77777777">
      <w:pPr>
        <w:pStyle w:val="Lista2"/>
      </w:pPr>
      <w:r>
        <w:rPr>
          <w:rStyle w:val="Codevalue"/>
        </w:rPr>
        <w:t>"top"</w:t>
      </w:r>
      <w:r>
        <w:t xml:space="preserve"> for an addition in the top margin (in any horizontal position)</w:t>
      </w:r>
    </w:p>
    <w:p w14:paraId="1D8C0517" w14:textId="77777777">
      <w:pPr>
        <w:pStyle w:val="Lista2"/>
      </w:pPr>
      <w:r>
        <w:rPr>
          <w:rStyle w:val="Codevalue"/>
        </w:rPr>
        <w:t>"bottom"</w:t>
      </w:r>
      <w:r>
        <w:t xml:space="preserve"> for an addition in the bottom margin (in any horizontal position)</w:t>
      </w:r>
    </w:p>
    <w:p w14:paraId="1FAC084B" w14:textId="77777777">
      <w:pPr>
        <w:pStyle w:val="Lista2"/>
      </w:pPr>
      <w:r>
        <w:rPr>
          <w:rStyle w:val="Codevalue"/>
        </w:rPr>
        <w:t>"left"</w:t>
      </w:r>
      <w:r>
        <w:t xml:space="preserve"> for an addition in the left margin (in any vertical position)</w:t>
      </w:r>
    </w:p>
    <w:p w14:paraId="25C6DCEB" w14:textId="77777777">
      <w:pPr>
        <w:pStyle w:val="Lista2"/>
      </w:pPr>
      <w:r>
        <w:rPr>
          <w:rStyle w:val="Codevalue"/>
        </w:rPr>
        <w:t>"right"</w:t>
      </w:r>
      <w:r>
        <w:t xml:space="preserve"> for an addition in the right margin (in any vertical position)</w:t>
      </w:r>
    </w:p>
    <w:p w14:paraId="5915FBA3" w14:textId="2D819FAE">
      <w:pPr>
        <w:pStyle w:val="Lista2"/>
      </w:pPr>
      <w:r>
        <w:rPr>
          <w:rStyle w:val="Codevalue"/>
        </w:rPr>
        <w:lastRenderedPageBreak/>
        <w:t>"overstrike"</w:t>
      </w:r>
      <w:r>
        <w:t xml:space="preserve"> for an addition written over pre-existing text with the intent to replace (correct) it, discussed further in §</w:t>
      </w:r>
      <w:r>
        <w:fldChar w:fldCharType="begin"/>
      </w:r>
      <w:r>
        <w:instrText xml:space="preserve"> REF _Ref74727538 \r \h </w:instrText>
      </w:r>
      <w:r>
        <w:fldChar w:fldCharType="separate"/>
      </w:r>
      <w:r>
        <w:t>5.6.3</w:t>
      </w:r>
      <w:r>
        <w:fldChar w:fldCharType="end"/>
      </w:r>
    </w:p>
    <w:p w14:paraId="3B637501" w14:textId="77777777">
      <w:pPr>
        <w:rPr>
          <w:lang w:eastAsia="en-US" w:bidi="ar-SA"/>
        </w:rPr>
      </w:pPr>
    </w:p>
    <w:tbl>
      <w:tblPr>
        <w:tblStyle w:val="CodeSampleTable"/>
        <w:tblW w:w="5000" w:type="pct"/>
        <w:tblLook w:val="04A0" w:firstRow="1" w:lastRow="0" w:firstColumn="1" w:lastColumn="0" w:noHBand="0" w:noVBand="1"/>
      </w:tblPr>
      <w:tblGrid>
        <w:gridCol w:w="9628"/>
      </w:tblGrid>
      <w:tr w14:paraId="37ACC96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18C8A91" w14:textId="432D9D5D">
            <w:pPr>
              <w:pStyle w:val="Kpalrs"/>
              <w:keepLines/>
            </w:pPr>
            <w:bookmarkStart w:id="506" w:name="_Ref227849711"/>
            <w:r>
              <w:t xml:space="preserve">Exhibit </w:t>
            </w:r>
            <w:fldSimple w:instr=" STYLEREF 2 \s ">
              <w:r>
                <w:rPr>
                  <w:noProof/>
                </w:rPr>
                <w:t>5.6</w:t>
              </w:r>
            </w:fldSimple>
            <w:r>
              <w:t>.</w:t>
            </w:r>
            <w:fldSimple w:instr=" SEQ Exhibit \* ALPHABETIC \s 2 ">
              <w:r>
                <w:rPr>
                  <w:noProof/>
                </w:rPr>
                <w:t>B</w:t>
              </w:r>
            </w:fldSimple>
            <w:bookmarkEnd w:id="506"/>
            <w:r>
              <w:t>: premodern interlinear addition</w:t>
            </w:r>
          </w:p>
        </w:tc>
      </w:tr>
      <w:tr w14:paraId="5CFE6AD5" w14:textId="77777777">
        <w:tc>
          <w:tcPr>
            <w:tcW w:w="5000" w:type="pct"/>
          </w:tcPr>
          <w:p w14:paraId="7AB7171B" w14:textId="34A67B8C">
            <w:pPr>
              <w:pStyle w:val="TableNote"/>
              <w:keepNext/>
              <w:keepLines/>
            </w:pPr>
            <w:r>
              <w:t xml:space="preserve">an originally inscribed </w:t>
            </w:r>
            <w:r>
              <w:rPr>
                <w:rStyle w:val="Foreign"/>
              </w:rPr>
              <w:t>dīnāram</w:t>
            </w:r>
            <w:r>
              <w:t xml:space="preserve"> was corrected to </w:t>
            </w:r>
            <w:r>
              <w:rPr>
                <w:rStyle w:val="Foreign"/>
              </w:rPr>
              <w:t>dīnāra-dvayam</w:t>
            </w:r>
            <w:r>
              <w:t xml:space="preserve"> by adding </w:t>
            </w:r>
            <w:r>
              <w:rPr>
                <w:rStyle w:val="Foreign"/>
              </w:rPr>
              <w:t>dvaya</w:t>
            </w:r>
            <w:r>
              <w:t xml:space="preserve"> between lines below this word</w:t>
            </w:r>
          </w:p>
        </w:tc>
      </w:tr>
      <w:tr w14:paraId="0DEA7D66" w14:textId="77777777">
        <w:tc>
          <w:tcPr>
            <w:tcW w:w="5000" w:type="pct"/>
          </w:tcPr>
          <w:p w14:paraId="27554951" w14:textId="77777777">
            <w:pPr>
              <w:pStyle w:val="CodeParagraph"/>
              <w:rPr>
                <w:rStyle w:val="Code"/>
              </w:rPr>
            </w:pPr>
            <w:r>
              <w:rPr>
                <w:rStyle w:val="Codetext"/>
              </w:rPr>
              <w:t>dīnāra</w:t>
            </w:r>
            <w:r>
              <w:rPr>
                <w:rStyle w:val="Code"/>
              </w:rPr>
              <w:t xml:space="preserve">&lt;add </w:t>
            </w:r>
            <w:r>
              <w:rPr>
                <w:rStyle w:val="Codeattribute"/>
              </w:rPr>
              <w:t>place</w:t>
            </w:r>
            <w:r>
              <w:rPr>
                <w:rStyle w:val="Code"/>
              </w:rPr>
              <w:t>=</w:t>
            </w:r>
            <w:r>
              <w:rPr>
                <w:rStyle w:val="Codevalue"/>
              </w:rPr>
              <w:t>"below"</w:t>
            </w:r>
            <w:r>
              <w:rPr>
                <w:rStyle w:val="Code"/>
              </w:rPr>
              <w:t>&gt;</w:t>
            </w:r>
            <w:r>
              <w:rPr>
                <w:rStyle w:val="Codetext"/>
              </w:rPr>
              <w:t>-dvaya</w:t>
            </w:r>
            <w:r>
              <w:rPr>
                <w:rStyle w:val="Code"/>
              </w:rPr>
              <w:t>&lt;/add&gt;</w:t>
            </w:r>
            <w:r>
              <w:rPr>
                <w:rStyle w:val="Codetext"/>
              </w:rPr>
              <w:t>m</w:t>
            </w:r>
          </w:p>
        </w:tc>
      </w:tr>
    </w:tbl>
    <w:p w14:paraId="77D964C7" w14:textId="77777777"/>
    <w:tbl>
      <w:tblPr>
        <w:tblStyle w:val="CodeSampleTable"/>
        <w:tblW w:w="5000" w:type="pct"/>
        <w:tblLook w:val="04A0" w:firstRow="1" w:lastRow="0" w:firstColumn="1" w:lastColumn="0" w:noHBand="0" w:noVBand="1"/>
      </w:tblPr>
      <w:tblGrid>
        <w:gridCol w:w="6833"/>
        <w:gridCol w:w="2795"/>
      </w:tblGrid>
      <w:tr w14:paraId="093289C1" w14:textId="77777777">
        <w:trPr>
          <w:cnfStyle w:val="100000000000" w:firstRow="1" w:lastRow="0" w:firstColumn="0" w:lastColumn="0" w:oddVBand="0" w:evenVBand="0" w:oddHBand="0" w:evenHBand="0" w:firstRowFirstColumn="0" w:firstRowLastColumn="0" w:lastRowFirstColumn="0" w:lastRowLastColumn="0"/>
        </w:trPr>
        <w:tc>
          <w:tcPr>
            <w:tcW w:w="0" w:type="auto"/>
            <w:gridSpan w:val="2"/>
          </w:tcPr>
          <w:p w14:paraId="69FC255E" w14:textId="3B77CF69">
            <w:pPr>
              <w:pStyle w:val="Kpalrs"/>
              <w:keepLines/>
            </w:pPr>
            <w:bookmarkStart w:id="507" w:name="_Ref44078703"/>
            <w:r>
              <w:t xml:space="preserve">Exhibit </w:t>
            </w:r>
            <w:fldSimple w:instr=" STYLEREF 2 \s ">
              <w:r>
                <w:rPr>
                  <w:noProof/>
                </w:rPr>
                <w:t>5.6</w:t>
              </w:r>
            </w:fldSimple>
            <w:r>
              <w:t>.</w:t>
            </w:r>
            <w:fldSimple w:instr=" SEQ Exhibit \* ALPHABETIC \s 2 ">
              <w:r>
                <w:rPr>
                  <w:noProof/>
                </w:rPr>
                <w:t>C</w:t>
              </w:r>
            </w:fldSimple>
            <w:bookmarkEnd w:id="507"/>
            <w:r>
              <w:t>: premodern addition with a scribal mark next to the added text</w:t>
            </w:r>
          </w:p>
        </w:tc>
      </w:tr>
      <w:tr w14:paraId="5367D0DA" w14:textId="77777777">
        <w:tc>
          <w:tcPr>
            <w:tcW w:w="0" w:type="auto"/>
          </w:tcPr>
          <w:p w14:paraId="72DB553A" w14:textId="77777777">
            <w:pPr>
              <w:pStyle w:val="TableNote"/>
              <w:keepNext/>
              <w:keepLines/>
            </w:pPr>
            <w:r>
              <w:t xml:space="preserve">an originally inscribed </w:t>
            </w:r>
            <w:r>
              <w:rPr>
                <w:rStyle w:val="Foreign"/>
              </w:rPr>
              <w:t>maphalā</w:t>
            </w:r>
            <w:r>
              <w:t xml:space="preserve"> was corrected into </w:t>
            </w:r>
            <w:r>
              <w:rPr>
                <w:rStyle w:val="Foreign"/>
              </w:rPr>
              <w:t>makaphalā</w:t>
            </w:r>
            <w:r>
              <w:t xml:space="preserve"> by adding </w:t>
            </w:r>
            <w:r>
              <w:rPr>
                <w:rStyle w:val="Foreign"/>
              </w:rPr>
              <w:t>ka</w:t>
            </w:r>
            <w:r>
              <w:t xml:space="preserve"> between lines below this word </w:t>
            </w:r>
            <w:r>
              <w:rPr>
                <w:noProof/>
              </w:rPr>
              <w:t>(</w:t>
            </w:r>
            <w:r>
              <w:t>see the illustration)</w:t>
            </w:r>
          </w:p>
          <w:p w14:paraId="6361810A" w14:textId="77777777">
            <w:pPr>
              <w:pStyle w:val="TableNote"/>
              <w:keepNext/>
              <w:keepLines/>
            </w:pPr>
            <w:r>
              <w:t xml:space="preserve">the scribal marks on the left and right of the added </w:t>
            </w:r>
            <w:r>
              <w:rPr>
                <w:rStyle w:val="Foreign"/>
              </w:rPr>
              <w:t>ka</w:t>
            </w:r>
            <w:r>
              <w:t xml:space="preserve"> look like punctuation marks, but the scribe’s intention was </w:t>
            </w:r>
            <w:r>
              <w:rPr>
                <w:b/>
                <w:bCs/>
              </w:rPr>
              <w:t>not</w:t>
            </w:r>
            <w:r>
              <w:t xml:space="preserve"> to write </w:t>
            </w:r>
            <w:r>
              <w:rPr>
                <w:rStyle w:val="Foreign"/>
              </w:rPr>
              <w:t>ma,ka,phalā</w:t>
            </w:r>
            <w:r>
              <w:t xml:space="preserve"> so we should not interpret these marks as punctuation marks</w:t>
            </w:r>
          </w:p>
        </w:tc>
        <w:tc>
          <w:tcPr>
            <w:tcW w:w="0" w:type="auto"/>
          </w:tcPr>
          <w:p w14:paraId="2EA036EC" w14:textId="77777777">
            <w:pPr>
              <w:pStyle w:val="Image"/>
              <w:keepLines/>
              <w:widowControl/>
              <w:spacing w:after="0"/>
            </w:pPr>
            <w:r>
              <w:drawing>
                <wp:inline distT="0" distB="0" distL="0" distR="0" wp14:anchorId="08F8B3B6" wp14:editId="481309E2">
                  <wp:extent cx="1771200" cy="1080000"/>
                  <wp:effectExtent l="0" t="0" r="635" b="635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7">
                            <a:extLst>
                              <a:ext uri="{28A0092B-C50C-407E-A947-70E740481C1C}">
                                <a14:useLocalDpi xmlns:a14="http://schemas.microsoft.com/office/drawing/2010/main" val="0"/>
                              </a:ext>
                            </a:extLst>
                          </a:blip>
                          <a:srcRect/>
                          <a:stretch>
                            <a:fillRect/>
                          </a:stretch>
                        </pic:blipFill>
                        <pic:spPr>
                          <a:xfrm>
                            <a:off x="0" y="0"/>
                            <a:ext cx="1771200" cy="1080000"/>
                          </a:xfrm>
                          <a:prstGeom prst="rect">
                            <a:avLst/>
                          </a:prstGeom>
                          <a:ln/>
                        </pic:spPr>
                      </pic:pic>
                    </a:graphicData>
                  </a:graphic>
                </wp:inline>
              </w:drawing>
            </w:r>
          </w:p>
        </w:tc>
      </w:tr>
      <w:tr w14:paraId="0F61B52F" w14:textId="77777777">
        <w:tc>
          <w:tcPr>
            <w:tcW w:w="0" w:type="auto"/>
            <w:gridSpan w:val="2"/>
          </w:tcPr>
          <w:p w14:paraId="50C42239" w14:textId="77777777">
            <w:pPr>
              <w:pStyle w:val="CodeParagraph"/>
              <w:rPr>
                <w:rStyle w:val="Code"/>
              </w:rPr>
            </w:pPr>
            <w:r>
              <w:rPr>
                <w:rStyle w:val="Codetext"/>
              </w:rPr>
              <w:t>ma</w:t>
            </w:r>
            <w:r>
              <w:rPr>
                <w:rStyle w:val="Code"/>
              </w:rPr>
              <w:t xml:space="preserve">&lt;add </w:t>
            </w:r>
            <w:r>
              <w:rPr>
                <w:rStyle w:val="Codeattribute"/>
              </w:rPr>
              <w:t>place</w:t>
            </w:r>
            <w:r>
              <w:rPr>
                <w:rStyle w:val="Code"/>
              </w:rPr>
              <w:t>=</w:t>
            </w:r>
            <w:r>
              <w:rPr>
                <w:rStyle w:val="Codevalue"/>
              </w:rPr>
              <w:t>"below"</w:t>
            </w:r>
            <w:r>
              <w:rPr>
                <w:rStyle w:val="Code"/>
              </w:rPr>
              <w:t xml:space="preserve"> </w:t>
            </w:r>
            <w:r>
              <w:rPr>
                <w:rStyle w:val="Codeattribute"/>
              </w:rPr>
              <w:t>rend</w:t>
            </w:r>
            <w:r>
              <w:rPr>
                <w:rStyle w:val="Code"/>
              </w:rPr>
              <w:t>=</w:t>
            </w:r>
            <w:r>
              <w:rPr>
                <w:rStyle w:val="Codevalue"/>
              </w:rPr>
              <w:t>"mark"</w:t>
            </w:r>
            <w:r>
              <w:rPr>
                <w:rStyle w:val="Code"/>
              </w:rPr>
              <w:t>&gt;</w:t>
            </w:r>
            <w:r>
              <w:rPr>
                <w:rStyle w:val="Codetext"/>
              </w:rPr>
              <w:t>ka</w:t>
            </w:r>
            <w:r>
              <w:rPr>
                <w:rStyle w:val="Code"/>
              </w:rPr>
              <w:t>&lt;/add&gt;</w:t>
            </w:r>
            <w:r>
              <w:rPr>
                <w:rStyle w:val="Codetext"/>
              </w:rPr>
              <w:t>phalā</w:t>
            </w:r>
          </w:p>
        </w:tc>
      </w:tr>
    </w:tbl>
    <w:p w14:paraId="327082B3" w14:textId="77777777">
      <w:bookmarkStart w:id="508" w:name="_maecup4bnx3" w:colFirst="0" w:colLast="0"/>
      <w:bookmarkStart w:id="509" w:name="_Ref43987708"/>
      <w:bookmarkEnd w:id="508"/>
    </w:p>
    <w:tbl>
      <w:tblPr>
        <w:tblStyle w:val="CodeSampleTable"/>
        <w:tblW w:w="5000" w:type="pct"/>
        <w:tblLook w:val="04A0" w:firstRow="1" w:lastRow="0" w:firstColumn="1" w:lastColumn="0" w:noHBand="0" w:noVBand="1"/>
      </w:tblPr>
      <w:tblGrid>
        <w:gridCol w:w="6091"/>
        <w:gridCol w:w="3537"/>
      </w:tblGrid>
      <w:tr w14:paraId="01142AFE"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2152D077" w14:textId="28765062">
            <w:pPr>
              <w:pStyle w:val="Kpalrs"/>
              <w:keepLines/>
            </w:pPr>
            <w:bookmarkStart w:id="510" w:name="_Ref227849782"/>
            <w:r>
              <w:t xml:space="preserve">Exhibit </w:t>
            </w:r>
            <w:fldSimple w:instr=" STYLEREF 2 \s ">
              <w:r>
                <w:rPr>
                  <w:noProof/>
                </w:rPr>
                <w:t>5.6</w:t>
              </w:r>
            </w:fldSimple>
            <w:r>
              <w:t>.</w:t>
            </w:r>
            <w:fldSimple w:instr=" SEQ Exhibit \* ALPHABETIC \s 2 ">
              <w:r>
                <w:rPr>
                  <w:noProof/>
                </w:rPr>
                <w:t>D</w:t>
              </w:r>
            </w:fldSimple>
            <w:bookmarkEnd w:id="510"/>
            <w:r>
              <w:t>: premodern addition with a scribal mark next to the place of addition</w:t>
            </w:r>
          </w:p>
        </w:tc>
      </w:tr>
      <w:tr w14:paraId="253BA2CC" w14:textId="77777777">
        <w:tc>
          <w:tcPr>
            <w:tcW w:w="3163" w:type="pct"/>
          </w:tcPr>
          <w:p w14:paraId="7DC209DE" w14:textId="77777777">
            <w:pPr>
              <w:pStyle w:val="TableNote"/>
              <w:keepNext/>
              <w:keepLines/>
            </w:pPr>
            <w:r>
              <w:t xml:space="preserve">the glyph </w:t>
            </w:r>
            <w:r>
              <w:rPr>
                <w:rStyle w:val="Foreign"/>
              </w:rPr>
              <w:t>va</w:t>
            </w:r>
            <w:r>
              <w:t xml:space="preserve"> was omitted from the text </w:t>
            </w:r>
            <w:r>
              <w:rPr>
                <w:rStyle w:val="Foreign"/>
              </w:rPr>
              <w:t>°r avadhāraṇayā</w:t>
            </w:r>
          </w:p>
          <w:p w14:paraId="18018150" w14:textId="77777777">
            <w:pPr>
              <w:pStyle w:val="TableNote"/>
              <w:keepNext/>
              <w:keepLines/>
            </w:pPr>
            <w:r>
              <w:t>subsequently inserted below the line</w:t>
            </w:r>
          </w:p>
          <w:p w14:paraId="0CCA9C3A" w14:textId="77777777">
            <w:pPr>
              <w:pStyle w:val="TableNote"/>
              <w:keepNext/>
              <w:keepLines/>
            </w:pPr>
            <w:r>
              <w:t xml:space="preserve">with </w:t>
            </w:r>
            <w:r>
              <w:rPr>
                <w:rStyle w:val="Foreign"/>
              </w:rPr>
              <w:t>kākapada</w:t>
            </w:r>
            <w:r>
              <w:t xml:space="preserve"> marking the spot of addition</w:t>
            </w:r>
          </w:p>
        </w:tc>
        <w:tc>
          <w:tcPr>
            <w:tcW w:w="1837" w:type="pct"/>
          </w:tcPr>
          <w:p w14:paraId="53D81F75" w14:textId="77777777">
            <w:pPr>
              <w:pStyle w:val="Image"/>
              <w:keepLines/>
              <w:widowControl/>
              <w:spacing w:after="0"/>
            </w:pPr>
            <w:r>
              <w:rPr>
                <w:rStyle w:val="Codetext"/>
              </w:rPr>
              <w:drawing>
                <wp:inline distT="0" distB="0" distL="0" distR="0" wp14:anchorId="1D6F08DB" wp14:editId="47B386A9">
                  <wp:extent cx="2001600" cy="1080000"/>
                  <wp:effectExtent l="0" t="0" r="0" b="635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001600" cy="1080000"/>
                          </a:xfrm>
                          <a:prstGeom prst="rect">
                            <a:avLst/>
                          </a:prstGeom>
                          <a:noFill/>
                          <a:ln>
                            <a:noFill/>
                          </a:ln>
                        </pic:spPr>
                      </pic:pic>
                    </a:graphicData>
                  </a:graphic>
                </wp:inline>
              </w:drawing>
            </w:r>
          </w:p>
        </w:tc>
      </w:tr>
      <w:tr w14:paraId="0A0946B0" w14:textId="77777777">
        <w:tc>
          <w:tcPr>
            <w:tcW w:w="5000" w:type="pct"/>
            <w:gridSpan w:val="2"/>
          </w:tcPr>
          <w:p w14:paraId="7BE13709" w14:textId="77777777">
            <w:pPr>
              <w:pStyle w:val="CodeParagraph"/>
              <w:rPr>
                <w:rStyle w:val="Code"/>
              </w:rPr>
            </w:pPr>
            <w:r>
              <w:rPr>
                <w:rStyle w:val="Code"/>
              </w:rPr>
              <w:t xml:space="preserve">r a&lt;add </w:t>
            </w:r>
            <w:r>
              <w:rPr>
                <w:rStyle w:val="Codeattribute"/>
              </w:rPr>
              <w:t>place</w:t>
            </w:r>
            <w:r>
              <w:rPr>
                <w:rStyle w:val="Code"/>
              </w:rPr>
              <w:t>=</w:t>
            </w:r>
            <w:r>
              <w:rPr>
                <w:rStyle w:val="Codevalue"/>
              </w:rPr>
              <w:t xml:space="preserve">"below" </w:t>
            </w:r>
            <w:r>
              <w:rPr>
                <w:rStyle w:val="Codeattribute"/>
              </w:rPr>
              <w:t>rend</w:t>
            </w:r>
            <w:r>
              <w:rPr>
                <w:rStyle w:val="Code"/>
              </w:rPr>
              <w:t>=</w:t>
            </w:r>
            <w:r>
              <w:rPr>
                <w:rStyle w:val="Codevalue"/>
              </w:rPr>
              <w:t>"mark"</w:t>
            </w:r>
            <w:r>
              <w:rPr>
                <w:rStyle w:val="Code"/>
              </w:rPr>
              <w:t>&gt;</w:t>
            </w:r>
            <w:r>
              <w:rPr>
                <w:rStyle w:val="Codetext"/>
              </w:rPr>
              <w:t>va</w:t>
            </w:r>
            <w:r>
              <w:rPr>
                <w:rStyle w:val="Code"/>
              </w:rPr>
              <w:t>&lt;/add&gt;&lt;/subst&gt;</w:t>
            </w:r>
            <w:r>
              <w:rPr>
                <w:rStyle w:val="Codetext"/>
              </w:rPr>
              <w:t>dhāraṇayā</w:t>
            </w:r>
          </w:p>
        </w:tc>
      </w:tr>
    </w:tbl>
    <w:p w14:paraId="20E98F81" w14:textId="77777777"/>
    <w:p w14:paraId="3B32F8DE" w14:textId="77777777">
      <w:pPr>
        <w:pStyle w:val="Cmsor3"/>
      </w:pPr>
      <w:bookmarkStart w:id="511" w:name="_Ref74727538"/>
      <w:bookmarkStart w:id="512" w:name="_Toc242889513"/>
      <w:r>
        <w:t>Scribal correction</w:t>
      </w:r>
      <w:bookmarkEnd w:id="509"/>
      <w:bookmarkEnd w:id="511"/>
      <w:bookmarkEnd w:id="512"/>
    </w:p>
    <w:p w14:paraId="2D822E8C" w14:textId="77777777">
      <w:r>
        <w:t xml:space="preserve">Scribal correction is the deliberate cancellation of one or more graphemes in a pre-written text by a scribe, accompanied by the restitution of (not necessarily the same number of) other graphemes. Scribal correction is usually of editorial nature, replacing text deemed erroneous with text deemed correct, but may also be an amendment of the content. </w:t>
      </w:r>
    </w:p>
    <w:p w14:paraId="764078CA" w14:textId="2615BBFC">
      <w:pPr>
        <w:pStyle w:val="Lista"/>
      </w:pPr>
      <w:r>
        <w:t xml:space="preserve">when a correction is inscribed over previously engraved text which was rendered altogether illegible in the process and cannot be restored with any confidence, encode the correction as an addition with </w:t>
      </w:r>
      <w:r>
        <w:rPr>
          <w:rStyle w:val="Codeattribute"/>
        </w:rPr>
        <w:t>@place</w:t>
      </w:r>
      <w:r>
        <w:rPr>
          <w:rStyle w:val="Code"/>
        </w:rPr>
        <w:t>=</w:t>
      </w:r>
      <w:r>
        <w:rPr>
          <w:rStyle w:val="Codevalue"/>
        </w:rPr>
        <w:t>"overstrike"</w:t>
      </w:r>
      <w:r>
        <w:t xml:space="preserve">, as in </w:t>
      </w:r>
      <w:r>
        <w:fldChar w:fldCharType="begin"/>
      </w:r>
      <w:r>
        <w:instrText xml:space="preserve"> REF _Ref227852073 \h </w:instrText>
      </w:r>
      <w:r>
        <w:fldChar w:fldCharType="separate"/>
      </w:r>
      <w:r>
        <w:t xml:space="preserve">Exhibit </w:t>
      </w:r>
      <w:r>
        <w:rPr>
          <w:noProof/>
        </w:rPr>
        <w:t>5.6</w:t>
      </w:r>
      <w:r>
        <w:t>.</w:t>
      </w:r>
      <w:r>
        <w:rPr>
          <w:noProof/>
        </w:rPr>
        <w:t>E</w:t>
      </w:r>
      <w:r>
        <w:fldChar w:fldCharType="end"/>
      </w:r>
    </w:p>
    <w:p w14:paraId="2266C59C" w14:textId="77777777">
      <w:pPr>
        <w:pStyle w:val="Lista2"/>
      </w:pPr>
      <w:r>
        <w:t>in this case, the presence of cancelled pre-correction text is merely implied by the special value of this attribute</w:t>
      </w:r>
    </w:p>
    <w:p w14:paraId="5BB7BE9F" w14:textId="77777777">
      <w:pPr>
        <w:pStyle w:val="Lista"/>
      </w:pPr>
      <w:r>
        <w:t xml:space="preserve">whenever any of the pre-correction text can be read or restored, with high or low confidence, scribal correction must be encoded as a combination of scribal deletion and scribal addition, wrapped in the element </w:t>
      </w:r>
      <w:r>
        <w:rPr>
          <w:rStyle w:val="Code"/>
        </w:rPr>
        <w:t>&lt;subst&gt;</w:t>
      </w:r>
      <w:r>
        <w:t xml:space="preserve"> to show that one is meant to be substituted by the other</w:t>
      </w:r>
    </w:p>
    <w:p w14:paraId="3318C882" w14:textId="43583795">
      <w:pPr>
        <w:pStyle w:val="Lista2"/>
      </w:pPr>
      <w:r>
        <w:t xml:space="preserve">within this element, use </w:t>
      </w:r>
      <w:r>
        <w:rPr>
          <w:rStyle w:val="Code"/>
        </w:rPr>
        <w:t>&lt;del&gt;</w:t>
      </w:r>
      <w:r>
        <w:t xml:space="preserve"> (§</w:t>
      </w:r>
      <w:r>
        <w:fldChar w:fldCharType="begin"/>
      </w:r>
      <w:r>
        <w:instrText xml:space="preserve"> REF _Ref43985171 \r \h </w:instrText>
      </w:r>
      <w:r>
        <w:fldChar w:fldCharType="separate"/>
      </w:r>
      <w:r>
        <w:t>5.6.1</w:t>
      </w:r>
      <w:r>
        <w:fldChar w:fldCharType="end"/>
      </w:r>
      <w:r>
        <w:t xml:space="preserve">) and </w:t>
      </w:r>
      <w:r>
        <w:rPr>
          <w:rStyle w:val="Code"/>
        </w:rPr>
        <w:t>&lt;add&gt;</w:t>
      </w:r>
      <w:r>
        <w:t xml:space="preserve"> (§</w:t>
      </w:r>
      <w:r>
        <w:fldChar w:fldCharType="begin"/>
      </w:r>
      <w:r>
        <w:instrText xml:space="preserve"> REF _Ref227850832 \r \h </w:instrText>
      </w:r>
      <w:r>
        <w:fldChar w:fldCharType="separate"/>
      </w:r>
      <w:r>
        <w:t>5.6.2</w:t>
      </w:r>
      <w:r>
        <w:fldChar w:fldCharType="end"/>
      </w:r>
      <w:r>
        <w:t>) as instructed above and with any applicable attributes, with the following additional considerations</w:t>
      </w:r>
    </w:p>
    <w:p w14:paraId="58D0E889" w14:textId="77777777">
      <w:pPr>
        <w:pStyle w:val="Lista3"/>
      </w:pPr>
      <w:r>
        <w:t xml:space="preserve">use the attribute </w:t>
      </w:r>
      <w:r>
        <w:rPr>
          <w:rStyle w:val="Codeattribute"/>
        </w:rPr>
        <w:t>@rend=</w:t>
      </w:r>
      <w:r>
        <w:rPr>
          <w:rStyle w:val="Codevalue"/>
        </w:rPr>
        <w:t>"corrected"</w:t>
      </w:r>
      <w:r>
        <w:t xml:space="preserve"> on </w:t>
      </w:r>
      <w:r>
        <w:rPr>
          <w:rStyle w:val="Code"/>
        </w:rPr>
        <w:t>&lt;add&gt;</w:t>
      </w:r>
      <w:r>
        <w:t xml:space="preserve"> if the text to be replaced was neither erased nor marked for cancellation</w:t>
      </w:r>
    </w:p>
    <w:p w14:paraId="6175AA48" w14:textId="6E5E9301">
      <w:pPr>
        <w:pStyle w:val="Lista4"/>
      </w:pPr>
      <w:r>
        <w:t xml:space="preserve">either because it was overwritten with the post-correction text, as in </w:t>
      </w:r>
      <w:r>
        <w:fldChar w:fldCharType="begin"/>
      </w:r>
      <w:r>
        <w:instrText xml:space="preserve"> REF _Ref227852073 \h </w:instrText>
      </w:r>
      <w:r>
        <w:fldChar w:fldCharType="separate"/>
      </w:r>
      <w:r>
        <w:t xml:space="preserve">Exhibit </w:t>
      </w:r>
      <w:r>
        <w:rPr>
          <w:noProof/>
        </w:rPr>
        <w:t>5.6</w:t>
      </w:r>
      <w:r>
        <w:t>.</w:t>
      </w:r>
      <w:r>
        <w:rPr>
          <w:noProof/>
        </w:rPr>
        <w:t>E</w:t>
      </w:r>
      <w:r>
        <w:fldChar w:fldCharType="end"/>
      </w:r>
    </w:p>
    <w:p w14:paraId="7A12762D" w14:textId="7969F7BD">
      <w:pPr>
        <w:pStyle w:val="Lista4"/>
      </w:pPr>
      <w:r>
        <w:t xml:space="preserve">or because it was left in place without any apparent alteration and the post-correction text was inscribed nearby, as in </w:t>
      </w:r>
      <w:r>
        <w:fldChar w:fldCharType="begin"/>
      </w:r>
      <w:r>
        <w:instrText xml:space="preserve"> REF _Ref227852091 \h </w:instrText>
      </w:r>
      <w:r>
        <w:fldChar w:fldCharType="separate"/>
      </w:r>
      <w:r>
        <w:t xml:space="preserve">Exhibit </w:t>
      </w:r>
      <w:r>
        <w:rPr>
          <w:noProof/>
        </w:rPr>
        <w:t>5.6</w:t>
      </w:r>
      <w:r>
        <w:t>.</w:t>
      </w:r>
      <w:r>
        <w:rPr>
          <w:noProof/>
        </w:rPr>
        <w:t>F</w:t>
      </w:r>
      <w:r>
        <w:fldChar w:fldCharType="end"/>
      </w:r>
    </w:p>
    <w:p w14:paraId="314C9D60" w14:textId="66E153A6">
      <w:pPr>
        <w:pStyle w:val="Lista3"/>
      </w:pPr>
      <w:r>
        <w:t xml:space="preserve">use the attribute the attribute </w:t>
      </w:r>
      <w:r>
        <w:rPr>
          <w:rStyle w:val="Codeattribute"/>
        </w:rPr>
        <w:t>@place=</w:t>
      </w:r>
      <w:r>
        <w:rPr>
          <w:rStyle w:val="Codevalue"/>
        </w:rPr>
        <w:t>"overstrike"</w:t>
      </w:r>
      <w:r>
        <w:t xml:space="preserve"> on </w:t>
      </w:r>
      <w:r>
        <w:rPr>
          <w:rStyle w:val="Code"/>
        </w:rPr>
        <w:t>&lt;add&gt;</w:t>
      </w:r>
      <w:r>
        <w:t xml:space="preserve"> if the replacement text is inscribed right over the pre-correction text </w:t>
      </w:r>
      <w:r>
        <w:rPr>
          <w:noProof/>
        </w:rPr>
        <w:t>(</w:t>
      </w:r>
      <w:r>
        <w:t xml:space="preserve">rather than at some other position), as in </w:t>
      </w:r>
      <w:r>
        <w:fldChar w:fldCharType="begin"/>
      </w:r>
      <w:r>
        <w:instrText xml:space="preserve"> REF _Ref227852073 \h </w:instrText>
      </w:r>
      <w:r>
        <w:fldChar w:fldCharType="separate"/>
      </w:r>
      <w:r>
        <w:t xml:space="preserve">Exhibit </w:t>
      </w:r>
      <w:r>
        <w:rPr>
          <w:noProof/>
        </w:rPr>
        <w:t>5.6</w:t>
      </w:r>
      <w:r>
        <w:t>.</w:t>
      </w:r>
      <w:r>
        <w:rPr>
          <w:noProof/>
        </w:rPr>
        <w:t>E</w:t>
      </w:r>
      <w:r>
        <w:fldChar w:fldCharType="end"/>
      </w:r>
    </w:p>
    <w:p w14:paraId="633E3D9F" w14:textId="7B64C235">
      <w:pPr>
        <w:pStyle w:val="Lista"/>
      </w:pPr>
      <w:r>
        <w:lastRenderedPageBreak/>
        <w:t xml:space="preserve">occasionally, scribal correction may take place without explicit addition, when the correction consists in changing the order of the already inscribed glyphs, and this is indicated by a mark rather than by re-inscribing the glyphs in the correct order, as in </w:t>
      </w:r>
      <w:r>
        <w:fldChar w:fldCharType="begin"/>
      </w:r>
      <w:r>
        <w:instrText xml:space="preserve"> REF _Ref227853363 \h </w:instrText>
      </w:r>
      <w:r>
        <w:fldChar w:fldCharType="separate"/>
      </w:r>
      <w:r>
        <w:t xml:space="preserve">Exhibit </w:t>
      </w:r>
      <w:r>
        <w:rPr>
          <w:noProof/>
        </w:rPr>
        <w:t>5.6</w:t>
      </w:r>
      <w:r>
        <w:t>.</w:t>
      </w:r>
      <w:r>
        <w:rPr>
          <w:noProof/>
        </w:rPr>
        <w:t>H</w:t>
      </w:r>
      <w:r>
        <w:fldChar w:fldCharType="end"/>
      </w:r>
    </w:p>
    <w:p w14:paraId="65CEDD1E" w14:textId="77777777">
      <w:pPr>
        <w:pStyle w:val="Lista2"/>
      </w:pPr>
      <w:r>
        <w:t xml:space="preserve">if you are confident in your interpretation of such a situation, encode scribal correction normally, putting the presumably intended corrected reading in </w:t>
      </w:r>
      <w:r>
        <w:rPr>
          <w:rStyle w:val="Code"/>
        </w:rPr>
        <w:t>&lt;add&gt;</w:t>
      </w:r>
    </w:p>
    <w:p w14:paraId="4C05B85E" w14:textId="77777777"/>
    <w:tbl>
      <w:tblPr>
        <w:tblStyle w:val="CodeSampleTable"/>
        <w:tblW w:w="5000" w:type="pct"/>
        <w:tblLook w:val="04A0" w:firstRow="1" w:lastRow="0" w:firstColumn="1" w:lastColumn="0" w:noHBand="0" w:noVBand="1"/>
      </w:tblPr>
      <w:tblGrid>
        <w:gridCol w:w="5665"/>
        <w:gridCol w:w="3963"/>
      </w:tblGrid>
      <w:tr w14:paraId="22BCFE40"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127EBA47" w14:textId="090EF7B2">
            <w:pPr>
              <w:pStyle w:val="Kpalrs"/>
            </w:pPr>
            <w:bookmarkStart w:id="513" w:name="_Ref227852073"/>
            <w:r>
              <w:t xml:space="preserve">Exhibit </w:t>
            </w:r>
            <w:fldSimple w:instr=" STYLEREF 2 \s ">
              <w:r>
                <w:rPr>
                  <w:noProof/>
                </w:rPr>
                <w:t>5.6</w:t>
              </w:r>
            </w:fldSimple>
            <w:r>
              <w:t>.</w:t>
            </w:r>
            <w:fldSimple w:instr=" SEQ Exhibit \* ALPHABETIC \s 2 ">
              <w:r>
                <w:rPr>
                  <w:noProof/>
                </w:rPr>
                <w:t>E</w:t>
              </w:r>
            </w:fldSimple>
            <w:bookmarkEnd w:id="513"/>
            <w:r>
              <w:t>: scribal correction by overwriting</w:t>
            </w:r>
          </w:p>
        </w:tc>
      </w:tr>
      <w:tr w14:paraId="034DC3B1" w14:textId="77777777">
        <w:tc>
          <w:tcPr>
            <w:tcW w:w="2942" w:type="pct"/>
          </w:tcPr>
          <w:p w14:paraId="4772A987" w14:textId="77777777">
            <w:pPr>
              <w:pStyle w:val="TableNote"/>
              <w:keepNext/>
            </w:pPr>
            <w:r>
              <w:t xml:space="preserve">the glyphs </w:t>
            </w:r>
            <w:r>
              <w:rPr>
                <w:rStyle w:val="Foreign"/>
              </w:rPr>
              <w:t>tuṣṭa</w:t>
            </w:r>
            <w:r>
              <w:t xml:space="preserve"> were overwritten with </w:t>
            </w:r>
            <w:r>
              <w:rPr>
                <w:rStyle w:val="Foreign"/>
              </w:rPr>
              <w:t>catu</w:t>
            </w:r>
            <w:r>
              <w:t xml:space="preserve"> because the scribe had omitted the first </w:t>
            </w:r>
            <w:r>
              <w:rPr>
                <w:rStyle w:val="Foreign"/>
              </w:rPr>
              <w:t>akṣara</w:t>
            </w:r>
            <w:r>
              <w:t xml:space="preserve"> of the word </w:t>
            </w:r>
            <w:r>
              <w:rPr>
                <w:rStyle w:val="Foreign"/>
              </w:rPr>
              <w:t>catuṣṭayaṁ</w:t>
            </w:r>
            <w:r>
              <w:t>, but noticed and corrected the mistake immediately</w:t>
            </w:r>
          </w:p>
          <w:p w14:paraId="14DE7670" w14:textId="77777777">
            <w:pPr>
              <w:pStyle w:val="TableNote"/>
              <w:keepNext/>
            </w:pPr>
            <w:r>
              <w:t>the pre-correction glyphs are not deleted (</w:t>
            </w:r>
            <w:r>
              <w:rPr>
                <w:rStyle w:val="Codeattribute"/>
                <w:sz w:val="18"/>
                <w:szCs w:val="18"/>
              </w:rPr>
              <w:t>@rend</w:t>
            </w:r>
            <w:r>
              <w:rPr>
                <w:rStyle w:val="Codetext"/>
              </w:rPr>
              <w:t>=</w:t>
            </w:r>
            <w:r>
              <w:rPr>
                <w:rStyle w:val="Codevalue"/>
                <w:sz w:val="18"/>
                <w:szCs w:val="18"/>
              </w:rPr>
              <w:t>"corrected"</w:t>
            </w:r>
            <w:r>
              <w:t xml:space="preserve"> on </w:t>
            </w:r>
            <w:r>
              <w:rPr>
                <w:rStyle w:val="Code"/>
                <w:sz w:val="18"/>
                <w:szCs w:val="18"/>
              </w:rPr>
              <w:t>&lt;del&gt;</w:t>
            </w:r>
            <w:r>
              <w:t>)</w:t>
            </w:r>
          </w:p>
          <w:p w14:paraId="35726AB9" w14:textId="77777777">
            <w:pPr>
              <w:pStyle w:val="TableNote"/>
              <w:keepNext/>
            </w:pPr>
            <w:r>
              <w:t>the post-correction glyphs are written over the pre-correction text (</w:t>
            </w:r>
            <w:r>
              <w:rPr>
                <w:rStyle w:val="Codeattribute"/>
                <w:sz w:val="18"/>
                <w:szCs w:val="18"/>
              </w:rPr>
              <w:t>@place</w:t>
            </w:r>
            <w:r>
              <w:rPr>
                <w:rStyle w:val="Codetext"/>
              </w:rPr>
              <w:t>=</w:t>
            </w:r>
            <w:r>
              <w:rPr>
                <w:rStyle w:val="Codevalue"/>
                <w:sz w:val="18"/>
                <w:szCs w:val="18"/>
              </w:rPr>
              <w:t>"overstrike"</w:t>
            </w:r>
            <w:r>
              <w:t xml:space="preserve"> on </w:t>
            </w:r>
            <w:r>
              <w:rPr>
                <w:rStyle w:val="Code"/>
                <w:sz w:val="18"/>
                <w:szCs w:val="18"/>
              </w:rPr>
              <w:t>&lt;add&gt;</w:t>
            </w:r>
            <w:r>
              <w:t>)</w:t>
            </w:r>
          </w:p>
        </w:tc>
        <w:tc>
          <w:tcPr>
            <w:tcW w:w="2058" w:type="pct"/>
          </w:tcPr>
          <w:p w14:paraId="0175125A" w14:textId="77777777">
            <w:pPr>
              <w:pStyle w:val="Image"/>
            </w:pPr>
            <w:r>
              <w:drawing>
                <wp:inline distT="0" distB="0" distL="0" distR="0" wp14:anchorId="4D41D7B6" wp14:editId="71FD448B">
                  <wp:extent cx="2365200" cy="1080000"/>
                  <wp:effectExtent l="0" t="0" r="0" b="6350"/>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365200" cy="1080000"/>
                          </a:xfrm>
                          <a:prstGeom prst="rect">
                            <a:avLst/>
                          </a:prstGeom>
                          <a:noFill/>
                          <a:ln>
                            <a:noFill/>
                          </a:ln>
                        </pic:spPr>
                      </pic:pic>
                    </a:graphicData>
                  </a:graphic>
                </wp:inline>
              </w:drawing>
            </w:r>
          </w:p>
        </w:tc>
      </w:tr>
      <w:tr w14:paraId="4810C909" w14:textId="77777777">
        <w:tc>
          <w:tcPr>
            <w:tcW w:w="5000" w:type="pct"/>
            <w:gridSpan w:val="2"/>
          </w:tcPr>
          <w:p w14:paraId="59590B3B" w14:textId="77777777">
            <w:pPr>
              <w:pStyle w:val="CodeParagraph"/>
              <w:rPr>
                <w:rStyle w:val="Code"/>
              </w:rPr>
            </w:pPr>
            <w:r>
              <w:rPr>
                <w:rStyle w:val="Code"/>
              </w:rPr>
              <w:t xml:space="preserve">&lt;subst&gt;&lt;del </w:t>
            </w:r>
            <w:r>
              <w:rPr>
                <w:rStyle w:val="Codeattribute"/>
              </w:rPr>
              <w:t>rend</w:t>
            </w:r>
            <w:r>
              <w:rPr>
                <w:rStyle w:val="Code"/>
              </w:rPr>
              <w:t>=</w:t>
            </w:r>
            <w:r>
              <w:rPr>
                <w:rStyle w:val="Codevalue"/>
              </w:rPr>
              <w:t>"corrected"</w:t>
            </w:r>
            <w:r>
              <w:rPr>
                <w:rStyle w:val="Code"/>
              </w:rPr>
              <w:t>&gt;</w:t>
            </w:r>
            <w:r>
              <w:rPr>
                <w:rStyle w:val="Codetext"/>
              </w:rPr>
              <w:t>tuṣṭa</w:t>
            </w:r>
            <w:r>
              <w:rPr>
                <w:rStyle w:val="Code"/>
              </w:rPr>
              <w:t>&lt;/del&gt;&lt;add p</w:t>
            </w:r>
            <w:r>
              <w:rPr>
                <w:rStyle w:val="Codeattribute"/>
              </w:rPr>
              <w:t>lace</w:t>
            </w:r>
            <w:r>
              <w:rPr>
                <w:rStyle w:val="Code"/>
              </w:rPr>
              <w:t>=</w:t>
            </w:r>
            <w:r>
              <w:rPr>
                <w:rStyle w:val="Codevalue"/>
              </w:rPr>
              <w:t>"overstrike"</w:t>
            </w:r>
            <w:r>
              <w:rPr>
                <w:rStyle w:val="Code"/>
              </w:rPr>
              <w:t>&gt;</w:t>
            </w:r>
            <w:r>
              <w:rPr>
                <w:rStyle w:val="Codetext"/>
              </w:rPr>
              <w:t>catu</w:t>
            </w:r>
            <w:r>
              <w:rPr>
                <w:rStyle w:val="Code"/>
              </w:rPr>
              <w:t>&lt;/add&gt;&lt;/subst&gt;</w:t>
            </w:r>
            <w:r>
              <w:rPr>
                <w:rStyle w:val="Codetext"/>
              </w:rPr>
              <w:t>ṣṭayaṁ</w:t>
            </w:r>
          </w:p>
        </w:tc>
      </w:tr>
    </w:tbl>
    <w:p w14:paraId="46FD2D65" w14:textId="77777777"/>
    <w:tbl>
      <w:tblPr>
        <w:tblStyle w:val="CodeSampleTable"/>
        <w:tblW w:w="5000" w:type="pct"/>
        <w:tblLook w:val="04A0" w:firstRow="1" w:lastRow="0" w:firstColumn="1" w:lastColumn="0" w:noHBand="0" w:noVBand="1"/>
      </w:tblPr>
      <w:tblGrid>
        <w:gridCol w:w="5808"/>
        <w:gridCol w:w="3820"/>
      </w:tblGrid>
      <w:tr w14:paraId="54A1207E"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79C34E56" w14:textId="14B0E5F2">
            <w:pPr>
              <w:pStyle w:val="Kpalrs"/>
            </w:pPr>
            <w:bookmarkStart w:id="514" w:name="_Ref227852091"/>
            <w:r>
              <w:t xml:space="preserve">Exhibit </w:t>
            </w:r>
            <w:fldSimple w:instr=" STYLEREF 2 \s ">
              <w:r>
                <w:rPr>
                  <w:noProof/>
                </w:rPr>
                <w:t>5.6</w:t>
              </w:r>
            </w:fldSimple>
            <w:r>
              <w:t>.</w:t>
            </w:r>
            <w:fldSimple w:instr=" SEQ Exhibit \* ALPHABETIC \s 2 ">
              <w:r>
                <w:rPr>
                  <w:noProof/>
                </w:rPr>
                <w:t>F</w:t>
              </w:r>
            </w:fldSimple>
            <w:bookmarkEnd w:id="514"/>
            <w:r>
              <w:t>: scribal correction written inline</w:t>
            </w:r>
          </w:p>
        </w:tc>
      </w:tr>
      <w:tr w14:paraId="7A89624E" w14:textId="77777777">
        <w:trPr>
          <w:trHeight w:val="1830"/>
        </w:trPr>
        <w:tc>
          <w:tcPr>
            <w:tcW w:w="3016" w:type="pct"/>
          </w:tcPr>
          <w:p w14:paraId="4468674D" w14:textId="77777777">
            <w:pPr>
              <w:pStyle w:val="TableNote"/>
              <w:keepNext/>
            </w:pPr>
            <w:r>
              <w:t xml:space="preserve">an originally inscribed </w:t>
            </w:r>
            <w:r>
              <w:rPr>
                <w:rStyle w:val="Foreign"/>
              </w:rPr>
              <w:t>dvau</w:t>
            </w:r>
            <w:r>
              <w:t xml:space="preserve"> was corrected to </w:t>
            </w:r>
            <w:r>
              <w:rPr>
                <w:rStyle w:val="Foreign"/>
              </w:rPr>
              <w:t>dve</w:t>
            </w:r>
            <w:r>
              <w:t xml:space="preserve"> immediately</w:t>
            </w:r>
          </w:p>
          <w:p w14:paraId="744FD387" w14:textId="77777777">
            <w:pPr>
              <w:pStyle w:val="TableNote"/>
              <w:keepNext/>
            </w:pPr>
            <w:r>
              <w:t>the correction is placed after the pre-correction glyph (</w:t>
            </w:r>
            <w:r>
              <w:rPr>
                <w:rStyle w:val="Codeattribute"/>
                <w:sz w:val="18"/>
                <w:szCs w:val="18"/>
              </w:rPr>
              <w:t>@place</w:t>
            </w:r>
            <w:r>
              <w:rPr>
                <w:rStyle w:val="Codetext"/>
              </w:rPr>
              <w:t>=</w:t>
            </w:r>
            <w:r>
              <w:rPr>
                <w:rStyle w:val="Codevalue"/>
                <w:sz w:val="18"/>
                <w:szCs w:val="18"/>
              </w:rPr>
              <w:t>"inline"</w:t>
            </w:r>
            <w:r>
              <w:t xml:space="preserve"> on </w:t>
            </w:r>
            <w:r>
              <w:rPr>
                <w:rStyle w:val="Code"/>
                <w:sz w:val="18"/>
                <w:szCs w:val="18"/>
              </w:rPr>
              <w:t>&lt;add&gt;</w:t>
            </w:r>
            <w:r>
              <w:t>)</w:t>
            </w:r>
          </w:p>
          <w:p w14:paraId="3572EB16" w14:textId="77777777">
            <w:pPr>
              <w:pStyle w:val="TableNote"/>
              <w:keepNext/>
            </w:pPr>
            <w:r>
              <w:t xml:space="preserve">the incorrect </w:t>
            </w:r>
            <w:r>
              <w:rPr>
                <w:rStyle w:val="Foreign"/>
              </w:rPr>
              <w:t>dvau</w:t>
            </w:r>
            <w:r>
              <w:t xml:space="preserve"> was not explicitly cancelled (</w:t>
            </w:r>
            <w:r>
              <w:rPr>
                <w:rStyle w:val="Codeattribute"/>
                <w:sz w:val="18"/>
                <w:szCs w:val="18"/>
              </w:rPr>
              <w:t>@rend</w:t>
            </w:r>
            <w:r>
              <w:rPr>
                <w:rStyle w:val="Codetext"/>
              </w:rPr>
              <w:t>=</w:t>
            </w:r>
            <w:r>
              <w:rPr>
                <w:rStyle w:val="Codevalue"/>
                <w:sz w:val="18"/>
                <w:szCs w:val="18"/>
              </w:rPr>
              <w:t>"corrected"</w:t>
            </w:r>
            <w:r>
              <w:t xml:space="preserve"> on </w:t>
            </w:r>
            <w:r>
              <w:rPr>
                <w:rStyle w:val="Code"/>
                <w:sz w:val="18"/>
                <w:szCs w:val="18"/>
              </w:rPr>
              <w:t>&lt;del&gt;</w:t>
            </w:r>
            <w:r>
              <w:t>)</w:t>
            </w:r>
          </w:p>
        </w:tc>
        <w:tc>
          <w:tcPr>
            <w:tcW w:w="1984" w:type="pct"/>
          </w:tcPr>
          <w:p w14:paraId="14B18D60" w14:textId="77777777">
            <w:pPr>
              <w:pStyle w:val="Image"/>
            </w:pPr>
            <w:r>
              <w:rPr>
                <w:rStyle w:val="Codevalue"/>
              </w:rPr>
              <w:drawing>
                <wp:inline distT="0" distB="0" distL="0" distR="0" wp14:anchorId="1C3B8A20" wp14:editId="332EAA65">
                  <wp:extent cx="2347200" cy="1080000"/>
                  <wp:effectExtent l="0" t="0" r="0" b="635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347200" cy="1080000"/>
                          </a:xfrm>
                          <a:prstGeom prst="rect">
                            <a:avLst/>
                          </a:prstGeom>
                          <a:noFill/>
                          <a:ln>
                            <a:noFill/>
                          </a:ln>
                        </pic:spPr>
                      </pic:pic>
                    </a:graphicData>
                  </a:graphic>
                </wp:inline>
              </w:drawing>
            </w:r>
          </w:p>
        </w:tc>
      </w:tr>
      <w:tr w14:paraId="5CF5F2F3" w14:textId="77777777">
        <w:tc>
          <w:tcPr>
            <w:tcW w:w="5000" w:type="pct"/>
            <w:gridSpan w:val="2"/>
          </w:tcPr>
          <w:p w14:paraId="038D40A7" w14:textId="77777777">
            <w:pPr>
              <w:pStyle w:val="CodeParagraph"/>
              <w:rPr>
                <w:rStyle w:val="Code"/>
              </w:rPr>
            </w:pPr>
            <w:r>
              <w:rPr>
                <w:rStyle w:val="Codetext"/>
              </w:rPr>
              <w:t xml:space="preserve">devakule </w:t>
            </w:r>
            <w:r>
              <w:rPr>
                <w:rStyle w:val="Code"/>
              </w:rPr>
              <w:t xml:space="preserve">&lt;subst&gt;&lt;del </w:t>
            </w:r>
            <w:r>
              <w:rPr>
                <w:rStyle w:val="Codeattribute"/>
              </w:rPr>
              <w:t>rend</w:t>
            </w:r>
            <w:r>
              <w:rPr>
                <w:rStyle w:val="Codetext"/>
              </w:rPr>
              <w:t>=</w:t>
            </w:r>
            <w:r>
              <w:rPr>
                <w:rStyle w:val="Codevalue"/>
              </w:rPr>
              <w:t>"corrected"</w:t>
            </w:r>
            <w:r>
              <w:rPr>
                <w:rStyle w:val="Code"/>
              </w:rPr>
              <w:t>&gt;</w:t>
            </w:r>
            <w:r>
              <w:rPr>
                <w:rStyle w:val="Codetext"/>
              </w:rPr>
              <w:t>dvau</w:t>
            </w:r>
            <w:r>
              <w:rPr>
                <w:rStyle w:val="Code"/>
              </w:rPr>
              <w:t xml:space="preserve">&lt;/del&gt;&lt;add </w:t>
            </w:r>
            <w:r>
              <w:rPr>
                <w:rStyle w:val="Codeattribute"/>
              </w:rPr>
              <w:t>place</w:t>
            </w:r>
            <w:r>
              <w:rPr>
                <w:rStyle w:val="Codetext"/>
              </w:rPr>
              <w:t>=</w:t>
            </w:r>
            <w:r>
              <w:rPr>
                <w:rStyle w:val="Codevalue"/>
              </w:rPr>
              <w:t>"inline"</w:t>
            </w:r>
            <w:r>
              <w:rPr>
                <w:rStyle w:val="Code"/>
              </w:rPr>
              <w:t>&gt;</w:t>
            </w:r>
            <w:r>
              <w:rPr>
                <w:rStyle w:val="Codetext"/>
              </w:rPr>
              <w:t>dve</w:t>
            </w:r>
            <w:r>
              <w:rPr>
                <w:rStyle w:val="Code"/>
              </w:rPr>
              <w:t>&lt;/add&gt;&lt;/subst&gt;</w:t>
            </w:r>
          </w:p>
        </w:tc>
      </w:tr>
    </w:tbl>
    <w:p w14:paraId="62763B87" w14:textId="77777777"/>
    <w:tbl>
      <w:tblPr>
        <w:tblStyle w:val="CodeSampleTable"/>
        <w:tblW w:w="5000" w:type="pct"/>
        <w:tblLook w:val="04A0" w:firstRow="1" w:lastRow="0" w:firstColumn="1" w:lastColumn="0" w:noHBand="0" w:noVBand="1"/>
      </w:tblPr>
      <w:tblGrid>
        <w:gridCol w:w="6659"/>
        <w:gridCol w:w="2969"/>
      </w:tblGrid>
      <w:tr w14:paraId="7E48F2DB"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6CD68F6B" w14:textId="1ED07C1F">
            <w:pPr>
              <w:pStyle w:val="Kpalrs"/>
              <w:keepLines/>
            </w:pPr>
            <w:bookmarkStart w:id="515" w:name="_Ref44078634"/>
            <w:r>
              <w:t xml:space="preserve">Exhibit </w:t>
            </w:r>
            <w:fldSimple w:instr=" STYLEREF 2 \s ">
              <w:r>
                <w:rPr>
                  <w:noProof/>
                </w:rPr>
                <w:t>5.6</w:t>
              </w:r>
            </w:fldSimple>
            <w:r>
              <w:t>.</w:t>
            </w:r>
            <w:fldSimple w:instr=" SEQ Exhibit \* ALPHABETIC \s 2 ">
              <w:r>
                <w:rPr>
                  <w:noProof/>
                </w:rPr>
                <w:t>G</w:t>
              </w:r>
            </w:fldSimple>
            <w:bookmarkEnd w:id="515"/>
            <w:r>
              <w:t>: scribal correction by striking out a component</w:t>
            </w:r>
          </w:p>
        </w:tc>
      </w:tr>
      <w:tr w14:paraId="4B4A9A79" w14:textId="77777777">
        <w:tc>
          <w:tcPr>
            <w:tcW w:w="3458" w:type="pct"/>
          </w:tcPr>
          <w:p w14:paraId="4F99A67B" w14:textId="77777777">
            <w:pPr>
              <w:pStyle w:val="TableNote"/>
              <w:keepNext/>
              <w:keepLines/>
            </w:pPr>
            <w:r>
              <w:t xml:space="preserve">an originally inscribed </w:t>
            </w:r>
            <w:r>
              <w:rPr>
                <w:rStyle w:val="Foreign"/>
              </w:rPr>
              <w:t>prisaṅgi</w:t>
            </w:r>
            <w:r>
              <w:t xml:space="preserve"> was corrected to </w:t>
            </w:r>
            <w:r>
              <w:rPr>
                <w:rStyle w:val="Foreign"/>
              </w:rPr>
              <w:t>prasaṅgi</w:t>
            </w:r>
            <w:r>
              <w:t xml:space="preserve"> by striking out the superfluous </w:t>
            </w:r>
            <w:r>
              <w:rPr>
                <w:rStyle w:val="Foreign"/>
              </w:rPr>
              <w:t xml:space="preserve">i </w:t>
            </w:r>
            <w:r>
              <w:t>marker</w:t>
            </w:r>
          </w:p>
          <w:p w14:paraId="54949E50" w14:textId="77777777">
            <w:pPr>
              <w:pStyle w:val="TableNote"/>
              <w:keepNext/>
              <w:keepLines/>
            </w:pPr>
            <w:r>
              <w:rPr>
                <w:rStyle w:val="Codeattribute"/>
              </w:rPr>
              <w:t>@rend</w:t>
            </w:r>
            <w:r>
              <w:t xml:space="preserve"> is not used on </w:t>
            </w:r>
            <w:r>
              <w:rPr>
                <w:rStyle w:val="Code"/>
              </w:rPr>
              <w:t>&lt;del&gt;</w:t>
            </w:r>
            <w:r>
              <w:t xml:space="preserve">, since the </w:t>
            </w:r>
            <w:r>
              <w:rPr>
                <w:rStyle w:val="Foreign"/>
              </w:rPr>
              <w:t>i</w:t>
            </w:r>
            <w:r>
              <w:t xml:space="preserve"> was erased, which is the default method of deletion </w:t>
            </w:r>
          </w:p>
          <w:p w14:paraId="648A56E6" w14:textId="24701C16">
            <w:pPr>
              <w:pStyle w:val="TableNote"/>
              <w:keepNext/>
              <w:keepLines/>
            </w:pPr>
            <w:r>
              <w:t xml:space="preserve">although no explicit </w:t>
            </w:r>
            <w:r>
              <w:rPr>
                <w:rStyle w:val="Foreign"/>
              </w:rPr>
              <w:t>a</w:t>
            </w:r>
            <w:r>
              <w:t xml:space="preserve"> was engraved, the deletion of </w:t>
            </w:r>
            <w:r>
              <w:rPr>
                <w:rStyle w:val="Foreign"/>
              </w:rPr>
              <w:t>i</w:t>
            </w:r>
            <w:r>
              <w:t xml:space="preserve"> entails the replacement of that grapheme by </w:t>
            </w:r>
            <w:r>
              <w:rPr>
                <w:rStyle w:val="Foreign"/>
              </w:rPr>
              <w:t>a</w:t>
            </w:r>
            <w:r>
              <w:t>, so this must be encoded as correction rather than deletion (§</w:t>
            </w:r>
            <w:r>
              <w:fldChar w:fldCharType="begin"/>
            </w:r>
            <w:r>
              <w:instrText xml:space="preserve"> REF _Ref228890328 \r \h </w:instrText>
            </w:r>
            <w:r>
              <w:fldChar w:fldCharType="separate"/>
            </w:r>
            <w:r>
              <w:t>5.6.4</w:t>
            </w:r>
            <w:r>
              <w:fldChar w:fldCharType="end"/>
            </w:r>
            <w:r>
              <w:t>)</w:t>
            </w:r>
          </w:p>
          <w:p w14:paraId="2A34AEB7" w14:textId="77777777">
            <w:pPr>
              <w:pStyle w:val="TableNote"/>
              <w:keepNext/>
              <w:keepLines/>
            </w:pPr>
            <w:r>
              <w:t xml:space="preserve">the addition is encoded with </w:t>
            </w:r>
            <w:r>
              <w:rPr>
                <w:rStyle w:val="Codeattribute"/>
              </w:rPr>
              <w:t>@place</w:t>
            </w:r>
            <w:r>
              <w:rPr>
                <w:rStyle w:val="Code"/>
              </w:rPr>
              <w:t>=</w:t>
            </w:r>
            <w:r>
              <w:rPr>
                <w:rStyle w:val="Codevalue"/>
              </w:rPr>
              <w:t>"overstrike"</w:t>
            </w:r>
            <w:r>
              <w:t xml:space="preserve"> because the post-correction reading is in the same place as the pre-correction reading</w:t>
            </w:r>
          </w:p>
        </w:tc>
        <w:tc>
          <w:tcPr>
            <w:tcW w:w="1542" w:type="pct"/>
          </w:tcPr>
          <w:p w14:paraId="421F714E" w14:textId="77777777">
            <w:pPr>
              <w:pStyle w:val="Image"/>
              <w:keepLines/>
              <w:widowControl/>
            </w:pPr>
            <w:r>
              <w:drawing>
                <wp:inline distT="0" distB="0" distL="0" distR="0" wp14:anchorId="204BA415" wp14:editId="10E286BC">
                  <wp:extent cx="1742400" cy="1080000"/>
                  <wp:effectExtent l="0" t="0" r="0" b="635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742400" cy="1080000"/>
                          </a:xfrm>
                          <a:prstGeom prst="rect">
                            <a:avLst/>
                          </a:prstGeom>
                          <a:noFill/>
                          <a:ln>
                            <a:noFill/>
                          </a:ln>
                        </pic:spPr>
                      </pic:pic>
                    </a:graphicData>
                  </a:graphic>
                </wp:inline>
              </w:drawing>
            </w:r>
          </w:p>
        </w:tc>
      </w:tr>
      <w:tr w14:paraId="24AEAB66" w14:textId="77777777">
        <w:tc>
          <w:tcPr>
            <w:tcW w:w="5000" w:type="pct"/>
            <w:gridSpan w:val="2"/>
          </w:tcPr>
          <w:p w14:paraId="0814E555" w14:textId="77777777">
            <w:pPr>
              <w:pStyle w:val="CodeParagraph"/>
              <w:rPr>
                <w:rStyle w:val="Code"/>
              </w:rPr>
            </w:pPr>
            <w:r>
              <w:rPr>
                <w:rStyle w:val="Codetext"/>
              </w:rPr>
              <w:t>pr</w:t>
            </w:r>
            <w:r>
              <w:rPr>
                <w:rStyle w:val="Code"/>
              </w:rPr>
              <w:t>&lt;subst&gt;&lt;del&gt;</w:t>
            </w:r>
            <w:r>
              <w:rPr>
                <w:rStyle w:val="Codetext"/>
              </w:rPr>
              <w:t>i</w:t>
            </w:r>
            <w:r>
              <w:rPr>
                <w:rStyle w:val="Code"/>
              </w:rPr>
              <w:t xml:space="preserve">&lt;/del&gt;&lt;add </w:t>
            </w:r>
            <w:r>
              <w:rPr>
                <w:rStyle w:val="Codeattribute"/>
              </w:rPr>
              <w:t>place</w:t>
            </w:r>
            <w:r>
              <w:rPr>
                <w:rStyle w:val="Code"/>
              </w:rPr>
              <w:t>=</w:t>
            </w:r>
            <w:r>
              <w:rPr>
                <w:rStyle w:val="Codevalue"/>
              </w:rPr>
              <w:t>"overstrike"</w:t>
            </w:r>
            <w:r>
              <w:rPr>
                <w:rStyle w:val="Code"/>
              </w:rPr>
              <w:t>&gt;</w:t>
            </w:r>
            <w:r>
              <w:rPr>
                <w:rStyle w:val="Codetext"/>
              </w:rPr>
              <w:t>a</w:t>
            </w:r>
            <w:r>
              <w:rPr>
                <w:rStyle w:val="Code"/>
              </w:rPr>
              <w:t>&lt;/add&gt;&lt;/subst&gt;</w:t>
            </w:r>
            <w:r>
              <w:rPr>
                <w:rStyle w:val="Codetext"/>
              </w:rPr>
              <w:t>saṅgi</w:t>
            </w:r>
          </w:p>
        </w:tc>
      </w:tr>
    </w:tbl>
    <w:p w14:paraId="5BF22066" w14:textId="77777777"/>
    <w:tbl>
      <w:tblPr>
        <w:tblStyle w:val="CodeSampleTable"/>
        <w:tblW w:w="5000" w:type="pct"/>
        <w:tblLook w:val="04A0" w:firstRow="1" w:lastRow="0" w:firstColumn="1" w:lastColumn="0" w:noHBand="0" w:noVBand="1"/>
      </w:tblPr>
      <w:tblGrid>
        <w:gridCol w:w="5280"/>
        <w:gridCol w:w="4348"/>
      </w:tblGrid>
      <w:tr w14:paraId="7798758C"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72D1D9AB" w14:textId="32FA46FC">
            <w:pPr>
              <w:pStyle w:val="Kpalrs"/>
            </w:pPr>
            <w:bookmarkStart w:id="516" w:name="_Ref227853363"/>
            <w:r>
              <w:t xml:space="preserve">Exhibit </w:t>
            </w:r>
            <w:fldSimple w:instr=" STYLEREF 2 \s ">
              <w:r>
                <w:rPr>
                  <w:noProof/>
                </w:rPr>
                <w:t>5.6</w:t>
              </w:r>
            </w:fldSimple>
            <w:r>
              <w:t>.</w:t>
            </w:r>
            <w:fldSimple w:instr=" SEQ Exhibit \* ALPHABETIC \s 2 ">
              <w:r>
                <w:rPr>
                  <w:noProof/>
                </w:rPr>
                <w:t>H</w:t>
              </w:r>
            </w:fldSimple>
            <w:bookmarkEnd w:id="516"/>
            <w:r>
              <w:t>: implied scribal transposition</w:t>
            </w:r>
          </w:p>
        </w:tc>
      </w:tr>
      <w:tr w14:paraId="45AE027B" w14:textId="77777777">
        <w:trPr>
          <w:trHeight w:val="1260"/>
        </w:trPr>
        <w:tc>
          <w:tcPr>
            <w:tcW w:w="2742" w:type="pct"/>
          </w:tcPr>
          <w:p w14:paraId="2EE26296" w14:textId="77777777">
            <w:pPr>
              <w:pStyle w:val="TableNote"/>
              <w:keepNext/>
            </w:pPr>
            <w:r>
              <w:t xml:space="preserve">an originally inscribed </w:t>
            </w:r>
            <w:r>
              <w:rPr>
                <w:rStyle w:val="Foreign"/>
              </w:rPr>
              <w:t>ri lata</w:t>
            </w:r>
            <w:r>
              <w:t xml:space="preserve"> was corrected to </w:t>
            </w:r>
            <w:r>
              <w:rPr>
                <w:rStyle w:val="Foreign"/>
              </w:rPr>
              <w:t>ri tala</w:t>
            </w:r>
            <w:r>
              <w:t xml:space="preserve"> in a manuscript by adding a scribal mark</w:t>
            </w:r>
          </w:p>
        </w:tc>
        <w:tc>
          <w:tcPr>
            <w:tcW w:w="2258" w:type="pct"/>
          </w:tcPr>
          <w:p w14:paraId="3DECEF88" w14:textId="77777777">
            <w:pPr>
              <w:pStyle w:val="Image"/>
            </w:pPr>
            <w:r>
              <w:drawing>
                <wp:inline distT="0" distB="0" distL="0" distR="0" wp14:anchorId="5D578A40" wp14:editId="6771E9C7">
                  <wp:extent cx="2592000" cy="720000"/>
                  <wp:effectExtent l="0" t="0" r="0" b="4445"/>
                  <wp:docPr id="18"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72">
                            <a:extLst>
                              <a:ext uri="{28A0092B-C50C-407E-A947-70E740481C1C}">
                                <a14:useLocalDpi xmlns:a14="http://schemas.microsoft.com/office/drawing/2010/main" val="0"/>
                              </a:ext>
                            </a:extLst>
                          </a:blip>
                          <a:srcRect/>
                          <a:stretch>
                            <a:fillRect/>
                          </a:stretch>
                        </pic:blipFill>
                        <pic:spPr>
                          <a:xfrm>
                            <a:off x="0" y="0"/>
                            <a:ext cx="2592000" cy="720000"/>
                          </a:xfrm>
                          <a:prstGeom prst="rect">
                            <a:avLst/>
                          </a:prstGeom>
                          <a:ln/>
                        </pic:spPr>
                      </pic:pic>
                    </a:graphicData>
                  </a:graphic>
                </wp:inline>
              </w:drawing>
            </w:r>
          </w:p>
        </w:tc>
      </w:tr>
      <w:tr w14:paraId="46D44E81" w14:textId="77777777">
        <w:tc>
          <w:tcPr>
            <w:tcW w:w="5000" w:type="pct"/>
            <w:gridSpan w:val="2"/>
          </w:tcPr>
          <w:p w14:paraId="3FA20CDD" w14:textId="77777777">
            <w:pPr>
              <w:pStyle w:val="CodeParagraph"/>
            </w:pPr>
            <w:r>
              <w:rPr>
                <w:rStyle w:val="Codetext"/>
              </w:rPr>
              <w:t>ri</w:t>
            </w:r>
            <w:r>
              <w:rPr>
                <w:rStyle w:val="Code"/>
              </w:rPr>
              <w:t xml:space="preserve">&lt;subst&gt;&lt;del </w:t>
            </w:r>
            <w:r>
              <w:rPr>
                <w:rStyle w:val="Codeattribute"/>
              </w:rPr>
              <w:t>rend</w:t>
            </w:r>
            <w:r>
              <w:rPr>
                <w:rStyle w:val="Code"/>
              </w:rPr>
              <w:t>=</w:t>
            </w:r>
            <w:r>
              <w:rPr>
                <w:rStyle w:val="Codevalue"/>
              </w:rPr>
              <w:t>"corrected"</w:t>
            </w:r>
            <w:r>
              <w:rPr>
                <w:rStyle w:val="Code"/>
              </w:rPr>
              <w:t>&gt;</w:t>
            </w:r>
            <w:r>
              <w:rPr>
                <w:rStyle w:val="Codetext"/>
              </w:rPr>
              <w:t>lata</w:t>
            </w:r>
            <w:r>
              <w:rPr>
                <w:rStyle w:val="Code"/>
              </w:rPr>
              <w:t xml:space="preserve">&lt;/del&gt;&lt;add </w:t>
            </w:r>
            <w:r>
              <w:rPr>
                <w:rStyle w:val="Codeattribute"/>
              </w:rPr>
              <w:t>place</w:t>
            </w:r>
            <w:r>
              <w:rPr>
                <w:rStyle w:val="Code"/>
              </w:rPr>
              <w:t>=</w:t>
            </w:r>
            <w:r>
              <w:rPr>
                <w:rStyle w:val="Codevalue"/>
              </w:rPr>
              <w:t xml:space="preserve">"overstrike" </w:t>
            </w:r>
            <w:r>
              <w:rPr>
                <w:rStyle w:val="Codeattribute"/>
              </w:rPr>
              <w:t>rend</w:t>
            </w:r>
            <w:r>
              <w:rPr>
                <w:rStyle w:val="Code"/>
              </w:rPr>
              <w:t>=</w:t>
            </w:r>
            <w:r>
              <w:rPr>
                <w:rStyle w:val="Codevalue"/>
              </w:rPr>
              <w:t>"mark"</w:t>
            </w:r>
            <w:r>
              <w:rPr>
                <w:rStyle w:val="Code"/>
              </w:rPr>
              <w:t>&gt;</w:t>
            </w:r>
            <w:r>
              <w:rPr>
                <w:rStyle w:val="Codetext"/>
              </w:rPr>
              <w:t>tala</w:t>
            </w:r>
            <w:r>
              <w:rPr>
                <w:rStyle w:val="Code"/>
              </w:rPr>
              <w:t>&lt;/add&gt;&lt;/subst&gt;</w:t>
            </w:r>
          </w:p>
        </w:tc>
      </w:tr>
      <w:tr w14:paraId="757FBCA5" w14:textId="77777777">
        <w:tc>
          <w:tcPr>
            <w:tcW w:w="5000" w:type="pct"/>
            <w:gridSpan w:val="2"/>
          </w:tcPr>
          <w:p w14:paraId="59D48AFF" w14:textId="77777777">
            <w:pPr>
              <w:pStyle w:val="TableNote"/>
            </w:pPr>
            <w:r>
              <w:t>although the intended correction is not explicitly written anywhere, the intent was clear to the editor, so the encoding records implied correction with the details that can be represented in our encoding scheme:</w:t>
            </w:r>
          </w:p>
          <w:p w14:paraId="49E53433" w14:textId="77777777">
            <w:pPr>
              <w:pStyle w:val="TableNote"/>
            </w:pPr>
            <w:r>
              <w:t xml:space="preserve">that the pre-correction text is not explicitly deleted, but overruled by the correction </w:t>
            </w:r>
            <w:r>
              <w:rPr>
                <w:noProof/>
              </w:rPr>
              <w:t>(</w:t>
            </w:r>
            <w:r>
              <w:rPr>
                <w:rStyle w:val="Codeattribute"/>
              </w:rPr>
              <w:t>@rend</w:t>
            </w:r>
            <w:r>
              <w:rPr>
                <w:rStyle w:val="Code"/>
              </w:rPr>
              <w:t>=</w:t>
            </w:r>
            <w:r>
              <w:rPr>
                <w:rStyle w:val="Codevalue"/>
              </w:rPr>
              <w:t>"corrected"</w:t>
            </w:r>
            <w:r>
              <w:t xml:space="preserve"> on </w:t>
            </w:r>
            <w:r>
              <w:rPr>
                <w:rStyle w:val="Code"/>
              </w:rPr>
              <w:t>&lt;del&gt;</w:t>
            </w:r>
            <w:r>
              <w:t>)</w:t>
            </w:r>
          </w:p>
          <w:p w14:paraId="79106104" w14:textId="77777777">
            <w:pPr>
              <w:pStyle w:val="TableNote"/>
            </w:pPr>
            <w:r>
              <w:t xml:space="preserve">that the post-correction text is right there and not somewhere else on the support </w:t>
            </w:r>
            <w:r>
              <w:rPr>
                <w:noProof/>
              </w:rPr>
              <w:t>(</w:t>
            </w:r>
            <w:r>
              <w:rPr>
                <w:rStyle w:val="Codeattribute"/>
              </w:rPr>
              <w:t>@place</w:t>
            </w:r>
            <w:r>
              <w:rPr>
                <w:rStyle w:val="Code"/>
              </w:rPr>
              <w:t>=</w:t>
            </w:r>
            <w:r>
              <w:rPr>
                <w:rStyle w:val="Codevalue"/>
              </w:rPr>
              <w:t>"overstrike"</w:t>
            </w:r>
            <w:r>
              <w:t xml:space="preserve"> on </w:t>
            </w:r>
            <w:r>
              <w:rPr>
                <w:rStyle w:val="Code"/>
              </w:rPr>
              <w:t>&lt;add&gt;</w:t>
            </w:r>
            <w:r>
              <w:t>)</w:t>
            </w:r>
          </w:p>
          <w:p w14:paraId="0466C427" w14:textId="77777777">
            <w:pPr>
              <w:pStyle w:val="TableNote"/>
              <w:rPr>
                <w:rStyle w:val="Code"/>
              </w:rPr>
            </w:pPr>
            <w:r>
              <w:t xml:space="preserve">that a scribal mark is present </w:t>
            </w:r>
            <w:r>
              <w:rPr>
                <w:noProof/>
              </w:rPr>
              <w:t>(</w:t>
            </w:r>
            <w:r>
              <w:rPr>
                <w:rStyle w:val="Codeattribute"/>
              </w:rPr>
              <w:t>@rend</w:t>
            </w:r>
            <w:r>
              <w:rPr>
                <w:rStyle w:val="Code"/>
              </w:rPr>
              <w:t>=</w:t>
            </w:r>
            <w:r>
              <w:rPr>
                <w:rStyle w:val="Codevalue"/>
              </w:rPr>
              <w:t>"mark"</w:t>
            </w:r>
            <w:r>
              <w:t xml:space="preserve"> on </w:t>
            </w:r>
            <w:r>
              <w:rPr>
                <w:rStyle w:val="Code"/>
              </w:rPr>
              <w:t>&lt;add&gt;</w:t>
            </w:r>
            <w:r>
              <w:t>)</w:t>
            </w:r>
          </w:p>
        </w:tc>
      </w:tr>
    </w:tbl>
    <w:p w14:paraId="4074F3C9" w14:textId="77777777"/>
    <w:p w14:paraId="61B94AF2" w14:textId="77777777">
      <w:pPr>
        <w:pStyle w:val="Cmsor3"/>
      </w:pPr>
      <w:bookmarkStart w:id="517" w:name="_Ref228890328"/>
      <w:bookmarkStart w:id="518" w:name="_Toc242889514"/>
      <w:r>
        <w:lastRenderedPageBreak/>
        <w:t>Good practice in encoding scribal intervention</w:t>
      </w:r>
      <w:bookmarkEnd w:id="517"/>
      <w:bookmarkEnd w:id="518"/>
    </w:p>
    <w:p w14:paraId="1C7D1975" w14:textId="1512C56A">
      <w:r>
        <w:t>Since the units to which all our encoding applies are the source graphemes (for which see also §</w:t>
      </w:r>
      <w:r>
        <w:fldChar w:fldCharType="begin"/>
      </w:r>
      <w:r>
        <w:instrText xml:space="preserve"> REF _Ref227844670 \r \h </w:instrText>
      </w:r>
      <w:r>
        <w:fldChar w:fldCharType="separate"/>
      </w:r>
      <w:r>
        <w:t>16.3</w:t>
      </w:r>
      <w:r>
        <w:fldChar w:fldCharType="end"/>
      </w:r>
      <w:r>
        <w:t xml:space="preserve">), scribal intervention can only be, and must always be, represented in our editions in terms of graphemes, and not in terms of </w:t>
      </w:r>
      <w:r>
        <w:rPr>
          <w:rStyle w:val="Foreign"/>
        </w:rPr>
        <w:t>akṣara</w:t>
      </w:r>
      <w:r>
        <w:rPr>
          <w:rStyle w:val="Foreign"/>
          <w:i w:val="0"/>
          <w:iCs w:val="0"/>
        </w:rPr>
        <w:t>s</w:t>
      </w:r>
      <w:r>
        <w:t>, graphs, elements or any other unit. This has the following important implications.</w:t>
      </w:r>
    </w:p>
    <w:p w14:paraId="0646546E" w14:textId="77777777">
      <w:pPr>
        <w:pStyle w:val="Lista"/>
      </w:pPr>
      <w:r>
        <w:t xml:space="preserve">scribal intervention </w:t>
      </w:r>
      <w:r>
        <w:rPr>
          <w:i/>
          <w:iCs/>
        </w:rPr>
        <w:t>can</w:t>
      </w:r>
      <w:r>
        <w:t xml:space="preserve"> apply to a unit smaller than the </w:t>
      </w:r>
      <w:r>
        <w:rPr>
          <w:rStyle w:val="Foreign"/>
        </w:rPr>
        <w:t>akṣara</w:t>
      </w:r>
      <w:r>
        <w:t xml:space="preserve">, so if one or more component graphs of a complex glyph have been changed by the scribe, this is to be encoded as a specific change of the corresponding graphemes, and not as a correction of the entire </w:t>
      </w:r>
      <w:r>
        <w:rPr>
          <w:rStyle w:val="Foreign"/>
        </w:rPr>
        <w:t>akṣara</w:t>
      </w:r>
      <w:r>
        <w:t xml:space="preserve"> (as it would usually be shown in an edition printed in an Indic script), for example</w:t>
      </w:r>
    </w:p>
    <w:p w14:paraId="5321B8E8" w14:textId="77777777">
      <w:pPr>
        <w:pStyle w:val="Lista3"/>
      </w:pPr>
      <w:r>
        <w:t xml:space="preserve">in deletion, </w:t>
      </w:r>
      <w:r>
        <w:rPr>
          <w:rStyle w:val="Codetext"/>
        </w:rPr>
        <w:t>ś</w:t>
      </w:r>
      <w:r>
        <w:rPr>
          <w:rStyle w:val="Code"/>
        </w:rPr>
        <w:t>&lt;del&gt;</w:t>
      </w:r>
      <w:r>
        <w:rPr>
          <w:rStyle w:val="Codetext"/>
        </w:rPr>
        <w:t>r</w:t>
      </w:r>
      <w:r>
        <w:rPr>
          <w:rStyle w:val="Code"/>
        </w:rPr>
        <w:t>&lt;/del&gt;</w:t>
      </w:r>
      <w:r>
        <w:rPr>
          <w:rStyle w:val="Codetext"/>
        </w:rPr>
        <w:t>āpa</w:t>
      </w:r>
    </w:p>
    <w:p w14:paraId="4FBF77EB" w14:textId="77777777">
      <w:pPr>
        <w:pStyle w:val="Lista4"/>
      </w:pPr>
      <w:r>
        <w:rPr>
          <w:b/>
          <w:bCs/>
        </w:rPr>
        <w:t>not</w:t>
      </w:r>
      <w:r>
        <w:t xml:space="preserve"> </w:t>
      </w:r>
      <w:r>
        <w:rPr>
          <w:rStyle w:val="Code"/>
        </w:rPr>
        <w:t>&lt;subst&gt;&lt;del&gt;</w:t>
      </w:r>
      <w:r>
        <w:rPr>
          <w:rStyle w:val="Codetext"/>
        </w:rPr>
        <w:t>śrā</w:t>
      </w:r>
      <w:r>
        <w:rPr>
          <w:rStyle w:val="Code"/>
        </w:rPr>
        <w:t>&lt;/del&gt;&lt;add&gt;</w:t>
      </w:r>
      <w:r>
        <w:rPr>
          <w:rStyle w:val="Codetext"/>
        </w:rPr>
        <w:t>śā</w:t>
      </w:r>
      <w:r>
        <w:rPr>
          <w:rStyle w:val="Code"/>
        </w:rPr>
        <w:t>&lt;/add&gt;&lt;/subst&gt;</w:t>
      </w:r>
      <w:r>
        <w:rPr>
          <w:rStyle w:val="Codetext"/>
        </w:rPr>
        <w:t>pa</w:t>
      </w:r>
    </w:p>
    <w:p w14:paraId="7F6851D4" w14:textId="77777777">
      <w:pPr>
        <w:pStyle w:val="Lista3"/>
        <w:rPr>
          <w:rStyle w:val="Codetext"/>
          <w:rFonts w:ascii="Gentium" w:hAnsi="Gentium" w:cs="Tiro Devanagari Sanskrit"/>
          <w:noProof w:val="0"/>
          <w:color w:val="auto"/>
          <w:shd w:val="clear" w:color="auto" w:fill="auto"/>
        </w:rPr>
      </w:pPr>
      <w:r>
        <w:t xml:space="preserve">in addition, </w:t>
      </w:r>
      <w:r>
        <w:rPr>
          <w:rStyle w:val="Codetext"/>
        </w:rPr>
        <w:t>tārkṣ</w:t>
      </w:r>
      <w:r>
        <w:rPr>
          <w:rStyle w:val="Code"/>
        </w:rPr>
        <w:t>&lt;add&gt;</w:t>
      </w:r>
      <w:r>
        <w:rPr>
          <w:rStyle w:val="Codetext"/>
        </w:rPr>
        <w:t>y</w:t>
      </w:r>
      <w:r>
        <w:rPr>
          <w:rStyle w:val="Code"/>
        </w:rPr>
        <w:t>&lt;/add&gt;</w:t>
      </w:r>
      <w:r>
        <w:rPr>
          <w:rStyle w:val="Codetext"/>
        </w:rPr>
        <w:t>a</w:t>
      </w:r>
    </w:p>
    <w:p w14:paraId="60181B97" w14:textId="77777777">
      <w:pPr>
        <w:pStyle w:val="Lista4"/>
        <w:rPr>
          <w:rStyle w:val="Code"/>
          <w:rFonts w:ascii="Gentium" w:hAnsi="Gentium" w:cs="Tiro Devanagari Sanskrit"/>
          <w:noProof w:val="0"/>
          <w:color w:val="auto"/>
          <w:shd w:val="clear" w:color="auto" w:fill="auto"/>
        </w:rPr>
      </w:pPr>
      <w:r>
        <w:rPr>
          <w:b/>
          <w:bCs/>
        </w:rPr>
        <w:t>not</w:t>
      </w:r>
      <w:r>
        <w:t xml:space="preserve"> </w:t>
      </w:r>
      <w:r>
        <w:rPr>
          <w:rStyle w:val="Codetext"/>
        </w:rPr>
        <w:t>tā</w:t>
      </w:r>
      <w:r>
        <w:rPr>
          <w:rStyle w:val="Code"/>
        </w:rPr>
        <w:t>&lt;subst&gt;&lt;del&gt;</w:t>
      </w:r>
      <w:r>
        <w:rPr>
          <w:rStyle w:val="Codetext"/>
        </w:rPr>
        <w:t>rkṣa</w:t>
      </w:r>
      <w:r>
        <w:rPr>
          <w:rStyle w:val="Code"/>
        </w:rPr>
        <w:t>&lt;/del&gt;&lt;add&gt;</w:t>
      </w:r>
      <w:r>
        <w:rPr>
          <w:rStyle w:val="Codetext"/>
        </w:rPr>
        <w:t>rkṣya</w:t>
      </w:r>
      <w:r>
        <w:rPr>
          <w:rStyle w:val="Code"/>
        </w:rPr>
        <w:t>&lt;/add&gt;&lt;/subst&gt;</w:t>
      </w:r>
    </w:p>
    <w:p w14:paraId="17E74726" w14:textId="77777777">
      <w:pPr>
        <w:pStyle w:val="Lista3"/>
        <w:rPr>
          <w:rStyle w:val="Codetext"/>
          <w:rFonts w:ascii="Gentium" w:hAnsi="Gentium" w:cs="Tiro Devanagari Sanskrit"/>
          <w:noProof w:val="0"/>
          <w:color w:val="auto"/>
          <w:shd w:val="clear" w:color="auto" w:fill="auto"/>
        </w:rPr>
      </w:pPr>
      <w:r>
        <w:t xml:space="preserve">in correction, </w:t>
      </w:r>
      <w:r>
        <w:rPr>
          <w:rStyle w:val="Codetext"/>
        </w:rPr>
        <w:t>pa</w:t>
      </w:r>
      <w:r>
        <w:rPr>
          <w:rStyle w:val="Code"/>
        </w:rPr>
        <w:t>&lt;subst&gt;&lt;del&gt;</w:t>
      </w:r>
      <w:r>
        <w:rPr>
          <w:rStyle w:val="Codetext"/>
        </w:rPr>
        <w:t>t</w:t>
      </w:r>
      <w:r>
        <w:rPr>
          <w:rStyle w:val="Code"/>
        </w:rPr>
        <w:t>&lt;/del&gt;&lt;add&gt;</w:t>
      </w:r>
      <w:r>
        <w:rPr>
          <w:rStyle w:val="Codetext"/>
        </w:rPr>
        <w:t>d</w:t>
      </w:r>
      <w:r>
        <w:rPr>
          <w:rStyle w:val="Code"/>
        </w:rPr>
        <w:t>&lt;/add&gt;&lt;/subst&gt;</w:t>
      </w:r>
      <w:r>
        <w:rPr>
          <w:rStyle w:val="Codetext"/>
        </w:rPr>
        <w:t>ma</w:t>
      </w:r>
    </w:p>
    <w:p w14:paraId="1EA147BC" w14:textId="77777777">
      <w:pPr>
        <w:pStyle w:val="Lista4"/>
        <w:rPr>
          <w:rStyle w:val="Code"/>
          <w:rFonts w:ascii="Gentium" w:hAnsi="Gentium" w:cs="Tiro Devanagari Sanskrit"/>
          <w:noProof w:val="0"/>
          <w:color w:val="auto"/>
          <w:shd w:val="clear" w:color="auto" w:fill="auto"/>
        </w:rPr>
      </w:pPr>
      <w:r>
        <w:rPr>
          <w:b/>
          <w:bCs/>
        </w:rPr>
        <w:t>not</w:t>
      </w:r>
      <w:r>
        <w:t xml:space="preserve"> </w:t>
      </w:r>
      <w:r>
        <w:rPr>
          <w:rStyle w:val="Codetext"/>
        </w:rPr>
        <w:t>pa</w:t>
      </w:r>
      <w:r>
        <w:rPr>
          <w:rStyle w:val="Code"/>
        </w:rPr>
        <w:t>&lt;subst&gt;&lt;del&gt;</w:t>
      </w:r>
      <w:r>
        <w:rPr>
          <w:rStyle w:val="Codetext"/>
        </w:rPr>
        <w:t>tma</w:t>
      </w:r>
      <w:r>
        <w:rPr>
          <w:rStyle w:val="Code"/>
        </w:rPr>
        <w:t>&lt;/del&gt;&lt;add&gt;</w:t>
      </w:r>
      <w:r>
        <w:rPr>
          <w:rStyle w:val="Codetext"/>
        </w:rPr>
        <w:t>dma</w:t>
      </w:r>
      <w:r>
        <w:rPr>
          <w:rStyle w:val="Code"/>
        </w:rPr>
        <w:t>&lt;/add&gt;&lt;/subst&gt;</w:t>
      </w:r>
    </w:p>
    <w:p w14:paraId="2C49C35A" w14:textId="78827D57">
      <w:pPr>
        <w:pStyle w:val="Lista2"/>
      </w:pPr>
      <w:r>
        <w:t xml:space="preserve">note that these examples show no attributes on </w:t>
      </w:r>
      <w:r>
        <w:rPr>
          <w:rStyle w:val="Code"/>
        </w:rPr>
        <w:t>&lt;del&gt;</w:t>
      </w:r>
      <w:r>
        <w:t xml:space="preserve"> and </w:t>
      </w:r>
      <w:r>
        <w:rPr>
          <w:rStyle w:val="Code"/>
        </w:rPr>
        <w:t>&lt;add&gt;</w:t>
      </w:r>
      <w:r>
        <w:t>, because they illustrate hypothetical scenarios that may be implemented differently in the source, but the encoding of actual instances of scribal intervention may require the use of attributes as per §</w:t>
      </w:r>
      <w:r>
        <w:fldChar w:fldCharType="begin"/>
      </w:r>
      <w:r>
        <w:instrText xml:space="preserve"> REF _Ref227846179 \r \h </w:instrText>
      </w:r>
      <w:r>
        <w:fldChar w:fldCharType="separate"/>
      </w:r>
      <w:r>
        <w:t>5.6.1.1</w:t>
      </w:r>
      <w:r>
        <w:fldChar w:fldCharType="end"/>
      </w:r>
      <w:r>
        <w:t xml:space="preserve"> and §</w:t>
      </w:r>
      <w:r>
        <w:fldChar w:fldCharType="begin"/>
      </w:r>
      <w:r>
        <w:instrText xml:space="preserve"> REF _Ref227848664 \r \h </w:instrText>
      </w:r>
      <w:r>
        <w:fldChar w:fldCharType="separate"/>
      </w:r>
      <w:r>
        <w:t>5.6.2.1</w:t>
      </w:r>
      <w:r>
        <w:fldChar w:fldCharType="end"/>
      </w:r>
    </w:p>
    <w:p w14:paraId="24D8152F" w14:textId="77777777">
      <w:pPr>
        <w:pStyle w:val="Lista"/>
      </w:pPr>
      <w:r>
        <w:t xml:space="preserve">scribal intervention </w:t>
      </w:r>
      <w:r>
        <w:rPr>
          <w:i/>
          <w:iCs/>
        </w:rPr>
        <w:t>cannot</w:t>
      </w:r>
      <w:r>
        <w:t xml:space="preserve"> apply to a unit smaller than the grapheme, so the deletion (or, when this can be discerned, the addition) of a graphic element cannot be encoded as such; instead,</w:t>
      </w:r>
    </w:p>
    <w:p w14:paraId="10B17C7A" w14:textId="77777777">
      <w:pPr>
        <w:pStyle w:val="Lista2"/>
      </w:pPr>
      <w:r>
        <w:t>the scribal alteration of a non-distinctive element (such as an ornamental curlicue or a superfluous stroke) can be annotated if desired, but not represented in markup</w:t>
      </w:r>
    </w:p>
    <w:p w14:paraId="040103FB" w14:textId="77777777">
      <w:pPr>
        <w:pStyle w:val="Lista2"/>
      </w:pPr>
      <w:r>
        <w:t>the deletion (or addition) of a distinctive element must be encoded as correction of one grapheme to another, for example</w:t>
      </w:r>
    </w:p>
    <w:p w14:paraId="36025561" w14:textId="77777777">
      <w:pPr>
        <w:pStyle w:val="Lista3"/>
      </w:pPr>
      <w:r>
        <w:t xml:space="preserve">in a script where </w:t>
      </w:r>
      <w:r>
        <w:rPr>
          <w:rStyle w:val="Foreign"/>
        </w:rPr>
        <w:t>śa</w:t>
      </w:r>
      <w:r>
        <w:t xml:space="preserve"> differs from </w:t>
      </w:r>
      <w:r>
        <w:rPr>
          <w:rStyle w:val="Foreign"/>
        </w:rPr>
        <w:t>ga</w:t>
      </w:r>
      <w:r>
        <w:t xml:space="preserve"> only in that the former has a cross-stroke, and the scribe erroneously engraved </w:t>
      </w:r>
      <w:r>
        <w:rPr>
          <w:rStyle w:val="Foreign"/>
        </w:rPr>
        <w:t>śuṇa</w:t>
      </w:r>
      <w:r>
        <w:t xml:space="preserve"> instead of </w:t>
      </w:r>
      <w:r>
        <w:rPr>
          <w:rStyle w:val="Foreign"/>
        </w:rPr>
        <w:t>guṇa</w:t>
      </w:r>
      <w:r>
        <w:t xml:space="preserve">, then corrected this by erasing the cross-stroke, this is a correction of </w:t>
      </w:r>
      <w:r>
        <w:rPr>
          <w:rStyle w:val="Foreign"/>
        </w:rPr>
        <w:t>ś</w:t>
      </w:r>
      <w:r>
        <w:t xml:space="preserve"> to </w:t>
      </w:r>
      <w:r>
        <w:rPr>
          <w:rStyle w:val="Foreign"/>
        </w:rPr>
        <w:t>g</w:t>
      </w:r>
      <w:r>
        <w:t xml:space="preserve">: </w:t>
      </w:r>
      <w:r>
        <w:rPr>
          <w:rStyle w:val="Code"/>
        </w:rPr>
        <w:t>&lt;subst&gt;&lt;del</w:t>
      </w:r>
      <w:r>
        <w:rPr>
          <w:rStyle w:val="Codeattribute"/>
        </w:rPr>
        <w:t xml:space="preserve"> rend=</w:t>
      </w:r>
      <w:r>
        <w:rPr>
          <w:rStyle w:val="Codevalue"/>
        </w:rPr>
        <w:t>"corrected"</w:t>
      </w:r>
      <w:r>
        <w:rPr>
          <w:rStyle w:val="Code"/>
        </w:rPr>
        <w:t>&gt;</w:t>
      </w:r>
      <w:r>
        <w:rPr>
          <w:rStyle w:val="Codetext"/>
        </w:rPr>
        <w:t>ś</w:t>
      </w:r>
      <w:r>
        <w:rPr>
          <w:rStyle w:val="Code"/>
        </w:rPr>
        <w:t xml:space="preserve">&lt;/del&gt;&lt;add </w:t>
      </w:r>
      <w:r>
        <w:rPr>
          <w:rStyle w:val="Codeattribute"/>
        </w:rPr>
        <w:t>place=</w:t>
      </w:r>
      <w:r>
        <w:rPr>
          <w:rStyle w:val="Codevalue"/>
        </w:rPr>
        <w:t>"overstrike"</w:t>
      </w:r>
      <w:r>
        <w:rPr>
          <w:rStyle w:val="Code"/>
        </w:rPr>
        <w:t>&gt;</w:t>
      </w:r>
      <w:r>
        <w:rPr>
          <w:rStyle w:val="Codetext"/>
        </w:rPr>
        <w:t>g</w:t>
      </w:r>
      <w:r>
        <w:rPr>
          <w:rStyle w:val="Code"/>
        </w:rPr>
        <w:t>&lt;/add&gt;&lt;/choice&gt;</w:t>
      </w:r>
      <w:r>
        <w:rPr>
          <w:rStyle w:val="Codetext"/>
        </w:rPr>
        <w:t>u</w:t>
      </w:r>
      <w:r>
        <w:rPr>
          <w:rStyle w:val="Code"/>
        </w:rPr>
        <w:t>ṇ</w:t>
      </w:r>
      <w:r>
        <w:rPr>
          <w:rStyle w:val="Codetext"/>
        </w:rPr>
        <w:t>a</w:t>
      </w:r>
    </w:p>
    <w:p w14:paraId="12922FA0" w14:textId="532C3A47">
      <w:pPr>
        <w:pStyle w:val="Lista4"/>
      </w:pPr>
      <w:r>
        <w:t xml:space="preserve">although the scribe actually erased the cross-stroke, on the level of graphemes the </w:t>
      </w:r>
      <w:r>
        <w:rPr>
          <w:rStyle w:val="Foreign"/>
        </w:rPr>
        <w:t>ś</w:t>
      </w:r>
      <w:r>
        <w:t xml:space="preserve"> itself was not physically deleted (hence </w:t>
      </w:r>
      <w:r>
        <w:rPr>
          <w:rStyle w:val="Codeattribute"/>
        </w:rPr>
        <w:t>@rend=</w:t>
      </w:r>
      <w:r>
        <w:rPr>
          <w:rStyle w:val="Codevalue"/>
        </w:rPr>
        <w:t>"corrected"</w:t>
      </w:r>
      <w:r>
        <w:t xml:space="preserve"> on the </w:t>
      </w:r>
      <w:r>
        <w:rPr>
          <w:rStyle w:val="Code"/>
        </w:rPr>
        <w:t>&lt;del&gt;</w:t>
      </w:r>
      <w:r>
        <w:t xml:space="preserve"> element, §</w:t>
      </w:r>
      <w:r>
        <w:fldChar w:fldCharType="begin"/>
      </w:r>
      <w:r>
        <w:instrText xml:space="preserve"> REF _Ref227846179 \r \h </w:instrText>
      </w:r>
      <w:r>
        <w:fldChar w:fldCharType="separate"/>
      </w:r>
      <w:r>
        <w:t>5.6.1.1</w:t>
      </w:r>
      <w:r>
        <w:fldChar w:fldCharType="end"/>
      </w:r>
      <w:r>
        <w:t xml:space="preserve">), while the </w:t>
      </w:r>
      <w:r>
        <w:rPr>
          <w:rStyle w:val="Foreign"/>
        </w:rPr>
        <w:t>g</w:t>
      </w:r>
      <w:r>
        <w:t xml:space="preserve"> was created in the same place (hence </w:t>
      </w:r>
      <w:r>
        <w:rPr>
          <w:rStyle w:val="Codeattribute"/>
        </w:rPr>
        <w:t>@place=</w:t>
      </w:r>
      <w:r>
        <w:rPr>
          <w:rStyle w:val="Codevalue"/>
        </w:rPr>
        <w:t>"overstrike"</w:t>
      </w:r>
      <w:r>
        <w:t xml:space="preserve"> on the </w:t>
      </w:r>
      <w:r>
        <w:rPr>
          <w:rStyle w:val="Code"/>
        </w:rPr>
        <w:t>&lt;add&gt;</w:t>
      </w:r>
      <w:r>
        <w:t xml:space="preserve"> element, §</w:t>
      </w:r>
      <w:r>
        <w:fldChar w:fldCharType="begin"/>
      </w:r>
      <w:r>
        <w:instrText xml:space="preserve"> REF _Ref227848664 \r \h </w:instrText>
      </w:r>
      <w:r>
        <w:fldChar w:fldCharType="separate"/>
      </w:r>
      <w:r>
        <w:t>5.6.2.1</w:t>
      </w:r>
      <w:r>
        <w:fldChar w:fldCharType="end"/>
      </w:r>
      <w:r>
        <w:t>)</w:t>
      </w:r>
    </w:p>
    <w:p w14:paraId="0D39C83F" w14:textId="77777777">
      <w:pPr>
        <w:pStyle w:val="Lista"/>
      </w:pPr>
      <w:r>
        <w:t xml:space="preserve">due to the nature of aksharic writing, the deletion or addition of certain graphs (namely of a vowel marker or </w:t>
      </w:r>
      <w:r>
        <w:rPr>
          <w:rStyle w:val="Foreign"/>
        </w:rPr>
        <w:t>virāma</w:t>
      </w:r>
      <w:r>
        <w:t xml:space="preserve">) may result in the </w:t>
      </w:r>
      <w:r>
        <w:rPr>
          <w:i/>
          <w:iCs/>
        </w:rPr>
        <w:t>substitution</w:t>
      </w:r>
      <w:r>
        <w:t xml:space="preserve"> of one grapheme by another (viz. of the marked vowel or </w:t>
      </w:r>
      <w:r>
        <w:rPr>
          <w:rStyle w:val="Foreign"/>
        </w:rPr>
        <w:t>virāma</w:t>
      </w:r>
      <w:r>
        <w:t xml:space="preserve"> by the default vowel, or vice versa), which must be encoded as scribal correction rather than scribal deletion or addition, for example</w:t>
      </w:r>
    </w:p>
    <w:p w14:paraId="7CC3D86C" w14:textId="77777777">
      <w:pPr>
        <w:pStyle w:val="Lista2"/>
      </w:pPr>
      <w:r>
        <w:t xml:space="preserve">if the vowel marker </w:t>
      </w:r>
      <w:r>
        <w:rPr>
          <w:rStyle w:val="Foreign"/>
        </w:rPr>
        <w:t>u</w:t>
      </w:r>
      <w:r>
        <w:t xml:space="preserve"> is erased from the word </w:t>
      </w:r>
      <w:r>
        <w:rPr>
          <w:rStyle w:val="Foreign"/>
        </w:rPr>
        <w:t>jñātum</w:t>
      </w:r>
      <w:r>
        <w:t xml:space="preserve">, this changes the reading to </w:t>
      </w:r>
      <w:r>
        <w:rPr>
          <w:rStyle w:val="Foreign"/>
        </w:rPr>
        <w:t>jñātam</w:t>
      </w:r>
    </w:p>
    <w:p w14:paraId="0052A8A4" w14:textId="77777777">
      <w:pPr>
        <w:pStyle w:val="Lista3"/>
      </w:pPr>
      <w:r>
        <w:t xml:space="preserve">which must be encoded as  </w:t>
      </w:r>
      <w:r>
        <w:rPr>
          <w:rStyle w:val="Codetext"/>
        </w:rPr>
        <w:t>jñāt</w:t>
      </w:r>
      <w:r>
        <w:rPr>
          <w:rStyle w:val="Code"/>
        </w:rPr>
        <w:t>&lt;subst&gt;&lt;del&gt;</w:t>
      </w:r>
      <w:r>
        <w:rPr>
          <w:rStyle w:val="Codetext"/>
        </w:rPr>
        <w:t>u</w:t>
      </w:r>
      <w:r>
        <w:rPr>
          <w:rStyle w:val="Code"/>
        </w:rPr>
        <w:t xml:space="preserve">&lt;/del&gt;&lt;add </w:t>
      </w:r>
      <w:r>
        <w:rPr>
          <w:rStyle w:val="Codeattribute"/>
        </w:rPr>
        <w:t>place=</w:t>
      </w:r>
      <w:r>
        <w:rPr>
          <w:rStyle w:val="Codevalue"/>
        </w:rPr>
        <w:t>"overstrike"</w:t>
      </w:r>
      <w:r>
        <w:rPr>
          <w:rStyle w:val="Code"/>
        </w:rPr>
        <w:t>&gt;</w:t>
      </w:r>
      <w:r>
        <w:rPr>
          <w:rStyle w:val="Codetext"/>
        </w:rPr>
        <w:t>a</w:t>
      </w:r>
      <w:r>
        <w:rPr>
          <w:rStyle w:val="Code"/>
        </w:rPr>
        <w:t>&lt;/add&gt;&lt;/subst&gt;</w:t>
      </w:r>
      <w:r>
        <w:rPr>
          <w:rStyle w:val="Codetext"/>
        </w:rPr>
        <w:t>m</w:t>
      </w:r>
    </w:p>
    <w:p w14:paraId="7E1C435D" w14:textId="77777777">
      <w:pPr>
        <w:pStyle w:val="Lista4"/>
      </w:pPr>
      <w:r>
        <w:rPr>
          <w:b/>
          <w:bCs/>
        </w:rPr>
        <w:t>not</w:t>
      </w:r>
      <w:r>
        <w:t xml:space="preserve"> </w:t>
      </w:r>
      <w:r>
        <w:rPr>
          <w:rStyle w:val="Codetext"/>
        </w:rPr>
        <w:t>jñāt</w:t>
      </w:r>
      <w:r>
        <w:rPr>
          <w:rStyle w:val="Code"/>
        </w:rPr>
        <w:t>&lt;del&gt;</w:t>
      </w:r>
      <w:r>
        <w:rPr>
          <w:rStyle w:val="Codetext"/>
        </w:rPr>
        <w:t>u</w:t>
      </w:r>
      <w:r>
        <w:rPr>
          <w:rStyle w:val="Code"/>
        </w:rPr>
        <w:t>&lt;/del&gt;</w:t>
      </w:r>
      <w:r>
        <w:rPr>
          <w:rStyle w:val="Codetext"/>
        </w:rPr>
        <w:t>m</w:t>
      </w:r>
      <w:r>
        <w:t xml:space="preserve"> (which would mean that the post-correction reading is </w:t>
      </w:r>
      <w:r>
        <w:rPr>
          <w:rStyle w:val="Foreign"/>
        </w:rPr>
        <w:t>jñātm</w:t>
      </w:r>
      <w:r>
        <w:t>)</w:t>
      </w:r>
    </w:p>
    <w:p w14:paraId="1D5131F0" w14:textId="682C7226">
      <w:pPr>
        <w:pStyle w:val="Lista4"/>
      </w:pPr>
      <w:r>
        <w:t xml:space="preserve">even though the scribe did not actually add anything, on the level of graphemes the </w:t>
      </w:r>
      <w:r>
        <w:rPr>
          <w:rStyle w:val="Foreign"/>
        </w:rPr>
        <w:t>u</w:t>
      </w:r>
      <w:r>
        <w:t xml:space="preserve"> was physically deleted (hence no </w:t>
      </w:r>
      <w:r>
        <w:rPr>
          <w:rStyle w:val="Codeattribute"/>
        </w:rPr>
        <w:t>@rend</w:t>
      </w:r>
      <w:r>
        <w:t xml:space="preserve"> on the </w:t>
      </w:r>
      <w:r>
        <w:rPr>
          <w:rStyle w:val="Code"/>
        </w:rPr>
        <w:t>&lt;del&gt;</w:t>
      </w:r>
      <w:r>
        <w:t xml:space="preserve"> element, §</w:t>
      </w:r>
      <w:r>
        <w:fldChar w:fldCharType="begin"/>
      </w:r>
      <w:r>
        <w:instrText xml:space="preserve"> REF _Ref227846179 \r \h </w:instrText>
      </w:r>
      <w:r>
        <w:fldChar w:fldCharType="separate"/>
      </w:r>
      <w:r>
        <w:t>5.6.1.1</w:t>
      </w:r>
      <w:r>
        <w:fldChar w:fldCharType="end"/>
      </w:r>
      <w:r>
        <w:t xml:space="preserve">), while the grapheme </w:t>
      </w:r>
      <w:r>
        <w:rPr>
          <w:rStyle w:val="Foreign"/>
        </w:rPr>
        <w:t>a</w:t>
      </w:r>
      <w:r>
        <w:t xml:space="preserve"> was created in the same place (hence </w:t>
      </w:r>
      <w:r>
        <w:rPr>
          <w:rStyle w:val="Codeattribute"/>
        </w:rPr>
        <w:t>@place=</w:t>
      </w:r>
      <w:r>
        <w:rPr>
          <w:rStyle w:val="Codevalue"/>
        </w:rPr>
        <w:t>"overstrike"</w:t>
      </w:r>
      <w:r>
        <w:t xml:space="preserve"> on the </w:t>
      </w:r>
      <w:r>
        <w:rPr>
          <w:rStyle w:val="Code"/>
        </w:rPr>
        <w:t>&lt;add&gt;</w:t>
      </w:r>
      <w:r>
        <w:t xml:space="preserve"> element, §</w:t>
      </w:r>
      <w:r>
        <w:fldChar w:fldCharType="begin"/>
      </w:r>
      <w:r>
        <w:instrText xml:space="preserve"> REF _Ref227848664 \r \h </w:instrText>
      </w:r>
      <w:r>
        <w:fldChar w:fldCharType="separate"/>
      </w:r>
      <w:r>
        <w:t>5.6.2.1</w:t>
      </w:r>
      <w:r>
        <w:fldChar w:fldCharType="end"/>
      </w:r>
      <w:r>
        <w:t>)</w:t>
      </w:r>
    </w:p>
    <w:p w14:paraId="4EF57C4F" w14:textId="7F3501E6">
      <w:pPr>
        <w:pStyle w:val="Lista3"/>
      </w:pPr>
      <w:r>
        <w:t xml:space="preserve">see </w:t>
      </w:r>
      <w:r>
        <w:fldChar w:fldCharType="begin"/>
      </w:r>
      <w:r>
        <w:instrText xml:space="preserve"> REF _Ref44078634 \h  \* MERGEFORMAT </w:instrText>
      </w:r>
      <w:r>
        <w:fldChar w:fldCharType="separate"/>
      </w:r>
      <w:r>
        <w:t xml:space="preserve">Exhibit </w:t>
      </w:r>
      <w:r>
        <w:rPr>
          <w:noProof/>
        </w:rPr>
        <w:t>5.6.G</w:t>
      </w:r>
      <w:r>
        <w:fldChar w:fldCharType="end"/>
      </w:r>
      <w:r>
        <w:t xml:space="preserve"> for a fully encoded example of such deletion</w:t>
      </w:r>
    </w:p>
    <w:p w14:paraId="3AAEBE69" w14:textId="77777777">
      <w:pPr>
        <w:pStyle w:val="Lista2"/>
        <w:rPr>
          <w:rStyle w:val="Foreign"/>
          <w:i w:val="0"/>
          <w:iCs w:val="0"/>
          <w:noProof w:val="0"/>
        </w:rPr>
      </w:pPr>
      <w:r>
        <w:t xml:space="preserve">if the vowel marker </w:t>
      </w:r>
      <w:r>
        <w:rPr>
          <w:rStyle w:val="Foreign"/>
        </w:rPr>
        <w:t>ā</w:t>
      </w:r>
      <w:r>
        <w:t xml:space="preserve"> is added to the second </w:t>
      </w:r>
      <w:r>
        <w:rPr>
          <w:rStyle w:val="Foreign"/>
        </w:rPr>
        <w:t>akṣara</w:t>
      </w:r>
      <w:r>
        <w:t xml:space="preserve"> of the word </w:t>
      </w:r>
      <w:r>
        <w:rPr>
          <w:rStyle w:val="Foreign"/>
        </w:rPr>
        <w:t>putraḥ</w:t>
      </w:r>
      <w:r>
        <w:t xml:space="preserve">, this changes the reading to </w:t>
      </w:r>
      <w:r>
        <w:rPr>
          <w:rStyle w:val="Foreign"/>
        </w:rPr>
        <w:t>putrāḥ</w:t>
      </w:r>
    </w:p>
    <w:p w14:paraId="5CCBA892" w14:textId="77777777">
      <w:pPr>
        <w:pStyle w:val="Lista3"/>
      </w:pPr>
      <w:r>
        <w:t xml:space="preserve">which must be encoded as  </w:t>
      </w:r>
      <w:r>
        <w:rPr>
          <w:rStyle w:val="Codetext"/>
        </w:rPr>
        <w:t>putr</w:t>
      </w:r>
      <w:r>
        <w:rPr>
          <w:rStyle w:val="Code"/>
        </w:rPr>
        <w:t xml:space="preserve">&lt;subst&gt;&lt;del </w:t>
      </w:r>
      <w:r>
        <w:rPr>
          <w:rStyle w:val="Codeattribute"/>
        </w:rPr>
        <w:t>rend=</w:t>
      </w:r>
      <w:r>
        <w:rPr>
          <w:rStyle w:val="Codevalue"/>
        </w:rPr>
        <w:t>"corrected"</w:t>
      </w:r>
      <w:r>
        <w:rPr>
          <w:rStyle w:val="Code"/>
        </w:rPr>
        <w:t xml:space="preserve">&gt;a&lt;/del&gt;&lt;add </w:t>
      </w:r>
      <w:r>
        <w:rPr>
          <w:rStyle w:val="Codeattribute"/>
        </w:rPr>
        <w:t>place=</w:t>
      </w:r>
      <w:r>
        <w:rPr>
          <w:rStyle w:val="Codevalue"/>
        </w:rPr>
        <w:t>"overstrike"</w:t>
      </w:r>
      <w:r>
        <w:rPr>
          <w:rStyle w:val="Code"/>
        </w:rPr>
        <w:t>&gt;</w:t>
      </w:r>
      <w:r>
        <w:rPr>
          <w:rStyle w:val="Codetext"/>
        </w:rPr>
        <w:t>ā</w:t>
      </w:r>
      <w:r>
        <w:rPr>
          <w:rStyle w:val="Code"/>
        </w:rPr>
        <w:t>&lt;/add&gt;&lt;/subst&gt;</w:t>
      </w:r>
      <w:r>
        <w:rPr>
          <w:rStyle w:val="Codetext"/>
        </w:rPr>
        <w:t>ḥ</w:t>
      </w:r>
    </w:p>
    <w:p w14:paraId="0C0ECE7F" w14:textId="77777777">
      <w:pPr>
        <w:pStyle w:val="Lista4"/>
      </w:pPr>
      <w:r>
        <w:rPr>
          <w:b/>
          <w:bCs/>
        </w:rPr>
        <w:t>not</w:t>
      </w:r>
      <w:r>
        <w:t xml:space="preserve"> </w:t>
      </w:r>
      <w:r>
        <w:rPr>
          <w:rStyle w:val="Codetext"/>
        </w:rPr>
        <w:t>putr</w:t>
      </w:r>
      <w:r>
        <w:rPr>
          <w:rStyle w:val="Code"/>
        </w:rPr>
        <w:t>&lt;add&gt;</w:t>
      </w:r>
      <w:r>
        <w:rPr>
          <w:rStyle w:val="Codetext"/>
        </w:rPr>
        <w:t>ā</w:t>
      </w:r>
      <w:r>
        <w:rPr>
          <w:rStyle w:val="Code"/>
        </w:rPr>
        <w:t>&lt;/add&gt;</w:t>
      </w:r>
      <w:r>
        <w:rPr>
          <w:rStyle w:val="Codetext"/>
        </w:rPr>
        <w:t>ḥ</w:t>
      </w:r>
      <w:r>
        <w:t xml:space="preserve"> (which would mean that the pre-correction reading is </w:t>
      </w:r>
      <w:r>
        <w:rPr>
          <w:rStyle w:val="Foreign"/>
        </w:rPr>
        <w:t>putrḥ</w:t>
      </w:r>
      <w:r>
        <w:t>)</w:t>
      </w:r>
    </w:p>
    <w:p w14:paraId="2F148F5E" w14:textId="67A444E9">
      <w:pPr>
        <w:pStyle w:val="Lista4"/>
        <w:rPr>
          <w:lang w:eastAsia="en-US" w:bidi="ar-SA"/>
        </w:rPr>
      </w:pPr>
      <w:r>
        <w:t xml:space="preserve">even though the scribe did not actually delete anything, on the level of graphemes the </w:t>
      </w:r>
      <w:r>
        <w:rPr>
          <w:rStyle w:val="Foreign"/>
        </w:rPr>
        <w:t>a</w:t>
      </w:r>
      <w:r>
        <w:t xml:space="preserve"> was cancelled without physical deletion (hence </w:t>
      </w:r>
      <w:r>
        <w:rPr>
          <w:rStyle w:val="Codeattribute"/>
        </w:rPr>
        <w:t>@rend=</w:t>
      </w:r>
      <w:r>
        <w:rPr>
          <w:rStyle w:val="Codevalue"/>
        </w:rPr>
        <w:t>"corrected"</w:t>
      </w:r>
      <w:r>
        <w:t xml:space="preserve"> on the </w:t>
      </w:r>
      <w:r>
        <w:rPr>
          <w:rStyle w:val="Code"/>
        </w:rPr>
        <w:t>&lt;del&gt;</w:t>
      </w:r>
      <w:r>
        <w:t xml:space="preserve"> element, §</w:t>
      </w:r>
      <w:r>
        <w:fldChar w:fldCharType="begin"/>
      </w:r>
      <w:r>
        <w:instrText xml:space="preserve"> REF _Ref227846179 \r \h </w:instrText>
      </w:r>
      <w:r>
        <w:fldChar w:fldCharType="separate"/>
      </w:r>
      <w:r>
        <w:t>5.6.1.1</w:t>
      </w:r>
      <w:r>
        <w:fldChar w:fldCharType="end"/>
      </w:r>
      <w:r>
        <w:t xml:space="preserve">), while the </w:t>
      </w:r>
      <w:r>
        <w:rPr>
          <w:rStyle w:val="Foreign"/>
        </w:rPr>
        <w:t>ā</w:t>
      </w:r>
      <w:r>
        <w:t xml:space="preserve"> was created in the same place (hence </w:t>
      </w:r>
      <w:r>
        <w:rPr>
          <w:rStyle w:val="Codeattribute"/>
        </w:rPr>
        <w:t>@place=</w:t>
      </w:r>
      <w:r>
        <w:rPr>
          <w:rStyle w:val="Codevalue"/>
        </w:rPr>
        <w:t>"overstrike"</w:t>
      </w:r>
      <w:r>
        <w:t xml:space="preserve"> on the </w:t>
      </w:r>
      <w:r>
        <w:rPr>
          <w:rStyle w:val="Code"/>
        </w:rPr>
        <w:t>&lt;add&gt;</w:t>
      </w:r>
      <w:r>
        <w:t xml:space="preserve"> element, §</w:t>
      </w:r>
      <w:r>
        <w:fldChar w:fldCharType="begin"/>
      </w:r>
      <w:r>
        <w:instrText xml:space="preserve"> REF _Ref227848664 \r \h </w:instrText>
      </w:r>
      <w:r>
        <w:fldChar w:fldCharType="separate"/>
      </w:r>
      <w:r>
        <w:t>5.6.2.1</w:t>
      </w:r>
      <w:r>
        <w:fldChar w:fldCharType="end"/>
      </w:r>
      <w:r>
        <w:t>)</w:t>
      </w:r>
    </w:p>
    <w:p w14:paraId="42CCC996" w14:textId="77777777">
      <w:pPr>
        <w:pStyle w:val="Cmsor1"/>
      </w:pPr>
      <w:bookmarkStart w:id="519" w:name="_zf8yqisjzwlq" w:colFirst="0" w:colLast="0"/>
      <w:bookmarkStart w:id="520" w:name="_Ref231895504"/>
      <w:bookmarkStart w:id="521" w:name="_Toc242889515"/>
      <w:bookmarkEnd w:id="519"/>
      <w:r>
        <w:lastRenderedPageBreak/>
        <w:t>Legibility issues</w:t>
      </w:r>
      <w:bookmarkEnd w:id="520"/>
      <w:bookmarkEnd w:id="521"/>
    </w:p>
    <w:p w14:paraId="455E616C" w14:textId="77777777">
      <w:pPr>
        <w:pStyle w:val="Cmsor2"/>
      </w:pPr>
      <w:bookmarkStart w:id="522" w:name="_z6ifhw1ovfh2" w:colFirst="0" w:colLast="0"/>
      <w:bookmarkStart w:id="523" w:name="_Ref228196345"/>
      <w:bookmarkStart w:id="524" w:name="_Toc242889516"/>
      <w:bookmarkEnd w:id="522"/>
      <w:r>
        <w:t>Representing legibility issues in TEI/EpiDoc</w:t>
      </w:r>
      <w:bookmarkEnd w:id="523"/>
      <w:bookmarkEnd w:id="524"/>
    </w:p>
    <w:p w14:paraId="50CC5595" w14:textId="089A410A">
      <w:r>
        <w:t xml:space="preserve">This section is concerned with the encoding of text which is present in the source document, or was presumably present when the source was in a pristine state, but which cannot be read with complete confidence today. Encoding what </w:t>
      </w:r>
      <w:r>
        <w:rPr>
          <w:i/>
          <w:iCs/>
        </w:rPr>
        <w:t>should</w:t>
      </w:r>
      <w:r>
        <w:t xml:space="preserve"> have been there but is (and was) not, i.e. editorial intervention, is the subject of §</w:t>
      </w:r>
      <w:r>
        <w:fldChar w:fldCharType="begin"/>
      </w:r>
      <w:r>
        <w:instrText xml:space="preserve"> REF _Ref181694670 \r \h </w:instrText>
      </w:r>
      <w:r>
        <w:fldChar w:fldCharType="separate"/>
      </w:r>
      <w:r>
        <w:t>7</w:t>
      </w:r>
      <w:r>
        <w:fldChar w:fldCharType="end"/>
      </w:r>
      <w:r>
        <w:t>. The textual loci affected by a legibility issue are tagged with phrase-level elements (§</w:t>
      </w:r>
      <w:r>
        <w:fldChar w:fldCharType="begin"/>
      </w:r>
      <w:r>
        <w:instrText xml:space="preserve"> REF _Ref224893557 \r \h </w:instrText>
      </w:r>
      <w:r>
        <w:fldChar w:fldCharType="separate"/>
      </w:r>
      <w:r>
        <w:t>2.1.2</w:t>
      </w:r>
      <w:r>
        <w:fldChar w:fldCharType="end"/>
      </w:r>
      <w:r>
        <w:t>), which are hierarchically subordinate to the block-level containers for prose and verse, therefore any continuous stretch of problematic reading that extends across a block-level boundary must be encoded with two separate phrase-level elements, one in each of the containers. Encoding hierarchy is discussed further in §</w:t>
      </w:r>
      <w:r>
        <w:fldChar w:fldCharType="begin"/>
      </w:r>
      <w:r>
        <w:instrText xml:space="preserve"> REF _Ref43978660 \r \h </w:instrText>
      </w:r>
      <w:r>
        <w:fldChar w:fldCharType="separate"/>
      </w:r>
      <w:r>
        <w:t>16.2</w:t>
      </w:r>
      <w:r>
        <w:fldChar w:fldCharType="end"/>
      </w:r>
      <w:r>
        <w:t xml:space="preserve">. </w:t>
      </w:r>
    </w:p>
    <w:p w14:paraId="49FC1DCE" w14:textId="078B6A6A">
      <w:pPr>
        <w:pStyle w:val="Normlbehzs"/>
      </w:pPr>
      <w:r>
        <w:t xml:space="preserve">The TEI elements relevant to the source’s legibility are </w:t>
      </w:r>
      <w:r>
        <w:rPr>
          <w:rStyle w:val="Code"/>
        </w:rPr>
        <w:t>&lt;damage&gt;</w:t>
      </w:r>
      <w:r>
        <w:t xml:space="preserve">, </w:t>
      </w:r>
      <w:r>
        <w:rPr>
          <w:rStyle w:val="Code"/>
        </w:rPr>
        <w:t>&lt;unclear&gt;</w:t>
      </w:r>
      <w:r>
        <w:t xml:space="preserve">, </w:t>
      </w:r>
      <w:r>
        <w:rPr>
          <w:rStyle w:val="Code"/>
        </w:rPr>
        <w:t>&lt;gap&gt;</w:t>
      </w:r>
      <w:r>
        <w:t xml:space="preserve"> and </w:t>
      </w:r>
      <w:r>
        <w:rPr>
          <w:rStyle w:val="Code"/>
        </w:rPr>
        <w:t>&lt;supplied&gt;</w:t>
      </w:r>
      <w:r>
        <w:t xml:space="preserve">. Which of these applies to any given locus, and what attributes should be used on them, depends on the degree to which the source text is objectively legible and your confidence in the reading selected for your edition, as illustrated in </w:t>
      </w:r>
      <w:r>
        <w:fldChar w:fldCharType="begin"/>
      </w:r>
      <w:r>
        <w:instrText xml:space="preserve"> REF _Ref228199279 \h </w:instrText>
      </w:r>
      <w:r>
        <w:fldChar w:fldCharType="separate"/>
      </w:r>
      <w:r>
        <w:t xml:space="preserve">Exhibit </w:t>
      </w:r>
      <w:r>
        <w:rPr>
          <w:noProof/>
        </w:rPr>
        <w:t>6.1</w:t>
      </w:r>
      <w:r>
        <w:t>.</w:t>
      </w:r>
      <w:r>
        <w:rPr>
          <w:noProof/>
        </w:rPr>
        <w:t>A</w:t>
      </w:r>
      <w:r>
        <w:fldChar w:fldCharType="end"/>
      </w:r>
      <w:r>
        <w:t>, with the table’s labels explained below in more detail.</w:t>
      </w:r>
    </w:p>
    <w:p w14:paraId="68103828" w14:textId="77777777">
      <w:pPr>
        <w:keepNext/>
      </w:pPr>
    </w:p>
    <w:tbl>
      <w:tblPr>
        <w:tblStyle w:val="62"/>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38"/>
        <w:gridCol w:w="2553"/>
        <w:gridCol w:w="3359"/>
        <w:gridCol w:w="2068"/>
      </w:tblGrid>
      <w:tr w14:paraId="37394E98" w14:textId="77777777">
        <w:tc>
          <w:tcPr>
            <w:tcW w:w="5000" w:type="pct"/>
            <w:gridSpan w:val="4"/>
            <w:shd w:val="clear" w:color="auto" w:fill="F0F7D7"/>
            <w:tcMar>
              <w:top w:w="100" w:type="dxa"/>
              <w:left w:w="100" w:type="dxa"/>
              <w:bottom w:w="100" w:type="dxa"/>
              <w:right w:w="100" w:type="dxa"/>
            </w:tcMar>
            <w:vAlign w:val="bottom"/>
          </w:tcPr>
          <w:p w14:paraId="51474BF1" w14:textId="21AE1184">
            <w:pPr>
              <w:pStyle w:val="Kpalrs"/>
            </w:pPr>
            <w:bookmarkStart w:id="525" w:name="_Ref228199279"/>
            <w:r>
              <w:t xml:space="preserve">Exhibit </w:t>
            </w:r>
            <w:fldSimple w:instr=" STYLEREF 2 \s ">
              <w:r>
                <w:rPr>
                  <w:noProof/>
                </w:rPr>
                <w:t>6.1</w:t>
              </w:r>
            </w:fldSimple>
            <w:r>
              <w:t>.</w:t>
            </w:r>
            <w:fldSimple w:instr=" SEQ Exhibit \* ALPHABETIC \s 2 ">
              <w:r>
                <w:rPr>
                  <w:noProof/>
                </w:rPr>
                <w:t>A</w:t>
              </w:r>
            </w:fldSimple>
            <w:bookmarkEnd w:id="525"/>
            <w:r>
              <w:t>: encoding of legibility issues</w:t>
            </w:r>
          </w:p>
        </w:tc>
      </w:tr>
      <w:tr w14:paraId="4A7E9D0C" w14:textId="77777777">
        <w:tc>
          <w:tcPr>
            <w:tcW w:w="852" w:type="pct"/>
            <w:vMerge w:val="restart"/>
            <w:shd w:val="clear" w:color="auto" w:fill="F0F7D7"/>
            <w:tcMar>
              <w:top w:w="100" w:type="dxa"/>
              <w:left w:w="100" w:type="dxa"/>
              <w:bottom w:w="100" w:type="dxa"/>
              <w:right w:w="100" w:type="dxa"/>
            </w:tcMar>
            <w:vAlign w:val="bottom"/>
          </w:tcPr>
          <w:p w14:paraId="2C88E23B" w14:textId="77777777">
            <w:pPr>
              <w:pStyle w:val="Tabletext"/>
              <w:keepNext/>
              <w:keepLines/>
              <w:jc w:val="center"/>
            </w:pPr>
            <w:r>
              <w:t>Confidence in edition text</w:t>
            </w:r>
          </w:p>
        </w:tc>
        <w:tc>
          <w:tcPr>
            <w:tcW w:w="4148" w:type="pct"/>
            <w:gridSpan w:val="3"/>
            <w:shd w:val="clear" w:color="auto" w:fill="F0F7D7"/>
            <w:tcMar>
              <w:top w:w="100" w:type="dxa"/>
              <w:left w:w="100" w:type="dxa"/>
              <w:bottom w:w="100" w:type="dxa"/>
              <w:right w:w="100" w:type="dxa"/>
            </w:tcMar>
            <w:vAlign w:val="center"/>
          </w:tcPr>
          <w:p w14:paraId="1A5BB014" w14:textId="77777777">
            <w:pPr>
              <w:pStyle w:val="Tabletext"/>
              <w:keepNext/>
              <w:keepLines/>
              <w:jc w:val="center"/>
            </w:pPr>
            <w:r>
              <w:t>Status of source text</w:t>
            </w:r>
          </w:p>
        </w:tc>
      </w:tr>
      <w:tr w14:paraId="1F2AB3E8" w14:textId="77777777">
        <w:tc>
          <w:tcPr>
            <w:tcW w:w="852" w:type="pct"/>
            <w:vMerge/>
            <w:shd w:val="clear" w:color="auto" w:fill="F0F7D7"/>
            <w:tcMar>
              <w:top w:w="100" w:type="dxa"/>
              <w:left w:w="100" w:type="dxa"/>
              <w:bottom w:w="100" w:type="dxa"/>
              <w:right w:w="100" w:type="dxa"/>
            </w:tcMar>
          </w:tcPr>
          <w:p w14:paraId="765BAE85" w14:textId="77777777">
            <w:pPr>
              <w:pStyle w:val="Tabletext"/>
              <w:keepNext/>
              <w:keepLines/>
            </w:pPr>
          </w:p>
        </w:tc>
        <w:tc>
          <w:tcPr>
            <w:tcW w:w="1327" w:type="pct"/>
            <w:shd w:val="clear" w:color="auto" w:fill="F0F7D7"/>
            <w:tcMar>
              <w:top w:w="100" w:type="dxa"/>
              <w:left w:w="100" w:type="dxa"/>
              <w:bottom w:w="100" w:type="dxa"/>
              <w:right w:w="100" w:type="dxa"/>
            </w:tcMar>
            <w:vAlign w:val="center"/>
          </w:tcPr>
          <w:p w14:paraId="36432A5D" w14:textId="77777777">
            <w:pPr>
              <w:pStyle w:val="Tabletext"/>
              <w:keepNext/>
              <w:keepLines/>
              <w:jc w:val="center"/>
            </w:pPr>
            <w:r>
              <w:t>lost</w:t>
            </w:r>
          </w:p>
        </w:tc>
        <w:tc>
          <w:tcPr>
            <w:tcW w:w="1746" w:type="pct"/>
            <w:shd w:val="clear" w:color="auto" w:fill="F0F7D7"/>
            <w:tcMar>
              <w:top w:w="100" w:type="dxa"/>
              <w:left w:w="100" w:type="dxa"/>
              <w:bottom w:w="100" w:type="dxa"/>
              <w:right w:w="100" w:type="dxa"/>
            </w:tcMar>
            <w:vAlign w:val="center"/>
          </w:tcPr>
          <w:p w14:paraId="49BD09FA" w14:textId="77777777">
            <w:pPr>
              <w:pStyle w:val="Tabletext"/>
              <w:keepNext/>
              <w:keepLines/>
              <w:jc w:val="center"/>
            </w:pPr>
            <w:r>
              <w:t>illegible</w:t>
            </w:r>
          </w:p>
        </w:tc>
        <w:tc>
          <w:tcPr>
            <w:tcW w:w="1075" w:type="pct"/>
            <w:shd w:val="clear" w:color="auto" w:fill="F0F7D7"/>
            <w:tcMar>
              <w:top w:w="100" w:type="dxa"/>
              <w:left w:w="100" w:type="dxa"/>
              <w:bottom w:w="100" w:type="dxa"/>
              <w:right w:w="100" w:type="dxa"/>
            </w:tcMar>
            <w:vAlign w:val="center"/>
          </w:tcPr>
          <w:p w14:paraId="74348DA4" w14:textId="77777777">
            <w:pPr>
              <w:pStyle w:val="Tabletext"/>
              <w:keepNext/>
              <w:keepLines/>
              <w:jc w:val="center"/>
            </w:pPr>
            <w:r>
              <w:t>problematic</w:t>
            </w:r>
          </w:p>
        </w:tc>
      </w:tr>
      <w:tr w14:paraId="40507C98" w14:textId="77777777">
        <w:trPr>
          <w:trHeight w:val="440"/>
        </w:trPr>
        <w:tc>
          <w:tcPr>
            <w:tcW w:w="852" w:type="pct"/>
            <w:shd w:val="clear" w:color="auto" w:fill="F0F7D7"/>
            <w:tcMar>
              <w:top w:w="100" w:type="dxa"/>
              <w:left w:w="100" w:type="dxa"/>
              <w:bottom w:w="100" w:type="dxa"/>
              <w:right w:w="100" w:type="dxa"/>
            </w:tcMar>
            <w:vAlign w:val="center"/>
          </w:tcPr>
          <w:p w14:paraId="44449157" w14:textId="77777777">
            <w:pPr>
              <w:pStyle w:val="Tabletext"/>
              <w:keepNext/>
              <w:keepLines/>
              <w:jc w:val="right"/>
            </w:pPr>
            <w:r>
              <w:t>high</w:t>
            </w:r>
          </w:p>
        </w:tc>
        <w:tc>
          <w:tcPr>
            <w:tcW w:w="1327" w:type="pct"/>
            <w:vMerge w:val="restart"/>
            <w:tcMar>
              <w:top w:w="100" w:type="dxa"/>
              <w:left w:w="100" w:type="dxa"/>
              <w:bottom w:w="100" w:type="dxa"/>
              <w:right w:w="100" w:type="dxa"/>
            </w:tcMar>
            <w:vAlign w:val="center"/>
          </w:tcPr>
          <w:p w14:paraId="15888A14" w14:textId="77777777">
            <w:pPr>
              <w:pStyle w:val="Tabletext"/>
              <w:keepNext/>
              <w:keepLines/>
              <w:jc w:val="center"/>
              <w:rPr>
                <w:rStyle w:val="Code"/>
              </w:rPr>
            </w:pPr>
            <w:r>
              <w:rPr>
                <w:rStyle w:val="Code"/>
              </w:rPr>
              <w:t>&lt;supplied&gt;</w:t>
            </w:r>
            <w:r>
              <w:rPr>
                <w:rStyle w:val="Code"/>
              </w:rPr>
              <w:br/>
            </w:r>
            <w:r>
              <w:t xml:space="preserve">with </w:t>
            </w:r>
            <w:r>
              <w:rPr>
                <w:rStyle w:val="Codeattribute"/>
              </w:rPr>
              <w:t>@reason</w:t>
            </w:r>
            <w:r>
              <w:rPr>
                <w:rStyle w:val="Code"/>
              </w:rPr>
              <w:t>=</w:t>
            </w:r>
            <w:r>
              <w:rPr>
                <w:rStyle w:val="Codevalue"/>
              </w:rPr>
              <w:t>"lost"</w:t>
            </w:r>
          </w:p>
        </w:tc>
        <w:tc>
          <w:tcPr>
            <w:tcW w:w="1746" w:type="pct"/>
            <w:vMerge w:val="restart"/>
            <w:tcMar>
              <w:top w:w="100" w:type="dxa"/>
              <w:left w:w="100" w:type="dxa"/>
              <w:bottom w:w="100" w:type="dxa"/>
              <w:right w:w="100" w:type="dxa"/>
            </w:tcMar>
            <w:vAlign w:val="center"/>
          </w:tcPr>
          <w:p w14:paraId="3225E214" w14:textId="77777777">
            <w:pPr>
              <w:pStyle w:val="Tabletext"/>
              <w:keepNext/>
              <w:keepLines/>
              <w:jc w:val="center"/>
              <w:rPr>
                <w:rStyle w:val="Code"/>
              </w:rPr>
            </w:pPr>
            <w:r>
              <w:rPr>
                <w:rStyle w:val="Code"/>
              </w:rPr>
              <w:t>&lt;unclear&gt;</w:t>
            </w:r>
          </w:p>
        </w:tc>
        <w:tc>
          <w:tcPr>
            <w:tcW w:w="1075" w:type="pct"/>
            <w:tcMar>
              <w:top w:w="100" w:type="dxa"/>
              <w:left w:w="100" w:type="dxa"/>
              <w:bottom w:w="100" w:type="dxa"/>
              <w:right w:w="100" w:type="dxa"/>
            </w:tcMar>
            <w:vAlign w:val="center"/>
          </w:tcPr>
          <w:p w14:paraId="725EF7AC" w14:textId="77777777">
            <w:pPr>
              <w:pStyle w:val="Tabletext"/>
              <w:keepNext/>
              <w:keepLines/>
              <w:jc w:val="center"/>
            </w:pPr>
            <w:r>
              <w:t xml:space="preserve">optional </w:t>
            </w:r>
            <w:r>
              <w:rPr>
                <w:rStyle w:val="Code"/>
              </w:rPr>
              <w:t>&lt;unclear&gt;</w:t>
            </w:r>
            <w:r>
              <w:t xml:space="preserve"> optional </w:t>
            </w:r>
            <w:r>
              <w:rPr>
                <w:rStyle w:val="Code"/>
              </w:rPr>
              <w:t>&lt;damage&gt;</w:t>
            </w:r>
          </w:p>
        </w:tc>
      </w:tr>
      <w:tr w14:paraId="04C52A75" w14:textId="77777777">
        <w:trPr>
          <w:trHeight w:val="440"/>
        </w:trPr>
        <w:tc>
          <w:tcPr>
            <w:tcW w:w="852" w:type="pct"/>
            <w:shd w:val="clear" w:color="auto" w:fill="F0F7D7"/>
            <w:tcMar>
              <w:top w:w="100" w:type="dxa"/>
              <w:left w:w="100" w:type="dxa"/>
              <w:bottom w:w="100" w:type="dxa"/>
              <w:right w:w="100" w:type="dxa"/>
            </w:tcMar>
            <w:vAlign w:val="center"/>
          </w:tcPr>
          <w:p w14:paraId="6AC8977A" w14:textId="77777777">
            <w:pPr>
              <w:pStyle w:val="Tabletext"/>
              <w:keepNext/>
              <w:keepLines/>
              <w:jc w:val="right"/>
            </w:pPr>
            <w:r>
              <w:t>reasonable</w:t>
            </w:r>
          </w:p>
        </w:tc>
        <w:tc>
          <w:tcPr>
            <w:tcW w:w="1327" w:type="pct"/>
            <w:vMerge/>
            <w:tcMar>
              <w:top w:w="100" w:type="dxa"/>
              <w:left w:w="100" w:type="dxa"/>
              <w:bottom w:w="100" w:type="dxa"/>
              <w:right w:w="100" w:type="dxa"/>
            </w:tcMar>
            <w:vAlign w:val="center"/>
          </w:tcPr>
          <w:p w14:paraId="2C680F5E" w14:textId="77777777">
            <w:pPr>
              <w:pStyle w:val="Tabletext"/>
              <w:keepNext/>
              <w:keepLines/>
              <w:jc w:val="center"/>
            </w:pPr>
          </w:p>
        </w:tc>
        <w:tc>
          <w:tcPr>
            <w:tcW w:w="1746" w:type="pct"/>
            <w:vMerge/>
            <w:tcMar>
              <w:top w:w="100" w:type="dxa"/>
              <w:left w:w="100" w:type="dxa"/>
              <w:bottom w:w="100" w:type="dxa"/>
              <w:right w:w="100" w:type="dxa"/>
            </w:tcMar>
            <w:vAlign w:val="center"/>
          </w:tcPr>
          <w:p w14:paraId="2F22604B" w14:textId="77777777">
            <w:pPr>
              <w:pStyle w:val="Tabletext"/>
              <w:keepNext/>
              <w:keepLines/>
              <w:jc w:val="center"/>
            </w:pPr>
          </w:p>
        </w:tc>
        <w:tc>
          <w:tcPr>
            <w:tcW w:w="1075" w:type="pct"/>
            <w:tcMar>
              <w:top w:w="100" w:type="dxa"/>
              <w:left w:w="100" w:type="dxa"/>
              <w:bottom w:w="100" w:type="dxa"/>
              <w:right w:w="100" w:type="dxa"/>
            </w:tcMar>
            <w:vAlign w:val="center"/>
          </w:tcPr>
          <w:p w14:paraId="54D4DA3D" w14:textId="77777777">
            <w:pPr>
              <w:pStyle w:val="Tabletext"/>
              <w:keepNext/>
              <w:keepLines/>
              <w:jc w:val="center"/>
              <w:rPr>
                <w:rStyle w:val="Code"/>
              </w:rPr>
            </w:pPr>
            <w:r>
              <w:rPr>
                <w:rStyle w:val="Code"/>
              </w:rPr>
              <w:t>&lt;unclear&gt;</w:t>
            </w:r>
          </w:p>
        </w:tc>
      </w:tr>
      <w:tr w14:paraId="495DA97F" w14:textId="77777777">
        <w:trPr>
          <w:trHeight w:val="440"/>
        </w:trPr>
        <w:tc>
          <w:tcPr>
            <w:tcW w:w="852" w:type="pct"/>
            <w:shd w:val="clear" w:color="auto" w:fill="F0F7D7"/>
            <w:tcMar>
              <w:top w:w="100" w:type="dxa"/>
              <w:left w:w="100" w:type="dxa"/>
              <w:bottom w:w="100" w:type="dxa"/>
              <w:right w:w="100" w:type="dxa"/>
            </w:tcMar>
            <w:vAlign w:val="center"/>
          </w:tcPr>
          <w:p w14:paraId="1AFA8B3F" w14:textId="77777777">
            <w:pPr>
              <w:pStyle w:val="Tabletext"/>
              <w:keepNext/>
              <w:keepLines/>
              <w:jc w:val="right"/>
            </w:pPr>
            <w:r>
              <w:t>tentative</w:t>
            </w:r>
          </w:p>
        </w:tc>
        <w:tc>
          <w:tcPr>
            <w:tcW w:w="1327" w:type="pct"/>
            <w:tcMar>
              <w:top w:w="100" w:type="dxa"/>
              <w:left w:w="100" w:type="dxa"/>
              <w:bottom w:w="100" w:type="dxa"/>
              <w:right w:w="100" w:type="dxa"/>
            </w:tcMar>
            <w:vAlign w:val="center"/>
          </w:tcPr>
          <w:p w14:paraId="18BCA0F8" w14:textId="77777777">
            <w:pPr>
              <w:pStyle w:val="Tabletext"/>
              <w:keepNext/>
              <w:keepLines/>
              <w:jc w:val="center"/>
              <w:rPr>
                <w:rStyle w:val="Code"/>
              </w:rPr>
            </w:pPr>
            <w:r>
              <w:rPr>
                <w:rStyle w:val="Code"/>
              </w:rPr>
              <w:t>&lt;supplied&gt;</w:t>
            </w:r>
          </w:p>
          <w:p w14:paraId="1777FC99" w14:textId="77777777">
            <w:pPr>
              <w:pStyle w:val="Tabletext"/>
              <w:keepNext/>
              <w:keepLines/>
              <w:jc w:val="center"/>
              <w:rPr>
                <w:rStyle w:val="Code"/>
              </w:rPr>
            </w:pPr>
            <w:r>
              <w:t xml:space="preserve">with </w:t>
            </w:r>
            <w:r>
              <w:rPr>
                <w:rStyle w:val="Codeattribute"/>
              </w:rPr>
              <w:t>@reason</w:t>
            </w:r>
            <w:r>
              <w:rPr>
                <w:rStyle w:val="Code"/>
              </w:rPr>
              <w:t>=</w:t>
            </w:r>
            <w:r>
              <w:rPr>
                <w:rStyle w:val="Codevalue"/>
              </w:rPr>
              <w:t>"lost"</w:t>
            </w:r>
            <w:r>
              <w:rPr>
                <w:rStyle w:val="Code"/>
              </w:rPr>
              <w:t xml:space="preserve"> </w:t>
            </w:r>
          </w:p>
          <w:p w14:paraId="71223D64" w14:textId="77777777">
            <w:pPr>
              <w:pStyle w:val="Tabletext"/>
              <w:keepNext/>
              <w:keepLines/>
              <w:jc w:val="center"/>
              <w:rPr>
                <w:rStyle w:val="Code"/>
              </w:rPr>
            </w:pPr>
            <w:r>
              <w:t xml:space="preserve">and </w:t>
            </w:r>
            <w:r>
              <w:rPr>
                <w:rStyle w:val="Codeattribute"/>
              </w:rPr>
              <w:t>@cert</w:t>
            </w:r>
            <w:r>
              <w:rPr>
                <w:rStyle w:val="Code"/>
              </w:rPr>
              <w:t>=</w:t>
            </w:r>
            <w:r>
              <w:rPr>
                <w:rStyle w:val="Codevalue"/>
              </w:rPr>
              <w:t>"low"</w:t>
            </w:r>
          </w:p>
        </w:tc>
        <w:tc>
          <w:tcPr>
            <w:tcW w:w="1746" w:type="pct"/>
            <w:tcMar>
              <w:top w:w="100" w:type="dxa"/>
              <w:left w:w="100" w:type="dxa"/>
              <w:bottom w:w="100" w:type="dxa"/>
              <w:right w:w="100" w:type="dxa"/>
            </w:tcMar>
            <w:vAlign w:val="center"/>
          </w:tcPr>
          <w:p w14:paraId="499A0DEE" w14:textId="77777777">
            <w:pPr>
              <w:pStyle w:val="Tabletext"/>
              <w:keepNext/>
              <w:keepLines/>
              <w:jc w:val="center"/>
              <w:rPr>
                <w:rStyle w:val="Code"/>
              </w:rPr>
            </w:pPr>
            <w:r>
              <w:rPr>
                <w:rStyle w:val="Code"/>
              </w:rPr>
              <w:t>&lt;unclear&gt;</w:t>
            </w:r>
          </w:p>
          <w:p w14:paraId="36152CD1" w14:textId="77777777">
            <w:pPr>
              <w:pStyle w:val="Tabletext"/>
              <w:keepNext/>
              <w:keepLines/>
              <w:jc w:val="center"/>
              <w:rPr>
                <w:rStyle w:val="Code"/>
              </w:rPr>
            </w:pPr>
            <w:r>
              <w:t xml:space="preserve">with </w:t>
            </w:r>
            <w:r>
              <w:rPr>
                <w:rStyle w:val="Codeattribute"/>
              </w:rPr>
              <w:t>@cert</w:t>
            </w:r>
            <w:r>
              <w:rPr>
                <w:rStyle w:val="Code"/>
              </w:rPr>
              <w:t>=</w:t>
            </w:r>
            <w:r>
              <w:rPr>
                <w:rStyle w:val="Codevalue"/>
              </w:rPr>
              <w:t>"low"</w:t>
            </w:r>
          </w:p>
        </w:tc>
        <w:tc>
          <w:tcPr>
            <w:tcW w:w="1075" w:type="pct"/>
            <w:tcMar>
              <w:top w:w="100" w:type="dxa"/>
              <w:left w:w="100" w:type="dxa"/>
              <w:bottom w:w="100" w:type="dxa"/>
              <w:right w:w="100" w:type="dxa"/>
            </w:tcMar>
            <w:vAlign w:val="center"/>
          </w:tcPr>
          <w:p w14:paraId="65652118" w14:textId="77777777">
            <w:pPr>
              <w:pStyle w:val="Tabletext"/>
              <w:keepNext/>
              <w:keepLines/>
              <w:jc w:val="center"/>
              <w:rPr>
                <w:rStyle w:val="Code"/>
              </w:rPr>
            </w:pPr>
            <w:r>
              <w:rPr>
                <w:rStyle w:val="Code"/>
              </w:rPr>
              <w:t>&lt;unclear&gt;</w:t>
            </w:r>
          </w:p>
          <w:p w14:paraId="73B38762" w14:textId="77777777">
            <w:pPr>
              <w:pStyle w:val="Tabletext"/>
              <w:keepNext/>
              <w:keepLines/>
              <w:jc w:val="center"/>
              <w:rPr>
                <w:rStyle w:val="Code"/>
              </w:rPr>
            </w:pPr>
            <w:r>
              <w:t xml:space="preserve">with </w:t>
            </w:r>
            <w:r>
              <w:rPr>
                <w:rStyle w:val="Codeattribute"/>
              </w:rPr>
              <w:t>@cert</w:t>
            </w:r>
            <w:r>
              <w:rPr>
                <w:rStyle w:val="Code"/>
              </w:rPr>
              <w:t>=</w:t>
            </w:r>
            <w:r>
              <w:rPr>
                <w:rStyle w:val="Codevalue"/>
              </w:rPr>
              <w:t>"low"</w:t>
            </w:r>
          </w:p>
        </w:tc>
      </w:tr>
      <w:tr w14:paraId="75210911" w14:textId="77777777">
        <w:tc>
          <w:tcPr>
            <w:tcW w:w="852" w:type="pct"/>
            <w:shd w:val="clear" w:color="auto" w:fill="F0F7D7"/>
            <w:tcMar>
              <w:top w:w="100" w:type="dxa"/>
              <w:left w:w="100" w:type="dxa"/>
              <w:bottom w:w="100" w:type="dxa"/>
              <w:right w:w="100" w:type="dxa"/>
            </w:tcMar>
            <w:vAlign w:val="center"/>
          </w:tcPr>
          <w:p w14:paraId="293C4062" w14:textId="77777777">
            <w:pPr>
              <w:pStyle w:val="Tabletext"/>
              <w:jc w:val="right"/>
            </w:pPr>
            <w:r>
              <w:t>nil</w:t>
            </w:r>
          </w:p>
        </w:tc>
        <w:tc>
          <w:tcPr>
            <w:tcW w:w="1327" w:type="pct"/>
            <w:tcMar>
              <w:top w:w="100" w:type="dxa"/>
              <w:left w:w="100" w:type="dxa"/>
              <w:bottom w:w="100" w:type="dxa"/>
              <w:right w:w="100" w:type="dxa"/>
            </w:tcMar>
            <w:vAlign w:val="center"/>
          </w:tcPr>
          <w:p w14:paraId="077EC1E0" w14:textId="77777777">
            <w:pPr>
              <w:pStyle w:val="Tabletext"/>
              <w:jc w:val="center"/>
              <w:rPr>
                <w:rStyle w:val="Code"/>
              </w:rPr>
            </w:pPr>
            <w:r>
              <w:rPr>
                <w:rStyle w:val="Code"/>
              </w:rPr>
              <w:t>&lt;gap&gt;</w:t>
            </w:r>
          </w:p>
          <w:p w14:paraId="24E072C9" w14:textId="77777777">
            <w:pPr>
              <w:pStyle w:val="Tabletext"/>
              <w:jc w:val="center"/>
              <w:rPr>
                <w:rStyle w:val="Code"/>
              </w:rPr>
            </w:pPr>
            <w:r>
              <w:t xml:space="preserve">with </w:t>
            </w:r>
            <w:r>
              <w:rPr>
                <w:rStyle w:val="Codeattribute"/>
              </w:rPr>
              <w:t>@reason</w:t>
            </w:r>
            <w:r>
              <w:rPr>
                <w:rStyle w:val="Code"/>
              </w:rPr>
              <w:t>=</w:t>
            </w:r>
            <w:r>
              <w:rPr>
                <w:rStyle w:val="Codevalue"/>
              </w:rPr>
              <w:t>"lost"</w:t>
            </w:r>
          </w:p>
        </w:tc>
        <w:tc>
          <w:tcPr>
            <w:tcW w:w="1746" w:type="pct"/>
            <w:tcMar>
              <w:top w:w="100" w:type="dxa"/>
              <w:left w:w="100" w:type="dxa"/>
              <w:bottom w:w="100" w:type="dxa"/>
              <w:right w:w="100" w:type="dxa"/>
            </w:tcMar>
            <w:vAlign w:val="center"/>
          </w:tcPr>
          <w:p w14:paraId="51A05CA4" w14:textId="77777777">
            <w:pPr>
              <w:pStyle w:val="Tabletext"/>
              <w:jc w:val="center"/>
              <w:rPr>
                <w:rStyle w:val="Code"/>
              </w:rPr>
            </w:pPr>
            <w:r>
              <w:rPr>
                <w:rStyle w:val="Code"/>
              </w:rPr>
              <w:t>&lt;gap&gt;</w:t>
            </w:r>
          </w:p>
          <w:p w14:paraId="100ECE55" w14:textId="77777777">
            <w:pPr>
              <w:pStyle w:val="Tabletext"/>
              <w:jc w:val="center"/>
              <w:rPr>
                <w:rStyle w:val="Code"/>
              </w:rPr>
            </w:pPr>
            <w:r>
              <w:t xml:space="preserve">with </w:t>
            </w:r>
            <w:r>
              <w:rPr>
                <w:rStyle w:val="Codeattribute"/>
              </w:rPr>
              <w:t>@reason</w:t>
            </w:r>
            <w:r>
              <w:rPr>
                <w:rStyle w:val="Code"/>
              </w:rPr>
              <w:t>=</w:t>
            </w:r>
            <w:r>
              <w:rPr>
                <w:rStyle w:val="Codevalue"/>
              </w:rPr>
              <w:t>"illegible"</w:t>
            </w:r>
          </w:p>
        </w:tc>
        <w:tc>
          <w:tcPr>
            <w:tcW w:w="1075" w:type="pct"/>
            <w:tcMar>
              <w:top w:w="100" w:type="dxa"/>
              <w:left w:w="100" w:type="dxa"/>
              <w:bottom w:w="100" w:type="dxa"/>
              <w:right w:w="100" w:type="dxa"/>
            </w:tcMar>
            <w:vAlign w:val="center"/>
          </w:tcPr>
          <w:p w14:paraId="230E42AF" w14:textId="77777777">
            <w:pPr>
              <w:pStyle w:val="Tabletext"/>
              <w:jc w:val="center"/>
            </w:pPr>
            <w:r>
              <w:t>NA</w:t>
            </w:r>
          </w:p>
        </w:tc>
      </w:tr>
    </w:tbl>
    <w:p w14:paraId="0F65B4AF" w14:textId="77777777">
      <w:pPr>
        <w:pStyle w:val="Lista"/>
      </w:pPr>
      <w:r>
        <w:t xml:space="preserve">the </w:t>
      </w:r>
      <w:r>
        <w:rPr>
          <w:b/>
          <w:bCs/>
        </w:rPr>
        <w:t>status of the text in the source document</w:t>
      </w:r>
      <w:r>
        <w:t xml:space="preserve"> as an objective, physical entity</w:t>
      </w:r>
    </w:p>
    <w:p w14:paraId="4BD15971" w14:textId="77777777">
      <w:pPr>
        <w:pStyle w:val="Lista2"/>
      </w:pPr>
      <w:r>
        <w:rPr>
          <w:b/>
          <w:bCs/>
        </w:rPr>
        <w:t>lost</w:t>
      </w:r>
      <w:r>
        <w:t>: the support is gone or at least its surface layer is completely destroyed so that all vestiges of writing are obliterated</w:t>
      </w:r>
    </w:p>
    <w:p w14:paraId="396122E9" w14:textId="77777777">
      <w:pPr>
        <w:pStyle w:val="Lista2"/>
      </w:pPr>
      <w:r>
        <w:rPr>
          <w:b/>
          <w:bCs/>
        </w:rPr>
        <w:t>illegible</w:t>
      </w:r>
      <w:r>
        <w:t>: the support is extant, but the glyphs cannot be made out with any degree of confidence</w:t>
      </w:r>
    </w:p>
    <w:p w14:paraId="5E851CD5" w14:textId="77777777">
      <w:pPr>
        <w:pStyle w:val="Lista2"/>
      </w:pPr>
      <w:r>
        <w:rPr>
          <w:b/>
          <w:bCs/>
        </w:rPr>
        <w:t>problematic</w:t>
      </w:r>
      <w:r>
        <w:t>: the glyphs can be made out at least tentatively, but if taken out of context, their reading would be equivocal</w:t>
      </w:r>
    </w:p>
    <w:p w14:paraId="33B00F91" w14:textId="77777777">
      <w:pPr>
        <w:pStyle w:val="Lista"/>
        <w:rPr>
          <w:b/>
          <w:bCs/>
        </w:rPr>
      </w:pPr>
      <w:r>
        <w:rPr>
          <w:b/>
          <w:bCs/>
        </w:rPr>
        <w:t>confidence in the accuracy of your edition’s text (reading or restoration informed by context and expertise)</w:t>
      </w:r>
    </w:p>
    <w:p w14:paraId="0451EEA5" w14:textId="77777777">
      <w:pPr>
        <w:pStyle w:val="Lista2"/>
      </w:pPr>
      <w:r>
        <w:rPr>
          <w:b/>
          <w:bCs/>
        </w:rPr>
        <w:t>high</w:t>
      </w:r>
      <w:r>
        <w:t>: your reading or restoration is quite certainly identical to what was actually written, or if not 100% accurate then differing only in trivial details (for instance, there may have been orthographic variation or a scribal error in the source)</w:t>
      </w:r>
    </w:p>
    <w:p w14:paraId="563CCF8F" w14:textId="703B5B57">
      <w:pPr>
        <w:pStyle w:val="Lista2"/>
      </w:pPr>
      <w:r>
        <w:rPr>
          <w:b/>
          <w:bCs/>
        </w:rPr>
        <w:t>reasonable</w:t>
      </w:r>
      <w:r>
        <w:t>: your reading/restoration is likely to be correct, but there is a chance of a non-trivial alternative reading being possible</w:t>
      </w:r>
    </w:p>
    <w:p w14:paraId="75F393D0" w14:textId="77777777">
      <w:pPr>
        <w:pStyle w:val="Lista2"/>
      </w:pPr>
      <w:r>
        <w:rPr>
          <w:b/>
          <w:bCs/>
        </w:rPr>
        <w:t>tentative</w:t>
      </w:r>
      <w:r>
        <w:t>: your reading/restoration is a best guess or a diagnostic conjecture, with a fair chance that the actually engraved text differed from it in a non-trivial way</w:t>
      </w:r>
    </w:p>
    <w:p w14:paraId="1C7A7DDD" w14:textId="77777777">
      <w:pPr>
        <w:pStyle w:val="Lista2"/>
      </w:pPr>
      <w:r>
        <w:rPr>
          <w:b/>
          <w:bCs/>
        </w:rPr>
        <w:t>nil</w:t>
      </w:r>
      <w:r>
        <w:t>: the text cannot be read or restored with any confidence, so you prefer not to venture a guess</w:t>
      </w:r>
    </w:p>
    <w:p w14:paraId="223B3EF6" w14:textId="77777777"/>
    <w:p w14:paraId="55EB1545" w14:textId="38170D55">
      <w:r>
        <w:lastRenderedPageBreak/>
        <w:t xml:space="preserve">The element </w:t>
      </w:r>
      <w:r>
        <w:rPr>
          <w:rStyle w:val="Code"/>
        </w:rPr>
        <w:t>&lt;unclear&gt;</w:t>
      </w:r>
      <w:r>
        <w:t xml:space="preserve"> (§</w:t>
      </w:r>
      <w:r>
        <w:fldChar w:fldCharType="begin"/>
      </w:r>
      <w:r>
        <w:instrText xml:space="preserve"> REF _Ref43981505 \r \h </w:instrText>
      </w:r>
      <w:r>
        <w:fldChar w:fldCharType="separate"/>
      </w:r>
      <w:r>
        <w:t>6.3</w:t>
      </w:r>
      <w:r>
        <w:fldChar w:fldCharType="end"/>
      </w:r>
      <w:r>
        <w:t>) in principle stands for text that has been read at least tentatively from the source but which might not be readable with full confidence when removed from its context. Unclarity is usually a result of damage to the support, but it may also be a consequence of the eccentric or poor execution of the original writing. The latter can be distinguished from the former by the addition of an attribute (§</w:t>
      </w:r>
      <w:r>
        <w:fldChar w:fldCharType="begin"/>
      </w:r>
      <w:r>
        <w:instrText xml:space="preserve"> REF _Ref227942295 \r \h </w:instrText>
      </w:r>
      <w:r>
        <w:fldChar w:fldCharType="separate"/>
      </w:r>
      <w:r>
        <w:t>6.3.1.2</w:t>
      </w:r>
      <w:r>
        <w:fldChar w:fldCharType="end"/>
      </w:r>
      <w:r>
        <w:t xml:space="preserve">), but the overall method of the encoding is indifferent to the reason why a locus is not perfectly legible. In DHARMA practice, </w:t>
      </w:r>
      <w:r>
        <w:rPr>
          <w:rStyle w:val="Code"/>
        </w:rPr>
        <w:t>&lt;unclear&gt;</w:t>
      </w:r>
      <w:r>
        <w:t xml:space="preserve"> is not required when the text in context has been read with complete confidence even if some ambiguity might apply to the glyphs taken out of context. Loci affected by damage that does not impede reading may be tagged with </w:t>
      </w:r>
      <w:r>
        <w:rPr>
          <w:rStyle w:val="Code"/>
        </w:rPr>
        <w:t>&lt;damage&gt;</w:t>
      </w:r>
      <w:r>
        <w:t xml:space="preserve"> (§</w:t>
      </w:r>
      <w:r>
        <w:fldChar w:fldCharType="begin"/>
      </w:r>
      <w:r>
        <w:instrText xml:space="preserve"> REF _Ref43987823 \r \h </w:instrText>
      </w:r>
      <w:r>
        <w:fldChar w:fldCharType="separate"/>
      </w:r>
      <w:r>
        <w:t>6.2</w:t>
      </w:r>
      <w:r>
        <w:fldChar w:fldCharType="end"/>
      </w:r>
      <w:r>
        <w:t>), although this is not usually done in DHARMA practice.</w:t>
      </w:r>
    </w:p>
    <w:p w14:paraId="369BD0DB" w14:textId="7E7059C9">
      <w:pPr>
        <w:pStyle w:val="Normlbehzs"/>
      </w:pPr>
      <w:r>
        <w:t xml:space="preserve">When you have no reading or restoration whatsoever for a particular locus, the edition obviously cannot contain text for that locus, but the presence and extent of a lacuna must be indicated in some way. This is done with the element </w:t>
      </w:r>
      <w:r>
        <w:rPr>
          <w:rStyle w:val="Code"/>
        </w:rPr>
        <w:t>&lt;gap&gt;</w:t>
      </w:r>
      <w:r>
        <w:t>, which stands as a placeholder for text that is not available. The use of this element for various kinds of lacunae is discussed in detail in §</w:t>
      </w:r>
      <w:r>
        <w:fldChar w:fldCharType="begin"/>
      </w:r>
      <w:r>
        <w:instrText xml:space="preserve"> REF _Ref228460110 \r \h </w:instrText>
      </w:r>
      <w:r>
        <w:fldChar w:fldCharType="separate"/>
      </w:r>
      <w:r>
        <w:t>6.5</w:t>
      </w:r>
      <w:r>
        <w:fldChar w:fldCharType="end"/>
      </w:r>
      <w:r>
        <w:t>. Our practice, in accordance with EpiDoc, distinguishes two kinds of lacuna based on the condition of the support: if the source text is altogether gone, then the gap is classified as “lost”, while if writing is present at least vestigially, it is classified as “illegible”.</w:t>
      </w:r>
    </w:p>
    <w:p w14:paraId="12A844C4" w14:textId="475B22DC">
      <w:pPr>
        <w:pStyle w:val="Normlbehzs"/>
      </w:pPr>
      <w:r>
        <w:t xml:space="preserve">When the text is altogether lost from the source but can be at least tentatively restored by the editor (on the basis of expertise, context and related texts), the element </w:t>
      </w:r>
      <w:r>
        <w:rPr>
          <w:rStyle w:val="Code"/>
        </w:rPr>
        <w:t>&lt;gap&gt;</w:t>
      </w:r>
      <w:r>
        <w:t xml:space="preserve"> is not applicable because the edition does contain text for the locus. Instead, the element </w:t>
      </w:r>
      <w:r>
        <w:rPr>
          <w:rStyle w:val="Code"/>
        </w:rPr>
        <w:t>&lt;supplied&gt;</w:t>
      </w:r>
      <w:r>
        <w:t xml:space="preserve"> (§</w:t>
      </w:r>
      <w:r>
        <w:fldChar w:fldCharType="begin"/>
      </w:r>
      <w:r>
        <w:instrText xml:space="preserve"> REF _Ref228459751 \r \h </w:instrText>
      </w:r>
      <w:r>
        <w:fldChar w:fldCharType="separate"/>
      </w:r>
      <w:r>
        <w:t>6.4</w:t>
      </w:r>
      <w:r>
        <w:fldChar w:fldCharType="end"/>
      </w:r>
      <w:r>
        <w:t xml:space="preserve">) is added to tag text as an editorial restoration. Importantly, EpiDoc does not allow the use of </w:t>
      </w:r>
      <w:r>
        <w:rPr>
          <w:rStyle w:val="Code"/>
        </w:rPr>
        <w:t>&lt;supplied&gt;</w:t>
      </w:r>
      <w:r>
        <w:t xml:space="preserve"> when text, however effaced, is still present in the source. While a lacuna may be either “lost” or “illegible,” a stretch of restored text must always be “lost.” The rationale behind this is that if any vestiges remain, and these can be reconstructed on the basis of context, then they meet the definition of </w:t>
      </w:r>
      <w:r>
        <w:rPr>
          <w:rStyle w:val="Code"/>
        </w:rPr>
        <w:t>&lt;unclear&gt;</w:t>
      </w:r>
      <w:r>
        <w:t xml:space="preserve"> and ought to be marked up as such. Although we feel that a meaningful and potentially helpful distinction can be made between “conjecturally restored text not explicitly ruled out by vestiges” and “text restored on the basis of vestiges,” our encoding practice shall follow established EpiDoc convention.</w:t>
      </w:r>
      <w:r>
        <w:rPr>
          <w:rStyle w:val="Lbjegyzet-hivatkozs"/>
        </w:rPr>
        <w:footnoteReference w:id="26"/>
      </w:r>
      <w:r>
        <w:t xml:space="preserve"> Therefore, as shown in the middle column of </w:t>
      </w:r>
      <w:r>
        <w:fldChar w:fldCharType="begin"/>
      </w:r>
      <w:r>
        <w:instrText xml:space="preserve"> REF _Ref228199279 \h </w:instrText>
      </w:r>
      <w:r>
        <w:fldChar w:fldCharType="separate"/>
      </w:r>
      <w:r>
        <w:t xml:space="preserve">Exhibit </w:t>
      </w:r>
      <w:r>
        <w:rPr>
          <w:noProof/>
        </w:rPr>
        <w:t>6.1</w:t>
      </w:r>
      <w:r>
        <w:t>.</w:t>
      </w:r>
      <w:r>
        <w:rPr>
          <w:noProof/>
        </w:rPr>
        <w:t>A</w:t>
      </w:r>
      <w:r>
        <w:fldChar w:fldCharType="end"/>
      </w:r>
      <w:r>
        <w:t xml:space="preserve">, when editorial text is present at a locus that is illegible rather than lost, this text mut be marked up as </w:t>
      </w:r>
      <w:r>
        <w:rPr>
          <w:rStyle w:val="Code"/>
        </w:rPr>
        <w:t>&lt;unclear&gt;</w:t>
      </w:r>
      <w:r>
        <w:t xml:space="preserve"> rather than as </w:t>
      </w:r>
      <w:r>
        <w:rPr>
          <w:rStyle w:val="Code"/>
        </w:rPr>
        <w:t xml:space="preserve">&lt;supplied </w:t>
      </w:r>
      <w:r>
        <w:rPr>
          <w:rStyle w:val="Codeattribute"/>
        </w:rPr>
        <w:t>reason</w:t>
      </w:r>
      <w:r>
        <w:rPr>
          <w:rStyle w:val="Code"/>
        </w:rPr>
        <w:t>=</w:t>
      </w:r>
      <w:r>
        <w:rPr>
          <w:rStyle w:val="Codevalue"/>
        </w:rPr>
        <w:t>"lost"</w:t>
      </w:r>
      <w:r>
        <w:t>.</w:t>
      </w:r>
    </w:p>
    <w:p w14:paraId="5C62D98F" w14:textId="77777777">
      <w:pPr>
        <w:pStyle w:val="Normlbehzs"/>
      </w:pPr>
      <w:r>
        <w:t xml:space="preserve">Whenever text (either read or restored) is present at a locus, low editorial confidence in the accuracy of that text is to be indicated by adding the attribute </w:t>
      </w:r>
      <w:r>
        <w:rPr>
          <w:rStyle w:val="Codeattribute"/>
        </w:rPr>
        <w:t>@cert</w:t>
      </w:r>
      <w:r>
        <w:rPr>
          <w:rStyle w:val="Code"/>
        </w:rPr>
        <w:t>=</w:t>
      </w:r>
      <w:r>
        <w:rPr>
          <w:rStyle w:val="Codevalue"/>
        </w:rPr>
        <w:t>"low"</w:t>
      </w:r>
      <w:r>
        <w:t xml:space="preserve"> to the phrase-level container.</w:t>
      </w:r>
    </w:p>
    <w:p w14:paraId="5741324B" w14:textId="77777777">
      <w:pPr>
        <w:pStyle w:val="Cmsor2"/>
      </w:pPr>
      <w:bookmarkStart w:id="526" w:name="_qwn6j8iel73t" w:colFirst="0" w:colLast="0"/>
      <w:bookmarkStart w:id="527" w:name="_Ref43987823"/>
      <w:bookmarkStart w:id="528" w:name="_Toc242889517"/>
      <w:bookmarkEnd w:id="526"/>
      <w:r>
        <w:t>Damage not impeding legibility</w:t>
      </w:r>
      <w:bookmarkEnd w:id="527"/>
      <w:bookmarkEnd w:id="528"/>
    </w:p>
    <w:p w14:paraId="7B333DEF" w14:textId="77777777">
      <w:r>
        <w:t xml:space="preserve">When the source text is to some extent effaced by damage but this does not affect its legibility, the element </w:t>
      </w:r>
      <w:r>
        <w:rPr>
          <w:rStyle w:val="Code"/>
        </w:rPr>
        <w:t>&lt;damage&gt;</w:t>
      </w:r>
      <w:r>
        <w:t xml:space="preserve"> may be used to wrap any contiguous stretch of text affected by damage. We find that this complicates the encoding (especially when in interaction with other tags) without providing any noticeable advantage, and therefore recommend that conspicuous patches of weathering or loss be described for human readers in your annotation, but not encoded in the edition. If you do wish to use </w:t>
      </w:r>
      <w:r>
        <w:rPr>
          <w:rStyle w:val="Code"/>
        </w:rPr>
        <w:t>&lt;damage&gt;</w:t>
      </w:r>
      <w:r>
        <w:t>, keep in mind that it does not replace the encoding of legibility issues discussed in the other parts of this section, only augments them.</w:t>
      </w:r>
    </w:p>
    <w:p w14:paraId="77DC0018" w14:textId="77777777">
      <w:pPr>
        <w:pStyle w:val="Cmsor2"/>
      </w:pPr>
      <w:bookmarkStart w:id="529" w:name="_x58d7yl7rh7w" w:colFirst="0" w:colLast="0"/>
      <w:bookmarkStart w:id="530" w:name="_Ref43981505"/>
      <w:bookmarkStart w:id="531" w:name="_Toc242889518"/>
      <w:bookmarkEnd w:id="529"/>
      <w:r>
        <w:t>Unclear readings</w:t>
      </w:r>
      <w:bookmarkEnd w:id="530"/>
      <w:bookmarkEnd w:id="531"/>
    </w:p>
    <w:p w14:paraId="4DFC85BD" w14:textId="77777777">
      <w:pPr>
        <w:pStyle w:val="Cmsor3"/>
      </w:pPr>
      <w:bookmarkStart w:id="532" w:name="_tcav1hmvdct4" w:colFirst="0" w:colLast="0"/>
      <w:bookmarkStart w:id="533" w:name="_Ref232089485"/>
      <w:bookmarkStart w:id="534" w:name="_Toc242889519"/>
      <w:bookmarkEnd w:id="532"/>
      <w:r>
        <w:t>Encoding unclear text</w:t>
      </w:r>
      <w:bookmarkEnd w:id="533"/>
      <w:bookmarkEnd w:id="534"/>
    </w:p>
    <w:p w14:paraId="6BA38896" w14:textId="77777777">
      <w:r>
        <w:t>Unclear text is text that can be read in the source with some confidence, but not with complete certainty on account of damage or unusual glyph formation.</w:t>
      </w:r>
    </w:p>
    <w:p w14:paraId="7BBBD607" w14:textId="6B9245BF">
      <w:pPr>
        <w:pStyle w:val="Lista"/>
      </w:pPr>
      <w:r>
        <w:t xml:space="preserve">use the element </w:t>
      </w:r>
      <w:r>
        <w:rPr>
          <w:rStyle w:val="Code"/>
        </w:rPr>
        <w:t>&lt;unclear&gt;</w:t>
      </w:r>
      <w:r>
        <w:t xml:space="preserve"> for unclear readings with the following attributes</w:t>
      </w:r>
    </w:p>
    <w:p w14:paraId="700ECE57" w14:textId="769BF111">
      <w:pPr>
        <w:pStyle w:val="Lista2"/>
      </w:pPr>
      <w:r>
        <w:lastRenderedPageBreak/>
        <w:t xml:space="preserve">as applicable, </w:t>
      </w:r>
      <w:r>
        <w:rPr>
          <w:rStyle w:val="Codeattribute"/>
        </w:rPr>
        <w:t>@reason</w:t>
      </w:r>
      <w:r>
        <w:t xml:space="preserve"> to indicate that the reading issue is due to unusual execution rather than to damage, as per §</w:t>
      </w:r>
      <w:r>
        <w:fldChar w:fldCharType="begin"/>
      </w:r>
      <w:r>
        <w:instrText xml:space="preserve"> REF _Ref227942295 \r \h </w:instrText>
      </w:r>
      <w:r>
        <w:fldChar w:fldCharType="separate"/>
      </w:r>
      <w:r>
        <w:t>6.3.1.2</w:t>
      </w:r>
      <w:r>
        <w:fldChar w:fldCharType="end"/>
      </w:r>
    </w:p>
    <w:p w14:paraId="030ECCEE" w14:textId="4D17A4E2">
      <w:pPr>
        <w:pStyle w:val="Lista2"/>
      </w:pPr>
      <w:r>
        <w:t xml:space="preserve">as applicable, </w:t>
      </w:r>
      <w:r>
        <w:rPr>
          <w:rStyle w:val="Codeattribute"/>
        </w:rPr>
        <w:t>@cert</w:t>
      </w:r>
      <w:r>
        <w:t xml:space="preserve"> to indicate that the editorial reading is tentative, as per §</w:t>
      </w:r>
      <w:r>
        <w:fldChar w:fldCharType="begin"/>
      </w:r>
      <w:r>
        <w:instrText xml:space="preserve"> REF _Ref43987867 \r \h </w:instrText>
      </w:r>
      <w:r>
        <w:fldChar w:fldCharType="separate"/>
      </w:r>
      <w:r>
        <w:t>6.3.1.3</w:t>
      </w:r>
      <w:r>
        <w:fldChar w:fldCharType="end"/>
      </w:r>
    </w:p>
    <w:p w14:paraId="69D87A89" w14:textId="77777777">
      <w:pPr>
        <w:pStyle w:val="Lista"/>
      </w:pPr>
      <w:r>
        <w:t xml:space="preserve">when marking up text as unclear, you must keep in mind that the EpiDoc schema permits only text and the XML element </w:t>
      </w:r>
      <w:r>
        <w:rPr>
          <w:rStyle w:val="Code"/>
        </w:rPr>
        <w:t>&lt;g&gt;</w:t>
      </w:r>
      <w:r>
        <w:t xml:space="preserve"> within </w:t>
      </w:r>
      <w:r>
        <w:rPr>
          <w:rStyle w:val="Code"/>
        </w:rPr>
        <w:t>&lt;unclear&gt;</w:t>
      </w:r>
    </w:p>
    <w:p w14:paraId="30E1BCD4" w14:textId="77777777">
      <w:pPr>
        <w:pStyle w:val="Lista2"/>
      </w:pPr>
      <w:r>
        <w:t xml:space="preserve">therefore, if a stretch of text you wish to mark up as unclear incorporates or overlaps with another stretch that needs different markup (for instance editorial intervention), you will need to split the stretches of text tagged with </w:t>
      </w:r>
      <w:r>
        <w:rPr>
          <w:rStyle w:val="Code"/>
        </w:rPr>
        <w:t>&lt;unclear&gt;</w:t>
      </w:r>
      <w:r>
        <w:t xml:space="preserve"> accordingly</w:t>
      </w:r>
    </w:p>
    <w:p w14:paraId="5F15E070" w14:textId="3FEEE5A2">
      <w:pPr>
        <w:pStyle w:val="Lista2"/>
      </w:pPr>
      <w:r>
        <w:t>see §</w:t>
      </w:r>
      <w:r>
        <w:fldChar w:fldCharType="begin"/>
      </w:r>
      <w:r>
        <w:instrText xml:space="preserve"> REF _Ref232072486 \r \h </w:instrText>
      </w:r>
      <w:r>
        <w:fldChar w:fldCharType="separate"/>
      </w:r>
      <w:r>
        <w:t>16.2.7</w:t>
      </w:r>
      <w:r>
        <w:fldChar w:fldCharType="end"/>
      </w:r>
      <w:r>
        <w:t xml:space="preserve"> for further discussion and examples</w:t>
      </w:r>
    </w:p>
    <w:p w14:paraId="65501734" w14:textId="77777777">
      <w:pPr>
        <w:pStyle w:val="Cmsor4"/>
      </w:pPr>
      <w:r>
        <w:t xml:space="preserve">When to use </w:t>
      </w:r>
      <w:r>
        <w:rPr>
          <w:rStyle w:val="Code"/>
        </w:rPr>
        <w:t>&lt;unclear&gt;</w:t>
      </w:r>
    </w:p>
    <w:p w14:paraId="4C972305" w14:textId="6187F9E7">
      <w:pPr>
        <w:pStyle w:val="Lista"/>
      </w:pPr>
      <w:r>
        <w:t xml:space="preserve">as defined in EpiDoc, the element </w:t>
      </w:r>
      <w:r>
        <w:rPr>
          <w:rStyle w:val="Code"/>
        </w:rPr>
        <w:t>&lt;unclear&gt;</w:t>
      </w:r>
      <w:r>
        <w:t xml:space="preserve"> stands for any grapheme “of which at least traces survive, but not adequately to identify the letter unambiguously outside of its context”</w:t>
      </w:r>
      <w:r>
        <w:rPr>
          <w:rStyle w:val="Lbjegyzet-hivatkozs"/>
        </w:rPr>
        <w:footnoteReference w:id="27"/>
      </w:r>
    </w:p>
    <w:p w14:paraId="5D275DB1" w14:textId="77777777">
      <w:pPr>
        <w:pStyle w:val="Lista"/>
      </w:pPr>
      <w:r>
        <w:t>therefore, this encoding is applicable to all of the following situations</w:t>
      </w:r>
    </w:p>
    <w:p w14:paraId="4A423833" w14:textId="0384547A">
      <w:pPr>
        <w:pStyle w:val="Lista2"/>
      </w:pPr>
      <w:r>
        <w:t>“I’m not quite sure this bit of text is correct”</w:t>
      </w:r>
    </w:p>
    <w:p w14:paraId="6972E1C1" w14:textId="77777777">
      <w:pPr>
        <w:pStyle w:val="Lista3"/>
      </w:pPr>
      <w:r>
        <w:t>this is the basic situation where most of us would intuitively want to tag a locus as unclear</w:t>
      </w:r>
    </w:p>
    <w:p w14:paraId="774B9229" w14:textId="77777777">
      <w:pPr>
        <w:pStyle w:val="Lista2"/>
      </w:pPr>
      <w:r>
        <w:t>“this bit of text is entirely illegible in the source, but I can restore it”</w:t>
      </w:r>
    </w:p>
    <w:p w14:paraId="29332210" w14:textId="63C24A9B">
      <w:pPr>
        <w:pStyle w:val="Lista3"/>
      </w:pPr>
      <w:r>
        <w:t>as discussed in §</w:t>
      </w:r>
      <w:r>
        <w:fldChar w:fldCharType="begin"/>
      </w:r>
      <w:r>
        <w:instrText xml:space="preserve"> REF _Ref228196345 \r \h </w:instrText>
      </w:r>
      <w:r>
        <w:fldChar w:fldCharType="separate"/>
      </w:r>
      <w:r>
        <w:t>6.1</w:t>
      </w:r>
      <w:r>
        <w:fldChar w:fldCharType="end"/>
      </w:r>
      <w:r>
        <w:t xml:space="preserve">, such a restoration cannot be encoded as </w:t>
      </w:r>
      <w:r>
        <w:rPr>
          <w:rStyle w:val="Code"/>
        </w:rPr>
        <w:t>&lt;supplied&gt;</w:t>
      </w:r>
      <w:r>
        <w:t xml:space="preserve"> and must instead be encoded as </w:t>
      </w:r>
      <w:r>
        <w:rPr>
          <w:rStyle w:val="Code"/>
        </w:rPr>
        <w:t>&lt;unclear&gt;</w:t>
      </w:r>
      <w:r>
        <w:t xml:space="preserve"> </w:t>
      </w:r>
    </w:p>
    <w:p w14:paraId="29AE7A55" w14:textId="77777777">
      <w:pPr>
        <w:pStyle w:val="Lista2"/>
      </w:pPr>
      <w:r>
        <w:t>“this bit of text could conceivably be something else if the context was not there to help”</w:t>
      </w:r>
    </w:p>
    <w:p w14:paraId="2597E366" w14:textId="77777777">
      <w:pPr>
        <w:pStyle w:val="Lista3"/>
      </w:pPr>
      <w:r>
        <w:t xml:space="preserve">although </w:t>
      </w:r>
      <w:r>
        <w:rPr>
          <w:rStyle w:val="Code"/>
        </w:rPr>
        <w:t>&lt;unclear&gt;</w:t>
      </w:r>
      <w:r>
        <w:t xml:space="preserve"> would in principle be required in all such situations, in DHARMA practice we prefer leaving its use to the editor’s discretion and recommend not adding this tag to trivial cases of potential out-of-context ambiguity</w:t>
      </w:r>
    </w:p>
    <w:p w14:paraId="4EFB95B2" w14:textId="77777777">
      <w:pPr>
        <w:pStyle w:val="Lista3"/>
      </w:pPr>
      <w:r>
        <w:t xml:space="preserve">the rationale for this is that individual graphs lifted out of their context would often be somewhat ambiguous in the source documents we work with (due to full or partial homography in the particular writing system, to careless execution by the scribe, or to damage to the support), but cluttering the edition with </w:t>
      </w:r>
      <w:r>
        <w:rPr>
          <w:rStyle w:val="Code"/>
        </w:rPr>
        <w:t>&lt;unclear&gt;</w:t>
      </w:r>
      <w:r>
        <w:t xml:space="preserve"> markup would distract attention from spots where damage </w:t>
      </w:r>
      <w:r>
        <w:rPr>
          <w:noProof/>
        </w:rPr>
        <w:t>(</w:t>
      </w:r>
      <w:r>
        <w:t>or form) casts genuine doubt on a reading</w:t>
      </w:r>
    </w:p>
    <w:p w14:paraId="24AABF1C" w14:textId="77777777">
      <w:pPr>
        <w:pStyle w:val="Cmsor4"/>
      </w:pPr>
      <w:bookmarkStart w:id="535" w:name="_Ref227942295"/>
      <w:r>
        <w:t>The reason of unclarity</w:t>
      </w:r>
      <w:bookmarkEnd w:id="535"/>
    </w:p>
    <w:p w14:paraId="457248CC" w14:textId="77777777">
      <w:pPr>
        <w:rPr>
          <w:lang w:eastAsia="en-US" w:bidi="ar-SA"/>
        </w:rPr>
      </w:pPr>
      <w:r>
        <w:rPr>
          <w:lang w:eastAsia="en-US" w:bidi="ar-SA"/>
        </w:rPr>
        <w:t xml:space="preserve">The reason why a locus is deemed unclear is understood by default to be damage to the support, which may or may not be aggravated by the careless execution of the writing. In situations where the support is quite pristine but the reading is nonetheless unclear because the glyphs are unfinished, clumsily executed, or take an unusual or idiosyncratic shape, add </w:t>
      </w:r>
      <w:r>
        <w:t xml:space="preserve">the attribute </w:t>
      </w:r>
      <w:r>
        <w:rPr>
          <w:rStyle w:val="Codeattribute"/>
        </w:rPr>
        <w:t>@reason</w:t>
      </w:r>
      <w:r>
        <w:t xml:space="preserve"> with the value </w:t>
      </w:r>
      <w:r>
        <w:rPr>
          <w:rStyle w:val="Codevalue"/>
        </w:rPr>
        <w:t>"eccentric_ductus"</w:t>
      </w:r>
      <w:r>
        <w:t xml:space="preserve"> to the </w:t>
      </w:r>
      <w:r>
        <w:rPr>
          <w:rStyle w:val="Code"/>
        </w:rPr>
        <w:t>&lt;unclear&gt;</w:t>
      </w:r>
      <w:r>
        <w:t xml:space="preserve"> element.</w:t>
      </w:r>
    </w:p>
    <w:p w14:paraId="4C5F99B8" w14:textId="77777777">
      <w:pPr>
        <w:pStyle w:val="Lista"/>
      </w:pPr>
      <w:r>
        <w:t xml:space="preserve">e.g. </w:t>
      </w:r>
      <w:r>
        <w:rPr>
          <w:rStyle w:val="Code"/>
        </w:rPr>
        <w:t xml:space="preserve">&lt;unclear </w:t>
      </w:r>
      <w:r>
        <w:rPr>
          <w:rStyle w:val="Codeattribute"/>
        </w:rPr>
        <w:t>reason</w:t>
      </w:r>
      <w:r>
        <w:rPr>
          <w:rStyle w:val="Code"/>
        </w:rPr>
        <w:t>=</w:t>
      </w:r>
      <w:r>
        <w:rPr>
          <w:rStyle w:val="Codevalue"/>
        </w:rPr>
        <w:t>"eccentric_ductus"</w:t>
      </w:r>
      <w:r>
        <w:rPr>
          <w:rStyle w:val="Code"/>
        </w:rPr>
        <w:t>&gt;</w:t>
      </w:r>
      <w:r>
        <w:rPr>
          <w:rStyle w:val="Codetext"/>
        </w:rPr>
        <w:t>jñ</w:t>
      </w:r>
      <w:r>
        <w:rPr>
          <w:rStyle w:val="Code"/>
        </w:rPr>
        <w:t>&lt;/unclear&gt;</w:t>
      </w:r>
      <w:r>
        <w:rPr>
          <w:rStyle w:val="Codetext"/>
        </w:rPr>
        <w:t>āna</w:t>
      </w:r>
    </w:p>
    <w:p w14:paraId="0A98F8FF" w14:textId="77777777">
      <w:pPr>
        <w:pStyle w:val="Lista"/>
      </w:pPr>
      <w:r>
        <w:t xml:space="preserve">when damage and eccentric ductus are </w:t>
      </w:r>
      <w:r>
        <w:rPr>
          <w:noProof/>
        </w:rPr>
        <w:t>(</w:t>
      </w:r>
      <w:r>
        <w:t xml:space="preserve">or may be) simultaneously present, use </w:t>
      </w:r>
      <w:r>
        <w:rPr>
          <w:rStyle w:val="Code"/>
        </w:rPr>
        <w:t>&lt;unclear&gt;</w:t>
      </w:r>
      <w:r>
        <w:t xml:space="preserve"> with or without this attribute depending on what you consider to be the primary reason for the lack of clarity</w:t>
      </w:r>
    </w:p>
    <w:p w14:paraId="2994F740" w14:textId="77777777">
      <w:pPr>
        <w:pStyle w:val="Lista2"/>
      </w:pPr>
      <w:r>
        <w:t xml:space="preserve">when in doubt, prefer </w:t>
      </w:r>
      <w:r>
        <w:rPr>
          <w:rStyle w:val="Code"/>
        </w:rPr>
        <w:t>&lt;unclear&gt;</w:t>
      </w:r>
      <w:r>
        <w:t xml:space="preserve"> without this attribute</w:t>
      </w:r>
    </w:p>
    <w:p w14:paraId="52DE16F5" w14:textId="77777777">
      <w:pPr>
        <w:pStyle w:val="Cmsor4"/>
      </w:pPr>
      <w:bookmarkStart w:id="536" w:name="_gpk9nikrok6m" w:colFirst="0" w:colLast="0"/>
      <w:bookmarkStart w:id="537" w:name="_Ref43987867"/>
      <w:bookmarkEnd w:id="536"/>
      <w:r>
        <w:t>Tentative readings</w:t>
      </w:r>
      <w:bookmarkEnd w:id="537"/>
    </w:p>
    <w:p w14:paraId="2D23A480" w14:textId="2AD49FE2">
      <w:r>
        <w:t xml:space="preserve">By default, the element </w:t>
      </w:r>
      <w:r>
        <w:rPr>
          <w:rStyle w:val="Code"/>
        </w:rPr>
        <w:t>&lt;unclear&gt;</w:t>
      </w:r>
      <w:r>
        <w:t xml:space="preserve"> only expresses potential ambiguity when taken out of context, without saying anything about the degree of confidence in a reading. As discussed in §</w:t>
      </w:r>
      <w:r>
        <w:fldChar w:fldCharType="begin"/>
      </w:r>
      <w:r>
        <w:instrText xml:space="preserve"> REF _Ref228196345 \r \h </w:instrText>
      </w:r>
      <w:r>
        <w:fldChar w:fldCharType="separate"/>
      </w:r>
      <w:r>
        <w:t>6.1</w:t>
      </w:r>
      <w:r>
        <w:fldChar w:fldCharType="end"/>
      </w:r>
      <w:r>
        <w:t xml:space="preserve"> and shown in </w:t>
      </w:r>
      <w:r>
        <w:fldChar w:fldCharType="begin"/>
      </w:r>
      <w:r>
        <w:instrText xml:space="preserve"> REF _Ref228199279 \h </w:instrText>
      </w:r>
      <w:r>
        <w:fldChar w:fldCharType="separate"/>
      </w:r>
      <w:r>
        <w:t xml:space="preserve">Exhibit </w:t>
      </w:r>
      <w:r>
        <w:rPr>
          <w:noProof/>
        </w:rPr>
        <w:t>6.1</w:t>
      </w:r>
      <w:r>
        <w:t>.</w:t>
      </w:r>
      <w:r>
        <w:rPr>
          <w:noProof/>
        </w:rPr>
        <w:t>A</w:t>
      </w:r>
      <w:r>
        <w:fldChar w:fldCharType="end"/>
      </w:r>
      <w:r>
        <w:t xml:space="preserve">, the default assumption is that the locus has been read with high or reasonable confidence. When the reading of a locus is tentative, add the attribute </w:t>
      </w:r>
      <w:r>
        <w:rPr>
          <w:rStyle w:val="Codeattribute"/>
        </w:rPr>
        <w:t>@cert</w:t>
      </w:r>
      <w:r>
        <w:t xml:space="preserve"> with the value </w:t>
      </w:r>
      <w:r>
        <w:rPr>
          <w:rStyle w:val="Codevalue"/>
        </w:rPr>
        <w:t>"low"</w:t>
      </w:r>
      <w:r>
        <w:t xml:space="preserve"> to the </w:t>
      </w:r>
      <w:r>
        <w:rPr>
          <w:rStyle w:val="Code"/>
        </w:rPr>
        <w:t>&lt;unclear&gt;</w:t>
      </w:r>
      <w:r>
        <w:t xml:space="preserve"> element.</w:t>
      </w:r>
    </w:p>
    <w:p w14:paraId="4B6A80C4" w14:textId="77777777">
      <w:pPr>
        <w:pStyle w:val="Lista"/>
      </w:pPr>
      <w:r>
        <w:t xml:space="preserve">e.g. </w:t>
      </w:r>
      <w:r>
        <w:rPr>
          <w:rStyle w:val="Codetext"/>
        </w:rPr>
        <w:t>mahā</w:t>
      </w:r>
      <w:r>
        <w:rPr>
          <w:rStyle w:val="Code"/>
        </w:rPr>
        <w:t xml:space="preserve">&lt;unclear </w:t>
      </w:r>
      <w:r>
        <w:rPr>
          <w:rStyle w:val="Codeattribute"/>
        </w:rPr>
        <w:t>cert</w:t>
      </w:r>
      <w:r>
        <w:rPr>
          <w:rStyle w:val="Code"/>
        </w:rPr>
        <w:t>=</w:t>
      </w:r>
      <w:r>
        <w:rPr>
          <w:rStyle w:val="Codevalue"/>
        </w:rPr>
        <w:t>"low"</w:t>
      </w:r>
      <w:r>
        <w:rPr>
          <w:rStyle w:val="Code"/>
        </w:rPr>
        <w:t>&gt;</w:t>
      </w:r>
      <w:r>
        <w:rPr>
          <w:rStyle w:val="Codetext"/>
        </w:rPr>
        <w:t>puruṣa</w:t>
      </w:r>
      <w:r>
        <w:rPr>
          <w:rStyle w:val="Code"/>
        </w:rPr>
        <w:t>&lt;/unclear&gt;</w:t>
      </w:r>
    </w:p>
    <w:p w14:paraId="4FDAB6DE" w14:textId="77777777">
      <w:pPr>
        <w:pStyle w:val="Lista"/>
      </w:pPr>
      <w:r>
        <w:t xml:space="preserve">no additional degrees of confidence shall be represented in markup, so </w:t>
      </w:r>
      <w:r>
        <w:rPr>
          <w:rStyle w:val="Codevalue"/>
        </w:rPr>
        <w:t>"low"</w:t>
      </w:r>
      <w:r>
        <w:t xml:space="preserve"> here may stand for anything between “not quite confident” to “desperate conjecture”</w:t>
      </w:r>
    </w:p>
    <w:p w14:paraId="14A6506C" w14:textId="77777777">
      <w:pPr>
        <w:pStyle w:val="Lista2"/>
      </w:pPr>
      <w:r>
        <w:lastRenderedPageBreak/>
        <w:t>however, it is preferable to save desperate conjectures for your commentary or apparatus, and within the edition, only encode readings in which you have some confidence</w:t>
      </w:r>
    </w:p>
    <w:p w14:paraId="4B67F6AE" w14:textId="77777777">
      <w:pPr>
        <w:pStyle w:val="Lista"/>
      </w:pPr>
      <w:r>
        <w:t xml:space="preserve">note that while a low certainty expressed by this attribute is often a consequence of extensive damage, the </w:t>
      </w:r>
      <w:r>
        <w:rPr>
          <w:b/>
          <w:bCs/>
        </w:rPr>
        <w:t>degree of legibility</w:t>
      </w:r>
      <w:r>
        <w:t xml:space="preserve"> is not in direct correlation to the necessity of adding this attribute, thus:</w:t>
      </w:r>
    </w:p>
    <w:p w14:paraId="6E6F5AEF" w14:textId="23629A7F">
      <w:pPr>
        <w:pStyle w:val="Lista2"/>
      </w:pPr>
      <w:r>
        <w:t xml:space="preserve">even very badly damaged text may be marked up with plain </w:t>
      </w:r>
      <w:r>
        <w:rPr>
          <w:rStyle w:val="Code"/>
        </w:rPr>
        <w:t>&lt;unclear&gt;</w:t>
      </w:r>
      <w:r>
        <w:t xml:space="preserve"> if it can be confidently supplied in the context; whereas</w:t>
      </w:r>
    </w:p>
    <w:p w14:paraId="410067FA" w14:textId="25E93006">
      <w:pPr>
        <w:pStyle w:val="Lista2"/>
      </w:pPr>
      <w:r>
        <w:t xml:space="preserve">even text that is only slightly affected by damage or awkward execution may need to be marked up as </w:t>
      </w:r>
      <w:r>
        <w:rPr>
          <w:rStyle w:val="Code"/>
        </w:rPr>
        <w:t xml:space="preserve">&lt;unclear </w:t>
      </w:r>
      <w:r>
        <w:rPr>
          <w:rStyle w:val="Codeattribute"/>
        </w:rPr>
        <w:t>cert</w:t>
      </w:r>
      <w:r>
        <w:rPr>
          <w:rStyle w:val="Code"/>
        </w:rPr>
        <w:t>=</w:t>
      </w:r>
      <w:r>
        <w:rPr>
          <w:rStyle w:val="Codevalue"/>
        </w:rPr>
        <w:t>"low"</w:t>
      </w:r>
      <w:r>
        <w:rPr>
          <w:rStyle w:val="Code"/>
        </w:rPr>
        <w:t>&gt;</w:t>
      </w:r>
      <w:r>
        <w:t xml:space="preserve"> if the context permits a variety of plausible alternative readings, as may easily be the case in unintelligible or only partly understood contexts </w:t>
      </w:r>
      <w:r>
        <w:rPr>
          <w:noProof/>
        </w:rPr>
        <w:t>(</w:t>
      </w:r>
      <w:r>
        <w:t>e.g. names, words foreign to the language of the inscription, or in case of extensive damage to the context)</w:t>
      </w:r>
    </w:p>
    <w:p w14:paraId="47A1C40D" w14:textId="77777777">
      <w:pPr>
        <w:pStyle w:val="Cmsor3"/>
      </w:pPr>
      <w:bookmarkStart w:id="538" w:name="_is1q03k2vcu2" w:colFirst="0" w:colLast="0"/>
      <w:bookmarkStart w:id="539" w:name="_Ref43987339"/>
      <w:bookmarkStart w:id="540" w:name="_Toc242889520"/>
      <w:bookmarkEnd w:id="538"/>
      <w:r>
        <w:t xml:space="preserve">Encoding ambivalent </w:t>
      </w:r>
      <w:bookmarkEnd w:id="539"/>
      <w:r>
        <w:t>text</w:t>
      </w:r>
      <w:bookmarkEnd w:id="540"/>
    </w:p>
    <w:p w14:paraId="23EB0595" w14:textId="77777777">
      <w:r>
        <w:t xml:space="preserve">If a damaged or malformed glyph affords a limited number of alternative interpretations and the context does not allow you to select the most likely candidate, each alternative may be listed in individual </w:t>
      </w:r>
      <w:r>
        <w:rPr>
          <w:rStyle w:val="Code"/>
        </w:rPr>
        <w:t>&lt;unclear&gt;</w:t>
      </w:r>
      <w:r>
        <w:t xml:space="preserve"> tags, wrapping the list in the </w:t>
      </w:r>
      <w:r>
        <w:rPr>
          <w:rStyle w:val="Code"/>
        </w:rPr>
        <w:t>&lt;choice&gt;</w:t>
      </w:r>
      <w:r>
        <w:t xml:space="preserve"> element to show that only one of these is actually present at the given locus.</w:t>
      </w:r>
    </w:p>
    <w:p w14:paraId="0A41FD53" w14:textId="77777777">
      <w:pPr>
        <w:pStyle w:val="Lista"/>
      </w:pPr>
      <w:r>
        <w:t xml:space="preserve">e.g. </w:t>
      </w:r>
      <w:r>
        <w:rPr>
          <w:rStyle w:val="Codetext"/>
        </w:rPr>
        <w:t>s</w:t>
      </w:r>
      <w:r>
        <w:rPr>
          <w:rStyle w:val="Code"/>
        </w:rPr>
        <w:t>&lt;choice&gt;&lt;unclear&gt;</w:t>
      </w:r>
      <w:r>
        <w:rPr>
          <w:rStyle w:val="Codetext"/>
        </w:rPr>
        <w:t>th</w:t>
      </w:r>
      <w:r>
        <w:rPr>
          <w:rStyle w:val="Code"/>
        </w:rPr>
        <w:t>&lt;/unclear&gt;&lt;unclear&gt;v&lt;/unclear&gt;&lt;/choice&gt;</w:t>
      </w:r>
      <w:r>
        <w:rPr>
          <w:rStyle w:val="Codetext"/>
        </w:rPr>
        <w:t>a</w:t>
      </w:r>
      <w:r>
        <w:t xml:space="preserve"> for an </w:t>
      </w:r>
      <w:r>
        <w:rPr>
          <w:rStyle w:val="Foreign"/>
        </w:rPr>
        <w:t>akṣara</w:t>
      </w:r>
      <w:r>
        <w:t xml:space="preserve"> that might be read as </w:t>
      </w:r>
      <w:r>
        <w:rPr>
          <w:rStyle w:val="Foreign"/>
        </w:rPr>
        <w:t>stha</w:t>
      </w:r>
      <w:r>
        <w:t xml:space="preserve"> or </w:t>
      </w:r>
      <w:r>
        <w:rPr>
          <w:rStyle w:val="Foreign"/>
        </w:rPr>
        <w:t>sva</w:t>
      </w:r>
    </w:p>
    <w:p w14:paraId="20A0049D" w14:textId="1286F0CC">
      <w:pPr>
        <w:pStyle w:val="Lista"/>
      </w:pPr>
      <w:r>
        <w:t xml:space="preserve">in this usage, </w:t>
      </w:r>
      <w:r>
        <w:rPr>
          <w:rStyle w:val="Code"/>
        </w:rPr>
        <w:t>&lt;unclear&gt;</w:t>
      </w:r>
      <w:r>
        <w:t xml:space="preserve"> shall be used without </w:t>
      </w:r>
      <w:r>
        <w:rPr>
          <w:rStyle w:val="Codeattribute"/>
        </w:rPr>
        <w:t>@cert</w:t>
      </w:r>
      <w:r>
        <w:t xml:space="preserve"> (§</w:t>
      </w:r>
      <w:r>
        <w:fldChar w:fldCharType="begin"/>
      </w:r>
      <w:r>
        <w:instrText xml:space="preserve"> REF _Ref228200185 \r \h </w:instrText>
      </w:r>
      <w:r>
        <w:fldChar w:fldCharType="separate"/>
      </w:r>
      <w:r>
        <w:t>6.3.2.2</w:t>
      </w:r>
      <w:r>
        <w:fldChar w:fldCharType="end"/>
      </w:r>
      <w:r>
        <w:t xml:space="preserve">), but </w:t>
      </w:r>
      <w:r>
        <w:rPr>
          <w:rStyle w:val="Codeattribute"/>
        </w:rPr>
        <w:t>@reason</w:t>
      </w:r>
      <w:r>
        <w:t xml:space="preserve"> may be added if applicable (§</w:t>
      </w:r>
      <w:r>
        <w:fldChar w:fldCharType="begin"/>
      </w:r>
      <w:r>
        <w:instrText xml:space="preserve"> REF _Ref227942295 \r \h </w:instrText>
      </w:r>
      <w:r>
        <w:fldChar w:fldCharType="separate"/>
      </w:r>
      <w:r>
        <w:t>6.3.1.2</w:t>
      </w:r>
      <w:r>
        <w:fldChar w:fldCharType="end"/>
      </w:r>
      <w:r>
        <w:t>)</w:t>
      </w:r>
    </w:p>
    <w:p w14:paraId="35DDBC00" w14:textId="253B1F20">
      <w:pPr>
        <w:pStyle w:val="Lista"/>
      </w:pPr>
      <w:r>
        <w:t>since the encoding of alternative readings for an ambivalent locus impedes the readability and (especially) the searchability of the edition, this encoding should be used considerately and may in many circumstances be replaced by simply encoding the most likely alternative as unclear (§</w:t>
      </w:r>
      <w:r>
        <w:fldChar w:fldCharType="begin"/>
      </w:r>
      <w:r>
        <w:instrText xml:space="preserve"> REF _Ref228201766 \r \h </w:instrText>
      </w:r>
      <w:r>
        <w:fldChar w:fldCharType="separate"/>
      </w:r>
      <w:r>
        <w:t>6.3.2.1</w:t>
      </w:r>
      <w:r>
        <w:fldChar w:fldCharType="end"/>
      </w:r>
      <w:r>
        <w:t>)</w:t>
      </w:r>
    </w:p>
    <w:p w14:paraId="168211FC" w14:textId="77777777">
      <w:pPr>
        <w:pStyle w:val="Lista"/>
      </w:pPr>
      <w:r>
        <w:t xml:space="preserve">the text outside this encoding and the text within each of the alternative </w:t>
      </w:r>
      <w:r>
        <w:rPr>
          <w:rStyle w:val="Code"/>
        </w:rPr>
        <w:t>&lt;unclear&gt;</w:t>
      </w:r>
      <w:r>
        <w:t xml:space="preserve"> elements must be entered with care, making sure that all of the possible alternative readings are accurately reproduced even when the ambivalence gives rise to complications such as</w:t>
      </w:r>
    </w:p>
    <w:p w14:paraId="16F8BD0D" w14:textId="77777777">
      <w:pPr>
        <w:pStyle w:val="Lista2"/>
      </w:pPr>
      <w:r>
        <w:t xml:space="preserve">a different number of graphemes in the alternatives, e.g. </w:t>
      </w:r>
      <w:r>
        <w:rPr>
          <w:rStyle w:val="Codetext"/>
        </w:rPr>
        <w:t>g</w:t>
      </w:r>
      <w:r>
        <w:rPr>
          <w:rStyle w:val="Code"/>
        </w:rPr>
        <w:t>&lt;choice&gt;&lt;unclear&gt;</w:t>
      </w:r>
      <w:r>
        <w:rPr>
          <w:rStyle w:val="Codetext"/>
        </w:rPr>
        <w:t>r̥</w:t>
      </w:r>
      <w:r>
        <w:rPr>
          <w:rStyle w:val="Code"/>
        </w:rPr>
        <w:t>&lt;/unclear&gt;&lt;unclear&gt;</w:t>
      </w:r>
      <w:r>
        <w:rPr>
          <w:rStyle w:val="Codetext"/>
        </w:rPr>
        <w:t>ra</w:t>
      </w:r>
      <w:r>
        <w:rPr>
          <w:rStyle w:val="Code"/>
        </w:rPr>
        <w:t>&lt;/unclear&gt;&lt;/choice&gt;</w:t>
      </w:r>
      <w:r>
        <w:rPr>
          <w:rStyle w:val="Codetext"/>
        </w:rPr>
        <w:t>ha</w:t>
      </w:r>
      <w:r>
        <w:t xml:space="preserve"> for a locus that could be read as </w:t>
      </w:r>
      <w:r>
        <w:rPr>
          <w:rStyle w:val="Foreign"/>
        </w:rPr>
        <w:t>gr̥ha</w:t>
      </w:r>
      <w:r>
        <w:t xml:space="preserve"> or </w:t>
      </w:r>
      <w:r>
        <w:rPr>
          <w:rStyle w:val="Foreign"/>
        </w:rPr>
        <w:t>graha</w:t>
      </w:r>
    </w:p>
    <w:p w14:paraId="5F7960A8" w14:textId="77777777">
      <w:pPr>
        <w:pStyle w:val="Lista2"/>
      </w:pPr>
      <w:r>
        <w:t xml:space="preserve">different editorial spacing or hyphenation applicable to the alternatives, e.g. </w:t>
      </w:r>
      <w:r>
        <w:rPr>
          <w:rStyle w:val="Codetext"/>
        </w:rPr>
        <w:t>tath</w:t>
      </w:r>
      <w:r>
        <w:rPr>
          <w:rStyle w:val="Code"/>
        </w:rPr>
        <w:t>&lt;choice&gt;&lt;unclear&gt;</w:t>
      </w:r>
      <w:r>
        <w:rPr>
          <w:rStyle w:val="Codetext"/>
        </w:rPr>
        <w:t>āp</w:t>
      </w:r>
      <w:r>
        <w:rPr>
          <w:rStyle w:val="Code"/>
        </w:rPr>
        <w:t>&lt;/unclear&gt;&lt;unclear&gt;</w:t>
      </w:r>
      <w:r>
        <w:rPr>
          <w:rStyle w:val="Codetext"/>
        </w:rPr>
        <w:t>ā</w:t>
      </w:r>
      <w:r>
        <w:rPr>
          <w:rStyle w:val="Code"/>
        </w:rPr>
        <w:t xml:space="preserve"> </w:t>
      </w:r>
      <w:r>
        <w:rPr>
          <w:rStyle w:val="Codetext"/>
        </w:rPr>
        <w:t>h</w:t>
      </w:r>
      <w:r>
        <w:rPr>
          <w:rStyle w:val="Code"/>
        </w:rPr>
        <w:t>&lt;/unclear&gt;&lt;/choice&gt;</w:t>
      </w:r>
      <w:r>
        <w:rPr>
          <w:rStyle w:val="Codetext"/>
        </w:rPr>
        <w:t>i</w:t>
      </w:r>
      <w:r>
        <w:t xml:space="preserve"> for a locus that could be read as </w:t>
      </w:r>
      <w:r>
        <w:rPr>
          <w:rStyle w:val="Foreign"/>
        </w:rPr>
        <w:t>tathāpi</w:t>
      </w:r>
      <w:r>
        <w:t xml:space="preserve"> (</w:t>
      </w:r>
      <w:r>
        <w:rPr>
          <w:rStyle w:val="Foreign"/>
        </w:rPr>
        <w:t>tathā*api</w:t>
      </w:r>
      <w:r>
        <w:t xml:space="preserve"> in inseparable sandhi) or </w:t>
      </w:r>
      <w:r>
        <w:rPr>
          <w:rStyle w:val="Foreign"/>
        </w:rPr>
        <w:t>tathā hi</w:t>
      </w:r>
      <w:r>
        <w:t xml:space="preserve"> (two separable words)</w:t>
      </w:r>
    </w:p>
    <w:p w14:paraId="4E7DEB11" w14:textId="0FDE3FB8">
      <w:pPr>
        <w:pStyle w:val="Lista3"/>
      </w:pPr>
      <w:r>
        <w:t>see §</w:t>
      </w:r>
      <w:r>
        <w:fldChar w:fldCharType="begin"/>
      </w:r>
      <w:r>
        <w:instrText xml:space="preserve"> REF _Ref232068629 \r \h </w:instrText>
      </w:r>
      <w:r>
        <w:fldChar w:fldCharType="separate"/>
      </w:r>
      <w:r>
        <w:t>7.8.1.1</w:t>
      </w:r>
      <w:r>
        <w:fldChar w:fldCharType="end"/>
      </w:r>
      <w:r>
        <w:t xml:space="preserve"> about avoiding spaces at the beginning or end of a text-containing element</w:t>
      </w:r>
    </w:p>
    <w:p w14:paraId="4FAFC371" w14:textId="7DDC0390">
      <w:pPr>
        <w:pStyle w:val="Lista2"/>
      </w:pPr>
      <w:r>
        <w:t>see also §</w:t>
      </w:r>
      <w:r>
        <w:fldChar w:fldCharType="begin"/>
      </w:r>
      <w:r>
        <w:instrText xml:space="preserve"> REF _Ref228275185 \r \h </w:instrText>
      </w:r>
      <w:r>
        <w:fldChar w:fldCharType="separate"/>
      </w:r>
      <w:r>
        <w:t>6.3.3</w:t>
      </w:r>
      <w:r>
        <w:fldChar w:fldCharType="end"/>
      </w:r>
      <w:r>
        <w:t xml:space="preserve"> on good practice</w:t>
      </w:r>
    </w:p>
    <w:p w14:paraId="24E99ED8" w14:textId="77777777">
      <w:pPr>
        <w:pStyle w:val="Lista"/>
      </w:pPr>
      <w:r>
        <w:t xml:space="preserve">ambivalence involving more than two alternatives may be marked up by adding further </w:t>
      </w:r>
      <w:r>
        <w:rPr>
          <w:rStyle w:val="Code"/>
        </w:rPr>
        <w:t>&lt;unclear&gt;</w:t>
      </w:r>
      <w:r>
        <w:t xml:space="preserve"> elements within </w:t>
      </w:r>
      <w:r>
        <w:rPr>
          <w:rStyle w:val="Code"/>
        </w:rPr>
        <w:t>&lt;choice&gt;</w:t>
      </w:r>
    </w:p>
    <w:p w14:paraId="317F8150" w14:textId="77777777">
      <w:pPr>
        <w:pStyle w:val="Lista2"/>
      </w:pPr>
      <w:r>
        <w:t xml:space="preserve">it is, however, recommended that you limit the number of alternatives to no more than two, and in the rare case where a higher number of genuinely plausible alternatives are possible, instead record the single most likely one as </w:t>
      </w:r>
      <w:r>
        <w:rPr>
          <w:rStyle w:val="Code"/>
        </w:rPr>
        <w:t>&lt;unclear&gt;</w:t>
      </w:r>
      <w:r>
        <w:t xml:space="preserve"> and mention the others in your commentary or apparatus</w:t>
      </w:r>
    </w:p>
    <w:p w14:paraId="0390A06D" w14:textId="77777777">
      <w:pPr>
        <w:pStyle w:val="Cmsor4"/>
      </w:pPr>
      <w:bookmarkStart w:id="541" w:name="_Ref228201766"/>
      <w:r>
        <w:t>Trivial ambivalence</w:t>
      </w:r>
      <w:bookmarkEnd w:id="541"/>
    </w:p>
    <w:p w14:paraId="5E671837" w14:textId="77777777">
      <w:r>
        <w:t>As for unclear markup in general, feel free to ignore trivial ambivalence that can be resolved confidently on the basis of the context.</w:t>
      </w:r>
    </w:p>
    <w:p w14:paraId="3418CCAC" w14:textId="77777777">
      <w:pPr>
        <w:pStyle w:val="Lista"/>
      </w:pPr>
      <w:r>
        <w:t xml:space="preserve">in particular, when some pairs of glyphs look very similar </w:t>
      </w:r>
      <w:r>
        <w:rPr>
          <w:noProof/>
        </w:rPr>
        <w:t>(</w:t>
      </w:r>
      <w:r>
        <w:t xml:space="preserve">or wholly identical) in the script of your inscription, it is recommended that you record the expected reading without any markup or with a single </w:t>
      </w:r>
      <w:r>
        <w:rPr>
          <w:rStyle w:val="Code"/>
        </w:rPr>
        <w:t>&lt;unclear&gt;</w:t>
      </w:r>
      <w:r>
        <w:t xml:space="preserve"> element, e.g.</w:t>
      </w:r>
    </w:p>
    <w:p w14:paraId="3670C265" w14:textId="77777777">
      <w:pPr>
        <w:pStyle w:val="Lista2"/>
      </w:pPr>
      <w:r>
        <w:t xml:space="preserve">if a word might be read as </w:t>
      </w:r>
      <w:r>
        <w:rPr>
          <w:rStyle w:val="Foreign"/>
        </w:rPr>
        <w:t>ṣahārāja</w:t>
      </w:r>
      <w:r>
        <w:t xml:space="preserve"> in an inscription where </w:t>
      </w:r>
      <w:r>
        <w:rPr>
          <w:rStyle w:val="Foreign"/>
        </w:rPr>
        <w:t>ṣa</w:t>
      </w:r>
      <w:r>
        <w:t xml:space="preserve"> and </w:t>
      </w:r>
      <w:r>
        <w:rPr>
          <w:rStyle w:val="Foreign"/>
        </w:rPr>
        <w:t>ma</w:t>
      </w:r>
      <w:r>
        <w:t xml:space="preserve"> are very similar, simply record </w:t>
      </w:r>
      <w:r>
        <w:rPr>
          <w:rStyle w:val="Codetext"/>
        </w:rPr>
        <w:t>mahārāja</w:t>
      </w:r>
      <w:r>
        <w:t xml:space="preserve"> or </w:t>
      </w:r>
      <w:r>
        <w:rPr>
          <w:rStyle w:val="Code"/>
        </w:rPr>
        <w:t>&lt;unclear&gt;</w:t>
      </w:r>
      <w:r>
        <w:rPr>
          <w:rStyle w:val="Codetext"/>
        </w:rPr>
        <w:t>m</w:t>
      </w:r>
      <w:r>
        <w:rPr>
          <w:rStyle w:val="Code"/>
        </w:rPr>
        <w:t>&lt;/unclear&gt;</w:t>
      </w:r>
      <w:r>
        <w:rPr>
          <w:rStyle w:val="Codetext"/>
        </w:rPr>
        <w:t>ahārāja</w:t>
      </w:r>
    </w:p>
    <w:p w14:paraId="1EDE635A" w14:textId="77777777">
      <w:pPr>
        <w:pStyle w:val="Lista2"/>
      </w:pPr>
      <w:r>
        <w:t xml:space="preserve">if a word might be read as </w:t>
      </w:r>
      <w:r>
        <w:rPr>
          <w:rStyle w:val="Foreign"/>
        </w:rPr>
        <w:t>sambatsara</w:t>
      </w:r>
      <w:r>
        <w:t xml:space="preserve"> in an inscription where </w:t>
      </w:r>
      <w:r>
        <w:rPr>
          <w:rStyle w:val="Foreign"/>
        </w:rPr>
        <w:t>ba</w:t>
      </w:r>
      <w:r>
        <w:t xml:space="preserve"> and </w:t>
      </w:r>
      <w:r>
        <w:rPr>
          <w:rStyle w:val="Foreign"/>
        </w:rPr>
        <w:t>va</w:t>
      </w:r>
      <w:r>
        <w:t xml:space="preserve"> are very similar, simply record </w:t>
      </w:r>
      <w:r>
        <w:rPr>
          <w:rStyle w:val="Codetext"/>
        </w:rPr>
        <w:t>samvatsara</w:t>
      </w:r>
      <w:r>
        <w:t xml:space="preserve"> or </w:t>
      </w:r>
      <w:r>
        <w:rPr>
          <w:rStyle w:val="Codetext"/>
        </w:rPr>
        <w:t>sam</w:t>
      </w:r>
      <w:r>
        <w:rPr>
          <w:rStyle w:val="Code"/>
        </w:rPr>
        <w:t>&lt;unclear&gt;v&lt;/unclear&gt;</w:t>
      </w:r>
      <w:r>
        <w:rPr>
          <w:rStyle w:val="Codetext"/>
        </w:rPr>
        <w:t>atsara</w:t>
      </w:r>
    </w:p>
    <w:p w14:paraId="5496322F" w14:textId="77777777">
      <w:pPr>
        <w:pStyle w:val="Lista"/>
        <w:rPr>
          <w:i/>
          <w:iCs/>
          <w:noProof/>
        </w:rPr>
      </w:pPr>
      <w:r>
        <w:lastRenderedPageBreak/>
        <w:t xml:space="preserve">however, if a possible alternative reading alters the meaning in a non-trivial way, then the ambivalence should normally be marked up </w:t>
      </w:r>
      <w:r>
        <w:rPr>
          <w:noProof/>
        </w:rPr>
        <w:t>(</w:t>
      </w:r>
      <w:r>
        <w:t>unless you are absolutely confident that it is ruled out e.g. by sandhi or by the wider context)</w:t>
      </w:r>
    </w:p>
    <w:p w14:paraId="211021A6" w14:textId="77777777">
      <w:pPr>
        <w:pStyle w:val="Lista2"/>
        <w:rPr>
          <w:i/>
          <w:iCs/>
          <w:noProof/>
        </w:rPr>
      </w:pPr>
      <w:r>
        <w:t xml:space="preserve">e.g. if </w:t>
      </w:r>
      <w:r>
        <w:rPr>
          <w:rStyle w:val="Foreign"/>
        </w:rPr>
        <w:t>Adharma</w:t>
      </w:r>
      <w:r>
        <w:t xml:space="preserve"> or </w:t>
      </w:r>
      <w:r>
        <w:rPr>
          <w:rStyle w:val="Foreign"/>
        </w:rPr>
        <w:t>sudharma</w:t>
      </w:r>
      <w:r>
        <w:t xml:space="preserve"> are both possible because the </w:t>
      </w:r>
      <w:r>
        <w:rPr>
          <w:rStyle w:val="Foreign"/>
        </w:rPr>
        <w:t>akṣara</w:t>
      </w:r>
      <w:r>
        <w:t xml:space="preserve">s </w:t>
      </w:r>
      <w:r>
        <w:rPr>
          <w:rStyle w:val="Foreign"/>
        </w:rPr>
        <w:t>A</w:t>
      </w:r>
      <w:r>
        <w:t xml:space="preserve"> and </w:t>
      </w:r>
      <w:r>
        <w:rPr>
          <w:rStyle w:val="Foreign"/>
        </w:rPr>
        <w:t>su</w:t>
      </w:r>
      <w:r>
        <w:t xml:space="preserve"> are very similar in the document</w:t>
      </w:r>
    </w:p>
    <w:p w14:paraId="02E7985A" w14:textId="77777777">
      <w:pPr>
        <w:pStyle w:val="Lista"/>
      </w:pPr>
      <w:r>
        <w:t>even non-trivial alternatives may be left unencoded if you consider one to be much more likely than others, or if the locus is poorly understood and several alternatives are equally feasible</w:t>
      </w:r>
    </w:p>
    <w:p w14:paraId="09CC6D45" w14:textId="77777777">
      <w:pPr>
        <w:pStyle w:val="Lista2"/>
      </w:pPr>
      <w:r>
        <w:t>in such cases, simply encode the most likely reading as unclear</w:t>
      </w:r>
    </w:p>
    <w:p w14:paraId="0288A8DE" w14:textId="77777777">
      <w:pPr>
        <w:pStyle w:val="Lista2"/>
      </w:pPr>
      <w:r>
        <w:t>also keep in mind that those readers of your edition who are interested in possible alternatives can be expected to be familiar enough with the script in question to be able to work out those possible alternatives once they have received indication that a certain reading is unclear</w:t>
      </w:r>
    </w:p>
    <w:p w14:paraId="4FC30AFB" w14:textId="77777777">
      <w:pPr>
        <w:pStyle w:val="Cmsor4"/>
      </w:pPr>
      <w:bookmarkStart w:id="542" w:name="_Ref228200185"/>
      <w:r>
        <w:t>The probability of alternative readings</w:t>
      </w:r>
      <w:bookmarkEnd w:id="542"/>
    </w:p>
    <w:p w14:paraId="08890E91" w14:textId="77777777">
      <w:r>
        <w:t xml:space="preserve">By DHARMA convention, alternative readings for ambivalent loci shall be listed in order of decreasing probability (as judged by the editor). Although it is technically possible to assign specific probabilities to each alternative, we see no advantage to complicating our encoding with such information. The attribute </w:t>
      </w:r>
      <w:r>
        <w:rPr>
          <w:rStyle w:val="Codeattribute"/>
        </w:rPr>
        <w:t>@cert</w:t>
      </w:r>
      <w:r>
        <w:t xml:space="preserve"> shall be likewise avoided in ambivalent readings, because using it on both alternatives would be pointless, while using it only on the less likely alternative would not add more information than what is already implied by the order of alternatives.</w:t>
      </w:r>
    </w:p>
    <w:p w14:paraId="0D0089ED" w14:textId="77777777">
      <w:pPr>
        <w:pStyle w:val="Cmsor3"/>
      </w:pPr>
      <w:bookmarkStart w:id="543" w:name="_ke7xgc7f3fhh" w:colFirst="0" w:colLast="0"/>
      <w:bookmarkStart w:id="544" w:name="_Ref228275185"/>
      <w:bookmarkStart w:id="545" w:name="_Toc242889521"/>
      <w:bookmarkEnd w:id="543"/>
      <w:r>
        <w:t>Good practice in encoding unclear readings</w:t>
      </w:r>
      <w:bookmarkEnd w:id="544"/>
      <w:bookmarkEnd w:id="545"/>
    </w:p>
    <w:p w14:paraId="68B7F3E1" w14:textId="77777777">
      <w:r>
        <w:t xml:space="preserve">Since our editions are in Romanised transliteration, </w:t>
      </w:r>
      <w:r>
        <w:rPr>
          <w:rStyle w:val="Code"/>
        </w:rPr>
        <w:t>&lt;unclear&gt;</w:t>
      </w:r>
      <w:r>
        <w:t xml:space="preserve"> encoding can and must precisely target the graphemes affected by a reading issue. </w:t>
      </w:r>
    </w:p>
    <w:p w14:paraId="7413F413" w14:textId="77777777">
      <w:pPr>
        <w:pStyle w:val="Lista"/>
      </w:pPr>
      <w:r>
        <w:t xml:space="preserve">if only a certain glyph component of the original script is unclear or ambiguous, then do not use tags around the transliteration of the entire </w:t>
      </w:r>
      <w:r>
        <w:rPr>
          <w:rStyle w:val="Foreign"/>
        </w:rPr>
        <w:t>akṣara</w:t>
      </w:r>
      <w:r>
        <w:t>, e.g.</w:t>
      </w:r>
    </w:p>
    <w:p w14:paraId="3C8767FA" w14:textId="77777777">
      <w:pPr>
        <w:pStyle w:val="Lista2"/>
      </w:pPr>
      <w:r>
        <w:t xml:space="preserve">e.g. </w:t>
      </w:r>
      <w:r>
        <w:rPr>
          <w:rStyle w:val="Codetext"/>
        </w:rPr>
        <w:t>sph</w:t>
      </w:r>
      <w:r>
        <w:rPr>
          <w:rStyle w:val="Code"/>
        </w:rPr>
        <w:t>&lt;unclear&gt;</w:t>
      </w:r>
      <w:r>
        <w:rPr>
          <w:rStyle w:val="Codetext"/>
        </w:rPr>
        <w:t>u</w:t>
      </w:r>
      <w:r>
        <w:rPr>
          <w:rStyle w:val="Code"/>
        </w:rPr>
        <w:t>&lt;/unclear&gt;</w:t>
      </w:r>
      <w:r>
        <w:rPr>
          <w:rStyle w:val="Codetext"/>
        </w:rPr>
        <w:t>rad</w:t>
      </w:r>
      <w:r>
        <w:t xml:space="preserve"> and NOT </w:t>
      </w:r>
      <w:r>
        <w:rPr>
          <w:rStyle w:val="Code"/>
        </w:rPr>
        <w:t>&lt;unclear&gt;</w:t>
      </w:r>
      <w:r>
        <w:rPr>
          <w:rStyle w:val="Codetext"/>
        </w:rPr>
        <w:t>sphu</w:t>
      </w:r>
      <w:r>
        <w:rPr>
          <w:rStyle w:val="Code"/>
        </w:rPr>
        <w:t>&lt;/unclear&gt;</w:t>
      </w:r>
      <w:r>
        <w:rPr>
          <w:rStyle w:val="Codetext"/>
        </w:rPr>
        <w:t>rad</w:t>
      </w:r>
      <w:r>
        <w:t xml:space="preserve"> (unless </w:t>
      </w:r>
      <w:r>
        <w:rPr>
          <w:rStyle w:val="Foreign"/>
        </w:rPr>
        <w:t>s</w:t>
      </w:r>
      <w:r>
        <w:t xml:space="preserve">, </w:t>
      </w:r>
      <w:r>
        <w:rPr>
          <w:rStyle w:val="Foreign"/>
        </w:rPr>
        <w:t>ph</w:t>
      </w:r>
      <w:r>
        <w:t xml:space="preserve"> and </w:t>
      </w:r>
      <w:r>
        <w:rPr>
          <w:rStyle w:val="Foreign"/>
        </w:rPr>
        <w:t>u</w:t>
      </w:r>
      <w:r>
        <w:t xml:space="preserve"> are all unclear)</w:t>
      </w:r>
    </w:p>
    <w:p w14:paraId="31ACAB07" w14:textId="77777777">
      <w:pPr>
        <w:pStyle w:val="Lista"/>
      </w:pPr>
      <w:r>
        <w:t xml:space="preserve">when unclarity applies to several graphemes which are contiguous in the reading order represented in transliteration, use a single </w:t>
      </w:r>
      <w:r>
        <w:rPr>
          <w:rStyle w:val="Code"/>
        </w:rPr>
        <w:t>&lt;unclear&gt;</w:t>
      </w:r>
      <w:r>
        <w:t xml:space="preserve"> element around them even if they belong to different </w:t>
      </w:r>
      <w:r>
        <w:rPr>
          <w:rStyle w:val="Foreign"/>
        </w:rPr>
        <w:t>akṣara</w:t>
      </w:r>
      <w:r>
        <w:t>s in the source and even if they are not physically adjacent</w:t>
      </w:r>
    </w:p>
    <w:p w14:paraId="4829F0C7" w14:textId="4BBA6A54">
      <w:pPr>
        <w:pStyle w:val="Lista2"/>
      </w:pPr>
      <w:r>
        <w:t xml:space="preserve">e.g. </w:t>
      </w:r>
      <w:r>
        <w:rPr>
          <w:rStyle w:val="Codetext"/>
        </w:rPr>
        <w:t>mitr</w:t>
      </w:r>
      <w:r>
        <w:rPr>
          <w:rStyle w:val="Code"/>
        </w:rPr>
        <w:t>&lt;unclear&gt;</w:t>
      </w:r>
      <w:r>
        <w:rPr>
          <w:rStyle w:val="Codetext"/>
        </w:rPr>
        <w:t>eṇ</w:t>
      </w:r>
      <w:r>
        <w:rPr>
          <w:rStyle w:val="Code"/>
        </w:rPr>
        <w:t>&lt;/unclear&gt;</w:t>
      </w:r>
      <w:r>
        <w:rPr>
          <w:rStyle w:val="Codetext"/>
        </w:rPr>
        <w:t>a</w:t>
      </w:r>
      <w:r>
        <w:t xml:space="preserve"> and NOT </w:t>
      </w:r>
      <w:r>
        <w:rPr>
          <w:rStyle w:val="Codetext"/>
        </w:rPr>
        <w:t>mitr</w:t>
      </w:r>
      <w:r>
        <w:rPr>
          <w:rStyle w:val="Code"/>
        </w:rPr>
        <w:t>&lt;/unclear&gt;</w:t>
      </w:r>
      <w:r>
        <w:rPr>
          <w:rStyle w:val="Codetext"/>
        </w:rPr>
        <w:t>e</w:t>
      </w:r>
      <w:r>
        <w:rPr>
          <w:rStyle w:val="Code"/>
        </w:rPr>
        <w:t>&lt;unclear&gt;&lt;unclear&gt;</w:t>
      </w:r>
      <w:r>
        <w:rPr>
          <w:rStyle w:val="Codetext"/>
        </w:rPr>
        <w:t>ṇ</w:t>
      </w:r>
      <w:r>
        <w:rPr>
          <w:rStyle w:val="Code"/>
        </w:rPr>
        <w:t>&lt;/unclear&gt;</w:t>
      </w:r>
      <w:r>
        <w:rPr>
          <w:rStyle w:val="Codetext"/>
        </w:rPr>
        <w:t>a</w:t>
      </w:r>
      <w:r>
        <w:t xml:space="preserve"> (even if </w:t>
      </w:r>
      <w:r>
        <w:rPr>
          <w:rStyle w:val="Foreign"/>
        </w:rPr>
        <w:t>e</w:t>
      </w:r>
      <w:r>
        <w:t xml:space="preserve"> is to the left of the clear </w:t>
      </w:r>
      <w:r>
        <w:rPr>
          <w:rStyle w:val="Foreign"/>
        </w:rPr>
        <w:t>tr</w:t>
      </w:r>
      <w:r>
        <w:t xml:space="preserve"> while </w:t>
      </w:r>
      <w:r>
        <w:rPr>
          <w:rStyle w:val="Foreign"/>
        </w:rPr>
        <w:t>ṇ</w:t>
      </w:r>
      <w:r>
        <w:t xml:space="preserve"> is to its right), nor </w:t>
      </w:r>
      <w:r>
        <w:rPr>
          <w:rStyle w:val="Codetext"/>
        </w:rPr>
        <w:t>mi</w:t>
      </w:r>
      <w:r>
        <w:rPr>
          <w:rStyle w:val="Code"/>
        </w:rPr>
        <w:t>&lt;unclear&gt;</w:t>
      </w:r>
      <w:r>
        <w:rPr>
          <w:rStyle w:val="Codetext"/>
        </w:rPr>
        <w:t>treṇa</w:t>
      </w:r>
      <w:r>
        <w:rPr>
          <w:rStyle w:val="Code"/>
        </w:rPr>
        <w:t>&lt;/unclear&gt;</w:t>
      </w:r>
      <w:r>
        <w:t xml:space="preserve"> (unless </w:t>
      </w:r>
      <w:r>
        <w:rPr>
          <w:rStyle w:val="Foreign"/>
        </w:rPr>
        <w:t>t</w:t>
      </w:r>
      <w:r>
        <w:t xml:space="preserve">, </w:t>
      </w:r>
      <w:r>
        <w:rPr>
          <w:rStyle w:val="Foreign"/>
        </w:rPr>
        <w:t>r</w:t>
      </w:r>
      <w:r>
        <w:t xml:space="preserve">, </w:t>
      </w:r>
      <w:r>
        <w:rPr>
          <w:rStyle w:val="Foreign"/>
        </w:rPr>
        <w:t>e</w:t>
      </w:r>
      <w:r>
        <w:t xml:space="preserve">, </w:t>
      </w:r>
      <w:r>
        <w:rPr>
          <w:rStyle w:val="Foreign"/>
        </w:rPr>
        <w:t>ṇ</w:t>
      </w:r>
      <w:r>
        <w:t xml:space="preserve"> and</w:t>
      </w:r>
      <w:r>
        <w:rPr>
          <w:rStyle w:val="Foreign"/>
        </w:rPr>
        <w:t xml:space="preserve"> a</w:t>
      </w:r>
      <w:r>
        <w:t xml:space="preserve"> are all unclear)</w:t>
      </w:r>
    </w:p>
    <w:p w14:paraId="0C06D5D7" w14:textId="131F956A">
      <w:pPr>
        <w:pStyle w:val="Lista"/>
      </w:pPr>
      <w:r>
        <w:rPr>
          <w:noProof/>
        </w:rPr>
        <w:t>sub-</w:t>
      </w:r>
      <w:r>
        <w:rPr>
          <w:rStyle w:val="Foreign"/>
        </w:rPr>
        <w:t>akṣara</w:t>
      </w:r>
      <w:r>
        <w:t xml:space="preserve"> markup for identifying specific glyph components (§</w:t>
      </w:r>
      <w:r>
        <w:fldChar w:fldCharType="begin"/>
      </w:r>
      <w:r>
        <w:instrText xml:space="preserve"> REF _Ref228202081 \r \h </w:instrText>
      </w:r>
      <w:r>
        <w:fldChar w:fldCharType="separate"/>
      </w:r>
      <w:r>
        <w:t>5.2.2</w:t>
      </w:r>
      <w:r>
        <w:fldChar w:fldCharType="end"/>
      </w:r>
      <w:r>
        <w:t>) is normally not necessary and should be avoided in such cases, since the graphetic position of the individual graphs can be inferred from the context</w:t>
      </w:r>
    </w:p>
    <w:p w14:paraId="7D4660E2" w14:textId="77777777">
      <w:pPr>
        <w:pStyle w:val="Lista"/>
      </w:pPr>
      <w:r>
        <w:t xml:space="preserve">in general, rather than using complicated encoding involving multiple alternative readings, rely on the expertise of the readers of your edition to figure out the exact locus of doubt within a complex original glyph and its possible implications, even in cases such as </w:t>
      </w:r>
    </w:p>
    <w:p w14:paraId="0FFFBEC2" w14:textId="77777777">
      <w:pPr>
        <w:pStyle w:val="Lista2"/>
      </w:pPr>
      <w:r>
        <w:t>doubt concerning the presence of a graph</w:t>
      </w:r>
    </w:p>
    <w:p w14:paraId="6145C74E" w14:textId="77777777">
      <w:pPr>
        <w:pStyle w:val="Lista3"/>
      </w:pPr>
      <w:r>
        <w:t xml:space="preserve">encoding the default vowel of an </w:t>
      </w:r>
      <w:r>
        <w:rPr>
          <w:rStyle w:val="Foreign"/>
        </w:rPr>
        <w:t>akṣara</w:t>
      </w:r>
      <w:r>
        <w:t xml:space="preserve"> as unclear (with low certainty if relevant) will tell the reader that a vowel marker might be present, e.g.</w:t>
      </w:r>
    </w:p>
    <w:p w14:paraId="4CFBE955" w14:textId="77777777">
      <w:pPr>
        <w:pStyle w:val="Lista4"/>
      </w:pPr>
      <w:r>
        <w:rPr>
          <w:rStyle w:val="Codetext"/>
        </w:rPr>
        <w:t>k</w:t>
      </w:r>
      <w:r>
        <w:rPr>
          <w:rStyle w:val="Code"/>
        </w:rPr>
        <w:t>&lt;unclear&gt;</w:t>
      </w:r>
      <w:r>
        <w:rPr>
          <w:rStyle w:val="Codetext"/>
        </w:rPr>
        <w:t>a</w:t>
      </w:r>
      <w:r>
        <w:rPr>
          <w:rStyle w:val="Code"/>
        </w:rPr>
        <w:t>&lt;/unclear&gt;</w:t>
      </w:r>
      <w:r>
        <w:t xml:space="preserve"> can signify a </w:t>
      </w:r>
      <w:r>
        <w:rPr>
          <w:rStyle w:val="Foreign"/>
        </w:rPr>
        <w:t>k</w:t>
      </w:r>
      <w:r>
        <w:t xml:space="preserve"> with plenty of damage around it, which may obscure a vowel mark</w:t>
      </w:r>
    </w:p>
    <w:p w14:paraId="77332E3A" w14:textId="77777777">
      <w:pPr>
        <w:pStyle w:val="Lista3"/>
      </w:pPr>
      <w:r>
        <w:t>encoding a component as unclear (with low certainty if relevant) will tell the reader that the component may be absent or may be a similar-looking component that represents a different grapheme, e.g.</w:t>
      </w:r>
    </w:p>
    <w:p w14:paraId="7581B12F" w14:textId="704C8A47">
      <w:pPr>
        <w:pStyle w:val="Lista4"/>
      </w:pPr>
      <w:r>
        <w:rPr>
          <w:rStyle w:val="Code"/>
        </w:rPr>
        <w:t>sa&lt;unclear&gt;</w:t>
      </w:r>
      <w:r>
        <w:rPr>
          <w:rStyle w:val="Codetext"/>
        </w:rPr>
        <w:t>ṁ</w:t>
      </w:r>
      <w:r>
        <w:rPr>
          <w:rStyle w:val="Code"/>
        </w:rPr>
        <w:t>&lt;/unclear&gt;</w:t>
      </w:r>
      <w:r>
        <w:t xml:space="preserve"> can signify a probable </w:t>
      </w:r>
      <w:r>
        <w:rPr>
          <w:rStyle w:val="Foreign"/>
        </w:rPr>
        <w:t>saṁ</w:t>
      </w:r>
      <w:r>
        <w:t xml:space="preserve"> where the </w:t>
      </w:r>
      <w:r>
        <w:rPr>
          <w:rStyle w:val="Foreign"/>
        </w:rPr>
        <w:t>anusvāra</w:t>
      </w:r>
      <w:r>
        <w:t xml:space="preserve"> may be absent (in which case the reading is </w:t>
      </w:r>
      <w:r>
        <w:rPr>
          <w:rStyle w:val="Foreign"/>
        </w:rPr>
        <w:t>sa</w:t>
      </w:r>
      <w:r>
        <w:t xml:space="preserve">) or may be something else (such as a </w:t>
      </w:r>
      <w:r>
        <w:rPr>
          <w:rStyle w:val="Foreign"/>
        </w:rPr>
        <w:t>visarga</w:t>
      </w:r>
      <w:r>
        <w:t xml:space="preserve"> or a punctuation mark)</w:t>
      </w:r>
    </w:p>
    <w:p w14:paraId="01816ACC" w14:textId="77777777">
      <w:pPr>
        <w:pStyle w:val="Lista4"/>
      </w:pPr>
      <w:r>
        <w:rPr>
          <w:rStyle w:val="Code"/>
        </w:rPr>
        <w:lastRenderedPageBreak/>
        <w:t>g&lt;unclear&gt;</w:t>
      </w:r>
      <w:r>
        <w:rPr>
          <w:rStyle w:val="Codetext"/>
        </w:rPr>
        <w:t>r̥</w:t>
      </w:r>
      <w:r>
        <w:rPr>
          <w:rStyle w:val="Code"/>
        </w:rPr>
        <w:t>&lt;/unclear&gt;</w:t>
      </w:r>
      <w:r>
        <w:t xml:space="preserve"> can signify a probable </w:t>
      </w:r>
      <w:r>
        <w:rPr>
          <w:rStyle w:val="Foreign"/>
        </w:rPr>
        <w:t>gr̥</w:t>
      </w:r>
      <w:r>
        <w:t xml:space="preserve"> where the </w:t>
      </w:r>
      <w:r>
        <w:rPr>
          <w:rStyle w:val="Foreign"/>
        </w:rPr>
        <w:t>r̥</w:t>
      </w:r>
      <w:r>
        <w:t xml:space="preserve"> marker may be absent (in which case the reading is </w:t>
      </w:r>
      <w:r>
        <w:rPr>
          <w:rStyle w:val="Foreign"/>
        </w:rPr>
        <w:t>ga</w:t>
      </w:r>
      <w:r>
        <w:t xml:space="preserve">) or may be something else (such as a consonantal subscript </w:t>
      </w:r>
      <w:r>
        <w:rPr>
          <w:rStyle w:val="Foreign"/>
        </w:rPr>
        <w:t>r</w:t>
      </w:r>
      <w:r>
        <w:t xml:space="preserve">, in which case the reading is </w:t>
      </w:r>
      <w:r>
        <w:rPr>
          <w:rStyle w:val="Foreign"/>
        </w:rPr>
        <w:t>gra</w:t>
      </w:r>
      <w:r>
        <w:t>)</w:t>
      </w:r>
    </w:p>
    <w:p w14:paraId="5CEAD42C" w14:textId="77777777">
      <w:pPr>
        <w:pStyle w:val="Lista"/>
      </w:pPr>
      <w:r>
        <w:t>the informed reader can also be expected to work out that unclarity affecting a specific graph may</w:t>
      </w:r>
    </w:p>
    <w:p w14:paraId="37DA8170" w14:textId="77777777">
      <w:pPr>
        <w:pStyle w:val="Lista2"/>
      </w:pPr>
      <w:r>
        <w:t>affect the position of the corresponding grapheme in the reading order, e.g.</w:t>
      </w:r>
    </w:p>
    <w:p w14:paraId="54A488BE" w14:textId="77777777">
      <w:pPr>
        <w:pStyle w:val="Lista3"/>
      </w:pPr>
      <w:r>
        <w:rPr>
          <w:rStyle w:val="Code"/>
        </w:rPr>
        <w:t xml:space="preserve">&lt;unclear </w:t>
      </w:r>
      <w:r>
        <w:rPr>
          <w:rStyle w:val="Codeattribute"/>
        </w:rPr>
        <w:t>cert</w:t>
      </w:r>
      <w:r>
        <w:rPr>
          <w:rStyle w:val="Code"/>
        </w:rPr>
        <w:t>=</w:t>
      </w:r>
      <w:r>
        <w:rPr>
          <w:rStyle w:val="Codevalue"/>
        </w:rPr>
        <w:t>"low"</w:t>
      </w:r>
      <w:r>
        <w:rPr>
          <w:rStyle w:val="Code"/>
        </w:rPr>
        <w:t>&gt;</w:t>
      </w:r>
      <w:r>
        <w:rPr>
          <w:rStyle w:val="Codetext"/>
        </w:rPr>
        <w:t>r</w:t>
      </w:r>
      <w:r>
        <w:rPr>
          <w:rStyle w:val="Code"/>
        </w:rPr>
        <w:t>&lt;/unclear&gt;ddha</w:t>
      </w:r>
      <w:r>
        <w:t xml:space="preserve"> can signify a probable </w:t>
      </w:r>
      <w:r>
        <w:rPr>
          <w:rStyle w:val="Foreign"/>
        </w:rPr>
        <w:t>rddha</w:t>
      </w:r>
      <w:r>
        <w:t xml:space="preserve"> where there is a fair chance that the superscript </w:t>
      </w:r>
      <w:r>
        <w:rPr>
          <w:rStyle w:val="Foreign"/>
        </w:rPr>
        <w:t>r</w:t>
      </w:r>
      <w:r>
        <w:t xml:space="preserve"> is absent (in which case the reading is </w:t>
      </w:r>
      <w:r>
        <w:rPr>
          <w:rStyle w:val="Foreign"/>
        </w:rPr>
        <w:t>ddha</w:t>
      </w:r>
      <w:r>
        <w:t xml:space="preserve">) or is something else (such as a vowel marker for </w:t>
      </w:r>
      <w:r>
        <w:rPr>
          <w:rStyle w:val="Foreign"/>
        </w:rPr>
        <w:t>ā</w:t>
      </w:r>
      <w:r>
        <w:t xml:space="preserve">, in which case the reading is </w:t>
      </w:r>
      <w:r>
        <w:rPr>
          <w:rStyle w:val="Foreign"/>
        </w:rPr>
        <w:t>ddhā</w:t>
      </w:r>
      <w:r>
        <w:t>)</w:t>
      </w:r>
    </w:p>
    <w:p w14:paraId="471EBFCF" w14:textId="77777777">
      <w:pPr>
        <w:pStyle w:val="Lista3"/>
      </w:pPr>
      <w:r>
        <w:t xml:space="preserve">affect the way in which the </w:t>
      </w:r>
      <w:r>
        <w:rPr>
          <w:rStyle w:val="Foreign"/>
        </w:rPr>
        <w:t>akṣara</w:t>
      </w:r>
      <w:r>
        <w:rPr>
          <w:rStyle w:val="Foreign"/>
          <w:i w:val="0"/>
          <w:iCs w:val="0"/>
        </w:rPr>
        <w:t>s</w:t>
      </w:r>
      <w:r>
        <w:t xml:space="preserve"> of the source are constituted, e.g.</w:t>
      </w:r>
    </w:p>
    <w:p w14:paraId="01B1396D" w14:textId="77777777">
      <w:pPr>
        <w:pStyle w:val="Lista4"/>
      </w:pPr>
      <w:r>
        <w:rPr>
          <w:rStyle w:val="Codetext"/>
        </w:rPr>
        <w:t>k</w:t>
      </w:r>
      <w:r>
        <w:rPr>
          <w:rStyle w:val="Code"/>
        </w:rPr>
        <w:t>&lt;unclear&gt;</w:t>
      </w:r>
      <w:r>
        <w:rPr>
          <w:rStyle w:val="Codetext"/>
        </w:rPr>
        <w:t>ā</w:t>
      </w:r>
      <w:r>
        <w:rPr>
          <w:rStyle w:val="Code"/>
        </w:rPr>
        <w:t>&lt;/unclear&gt;</w:t>
      </w:r>
      <w:r>
        <w:t xml:space="preserve"> representing the sequence </w:t>
      </w:r>
      <w:r>
        <w:rPr>
          <w:rStyle w:val="ForeignTamilScript"/>
          <w:cs/>
        </w:rPr>
        <w:t>கா</w:t>
      </w:r>
      <w:r>
        <w:rPr>
          <w:cs/>
        </w:rPr>
        <w:t xml:space="preserve"> </w:t>
      </w:r>
      <w:r>
        <w:t xml:space="preserve">in Tamil, where what has been interpreted as an </w:t>
      </w:r>
      <w:r>
        <w:rPr>
          <w:rStyle w:val="Foreign"/>
        </w:rPr>
        <w:t>ā</w:t>
      </w:r>
      <w:r>
        <w:t xml:space="preserve"> marker may instead be a separate </w:t>
      </w:r>
      <w:r>
        <w:rPr>
          <w:rStyle w:val="Foreign"/>
        </w:rPr>
        <w:t>akṣara</w:t>
      </w:r>
      <w:r>
        <w:t xml:space="preserve"> </w:t>
      </w:r>
      <w:r>
        <w:rPr>
          <w:rStyle w:val="ForeignTamilScript"/>
          <w:cs/>
        </w:rPr>
        <w:t>ர</w:t>
      </w:r>
      <w:r>
        <w:rPr>
          <w:cs/>
          <w:lang w:bidi="ta-IN"/>
        </w:rPr>
        <w:t xml:space="preserve"> </w:t>
      </w:r>
      <w:r>
        <w:rPr>
          <w:rStyle w:val="Foreign"/>
        </w:rPr>
        <w:t>ra</w:t>
      </w:r>
    </w:p>
    <w:p w14:paraId="06F4BA2E" w14:textId="77777777">
      <w:pPr>
        <w:pStyle w:val="Lista4"/>
      </w:pPr>
      <w:r>
        <w:rPr>
          <w:rStyle w:val="Codetext"/>
        </w:rPr>
        <w:t>p</w:t>
      </w:r>
      <w:r>
        <w:rPr>
          <w:rStyle w:val="Code"/>
        </w:rPr>
        <w:t>&lt;unclear&gt;</w:t>
      </w:r>
      <w:r>
        <w:rPr>
          <w:rStyle w:val="Codetext"/>
        </w:rPr>
        <w:t>ā</w:t>
      </w:r>
      <w:r>
        <w:rPr>
          <w:rStyle w:val="Code"/>
        </w:rPr>
        <w:t>&lt;/unclear&gt;</w:t>
      </w:r>
      <w:r>
        <w:rPr>
          <w:rStyle w:val="Codetext"/>
        </w:rPr>
        <w:t>ta</w:t>
      </w:r>
      <w:r>
        <w:t xml:space="preserve"> representing the sequence </w:t>
      </w:r>
      <w:r>
        <w:rPr>
          <w:rStyle w:val="ForeignDevanagariScript"/>
          <w:cs/>
        </w:rPr>
        <w:t>पात</w:t>
      </w:r>
      <w:r>
        <w:t xml:space="preserve"> in premodern Nagari that employs a </w:t>
      </w:r>
      <w:r>
        <w:rPr>
          <w:rStyle w:val="Foreign"/>
        </w:rPr>
        <w:t>pr̥ṣṭhamātrā</w:t>
      </w:r>
      <w:r>
        <w:t xml:space="preserve"> form of </w:t>
      </w:r>
      <w:r>
        <w:rPr>
          <w:rStyle w:val="Foreign"/>
        </w:rPr>
        <w:t>e</w:t>
      </w:r>
      <w:r>
        <w:t xml:space="preserve">, so that what has been interpreted as </w:t>
      </w:r>
      <w:r>
        <w:rPr>
          <w:rStyle w:val="Foreign"/>
        </w:rPr>
        <w:t>pāta</w:t>
      </w:r>
      <w:r>
        <w:t xml:space="preserve"> may instead be </w:t>
      </w:r>
      <w:r>
        <w:rPr>
          <w:rStyle w:val="Foreign"/>
        </w:rPr>
        <w:t>pate</w:t>
      </w:r>
    </w:p>
    <w:p w14:paraId="7597374C" w14:textId="77777777">
      <w:pPr>
        <w:pStyle w:val="Lista"/>
      </w:pPr>
      <w:r>
        <w:t>however, when you deem it desirable to encode such ambivalences explicitly, include the complete sequences affected by the ambivalence in spite of the blanket instruction to tag only the specific graphs affected by a reading issue, e.g.</w:t>
      </w:r>
    </w:p>
    <w:p w14:paraId="45316579" w14:textId="77777777">
      <w:pPr>
        <w:pStyle w:val="Lista3"/>
        <w:rPr>
          <w:rStyle w:val="Codetext"/>
          <w:rFonts w:ascii="Gentium" w:hAnsi="Gentium" w:cs="Tiro Devanagari Sanskrit"/>
          <w:noProof w:val="0"/>
          <w:color w:val="auto"/>
          <w:shd w:val="clear" w:color="auto" w:fill="auto"/>
        </w:rPr>
      </w:pPr>
      <w:r>
        <w:rPr>
          <w:rStyle w:val="Code"/>
        </w:rPr>
        <w:t>&lt;choice&gt;&lt;unclear&gt;</w:t>
      </w:r>
      <w:r>
        <w:rPr>
          <w:rStyle w:val="Codetext"/>
        </w:rPr>
        <w:t>rddha</w:t>
      </w:r>
      <w:r>
        <w:rPr>
          <w:rStyle w:val="Code"/>
        </w:rPr>
        <w:t>&lt;/unclear&gt;&lt;unclear&gt;</w:t>
      </w:r>
      <w:r>
        <w:rPr>
          <w:rStyle w:val="Codetext"/>
        </w:rPr>
        <w:t>ddhā</w:t>
      </w:r>
      <w:r>
        <w:rPr>
          <w:rStyle w:val="Code"/>
        </w:rPr>
        <w:t>&lt;/unclear&gt;&lt;/choice&gt;</w:t>
      </w:r>
    </w:p>
    <w:p w14:paraId="130E9BDE" w14:textId="77777777">
      <w:pPr>
        <w:pStyle w:val="Lista3"/>
      </w:pPr>
      <w:r>
        <w:rPr>
          <w:rStyle w:val="Codetext"/>
        </w:rPr>
        <w:t>k</w:t>
      </w:r>
      <w:r>
        <w:rPr>
          <w:rStyle w:val="Code"/>
        </w:rPr>
        <w:t>&lt;choice&gt;&lt;unclear&gt;</w:t>
      </w:r>
      <w:r>
        <w:rPr>
          <w:rStyle w:val="Codetext"/>
        </w:rPr>
        <w:t>ā</w:t>
      </w:r>
      <w:r>
        <w:rPr>
          <w:rStyle w:val="Code"/>
        </w:rPr>
        <w:t>&lt;/unclear&gt;&lt;unclear&gt;</w:t>
      </w:r>
      <w:r>
        <w:rPr>
          <w:rStyle w:val="Codetext"/>
        </w:rPr>
        <w:t>ara</w:t>
      </w:r>
      <w:r>
        <w:rPr>
          <w:rStyle w:val="Code"/>
        </w:rPr>
        <w:t>&lt;/unclear&gt;&lt;/choice&gt;</w:t>
      </w:r>
      <w:r>
        <w:rPr>
          <w:rStyle w:val="Lbjegyzet-hivatkozs"/>
        </w:rPr>
        <w:footnoteReference w:id="28"/>
      </w:r>
    </w:p>
    <w:p w14:paraId="327E3D03" w14:textId="77777777">
      <w:pPr>
        <w:pStyle w:val="Lista3"/>
      </w:pPr>
      <w:r>
        <w:rPr>
          <w:rStyle w:val="Codetext"/>
        </w:rPr>
        <w:t>p</w:t>
      </w:r>
      <w:r>
        <w:rPr>
          <w:rStyle w:val="Code"/>
        </w:rPr>
        <w:t>&lt;choice&gt;&lt;unclear&gt;</w:t>
      </w:r>
      <w:r>
        <w:rPr>
          <w:rStyle w:val="Codetext"/>
        </w:rPr>
        <w:t>āta</w:t>
      </w:r>
      <w:r>
        <w:rPr>
          <w:rStyle w:val="Code"/>
        </w:rPr>
        <w:t>&lt;/unclear&gt;&lt;unclear&gt;</w:t>
      </w:r>
      <w:r>
        <w:rPr>
          <w:rStyle w:val="Codetext"/>
        </w:rPr>
        <w:t>ate</w:t>
      </w:r>
      <w:r>
        <w:rPr>
          <w:rStyle w:val="Code"/>
        </w:rPr>
        <w:t>&lt;/unclear&gt;&lt;/choice&gt;</w:t>
      </w:r>
    </w:p>
    <w:p w14:paraId="2FF759C2" w14:textId="77777777">
      <w:pPr>
        <w:pStyle w:val="Cmsor2"/>
      </w:pPr>
      <w:bookmarkStart w:id="546" w:name="_advce1m7uke1" w:colFirst="0" w:colLast="0"/>
      <w:bookmarkStart w:id="547" w:name="_Ref228459751"/>
      <w:bookmarkStart w:id="548" w:name="_Ref43979611"/>
      <w:bookmarkStart w:id="549" w:name="_Toc242889522"/>
      <w:bookmarkEnd w:id="546"/>
      <w:r>
        <w:t>Editorial restoration</w:t>
      </w:r>
      <w:bookmarkEnd w:id="547"/>
      <w:bookmarkEnd w:id="549"/>
    </w:p>
    <w:p w14:paraId="3F3B2DC2" w14:textId="329C71ED">
      <w:pPr>
        <w:rPr>
          <w:lang w:eastAsia="en-US" w:bidi="ar-SA"/>
        </w:rPr>
      </w:pPr>
      <w:r>
        <w:t>An editorial restoration is a stretch of text which the editor believes was probably present in the source document, but which could not be read at all in the source. Although conceptually a restored lacuna is a particular kind of lacuna, the two require different encoding approaches because a restoration contains text while an unrestored lacuna does not. Unrestored lacunae will be addressed in §</w:t>
      </w:r>
      <w:r>
        <w:fldChar w:fldCharType="begin"/>
      </w:r>
      <w:r>
        <w:instrText xml:space="preserve"> REF _Ref228460110 \r \h </w:instrText>
      </w:r>
      <w:r>
        <w:fldChar w:fldCharType="separate"/>
      </w:r>
      <w:r>
        <w:t>6.5</w:t>
      </w:r>
      <w:r>
        <w:fldChar w:fldCharType="end"/>
      </w:r>
      <w:r>
        <w:t>.</w:t>
      </w:r>
    </w:p>
    <w:p w14:paraId="5C5753DA" w14:textId="77777777">
      <w:pPr>
        <w:pStyle w:val="Lista"/>
      </w:pPr>
      <w:bookmarkStart w:id="550" w:name="_ck6yxgbwhraw" w:colFirst="0" w:colLast="0"/>
      <w:bookmarkEnd w:id="550"/>
      <w:r>
        <w:t xml:space="preserve">where you as editor restore parts of the text that can no longer be made out in the original, the restored segments must be wrapped in the element </w:t>
      </w:r>
      <w:r>
        <w:rPr>
          <w:rStyle w:val="Code"/>
        </w:rPr>
        <w:t>&lt;supplied&gt;</w:t>
      </w:r>
      <w:r>
        <w:t>, with the following attributes</w:t>
      </w:r>
    </w:p>
    <w:p w14:paraId="1D38AD03" w14:textId="3453D08D">
      <w:pPr>
        <w:pStyle w:val="Lista2"/>
        <w:rPr>
          <w:rStyle w:val="Codeattribute"/>
          <w:rFonts w:ascii="Gentium" w:hAnsi="Gentium" w:cs="Tiro Devanagari Sanskrit"/>
          <w:noProof w:val="0"/>
          <w:color w:val="auto"/>
          <w:shd w:val="clear" w:color="auto" w:fill="auto"/>
        </w:rPr>
      </w:pPr>
      <w:r>
        <w:t xml:space="preserve">mandatorily, </w:t>
      </w:r>
      <w:r>
        <w:rPr>
          <w:rStyle w:val="Codeattribute"/>
        </w:rPr>
        <w:t>@reason</w:t>
      </w:r>
      <w:r>
        <w:t xml:space="preserve"> to indicate why a restoration was necessary, as per §</w:t>
      </w:r>
      <w:r>
        <w:fldChar w:fldCharType="begin"/>
      </w:r>
      <w:r>
        <w:instrText xml:space="preserve"> REF _Ref228461596 \r \h </w:instrText>
      </w:r>
      <w:r>
        <w:fldChar w:fldCharType="separate"/>
      </w:r>
      <w:r>
        <w:t>6.4.1</w:t>
      </w:r>
      <w:r>
        <w:fldChar w:fldCharType="end"/>
      </w:r>
    </w:p>
    <w:p w14:paraId="22520543" w14:textId="2664095E">
      <w:pPr>
        <w:pStyle w:val="Lista2"/>
      </w:pPr>
      <w:r>
        <w:t xml:space="preserve">as applicable, </w:t>
      </w:r>
      <w:r>
        <w:rPr>
          <w:rStyle w:val="Codeattribute"/>
        </w:rPr>
        <w:t>@cert</w:t>
      </w:r>
      <w:r>
        <w:t xml:space="preserve"> to indicate that the editorial restoration is tentative, as per §</w:t>
      </w:r>
      <w:r>
        <w:fldChar w:fldCharType="begin"/>
      </w:r>
      <w:r>
        <w:instrText xml:space="preserve"> REF _Ref228460700 \r \h </w:instrText>
      </w:r>
      <w:r>
        <w:fldChar w:fldCharType="separate"/>
      </w:r>
      <w:r>
        <w:t>6.4.2</w:t>
      </w:r>
      <w:r>
        <w:fldChar w:fldCharType="end"/>
      </w:r>
    </w:p>
    <w:p w14:paraId="3FA0A585" w14:textId="27C2B54F">
      <w:pPr>
        <w:pStyle w:val="Lista2"/>
      </w:pPr>
      <w:r>
        <w:t xml:space="preserve">as applicable, </w:t>
      </w:r>
      <w:r>
        <w:rPr>
          <w:rStyle w:val="Codeattribute"/>
        </w:rPr>
        <w:t>@evidence</w:t>
      </w:r>
      <w:r>
        <w:t xml:space="preserve"> to record the basis of the restoration, as per §</w:t>
      </w:r>
      <w:r>
        <w:fldChar w:fldCharType="begin"/>
      </w:r>
      <w:r>
        <w:instrText xml:space="preserve"> REF _Ref228460743 \r \h </w:instrText>
      </w:r>
      <w:r>
        <w:fldChar w:fldCharType="separate"/>
      </w:r>
      <w:r>
        <w:t>6.4.3</w:t>
      </w:r>
      <w:r>
        <w:fldChar w:fldCharType="end"/>
      </w:r>
    </w:p>
    <w:p w14:paraId="10FAB26A" w14:textId="1FEE4A7B">
      <w:pPr>
        <w:pStyle w:val="Lista"/>
      </w:pPr>
      <w:r>
        <w:t>bear in mind that, as discussed in §</w:t>
      </w:r>
      <w:r>
        <w:fldChar w:fldCharType="begin"/>
      </w:r>
      <w:r>
        <w:instrText xml:space="preserve"> REF _Ref228196345 \r \h </w:instrText>
      </w:r>
      <w:r>
        <w:fldChar w:fldCharType="separate"/>
      </w:r>
      <w:r>
        <w:t>6.1</w:t>
      </w:r>
      <w:r>
        <w:fldChar w:fldCharType="end"/>
      </w:r>
      <w:r>
        <w:t xml:space="preserve">, restoration with </w:t>
      </w:r>
      <w:r>
        <w:rPr>
          <w:rStyle w:val="Code"/>
        </w:rPr>
        <w:t>&lt;supplied&gt;</w:t>
      </w:r>
      <w:r>
        <w:t xml:space="preserve"> is for cases where a restoration is not based on what can be made out of the original writing</w:t>
      </w:r>
    </w:p>
    <w:p w14:paraId="7C9B50D7" w14:textId="77777777">
      <w:pPr>
        <w:pStyle w:val="Lista2"/>
      </w:pPr>
      <w:r>
        <w:t xml:space="preserve">if vestiges of text can be made out to a degree sufficient to corroborate a restoration, then </w:t>
      </w:r>
      <w:r>
        <w:rPr>
          <w:noProof/>
        </w:rPr>
        <w:t>(</w:t>
      </w:r>
      <w:r>
        <w:t>regardless of how scant these vestiges are) the text should be treated as an unclear reading rather than a restoration</w:t>
      </w:r>
    </w:p>
    <w:p w14:paraId="6D793B1E" w14:textId="77777777">
      <w:pPr>
        <w:pStyle w:val="Lista3"/>
      </w:pPr>
      <w:r>
        <w:t xml:space="preserve">e.g.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pitr̥</w:t>
      </w:r>
      <w:r>
        <w:rPr>
          <w:rStyle w:val="Code"/>
        </w:rPr>
        <w:t>&lt;/supplied&gt;&lt;unclear&gt;</w:t>
      </w:r>
      <w:r>
        <w:rPr>
          <w:rStyle w:val="Codetext"/>
        </w:rPr>
        <w:t>bhiḥ</w:t>
      </w:r>
      <w:r>
        <w:rPr>
          <w:rStyle w:val="Code"/>
        </w:rPr>
        <w:t>&lt;/unclear&gt;</w:t>
      </w:r>
      <w:r>
        <w:rPr>
          <w:rStyle w:val="Codetext"/>
        </w:rPr>
        <w:t xml:space="preserve"> saha pacyate</w:t>
      </w:r>
      <w:r>
        <w:t xml:space="preserve"> </w:t>
      </w:r>
      <w:r>
        <w:rPr>
          <w:noProof/>
        </w:rPr>
        <w:t>(</w:t>
      </w:r>
      <w:r>
        <w:t xml:space="preserve">where vestiges give some confirmation for </w:t>
      </w:r>
      <w:r>
        <w:rPr>
          <w:rStyle w:val="Foreign"/>
        </w:rPr>
        <w:t>bhiḥ</w:t>
      </w:r>
      <w:r>
        <w:t xml:space="preserve">, whereas </w:t>
      </w:r>
      <w:r>
        <w:rPr>
          <w:rStyle w:val="Foreign"/>
        </w:rPr>
        <w:t>pitr̥</w:t>
      </w:r>
      <w:r>
        <w:t xml:space="preserve"> is wholly gone)</w:t>
      </w:r>
    </w:p>
    <w:p w14:paraId="5EDDE735" w14:textId="77777777">
      <w:pPr>
        <w:pStyle w:val="Cmsor3"/>
      </w:pPr>
      <w:bookmarkStart w:id="551" w:name="_Ref228461596"/>
      <w:bookmarkStart w:id="552" w:name="_Ref228864988"/>
      <w:bookmarkStart w:id="553" w:name="_Toc242889523"/>
      <w:r>
        <w:t>The reason for a restoration</w:t>
      </w:r>
      <w:bookmarkEnd w:id="551"/>
      <w:bookmarkEnd w:id="552"/>
      <w:bookmarkEnd w:id="553"/>
    </w:p>
    <w:p w14:paraId="01FBB918" w14:textId="77777777">
      <w:r>
        <w:t xml:space="preserve">The mandatory attribute </w:t>
      </w:r>
      <w:r>
        <w:rPr>
          <w:rStyle w:val="Codeattribute"/>
        </w:rPr>
        <w:t>@reason</w:t>
      </w:r>
      <w:r>
        <w:t xml:space="preserve">, indicating why a the editor has supplied text, normally takes the value </w:t>
      </w:r>
      <w:r>
        <w:rPr>
          <w:rStyle w:val="Codevalue"/>
        </w:rPr>
        <w:t>"lost"</w:t>
      </w:r>
      <w:r>
        <w:t xml:space="preserve"> in restored lacunae, meaning that text was supplied because the writing is entirely obliterated.</w:t>
      </w:r>
    </w:p>
    <w:p w14:paraId="30F88338" w14:textId="77777777">
      <w:pPr>
        <w:pStyle w:val="Lista"/>
      </w:pPr>
      <w:r>
        <w:t xml:space="preserve">e.g.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sodra</w:t>
      </w:r>
      <w:r>
        <w:rPr>
          <w:rStyle w:val="Code"/>
        </w:rPr>
        <w:t>&lt;/supplied&gt;</w:t>
      </w:r>
      <w:r>
        <w:rPr>
          <w:rStyle w:val="Codetext"/>
        </w:rPr>
        <w:t>ṅgaḥ soparikaro</w:t>
      </w:r>
    </w:p>
    <w:p w14:paraId="48CEC959" w14:textId="77777777">
      <w:pPr>
        <w:pStyle w:val="Lista"/>
      </w:pPr>
      <w:r>
        <w:t xml:space="preserve">instead of </w:t>
      </w:r>
      <w:r>
        <w:rPr>
          <w:rStyle w:val="Codevalue"/>
        </w:rPr>
        <w:t>"lost"</w:t>
      </w:r>
      <w:r>
        <w:t xml:space="preserve">, you may use the value </w:t>
      </w:r>
      <w:r>
        <w:rPr>
          <w:rStyle w:val="Codevalue"/>
        </w:rPr>
        <w:t>"undefined"</w:t>
      </w:r>
      <w:r>
        <w:t xml:space="preserve"> if and only if</w:t>
      </w:r>
    </w:p>
    <w:p w14:paraId="400F292F" w14:textId="77777777">
      <w:pPr>
        <w:pStyle w:val="Lista2"/>
      </w:pPr>
      <w:r>
        <w:t>you are encoding your digital edition (or an apparatus reading) from a printed edition without access to the original inscription or a visual representation of it</w:t>
      </w:r>
    </w:p>
    <w:p w14:paraId="20ABBF5A" w14:textId="4978E6F2">
      <w:pPr>
        <w:pStyle w:val="Lista2"/>
      </w:pPr>
      <w:r>
        <w:rPr>
          <w:rStyle w:val="Foreign"/>
        </w:rPr>
        <w:lastRenderedPageBreak/>
        <w:t>and</w:t>
      </w:r>
      <w:r>
        <w:t xml:space="preserve"> the previous editor gives no clear indication whether the supplied text was omitted </w:t>
      </w:r>
      <w:r>
        <w:rPr>
          <w:noProof/>
        </w:rPr>
        <w:t>(</w:t>
      </w:r>
      <w:r>
        <w:t>for which see §</w:t>
      </w:r>
      <w:r>
        <w:fldChar w:fldCharType="begin"/>
      </w:r>
      <w:r>
        <w:instrText xml:space="preserve"> REF _Ref229056324 \r \h </w:instrText>
      </w:r>
      <w:r>
        <w:fldChar w:fldCharType="separate"/>
      </w:r>
      <w:r>
        <w:t>7.5.3</w:t>
      </w:r>
      <w:r>
        <w:fldChar w:fldCharType="end"/>
      </w:r>
      <w:r>
        <w:t>) or lost</w:t>
      </w:r>
    </w:p>
    <w:p w14:paraId="77D899E9" w14:textId="41C61144">
      <w:pPr>
        <w:pStyle w:val="Lista2"/>
      </w:pPr>
      <w:r>
        <w:rPr>
          <w:rStyle w:val="Foreign"/>
        </w:rPr>
        <w:t>and</w:t>
      </w:r>
      <w:r>
        <w:t xml:space="preserve"> you cannot make a reasonable guess as to which of these is actually the case</w:t>
      </w:r>
    </w:p>
    <w:p w14:paraId="4B958504" w14:textId="1D6EED7C">
      <w:pPr>
        <w:pStyle w:val="Lista"/>
      </w:pPr>
      <w:r>
        <w:t xml:space="preserve">other possible values of </w:t>
      </w:r>
      <w:r>
        <w:rPr>
          <w:rStyle w:val="Codeattribute"/>
        </w:rPr>
        <w:t>@reason</w:t>
      </w:r>
      <w:r>
        <w:t xml:space="preserve"> on </w:t>
      </w:r>
      <w:r>
        <w:rPr>
          <w:rStyle w:val="Code"/>
        </w:rPr>
        <w:t>&lt;supplied&gt;</w:t>
      </w:r>
      <w:r>
        <w:t xml:space="preserve"> are not applicable to the restoration of lacunae (but to the correction of scribal omission, §</w:t>
      </w:r>
      <w:r>
        <w:fldChar w:fldCharType="begin"/>
      </w:r>
      <w:r>
        <w:instrText xml:space="preserve"> REF _Ref229056324 \r \h </w:instrText>
      </w:r>
      <w:r>
        <w:fldChar w:fldCharType="separate"/>
      </w:r>
      <w:r>
        <w:t>7.5.3</w:t>
      </w:r>
      <w:r>
        <w:fldChar w:fldCharType="end"/>
      </w:r>
      <w:r>
        <w:t>; to supplying editorial punctuation, §</w:t>
      </w:r>
      <w:r>
        <w:fldChar w:fldCharType="begin"/>
      </w:r>
      <w:r>
        <w:instrText xml:space="preserve"> REF _Ref229060537 \r \h </w:instrText>
      </w:r>
      <w:r>
        <w:fldChar w:fldCharType="separate"/>
      </w:r>
      <w:r>
        <w:t>7.8.3</w:t>
      </w:r>
      <w:r>
        <w:fldChar w:fldCharType="end"/>
      </w:r>
      <w:r>
        <w:t>; and to adding clarifications to a translation, §</w:t>
      </w:r>
      <w:r>
        <w:fldChar w:fldCharType="begin"/>
      </w:r>
      <w:r>
        <w:instrText xml:space="preserve"> REF _Ref43990269 \r \h </w:instrText>
      </w:r>
      <w:r>
        <w:fldChar w:fldCharType="separate"/>
      </w:r>
      <w:r>
        <w:t>11.4</w:t>
      </w:r>
      <w:r>
        <w:fldChar w:fldCharType="end"/>
      </w:r>
      <w:r>
        <w:t>)</w:t>
      </w:r>
    </w:p>
    <w:p w14:paraId="421CD095" w14:textId="77777777">
      <w:pPr>
        <w:pStyle w:val="Cmsor3"/>
      </w:pPr>
      <w:bookmarkStart w:id="554" w:name="_Ref228460700"/>
      <w:bookmarkStart w:id="555" w:name="_Toc242889524"/>
      <w:r>
        <w:t>Tentative restoration</w:t>
      </w:r>
      <w:bookmarkEnd w:id="554"/>
      <w:bookmarkEnd w:id="555"/>
    </w:p>
    <w:p w14:paraId="55A6506E" w14:textId="77777777">
      <w:r>
        <w:t>Text supplied by the editor is conventionally understood to be reasonably confident, but it can always involve a degree of uncertainty, especially as regards trivial details such as orthographic variation.</w:t>
      </w:r>
    </w:p>
    <w:p w14:paraId="667AADB5" w14:textId="0AA87D88">
      <w:pPr>
        <w:pStyle w:val="Lista"/>
      </w:pPr>
      <w:r>
        <w:t xml:space="preserve">when a restoration is particularly tentative, add the attribute </w:t>
      </w:r>
      <w:r>
        <w:rPr>
          <w:rStyle w:val="Codeattribute"/>
        </w:rPr>
        <w:t>@cert</w:t>
      </w:r>
      <w:r>
        <w:t xml:space="preserve"> with the value </w:t>
      </w:r>
      <w:r>
        <w:rPr>
          <w:rStyle w:val="Codevalue"/>
        </w:rPr>
        <w:t>"low"</w:t>
      </w:r>
      <w:r>
        <w:t xml:space="preserve"> to the </w:t>
      </w:r>
      <w:r>
        <w:rPr>
          <w:rStyle w:val="Code"/>
        </w:rPr>
        <w:t>&lt;supplied&gt;</w:t>
      </w:r>
      <w:r>
        <w:t xml:space="preserve"> element</w:t>
      </w:r>
    </w:p>
    <w:p w14:paraId="0B66E0D5" w14:textId="77777777">
      <w:pPr>
        <w:pStyle w:val="Lista2"/>
      </w:pPr>
      <w:r>
        <w:t xml:space="preserve">e.g. </w:t>
      </w:r>
      <w:r>
        <w:rPr>
          <w:rStyle w:val="Codetext"/>
        </w:rPr>
        <w:t>mahā</w:t>
      </w:r>
      <w:r>
        <w:rPr>
          <w:rStyle w:val="Code"/>
        </w:rPr>
        <w:t xml:space="preserve">&lt;supplied </w:t>
      </w:r>
      <w:r>
        <w:rPr>
          <w:rStyle w:val="Codeattribute"/>
        </w:rPr>
        <w:t>reason</w:t>
      </w:r>
      <w:r>
        <w:rPr>
          <w:rStyle w:val="Code"/>
        </w:rPr>
        <w:t>=</w:t>
      </w:r>
      <w:r>
        <w:rPr>
          <w:rStyle w:val="Codevalue"/>
        </w:rPr>
        <w:t>"lost"</w:t>
      </w:r>
      <w:r>
        <w:rPr>
          <w:rStyle w:val="Code"/>
        </w:rPr>
        <w:t xml:space="preserve"> </w:t>
      </w:r>
      <w:r>
        <w:rPr>
          <w:rStyle w:val="Codeattribute"/>
        </w:rPr>
        <w:t>cert</w:t>
      </w:r>
      <w:r>
        <w:rPr>
          <w:rStyle w:val="Code"/>
        </w:rPr>
        <w:t>=</w:t>
      </w:r>
      <w:r>
        <w:rPr>
          <w:rStyle w:val="Codevalue"/>
        </w:rPr>
        <w:t>"low"</w:t>
      </w:r>
      <w:r>
        <w:rPr>
          <w:rStyle w:val="Code"/>
        </w:rPr>
        <w:t>&gt;</w:t>
      </w:r>
      <w:r>
        <w:rPr>
          <w:rStyle w:val="Codetext"/>
        </w:rPr>
        <w:t>puruṣa</w:t>
      </w:r>
      <w:r>
        <w:rPr>
          <w:rStyle w:val="Code"/>
        </w:rPr>
        <w:t>&lt;/supplied&gt;</w:t>
      </w:r>
    </w:p>
    <w:p w14:paraId="04CC0A53" w14:textId="77777777">
      <w:pPr>
        <w:pStyle w:val="Lista"/>
      </w:pPr>
      <w:r>
        <w:t xml:space="preserve">no additional degrees of confidence shall be represented in markup, so </w:t>
      </w:r>
      <w:r>
        <w:rPr>
          <w:rStyle w:val="Codevalue"/>
        </w:rPr>
        <w:t>"low"</w:t>
      </w:r>
      <w:r>
        <w:t xml:space="preserve"> here may stand for anything between “not quite confident” to “desperate conjecture”</w:t>
      </w:r>
    </w:p>
    <w:p w14:paraId="22B4B572" w14:textId="4213EB62">
      <w:pPr>
        <w:pStyle w:val="Lista2"/>
      </w:pPr>
      <w:r>
        <w:t>however, it is preferable to save desperate conjectures for your commentary or apparatus, and within the edition, only encode restorations in which you have some confidence</w:t>
      </w:r>
    </w:p>
    <w:p w14:paraId="09A19F19" w14:textId="77777777">
      <w:pPr>
        <w:pStyle w:val="Cmsor3"/>
      </w:pPr>
      <w:bookmarkStart w:id="556" w:name="_1tkql41gk7ns" w:colFirst="0" w:colLast="0"/>
      <w:bookmarkStart w:id="557" w:name="_Ref228460743"/>
      <w:bookmarkStart w:id="558" w:name="_Toc242889525"/>
      <w:bookmarkEnd w:id="556"/>
      <w:r>
        <w:t>The basis of restoration</w:t>
      </w:r>
      <w:bookmarkEnd w:id="557"/>
      <w:bookmarkEnd w:id="558"/>
    </w:p>
    <w:p w14:paraId="18613CE7" w14:textId="77777777">
      <w:r>
        <w:t>By default, editorial restoration will be assumed to be based on conjecture. Conjectural restoration thus needs no explicit encoding beyond that outlined above.</w:t>
      </w:r>
    </w:p>
    <w:p w14:paraId="656A33F2" w14:textId="77777777">
      <w:pPr>
        <w:pStyle w:val="Lista"/>
      </w:pPr>
      <w:r>
        <w:t xml:space="preserve">the attribute </w:t>
      </w:r>
      <w:r>
        <w:rPr>
          <w:rStyle w:val="Codeattribute"/>
        </w:rPr>
        <w:t>@evidence</w:t>
      </w:r>
      <w:r>
        <w:t xml:space="preserve"> may be added to </w:t>
      </w:r>
      <w:r>
        <w:rPr>
          <w:rStyle w:val="Code"/>
        </w:rPr>
        <w:t>&lt;supplied&gt;</w:t>
      </w:r>
      <w:r>
        <w:t xml:space="preserve"> to indicate a restoration based on something other than conjecture, with the following permitted values:</w:t>
      </w:r>
    </w:p>
    <w:p w14:paraId="3657B670" w14:textId="4F9B3EAB">
      <w:pPr>
        <w:pStyle w:val="Lista"/>
      </w:pPr>
      <w:r>
        <w:rPr>
          <w:rStyle w:val="Codevalue"/>
        </w:rPr>
        <w:t>"parallel"</w:t>
      </w:r>
      <w:r>
        <w:t xml:space="preserve"> for restoration on the basis of one or more specific parallel texts</w:t>
      </w:r>
    </w:p>
    <w:p w14:paraId="7D97D696" w14:textId="6AA32E92">
      <w:pPr>
        <w:pStyle w:val="Lista2"/>
      </w:pPr>
      <w:r>
        <w:t>if your edition includes a restoration of this type, the parallel text</w:t>
      </w:r>
      <w:r>
        <w:rPr>
          <w:noProof/>
        </w:rPr>
        <w:t>(</w:t>
      </w:r>
      <w:r>
        <w:t>s) used as evidence shall be identified in the commentary to your edition</w:t>
      </w:r>
    </w:p>
    <w:p w14:paraId="451022E4" w14:textId="6E59022F">
      <w:pPr>
        <w:pStyle w:val="Lista3"/>
      </w:pPr>
      <w:r>
        <w:t xml:space="preserve">such identification shall be in a human-readable form, but if the parallel text has been encoded for DHARMA, then the edition should be referred to </w:t>
      </w:r>
      <w:r>
        <w:rPr>
          <w:noProof/>
        </w:rPr>
        <w:t>(</w:t>
      </w:r>
      <w:r>
        <w:t>§</w:t>
      </w:r>
      <w:r>
        <w:fldChar w:fldCharType="begin"/>
      </w:r>
      <w:r>
        <w:instrText xml:space="preserve"> REF _Ref148531705 \r \h </w:instrText>
      </w:r>
      <w:r>
        <w:fldChar w:fldCharType="separate"/>
      </w:r>
      <w:r>
        <w:t>14.6.4.1</w:t>
      </w:r>
      <w:r>
        <w:fldChar w:fldCharType="end"/>
      </w:r>
      <w:r>
        <w:t>)</w:t>
      </w:r>
    </w:p>
    <w:p w14:paraId="0C94E002" w14:textId="4A82B86B">
      <w:pPr>
        <w:pStyle w:val="Lista2"/>
      </w:pPr>
      <w:r>
        <w:t>parallel texts are not necessarily complete and identical copies of the text being edited, but include partial parallels, where passages such as a genealogical list or a stanza occur in more than one text</w:t>
      </w:r>
    </w:p>
    <w:p w14:paraId="4A759581" w14:textId="170D7044">
      <w:pPr>
        <w:pStyle w:val="Lista2"/>
      </w:pPr>
      <w:r>
        <w:t xml:space="preserve">however, partial parallelisms that occur widely in a given corpus, especially if they are short and/or they occur with some variation, are better understood as contextual knowledge supporting conjecture, and restorations based on such convergence should be encoded without </w:t>
      </w:r>
      <w:r>
        <w:rPr>
          <w:rStyle w:val="Codeattribute"/>
        </w:rPr>
        <w:t>@evidence</w:t>
      </w:r>
    </w:p>
    <w:p w14:paraId="56F169D5" w14:textId="77777777">
      <w:pPr>
        <w:pStyle w:val="Lista"/>
      </w:pPr>
      <w:r>
        <w:rPr>
          <w:rStyle w:val="Codevalue"/>
        </w:rPr>
        <w:t>"previouseditor"</w:t>
      </w:r>
      <w:r>
        <w:t xml:space="preserve"> for restoration based on the testimony of a previous editor, when the text can no longer be made out at present</w:t>
      </w:r>
    </w:p>
    <w:p w14:paraId="0675E5E0" w14:textId="437DA531">
      <w:pPr>
        <w:pStyle w:val="Lista2"/>
      </w:pPr>
      <w:r>
        <w:t xml:space="preserve">note that there is no facility to distinguish between multiple previous editors within this tag; if such a distinction is necessary, it shall be made in the apparatus attached to your edition </w:t>
      </w:r>
      <w:r>
        <w:rPr>
          <w:noProof/>
        </w:rPr>
        <w:t>(</w:t>
      </w:r>
      <w:r>
        <w:t>§</w:t>
      </w:r>
      <w:r>
        <w:fldChar w:fldCharType="begin"/>
      </w:r>
      <w:r>
        <w:instrText xml:space="preserve"> REF _Ref43978773 \w \h  \* MERGEFORMAT </w:instrText>
      </w:r>
      <w:r>
        <w:fldChar w:fldCharType="separate"/>
      </w:r>
      <w:r>
        <w:t>10</w:t>
      </w:r>
      <w:r>
        <w:fldChar w:fldCharType="end"/>
      </w:r>
      <w:r>
        <w:t>)</w:t>
      </w:r>
    </w:p>
    <w:p w14:paraId="74007F83" w14:textId="77777777">
      <w:pPr>
        <w:pStyle w:val="Lista2"/>
      </w:pPr>
      <w:r>
        <w:t xml:space="preserve">likewise, alternative conjectural restorations should be recorded in the apparatus </w:t>
      </w:r>
      <w:r>
        <w:rPr>
          <w:noProof/>
        </w:rPr>
        <w:t>(</w:t>
      </w:r>
      <w:r>
        <w:t xml:space="preserve">if at all); </w:t>
      </w:r>
      <w:r>
        <w:rPr>
          <w:rStyle w:val="Codeattribute"/>
        </w:rPr>
        <w:t>@evidence</w:t>
      </w:r>
      <w:r>
        <w:rPr>
          <w:rStyle w:val="Code"/>
        </w:rPr>
        <w:t>=</w:t>
      </w:r>
      <w:r>
        <w:rPr>
          <w:rStyle w:val="Codevalue"/>
        </w:rPr>
        <w:t>"previouseditor"</w:t>
      </w:r>
      <w:r>
        <w:t xml:space="preserve"> is only for cases where an earlier editor reports an actual reading for text now lost</w:t>
      </w:r>
    </w:p>
    <w:p w14:paraId="5228CD2F" w14:textId="77777777">
      <w:pPr>
        <w:pStyle w:val="Lista2"/>
      </w:pPr>
      <w:r>
        <w:t>if you are working from a previous edition and have no visual documentation of an entire inscription or a sizeable part of one, then the text should not be marked up as supplied at all; instead, treat it as a regular part of the edition and clarify the situation in your commentary</w:t>
      </w:r>
    </w:p>
    <w:p w14:paraId="02546303" w14:textId="77777777">
      <w:pPr>
        <w:pStyle w:val="Cmsor2"/>
      </w:pPr>
      <w:bookmarkStart w:id="559" w:name="_Ref228460110"/>
      <w:bookmarkStart w:id="560" w:name="_Toc242889526"/>
      <w:r>
        <w:t>Lacunae</w:t>
      </w:r>
      <w:bookmarkEnd w:id="548"/>
      <w:bookmarkEnd w:id="559"/>
      <w:bookmarkEnd w:id="560"/>
    </w:p>
    <w:p w14:paraId="7A6722E2" w14:textId="77777777">
      <w:pPr>
        <w:pStyle w:val="Cmsor3"/>
      </w:pPr>
      <w:bookmarkStart w:id="561" w:name="_lo8gk73ax0q" w:colFirst="0" w:colLast="0"/>
      <w:bookmarkStart w:id="562" w:name="_Ref228888638"/>
      <w:bookmarkStart w:id="563" w:name="_Toc242889527"/>
      <w:bookmarkEnd w:id="561"/>
      <w:r>
        <w:t>Encoding lacunae</w:t>
      </w:r>
      <w:bookmarkEnd w:id="562"/>
      <w:bookmarkEnd w:id="563"/>
    </w:p>
    <w:p w14:paraId="61B22C2B" w14:textId="79988FF8">
      <w:r>
        <w:t xml:space="preserve">To encode a lacuna, i.e. a stretch where your edition contains no text because the source could not be read at all and could not be restored even tentatively, use the element </w:t>
      </w:r>
      <w:r>
        <w:rPr>
          <w:rStyle w:val="Code"/>
        </w:rPr>
        <w:t>&lt;gap&gt;</w:t>
      </w:r>
      <w:r>
        <w:t xml:space="preserve">. </w:t>
      </w:r>
    </w:p>
    <w:p w14:paraId="0B5545F7" w14:textId="77777777">
      <w:pPr>
        <w:pStyle w:val="Lista"/>
      </w:pPr>
      <w:r>
        <w:lastRenderedPageBreak/>
        <w:t xml:space="preserve">use </w:t>
      </w:r>
      <w:r>
        <w:rPr>
          <w:rStyle w:val="Code"/>
        </w:rPr>
        <w:t>&lt;gap&gt;</w:t>
      </w:r>
      <w:r>
        <w:t xml:space="preserve"> for lacunae</w:t>
      </w:r>
      <w:r>
        <w:rPr>
          <w:rStyle w:val="Lbjegyzet-hivatkozs"/>
        </w:rPr>
        <w:footnoteReference w:id="29"/>
      </w:r>
      <w:r>
        <w:t xml:space="preserve"> with the following attributes</w:t>
      </w:r>
    </w:p>
    <w:p w14:paraId="6169CE20" w14:textId="4D32D400">
      <w:pPr>
        <w:pStyle w:val="Lista2"/>
      </w:pPr>
      <w:r>
        <w:t xml:space="preserve">mandatorily, </w:t>
      </w:r>
      <w:r>
        <w:rPr>
          <w:rStyle w:val="Codeattribute"/>
        </w:rPr>
        <w:t>@reason</w:t>
      </w:r>
      <w:r>
        <w:t xml:space="preserve"> as per §</w:t>
      </w:r>
      <w:r>
        <w:fldChar w:fldCharType="begin"/>
      </w:r>
      <w:r>
        <w:instrText xml:space="preserve"> REF _Ref43987758 \r \h </w:instrText>
      </w:r>
      <w:r>
        <w:fldChar w:fldCharType="separate"/>
      </w:r>
      <w:r>
        <w:t>6.5.1.1</w:t>
      </w:r>
      <w:r>
        <w:fldChar w:fldCharType="end"/>
      </w:r>
    </w:p>
    <w:p w14:paraId="331580B6" w14:textId="246C4A72">
      <w:pPr>
        <w:pStyle w:val="Lista2"/>
      </w:pPr>
      <w:r>
        <w:t xml:space="preserve">mandatorily, </w:t>
      </w:r>
      <w:r>
        <w:rPr>
          <w:rStyle w:val="Codeattribute"/>
        </w:rPr>
        <w:t>@unit</w:t>
      </w:r>
      <w:r>
        <w:t xml:space="preserve"> combined with either </w:t>
      </w:r>
      <w:r>
        <w:rPr>
          <w:rStyle w:val="Codeattribute"/>
        </w:rPr>
        <w:t>@extent</w:t>
      </w:r>
      <w:r>
        <w:t xml:space="preserve"> or </w:t>
      </w:r>
      <w:r>
        <w:rPr>
          <w:rStyle w:val="Codeattribute"/>
        </w:rPr>
        <w:t>@quantity</w:t>
      </w:r>
      <w:r>
        <w:t xml:space="preserve"> as per §</w:t>
      </w:r>
      <w:r>
        <w:fldChar w:fldCharType="begin"/>
      </w:r>
      <w:r>
        <w:instrText xml:space="preserve"> REF _Ref228262228 \r \h </w:instrText>
      </w:r>
      <w:r>
        <w:fldChar w:fldCharType="separate"/>
      </w:r>
      <w:r>
        <w:t>6.5.1.2</w:t>
      </w:r>
      <w:r>
        <w:fldChar w:fldCharType="end"/>
      </w:r>
    </w:p>
    <w:p w14:paraId="5AF78CD9" w14:textId="261033B2">
      <w:pPr>
        <w:pStyle w:val="Lista2"/>
      </w:pPr>
      <w:r>
        <w:t xml:space="preserve">as applicable, </w:t>
      </w:r>
      <w:r>
        <w:rPr>
          <w:rStyle w:val="Codeattribute"/>
        </w:rPr>
        <w:t>@precision</w:t>
      </w:r>
      <w:r>
        <w:t xml:space="preserve"> as per §</w:t>
      </w:r>
      <w:r>
        <w:fldChar w:fldCharType="begin"/>
      </w:r>
      <w:r>
        <w:instrText xml:space="preserve"> REF _Ref228262228 \r \h </w:instrText>
      </w:r>
      <w:r>
        <w:fldChar w:fldCharType="separate"/>
      </w:r>
      <w:r>
        <w:t>6.5.1.2</w:t>
      </w:r>
      <w:r>
        <w:fldChar w:fldCharType="end"/>
      </w:r>
    </w:p>
    <w:p w14:paraId="5C008B1E" w14:textId="77777777">
      <w:pPr>
        <w:pStyle w:val="Lista"/>
      </w:pPr>
      <w:r>
        <w:t>since a gap is, by definition, a point where text is not available, this element can never contain text</w:t>
      </w:r>
    </w:p>
    <w:p w14:paraId="1BE5DFAF" w14:textId="387A652B">
      <w:pPr>
        <w:pStyle w:val="Lista2"/>
      </w:pPr>
      <w:r>
        <w:t xml:space="preserve">restored lacunae must be encoded with </w:t>
      </w:r>
      <w:r>
        <w:rPr>
          <w:rStyle w:val="Code"/>
        </w:rPr>
        <w:t>&lt;supplied&gt;</w:t>
      </w:r>
      <w:r>
        <w:t xml:space="preserve"> rather than with </w:t>
      </w:r>
      <w:r>
        <w:rPr>
          <w:rStyle w:val="Code"/>
        </w:rPr>
        <w:t>&lt;gap&gt;</w:t>
      </w:r>
      <w:r>
        <w:t>, as per §</w:t>
      </w:r>
      <w:r>
        <w:fldChar w:fldCharType="begin"/>
      </w:r>
      <w:r>
        <w:instrText xml:space="preserve"> REF _Ref228459751 \r \h </w:instrText>
      </w:r>
      <w:r>
        <w:fldChar w:fldCharType="separate"/>
      </w:r>
      <w:r>
        <w:t>6.4</w:t>
      </w:r>
      <w:r>
        <w:fldChar w:fldCharType="end"/>
      </w:r>
    </w:p>
    <w:p w14:paraId="5CC2F19F" w14:textId="77777777">
      <w:pPr>
        <w:pStyle w:val="Lista2"/>
      </w:pPr>
      <w:r>
        <w:t xml:space="preserve">partially restored lacunae must be encoded as independent </w:t>
      </w:r>
      <w:r>
        <w:rPr>
          <w:rStyle w:val="Code"/>
        </w:rPr>
        <w:t>&lt;gap&gt;</w:t>
      </w:r>
      <w:r>
        <w:t xml:space="preserve"> and </w:t>
      </w:r>
      <w:r>
        <w:rPr>
          <w:rStyle w:val="Code"/>
        </w:rPr>
        <w:t>&lt;supplied&gt;</w:t>
      </w:r>
      <w:r>
        <w:t xml:space="preserve"> elements</w:t>
      </w:r>
    </w:p>
    <w:p w14:paraId="3DBC51AE" w14:textId="77777777">
      <w:pPr>
        <w:pStyle w:val="Lista3"/>
      </w:pPr>
      <w:r>
        <w:t xml:space="preserve">e.g. </w:t>
      </w:r>
      <w:r>
        <w:rPr>
          <w:rStyle w:val="Codetext"/>
        </w:rPr>
        <w:t>gudrahāra-vi</w:t>
      </w:r>
      <w:r>
        <w:rPr>
          <w:rStyle w:val="Code"/>
        </w:rPr>
        <w:t xml:space="preserve">&lt;supplied </w:t>
      </w:r>
      <w:r>
        <w:rPr>
          <w:rStyle w:val="Codeattribute"/>
        </w:rPr>
        <w:t>reason=</w:t>
      </w:r>
      <w:r>
        <w:rPr>
          <w:rStyle w:val="Codevalue"/>
        </w:rPr>
        <w:t>"lost"</w:t>
      </w:r>
      <w:r>
        <w:rPr>
          <w:rStyle w:val="Code"/>
        </w:rPr>
        <w:t>&gt;</w:t>
      </w:r>
      <w:r>
        <w:rPr>
          <w:rStyle w:val="Codetext"/>
        </w:rPr>
        <w:t>ṣaye</w:t>
      </w:r>
      <w:r>
        <w:rPr>
          <w:rStyle w:val="Code"/>
        </w:rPr>
        <w:t xml:space="preserve">&lt;/supplied&gt; &lt;gap </w:t>
      </w:r>
      <w:r>
        <w:rPr>
          <w:rStyle w:val="Codeattribute"/>
        </w:rPr>
        <w:t>reason=</w:t>
      </w:r>
      <w:r>
        <w:rPr>
          <w:rStyle w:val="Codevalue"/>
        </w:rPr>
        <w:t>"lost"</w:t>
      </w:r>
      <w:r>
        <w:rPr>
          <w:rStyle w:val="Code"/>
        </w:rPr>
        <w:t xml:space="preserve"> </w:t>
      </w:r>
      <w:r>
        <w:rPr>
          <w:rStyle w:val="Codeattribute"/>
        </w:rPr>
        <w:t>quantity=</w:t>
      </w:r>
      <w:r>
        <w:rPr>
          <w:rStyle w:val="Codevalue"/>
        </w:rPr>
        <w:t>"2"</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/&gt;</w:t>
      </w:r>
    </w:p>
    <w:p w14:paraId="7C964FC8" w14:textId="5F5A1C1D">
      <w:pPr>
        <w:pStyle w:val="Lista2"/>
      </w:pPr>
      <w:r>
        <w:t xml:space="preserve">the </w:t>
      </w:r>
      <w:r>
        <w:rPr>
          <w:rStyle w:val="Code"/>
        </w:rPr>
        <w:t>&lt;gap&gt;</w:t>
      </w:r>
      <w:r>
        <w:t xml:space="preserve"> element is thus usually empty (</w:t>
      </w:r>
      <w:r>
        <w:rPr>
          <w:rStyle w:val="Code"/>
        </w:rPr>
        <w:t>&lt;gap/&gt;</w:t>
      </w:r>
      <w:r>
        <w:t>), but it may contain another empty element when the existence of a lacuna is uncertain, as per §</w:t>
      </w:r>
      <w:r>
        <w:fldChar w:fldCharType="begin"/>
      </w:r>
      <w:r>
        <w:instrText xml:space="preserve"> REF _Ref228262561 \r \h </w:instrText>
      </w:r>
      <w:r>
        <w:fldChar w:fldCharType="separate"/>
      </w:r>
      <w:r>
        <w:t>6.5.3.3</w:t>
      </w:r>
      <w:r>
        <w:fldChar w:fldCharType="end"/>
      </w:r>
    </w:p>
    <w:p w14:paraId="2D7FA81D" w14:textId="77777777">
      <w:pPr>
        <w:pStyle w:val="Lista"/>
      </w:pPr>
      <w:r>
        <w:rPr>
          <w:rStyle w:val="Code"/>
        </w:rPr>
        <w:t>&lt;gap&gt;</w:t>
      </w:r>
      <w:r>
        <w:t xml:space="preserve"> elements, where they are adjacent to extant or restored text, should normally be separated from text by a space unless you are reasonably confident that the lacuna included part of a word whose other part is preserved or restored outside the lacuna, in which case the text should precede or follow the </w:t>
      </w:r>
      <w:r>
        <w:rPr>
          <w:rStyle w:val="Code"/>
        </w:rPr>
        <w:t>&lt;gap&gt;</w:t>
      </w:r>
      <w:r>
        <w:t xml:space="preserve"> element without an intervening space</w:t>
      </w:r>
    </w:p>
    <w:p w14:paraId="15612F23" w14:textId="77777777">
      <w:pPr>
        <w:pStyle w:val="Lista2"/>
      </w:pPr>
      <w:r>
        <w:t>by convention we shall take a lacuna encoded without an intervening space as a definite indicator of an editorial hypothesis that the word preserved adjacent to the lacuna is not complete</w:t>
      </w:r>
    </w:p>
    <w:p w14:paraId="4C5A19F2" w14:textId="77777777">
      <w:pPr>
        <w:pStyle w:val="Lista2"/>
      </w:pPr>
      <w:r>
        <w:t>whereas a lacuna encoded with an intervening space will not be regarded to imply any hypothesis about the completeness or incompleteness of the preserved word</w:t>
      </w:r>
    </w:p>
    <w:p w14:paraId="37A236A6" w14:textId="77777777">
      <w:pPr>
        <w:pStyle w:val="Cmsor4"/>
      </w:pPr>
      <w:bookmarkStart w:id="564" w:name="_hxyhjj6qtlem" w:colFirst="0" w:colLast="0"/>
      <w:bookmarkStart w:id="565" w:name="_Ref43987758"/>
      <w:bookmarkEnd w:id="564"/>
      <w:r>
        <w:t>The reason for lacunae: illegible or lost</w:t>
      </w:r>
      <w:bookmarkEnd w:id="565"/>
    </w:p>
    <w:p w14:paraId="6517610F" w14:textId="77777777">
      <w:r>
        <w:t xml:space="preserve">In alignment with EpiDoc convention, we make a distinction between lacunae resulting from the total loss of the original writing and those where the writing is present at least in a vestigial form but cannot be read even tentatively. This distinction is encoded in the attribute </w:t>
      </w:r>
      <w:r>
        <w:rPr>
          <w:rStyle w:val="Codeattribute"/>
        </w:rPr>
        <w:t>@reason</w:t>
      </w:r>
      <w:r>
        <w:t>, which can take the following values for lacunae.</w:t>
      </w:r>
    </w:p>
    <w:p w14:paraId="4CF365B9" w14:textId="77777777">
      <w:pPr>
        <w:pStyle w:val="Lista"/>
      </w:pPr>
      <w:r>
        <w:rPr>
          <w:rStyle w:val="Codevalue"/>
        </w:rPr>
        <w:t>"lost"</w:t>
      </w:r>
      <w:r>
        <w:t xml:space="preserve"> where parts of the support are altogether gone, or where the support itself is extant, but its surface has peeled off so that not even the faintest traces of writing remain</w:t>
      </w:r>
    </w:p>
    <w:p w14:paraId="30924BEA" w14:textId="77777777">
      <w:pPr>
        <w:pStyle w:val="Lista"/>
      </w:pPr>
      <w:r>
        <w:rPr>
          <w:rStyle w:val="Codevalue"/>
        </w:rPr>
        <w:t>"illegible"</w:t>
      </w:r>
      <w:r>
        <w:t xml:space="preserve"> where the inscribed text cannot be read at all, but the support is extant and vestiges of writing remain </w:t>
      </w:r>
      <w:r>
        <w:rPr>
          <w:noProof/>
        </w:rPr>
        <w:t>(</w:t>
      </w:r>
      <w:r>
        <w:t>i.e. there is a chance, however narrow, that with new insights, technological advances or sheer luck, some of the text can be recovered)</w:t>
      </w:r>
    </w:p>
    <w:p w14:paraId="77772473" w14:textId="77777777">
      <w:pPr>
        <w:pStyle w:val="Lista"/>
      </w:pPr>
      <w:r>
        <w:rPr>
          <w:rStyle w:val="Codevalue"/>
        </w:rPr>
        <w:t>"undefined"</w:t>
      </w:r>
      <w:r>
        <w:t xml:space="preserve"> where it is impossible to make the above distinction for a certain lacuna, to be used if and only if </w:t>
      </w:r>
    </w:p>
    <w:p w14:paraId="30BE44D1" w14:textId="77777777">
      <w:pPr>
        <w:pStyle w:val="Lista2"/>
      </w:pPr>
      <w:r>
        <w:t>you are encoding your digital edition (or an apparatus reading) from a printed edition without access to the original inscription or a visual representation of it</w:t>
      </w:r>
    </w:p>
    <w:p w14:paraId="0E62D547" w14:textId="77777777">
      <w:pPr>
        <w:pStyle w:val="Lista2"/>
      </w:pPr>
      <w:r>
        <w:rPr>
          <w:rStyle w:val="Foreign"/>
        </w:rPr>
        <w:t>and</w:t>
      </w:r>
      <w:r>
        <w:t xml:space="preserve"> the previous editor gives no indication whether a lacuna is illegible or wholly lost</w:t>
      </w:r>
    </w:p>
    <w:p w14:paraId="009CC5FC" w14:textId="77777777">
      <w:pPr>
        <w:pStyle w:val="Lista2"/>
      </w:pPr>
      <w:r>
        <w:rPr>
          <w:rStyle w:val="Foreign"/>
        </w:rPr>
        <w:t>and</w:t>
      </w:r>
      <w:r>
        <w:t xml:space="preserve"> you cannot make a reasonable guess as to which of these was the case when the previous editor did their work</w:t>
      </w:r>
    </w:p>
    <w:p w14:paraId="19640913" w14:textId="47823430">
      <w:pPr>
        <w:pStyle w:val="Lista"/>
      </w:pPr>
      <w:r>
        <w:t xml:space="preserve">in addition to the above three, the values </w:t>
      </w:r>
      <w:r>
        <w:rPr>
          <w:rStyle w:val="Codevalue"/>
        </w:rPr>
        <w:t>"omitted"</w:t>
      </w:r>
      <w:r>
        <w:t xml:space="preserve"> and </w:t>
      </w:r>
      <w:r>
        <w:rPr>
          <w:rStyle w:val="Codevalue"/>
        </w:rPr>
        <w:t>"ellipsis"</w:t>
      </w:r>
      <w:r>
        <w:t xml:space="preserve"> are permitted in contexts other than lacunae (§</w:t>
      </w:r>
      <w:r>
        <w:fldChar w:fldCharType="begin"/>
      </w:r>
      <w:r>
        <w:instrText xml:space="preserve"> REF _Ref63674857 \r \h </w:instrText>
      </w:r>
      <w:r>
        <w:fldChar w:fldCharType="separate"/>
      </w:r>
      <w:r>
        <w:t>7.7</w:t>
      </w:r>
      <w:r>
        <w:fldChar w:fldCharType="end"/>
      </w:r>
      <w:r>
        <w:t>, §</w:t>
      </w:r>
      <w:r>
        <w:fldChar w:fldCharType="begin"/>
      </w:r>
      <w:r>
        <w:instrText xml:space="preserve"> REF _Ref61250887 \r \h </w:instrText>
      </w:r>
      <w:r>
        <w:fldChar w:fldCharType="separate"/>
      </w:r>
      <w:r>
        <w:t>10.3</w:t>
      </w:r>
      <w:r>
        <w:fldChar w:fldCharType="end"/>
      </w:r>
      <w:r>
        <w:t>, §</w:t>
      </w:r>
      <w:r>
        <w:fldChar w:fldCharType="begin"/>
      </w:r>
      <w:r>
        <w:instrText xml:space="preserve"> REF _Ref43990112 \r \h </w:instrText>
      </w:r>
      <w:r>
        <w:fldChar w:fldCharType="separate"/>
      </w:r>
      <w:r>
        <w:t>11.4.3</w:t>
      </w:r>
      <w:r>
        <w:fldChar w:fldCharType="end"/>
      </w:r>
      <w:r>
        <w:t>)</w:t>
      </w:r>
    </w:p>
    <w:p w14:paraId="2DBCDE0B" w14:textId="77777777">
      <w:pPr>
        <w:pStyle w:val="Cmsor4"/>
      </w:pPr>
      <w:bookmarkStart w:id="566" w:name="_Ref228262228"/>
      <w:r>
        <w:t>The size of lacunae</w:t>
      </w:r>
      <w:bookmarkEnd w:id="566"/>
    </w:p>
    <w:p w14:paraId="419F1D8E" w14:textId="77777777">
      <w:pPr>
        <w:rPr>
          <w:lang w:eastAsia="en-US" w:bidi="ar-SA"/>
        </w:rPr>
      </w:pPr>
      <w:r>
        <w:rPr>
          <w:lang w:eastAsia="en-US" w:bidi="ar-SA"/>
        </w:rPr>
        <w:t>The size of a lacuna must be encoded through a combination of attributes. The relevant attributes and their permitted values are introduced here, while the following subsections on managing various kinds of lacunae will give specific instructions for their use in different situations.</w:t>
      </w:r>
    </w:p>
    <w:p w14:paraId="103DB2B5" w14:textId="77777777">
      <w:pPr>
        <w:pStyle w:val="Lista"/>
      </w:pPr>
      <w:r>
        <w:rPr>
          <w:rStyle w:val="Codeattribute"/>
        </w:rPr>
        <w:t>@unit</w:t>
      </w:r>
      <w:r>
        <w:t xml:space="preserve"> is mandatory for all lacunae in DHARMA practice</w:t>
      </w:r>
      <w:r>
        <w:rPr>
          <w:rStyle w:val="Lbjegyzet-hivatkozs"/>
        </w:rPr>
        <w:footnoteReference w:id="30"/>
      </w:r>
      <w:r>
        <w:t xml:space="preserve"> and indicates the unit in which the size of a lacuna is recorded, with the following possible values</w:t>
      </w:r>
    </w:p>
    <w:p w14:paraId="29FD8AF1" w14:textId="77777777">
      <w:pPr>
        <w:pStyle w:val="Lista2"/>
      </w:pPr>
      <w:r>
        <w:rPr>
          <w:rStyle w:val="Codevalue"/>
        </w:rPr>
        <w:t>"character"</w:t>
      </w:r>
      <w:r>
        <w:t xml:space="preserve"> for lacunae measured by the number of lost </w:t>
      </w:r>
      <w:r>
        <w:rPr>
          <w:rStyle w:val="Foreign"/>
        </w:rPr>
        <w:t>akṣara</w:t>
      </w:r>
      <w:r>
        <w:rPr>
          <w:rStyle w:val="Foreign"/>
          <w:i w:val="0"/>
          <w:iCs w:val="0"/>
        </w:rPr>
        <w:t>s</w:t>
      </w:r>
      <w:r>
        <w:t>, which may be</w:t>
      </w:r>
    </w:p>
    <w:p w14:paraId="7EC81A6F" w14:textId="77777777">
      <w:pPr>
        <w:pStyle w:val="Lista3"/>
      </w:pPr>
      <w:r>
        <w:lastRenderedPageBreak/>
        <w:t>calculated fairly precisely, when</w:t>
      </w:r>
    </w:p>
    <w:p w14:paraId="5DAB2130" w14:textId="77777777">
      <w:pPr>
        <w:pStyle w:val="Lista4"/>
      </w:pPr>
      <w:r>
        <w:t xml:space="preserve">the text is in syllabic verse which lets you determine the number of </w:t>
      </w:r>
      <w:r>
        <w:rPr>
          <w:rStyle w:val="Foreign"/>
        </w:rPr>
        <w:t>akṣara</w:t>
      </w:r>
      <w:r>
        <w:rPr>
          <w:noProof/>
        </w:rPr>
        <w:t>s</w:t>
      </w:r>
      <w:r>
        <w:t xml:space="preserve"> lost </w:t>
      </w:r>
      <w:r>
        <w:rPr>
          <w:noProof/>
        </w:rPr>
        <w:t>(</w:t>
      </w:r>
      <w:r>
        <w:t>give or take a few potential final consonants and/or punctuation marks)</w:t>
      </w:r>
    </w:p>
    <w:p w14:paraId="09251ADD" w14:textId="77777777">
      <w:pPr>
        <w:pStyle w:val="Lista4"/>
      </w:pPr>
      <w:r>
        <w:t>although the glyphs are damaged beyond recognition, their headmarks or outlines can nonetheless be counted with a very small margin for error</w:t>
      </w:r>
    </w:p>
    <w:p w14:paraId="6F843D64" w14:textId="77777777">
      <w:pPr>
        <w:pStyle w:val="Lista3"/>
      </w:pPr>
      <w:r>
        <w:t xml:space="preserve">estimated approximately (adding </w:t>
      </w:r>
      <w:r>
        <w:rPr>
          <w:rStyle w:val="Codeattribute"/>
        </w:rPr>
        <w:t>@precision</w:t>
      </w:r>
      <w:r>
        <w:t>, see below), for example when</w:t>
      </w:r>
    </w:p>
    <w:p w14:paraId="3F340C81" w14:textId="77777777">
      <w:pPr>
        <w:pStyle w:val="Lista4"/>
      </w:pPr>
      <w:r>
        <w:t>you can count the number of characters in an adjacent line for a span of the same width as that of the lacuna</w:t>
      </w:r>
    </w:p>
    <w:p w14:paraId="4AD08F59" w14:textId="77777777">
      <w:pPr>
        <w:pStyle w:val="Lista4"/>
      </w:pPr>
      <w:r>
        <w:t>the text is in quantitative verse, and you estimate the number of syllables lost on the basis of the number of morae missing from the verse</w:t>
      </w:r>
      <w:r>
        <w:rPr>
          <w:rStyle w:val="Lbjegyzet-hivatkozs"/>
        </w:rPr>
        <w:footnoteReference w:id="31"/>
      </w:r>
    </w:p>
    <w:p w14:paraId="3E18250B" w14:textId="0BDD1603">
      <w:pPr>
        <w:pStyle w:val="Lista2"/>
      </w:pPr>
      <w:r>
        <w:rPr>
          <w:rStyle w:val="Codevalue"/>
        </w:rPr>
        <w:t>"component"</w:t>
      </w:r>
      <w:r>
        <w:t xml:space="preserve"> for lacunae measured by the number of lost character components</w:t>
      </w:r>
    </w:p>
    <w:p w14:paraId="3F51FD6C" w14:textId="7CA32855">
      <w:pPr>
        <w:pStyle w:val="Lista3"/>
      </w:pPr>
      <w:r>
        <w:t>this unit is for use in lacunae affecting only a specific part of a glyph (§</w:t>
      </w:r>
      <w:r>
        <w:fldChar w:fldCharType="begin"/>
      </w:r>
      <w:r>
        <w:instrText xml:space="preserve"> REF _Ref43987049 \r \h </w:instrText>
      </w:r>
      <w:r>
        <w:fldChar w:fldCharType="separate"/>
      </w:r>
      <w:r>
        <w:t>6.5.2.4</w:t>
      </w:r>
      <w:r>
        <w:fldChar w:fldCharType="end"/>
      </w:r>
      <w:r>
        <w:t>)</w:t>
      </w:r>
    </w:p>
    <w:p w14:paraId="4773FDB0" w14:textId="6D6AB056">
      <w:pPr>
        <w:pStyle w:val="Lista2"/>
      </w:pPr>
      <w:r>
        <w:rPr>
          <w:rStyle w:val="Codevalue"/>
        </w:rPr>
        <w:t>"line"</w:t>
      </w:r>
      <w:r>
        <w:t xml:space="preserve"> for lacunae measured by the number of lost inscribed lines (§</w:t>
      </w:r>
      <w:r>
        <w:fldChar w:fldCharType="begin"/>
      </w:r>
      <w:r>
        <w:instrText xml:space="preserve"> REF _Ref224720139 \r \h </w:instrText>
      </w:r>
      <w:r>
        <w:fldChar w:fldCharType="separate"/>
      </w:r>
      <w:r>
        <w:t>4.5</w:t>
      </w:r>
      <w:r>
        <w:fldChar w:fldCharType="end"/>
      </w:r>
      <w:r>
        <w:t>)</w:t>
      </w:r>
    </w:p>
    <w:p w14:paraId="47D82087" w14:textId="77777777">
      <w:pPr>
        <w:pStyle w:val="Lista3"/>
      </w:pPr>
      <w:r>
        <w:t>lost lines may be counted accurately or estimated</w:t>
      </w:r>
    </w:p>
    <w:p w14:paraId="4964C1D8" w14:textId="77777777">
      <w:pPr>
        <w:pStyle w:val="Lista"/>
      </w:pPr>
      <w:r>
        <w:t xml:space="preserve">in addition to </w:t>
      </w:r>
      <w:r>
        <w:rPr>
          <w:rStyle w:val="Codeattribute"/>
        </w:rPr>
        <w:t>@unit</w:t>
      </w:r>
      <w:r>
        <w:t>, another mandatory attribute specifies the size of the lacuna in the recorded units</w:t>
      </w:r>
    </w:p>
    <w:p w14:paraId="396D5D67" w14:textId="77777777">
      <w:pPr>
        <w:pStyle w:val="Lista2"/>
      </w:pPr>
      <w:r>
        <w:t xml:space="preserve">in all cases where the number of lost units can be counted or estimated, this attribute is </w:t>
      </w:r>
      <w:r>
        <w:rPr>
          <w:rStyle w:val="Codeattribute"/>
        </w:rPr>
        <w:t>@quantity</w:t>
      </w:r>
      <w:r>
        <w:t>, whose value must be an integer number</w:t>
      </w:r>
    </w:p>
    <w:p w14:paraId="33A4FB68" w14:textId="77777777">
      <w:pPr>
        <w:pStyle w:val="Lista2"/>
        <w:rPr>
          <w:rStyle w:val="Codeattribute"/>
          <w:rFonts w:ascii="Gentium" w:hAnsi="Gentium" w:cs="Tiro Devanagari Sanskrit"/>
          <w:noProof w:val="0"/>
          <w:color w:val="auto"/>
          <w:shd w:val="clear" w:color="auto" w:fill="auto"/>
        </w:rPr>
      </w:pPr>
      <w:r>
        <w:t xml:space="preserve">when the size of the lacuna cannot be quantified, it must be encoded with the attribute </w:t>
      </w:r>
      <w:r>
        <w:rPr>
          <w:rStyle w:val="Codeattribute"/>
        </w:rPr>
        <w:t>@extent</w:t>
      </w:r>
      <w:r>
        <w:t xml:space="preserve"> and the value </w:t>
      </w:r>
      <w:r>
        <w:rPr>
          <w:rStyle w:val="Codevalue"/>
        </w:rPr>
        <w:t>"unknown"</w:t>
      </w:r>
    </w:p>
    <w:p w14:paraId="5B4D8717" w14:textId="77777777">
      <w:pPr>
        <w:pStyle w:val="Lista"/>
      </w:pPr>
      <w:r>
        <w:t xml:space="preserve">when the size of a lacuna is recorded in terms of quantity, but the number encoded in that attribute is approximate, add the attribute </w:t>
      </w:r>
      <w:r>
        <w:rPr>
          <w:rStyle w:val="Codeattribute"/>
        </w:rPr>
        <w:t>@precision</w:t>
      </w:r>
      <w:r>
        <w:t xml:space="preserve"> with the value </w:t>
      </w:r>
      <w:r>
        <w:rPr>
          <w:rStyle w:val="Codevalue"/>
        </w:rPr>
        <w:t>"low"</w:t>
      </w:r>
    </w:p>
    <w:p w14:paraId="4844740B" w14:textId="77777777">
      <w:pPr>
        <w:pStyle w:val="Lista2"/>
      </w:pPr>
      <w:r>
        <w:t>as a rule of thumb, low precision should be indicated when the estimated quantity of a lacuna is likely to have an error margin below 20%</w:t>
      </w:r>
    </w:p>
    <w:p w14:paraId="0524990D" w14:textId="77777777">
      <w:pPr>
        <w:pStyle w:val="Lista3"/>
      </w:pPr>
      <w:r>
        <w:t>if even this level of accuracy is unattainable, then encoding an unknown extent is preferable</w:t>
      </w:r>
    </w:p>
    <w:p w14:paraId="68102D09" w14:textId="77777777">
      <w:pPr>
        <w:pStyle w:val="Lista2"/>
      </w:pPr>
      <w:r>
        <w:t>although TEI affords the facility to do so, in DHARMA practice we do not encode any other degrees of precision, nor use minimum and maximum possible values for the length of a lacuna</w:t>
      </w:r>
    </w:p>
    <w:p w14:paraId="4F9C9DA4" w14:textId="77777777">
      <w:pPr>
        <w:pStyle w:val="Cmsor3"/>
      </w:pPr>
      <w:bookmarkStart w:id="567" w:name="_qo376k1007h" w:colFirst="0" w:colLast="0"/>
      <w:bookmarkStart w:id="568" w:name="_Ref43988016"/>
      <w:bookmarkStart w:id="569" w:name="_Toc242889528"/>
      <w:bookmarkEnd w:id="567"/>
      <w:r>
        <w:t>Managing inline lacunae</w:t>
      </w:r>
      <w:bookmarkEnd w:id="568"/>
      <w:bookmarkEnd w:id="569"/>
    </w:p>
    <w:p w14:paraId="46588195" w14:textId="475EB493">
      <w:pPr>
        <w:rPr>
          <w:lang w:eastAsia="en-US" w:bidi="ar-SA"/>
        </w:rPr>
      </w:pPr>
      <w:r>
        <w:rPr>
          <w:lang w:eastAsia="en-US" w:bidi="ar-SA"/>
        </w:rPr>
        <w:t xml:space="preserve">Most lacunae are inline, meaning that they can be encoded as gap elements on the same level as the text, while the encoding for the extrinsic structure of the text, including line beginnings </w:t>
      </w:r>
      <w:r>
        <w:rPr>
          <w:noProof/>
        </w:rPr>
        <w:t>(</w:t>
      </w:r>
      <w:r>
        <w:t>§</w:t>
      </w:r>
      <w:r>
        <w:fldChar w:fldCharType="begin"/>
      </w:r>
      <w:r>
        <w:instrText xml:space="preserve"> REF _Ref43980100 \r \h </w:instrText>
      </w:r>
      <w:r>
        <w:fldChar w:fldCharType="separate"/>
      </w:r>
      <w:r>
        <w:t>4.5.1</w:t>
      </w:r>
      <w:r>
        <w:fldChar w:fldCharType="end"/>
      </w:r>
      <w:r>
        <w:t>)</w:t>
      </w:r>
      <w:r>
        <w:rPr>
          <w:lang w:eastAsia="en-US" w:bidi="ar-SA"/>
        </w:rPr>
        <w:t>, can be established without regard for the lacuna. Whenever feasible, lacunae should be encoded as inline features.</w:t>
      </w:r>
    </w:p>
    <w:p w14:paraId="4C700546" w14:textId="77777777">
      <w:pPr>
        <w:pStyle w:val="Lista"/>
      </w:pPr>
      <w:r>
        <w:t xml:space="preserve">inline lacunae shall be encoded with a </w:t>
      </w:r>
      <w:r>
        <w:rPr>
          <w:rStyle w:val="Code"/>
        </w:rPr>
        <w:t>&lt;gap/&gt;</w:t>
      </w:r>
      <w:r>
        <w:t xml:space="preserve"> element at the same level of the encoding hierarchy as the text, with the following attributes</w:t>
      </w:r>
    </w:p>
    <w:p w14:paraId="00872799" w14:textId="6230E6AC">
      <w:pPr>
        <w:pStyle w:val="Lista2"/>
      </w:pPr>
      <w:r>
        <w:t xml:space="preserve">mandatorily, </w:t>
      </w:r>
      <w:r>
        <w:rPr>
          <w:rStyle w:val="Codeattribute"/>
        </w:rPr>
        <w:t>@reason</w:t>
      </w:r>
      <w:r>
        <w:t xml:space="preserve"> as per §</w:t>
      </w:r>
      <w:r>
        <w:fldChar w:fldCharType="begin"/>
      </w:r>
      <w:r>
        <w:instrText xml:space="preserve"> REF _Ref43987758 \r \h </w:instrText>
      </w:r>
      <w:r>
        <w:fldChar w:fldCharType="separate"/>
      </w:r>
      <w:r>
        <w:t>6.5.1.1</w:t>
      </w:r>
      <w:r>
        <w:fldChar w:fldCharType="end"/>
      </w:r>
    </w:p>
    <w:p w14:paraId="5C06D1E7" w14:textId="00F14DDF">
      <w:pPr>
        <w:pStyle w:val="Lista2"/>
      </w:pPr>
      <w:r>
        <w:t>mandatorily, a size measurement in units of characters and a quantity or extent, with precision encoded if applicable, as per §</w:t>
      </w:r>
      <w:r>
        <w:fldChar w:fldCharType="begin"/>
      </w:r>
      <w:r>
        <w:instrText xml:space="preserve"> REF _Ref228262228 \r \h </w:instrText>
      </w:r>
      <w:r>
        <w:fldChar w:fldCharType="separate"/>
      </w:r>
      <w:r>
        <w:t>6.5.1.2</w:t>
      </w:r>
      <w:r>
        <w:fldChar w:fldCharType="end"/>
      </w:r>
    </w:p>
    <w:p w14:paraId="0CAF630A" w14:textId="77777777">
      <w:pPr>
        <w:pStyle w:val="Lista2"/>
        <w:rPr>
          <w:rStyle w:val="Code"/>
          <w:rFonts w:ascii="Gentium" w:hAnsi="Gentium" w:cs="Tiro Devanagari Sanskrit"/>
          <w:noProof w:val="0"/>
          <w:color w:val="auto"/>
          <w:shd w:val="clear" w:color="auto" w:fill="auto"/>
        </w:rPr>
      </w:pPr>
      <w:r>
        <w:t xml:space="preserve">e.g. </w:t>
      </w:r>
      <w:r>
        <w:rPr>
          <w:rStyle w:val="Code"/>
        </w:rPr>
        <w:t xml:space="preserve">&lt;gap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"7"</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w:t>
      </w:r>
    </w:p>
    <w:p w14:paraId="3F772696" w14:textId="0165B7DC">
      <w:pPr>
        <w:pStyle w:val="Lista"/>
      </w:pPr>
      <w:r>
        <w:t>while encoding inline lacunae, the boundaries of extrinsic and intrinsic structural units must be respected, as discussed in §</w:t>
      </w:r>
      <w:r>
        <w:fldChar w:fldCharType="begin"/>
      </w:r>
      <w:r>
        <w:instrText xml:space="preserve"> REF _Ref228267816 \r \h </w:instrText>
      </w:r>
      <w:r>
        <w:fldChar w:fldCharType="separate"/>
      </w:r>
      <w:r>
        <w:t>6.5.2.1</w:t>
      </w:r>
      <w:r>
        <w:fldChar w:fldCharType="end"/>
      </w:r>
      <w:r>
        <w:t xml:space="preserve"> and §</w:t>
      </w:r>
      <w:r>
        <w:fldChar w:fldCharType="begin"/>
      </w:r>
      <w:r>
        <w:instrText xml:space="preserve"> REF _Ref228267821 \r \h </w:instrText>
      </w:r>
      <w:r>
        <w:fldChar w:fldCharType="separate"/>
      </w:r>
      <w:r>
        <w:t>6.5.2.2</w:t>
      </w:r>
      <w:r>
        <w:fldChar w:fldCharType="end"/>
      </w:r>
    </w:p>
    <w:p w14:paraId="59102BEC" w14:textId="79388951">
      <w:pPr>
        <w:pStyle w:val="Lista"/>
      </w:pPr>
      <w:r>
        <w:t>when the metrical structure of lost text is known, this must be encoded as per §</w:t>
      </w:r>
      <w:r>
        <w:fldChar w:fldCharType="begin"/>
      </w:r>
      <w:r>
        <w:instrText xml:space="preserve"> REF _Ref228267857 \r \h </w:instrText>
      </w:r>
      <w:r>
        <w:fldChar w:fldCharType="separate"/>
      </w:r>
      <w:r>
        <w:t>6.5.2.3</w:t>
      </w:r>
      <w:r>
        <w:fldChar w:fldCharType="end"/>
      </w:r>
    </w:p>
    <w:p w14:paraId="5C71D7FF" w14:textId="77777777">
      <w:pPr>
        <w:pStyle w:val="Cmsor4"/>
      </w:pPr>
      <w:bookmarkStart w:id="570" w:name="_Ref228267816"/>
      <w:r>
        <w:t>Inline lacunae and extrinsic structure</w:t>
      </w:r>
      <w:bookmarkEnd w:id="570"/>
    </w:p>
    <w:p w14:paraId="1678349F" w14:textId="4C4F84DC">
      <w:r>
        <w:t>Since inline lacunae are at the same hierarchical level as the text, they are subordinate to physical lines (as well as to all higher levels of the extrinsic hierarchy, §</w:t>
      </w:r>
      <w:r>
        <w:fldChar w:fldCharType="begin"/>
      </w:r>
      <w:r>
        <w:instrText xml:space="preserve"> REF _Ref182923075 \r \h </w:instrText>
      </w:r>
      <w:r>
        <w:fldChar w:fldCharType="separate"/>
      </w:r>
      <w:r>
        <w:t>4.1</w:t>
      </w:r>
      <w:r>
        <w:fldChar w:fldCharType="end"/>
      </w:r>
      <w:r>
        <w:t>), with the following implications.</w:t>
      </w:r>
    </w:p>
    <w:p w14:paraId="1C876938" w14:textId="77777777">
      <w:pPr>
        <w:pStyle w:val="Lista"/>
      </w:pPr>
      <w:r>
        <w:t>a physical line will usually contain text on one or both sides of the lacuna</w:t>
      </w:r>
    </w:p>
    <w:p w14:paraId="11DC3854" w14:textId="77777777">
      <w:pPr>
        <w:pStyle w:val="Lista2"/>
      </w:pPr>
      <w:r>
        <w:lastRenderedPageBreak/>
        <w:t>there is no explicit encoding method for lacunae from the beginning of a line to a certain point, or from a certain point to the end of a line, since this is clearly implied by the encoding of the lacuna and the line beginnings</w:t>
      </w:r>
    </w:p>
    <w:p w14:paraId="48699DB8" w14:textId="77777777">
      <w:pPr>
        <w:pStyle w:val="Lista3"/>
      </w:pPr>
      <w:r>
        <w:t xml:space="preserve">e.g. </w:t>
      </w:r>
      <w:r>
        <w:rPr>
          <w:rStyle w:val="Code"/>
        </w:rPr>
        <w:t xml:space="preserve">&lt;lb </w:t>
      </w:r>
      <w:r>
        <w:rPr>
          <w:rStyle w:val="Codeattribute"/>
        </w:rPr>
        <w:t>n=</w:t>
      </w:r>
      <w:r>
        <w:rPr>
          <w:rStyle w:val="Codevalue"/>
        </w:rPr>
        <w:t>"1"</w:t>
      </w:r>
      <w:r>
        <w:rPr>
          <w:rStyle w:val="Code"/>
        </w:rPr>
        <w:t>/&gt;</w:t>
      </w:r>
      <w:r>
        <w:rPr>
          <w:rStyle w:val="Codetext"/>
        </w:rPr>
        <w:t xml:space="preserve">śrīmad-asanapura-nivāsa </w:t>
      </w:r>
      <w:r>
        <w:rPr>
          <w:rStyle w:val="Code"/>
        </w:rPr>
        <w:t xml:space="preserve">&lt;gap </w:t>
      </w:r>
      <w:r>
        <w:rPr>
          <w:rStyle w:val="Codeattribute"/>
        </w:rPr>
        <w:t>reason=</w:t>
      </w:r>
      <w:r>
        <w:rPr>
          <w:rStyle w:val="Codevalue"/>
        </w:rPr>
        <w:t>"lost"</w:t>
      </w:r>
      <w:r>
        <w:rPr>
          <w:rStyle w:val="Code"/>
        </w:rPr>
        <w:t xml:space="preserve"> </w:t>
      </w:r>
      <w:r>
        <w:rPr>
          <w:rStyle w:val="Codeattribute"/>
        </w:rPr>
        <w:t>quantity=</w:t>
      </w:r>
      <w:r>
        <w:rPr>
          <w:rStyle w:val="Codevalue"/>
        </w:rPr>
        <w:t>"15"</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 xml:space="preserve">/&gt;&lt;lb </w:t>
      </w:r>
      <w:r>
        <w:rPr>
          <w:rStyle w:val="Codeattribute"/>
        </w:rPr>
        <w:t>n=</w:t>
      </w:r>
      <w:r>
        <w:rPr>
          <w:rStyle w:val="Codevalue"/>
        </w:rPr>
        <w:t>"2"</w:t>
      </w:r>
      <w:r>
        <w:rPr>
          <w:rStyle w:val="Code"/>
        </w:rPr>
        <w:t xml:space="preserve">/&gt; </w:t>
      </w:r>
    </w:p>
    <w:p w14:paraId="16D48652" w14:textId="77777777">
      <w:pPr>
        <w:pStyle w:val="Lista"/>
      </w:pPr>
      <w:r>
        <w:t>each encoded lacuna is an independent entity: if a single area of damage or loss causes lacunae in more than one line, the encoding does not reflect that these lacunae are connected</w:t>
      </w:r>
    </w:p>
    <w:p w14:paraId="7231AF88" w14:textId="77777777">
      <w:pPr>
        <w:pStyle w:val="Lista"/>
      </w:pPr>
      <w:r>
        <w:t>when an entire line is lost or illegible, but it is certain that the line did once exist, the line beginning must be encoded normally, followed by an inline lacuna and no text</w:t>
      </w:r>
    </w:p>
    <w:p w14:paraId="7727FA00" w14:textId="60F44FD0">
      <w:pPr>
        <w:pStyle w:val="Lista"/>
      </w:pPr>
      <w:r>
        <w:t>even when a small and precisely known number of lines are lost, it is preferable to encode line beginnings and inline lacunae for each (§</w:t>
      </w:r>
      <w:r>
        <w:rPr>
          <w:lang w:eastAsia="en-US" w:bidi="ar-SA"/>
        </w:rPr>
        <w:fldChar w:fldCharType="begin"/>
      </w:r>
      <w:r>
        <w:instrText xml:space="preserve"> REF _Ref228368995 \r \h </w:instrText>
      </w:r>
      <w:r>
        <w:rPr>
          <w:lang w:eastAsia="en-US" w:bidi="ar-SA"/>
        </w:rPr>
      </w:r>
      <w:r>
        <w:rPr>
          <w:lang w:eastAsia="en-US" w:bidi="ar-SA"/>
        </w:rPr>
        <w:fldChar w:fldCharType="separate"/>
      </w:r>
      <w:r>
        <w:t>6.5.3.1</w:t>
      </w:r>
      <w:r>
        <w:rPr>
          <w:lang w:eastAsia="en-US" w:bidi="ar-SA"/>
        </w:rPr>
        <w:fldChar w:fldCharType="end"/>
      </w:r>
      <w:r>
        <w:t>)</w:t>
      </w:r>
    </w:p>
    <w:p w14:paraId="53AECD1B" w14:textId="77777777">
      <w:pPr>
        <w:pStyle w:val="Cmsor4"/>
      </w:pPr>
      <w:bookmarkStart w:id="571" w:name="_gheocos7adm9" w:colFirst="0" w:colLast="0"/>
      <w:bookmarkStart w:id="572" w:name="_Ref228267821"/>
      <w:bookmarkStart w:id="573" w:name="_Ref43981586"/>
      <w:bookmarkEnd w:id="571"/>
      <w:r>
        <w:t>Inline lacunae and intrinsic structure</w:t>
      </w:r>
      <w:bookmarkEnd w:id="572"/>
    </w:p>
    <w:p w14:paraId="73FF6F6E" w14:textId="76E54092">
      <w:pPr>
        <w:rPr>
          <w:lang w:eastAsia="en-US" w:bidi="ar-SA"/>
        </w:rPr>
      </w:pPr>
      <w:r>
        <w:t>Since inline lacunae are at the same hierarchical level as the text, they are subordinate to the block-level containers for intrinsic structure (§</w:t>
      </w:r>
      <w:r>
        <w:fldChar w:fldCharType="begin"/>
      </w:r>
      <w:r>
        <w:instrText xml:space="preserve"> REF _Ref225153755 \r \h </w:instrText>
      </w:r>
      <w:r>
        <w:fldChar w:fldCharType="separate"/>
      </w:r>
      <w:r>
        <w:t>3.1</w:t>
      </w:r>
      <w:r>
        <w:fldChar w:fldCharType="end"/>
      </w:r>
      <w:r>
        <w:t>), with the following implications.</w:t>
      </w:r>
    </w:p>
    <w:p w14:paraId="2962BB02" w14:textId="77777777">
      <w:pPr>
        <w:pStyle w:val="Lista"/>
        <w:rPr>
          <w:lang w:eastAsia="en-US" w:bidi="ar-SA"/>
        </w:rPr>
      </w:pPr>
      <w:r>
        <w:rPr>
          <w:lang w:eastAsia="en-US" w:bidi="ar-SA"/>
        </w:rPr>
        <w:t>when a lacuna affects both sides of a (presumable) boundary between units of intrinsic structure, then</w:t>
      </w:r>
    </w:p>
    <w:p w14:paraId="4BAD12DE" w14:textId="77777777">
      <w:pPr>
        <w:pStyle w:val="Lista2"/>
        <w:rPr>
          <w:lang w:eastAsia="en-US" w:bidi="ar-SA"/>
        </w:rPr>
      </w:pPr>
      <w:r>
        <w:rPr>
          <w:lang w:eastAsia="en-US" w:bidi="ar-SA"/>
        </w:rPr>
        <w:t>the boundary must be reconstructed and encoded at its estimated position</w:t>
      </w:r>
    </w:p>
    <w:p w14:paraId="49B9B201" w14:textId="77777777">
      <w:pPr>
        <w:pStyle w:val="Lista2"/>
        <w:rPr>
          <w:lang w:eastAsia="en-US" w:bidi="ar-SA"/>
        </w:rPr>
      </w:pPr>
      <w:r>
        <w:rPr>
          <w:lang w:eastAsia="en-US" w:bidi="ar-SA"/>
        </w:rPr>
        <w:t>separate inline lacunae must be encoded on both sides of the boundary</w:t>
      </w:r>
    </w:p>
    <w:p w14:paraId="73EEA4A8" w14:textId="77777777">
      <w:pPr>
        <w:pStyle w:val="Lista"/>
        <w:rPr>
          <w:lang w:eastAsia="en-US" w:bidi="ar-SA"/>
        </w:rPr>
      </w:pPr>
      <w:r>
        <w:rPr>
          <w:lang w:eastAsia="en-US" w:bidi="ar-SA"/>
        </w:rPr>
        <w:t>especially in verse, a physically single lacuna may affect multiple phrase-level containers one after the other</w:t>
      </w:r>
    </w:p>
    <w:p w14:paraId="252FA822" w14:textId="77777777">
      <w:pPr>
        <w:pStyle w:val="Lista2"/>
      </w:pPr>
      <w:r>
        <w:t xml:space="preserve">the structural framework of stanzas </w:t>
      </w:r>
      <w:r>
        <w:rPr>
          <w:noProof/>
        </w:rPr>
        <w:t>(</w:t>
      </w:r>
      <w:r>
        <w:t xml:space="preserve">i.e. the </w:t>
      </w:r>
      <w:r>
        <w:rPr>
          <w:rStyle w:val="Code"/>
        </w:rPr>
        <w:t>&lt;lg&gt;</w:t>
      </w:r>
      <w:r>
        <w:t xml:space="preserve"> element and the applicable number of </w:t>
      </w:r>
      <w:r>
        <w:rPr>
          <w:rStyle w:val="Code"/>
        </w:rPr>
        <w:t>&lt;l&gt;</w:t>
      </w:r>
      <w:r>
        <w:t xml:space="preserve"> elements) must as a rule be fully encoded even if a significant part of a stanza is lost</w:t>
      </w:r>
    </w:p>
    <w:p w14:paraId="3051F7CB" w14:textId="422A810A">
      <w:pPr>
        <w:pStyle w:val="Lista2"/>
      </w:pPr>
      <w:r>
        <w:t xml:space="preserve">separate inline lacunae must then be distributed accordingly into each container, as in </w:t>
      </w:r>
      <w:r>
        <w:fldChar w:fldCharType="begin"/>
      </w:r>
      <w:r>
        <w:instrText xml:space="preserve"> REF _Ref181695652 \h </w:instrText>
      </w:r>
      <w:r>
        <w:fldChar w:fldCharType="separate"/>
      </w:r>
      <w:r>
        <w:t xml:space="preserve">Exhibit </w:t>
      </w:r>
      <w:r>
        <w:rPr>
          <w:noProof/>
        </w:rPr>
        <w:t>6.5</w:t>
      </w:r>
      <w:r>
        <w:t>.</w:t>
      </w:r>
      <w:r>
        <w:rPr>
          <w:noProof/>
        </w:rPr>
        <w:t>A</w:t>
      </w:r>
      <w:r>
        <w:fldChar w:fldCharType="end"/>
      </w:r>
    </w:p>
    <w:p w14:paraId="539BFF9C" w14:textId="77777777"/>
    <w:tbl>
      <w:tblPr>
        <w:tblStyle w:val="CodeSampleTable"/>
        <w:tblW w:w="5000" w:type="pct"/>
        <w:tblLook w:val="04A0" w:firstRow="1" w:lastRow="0" w:firstColumn="1" w:lastColumn="0" w:noHBand="0" w:noVBand="1"/>
      </w:tblPr>
      <w:tblGrid>
        <w:gridCol w:w="9628"/>
      </w:tblGrid>
      <w:tr w14:paraId="6C16601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2A9EDD9" w14:textId="7B95C8C4">
            <w:pPr>
              <w:pStyle w:val="Kpalrs"/>
            </w:pPr>
            <w:bookmarkStart w:id="574" w:name="_Ref181695652"/>
            <w:bookmarkStart w:id="575" w:name="_Ref181695649"/>
            <w:r>
              <w:t xml:space="preserve">Exhibit </w:t>
            </w:r>
            <w:fldSimple w:instr=" STYLEREF 2 \s ">
              <w:r>
                <w:rPr>
                  <w:noProof/>
                </w:rPr>
                <w:t>6.5</w:t>
              </w:r>
            </w:fldSimple>
            <w:r>
              <w:t>.</w:t>
            </w:r>
            <w:fldSimple w:instr=" SEQ Exhibit \* ALPHABETIC \s 2 ">
              <w:r>
                <w:rPr>
                  <w:noProof/>
                </w:rPr>
                <w:t>A</w:t>
              </w:r>
            </w:fldSimple>
            <w:bookmarkEnd w:id="574"/>
            <w:r>
              <w:t>: structural markup in lacunose verse</w:t>
            </w:r>
            <w:bookmarkEnd w:id="575"/>
          </w:p>
        </w:tc>
      </w:tr>
      <w:tr w14:paraId="74D28EA4" w14:textId="77777777">
        <w:tc>
          <w:tcPr>
            <w:tcW w:w="5000" w:type="pct"/>
          </w:tcPr>
          <w:p w14:paraId="31705BE5" w14:textId="77777777">
            <w:pPr>
              <w:pStyle w:val="CodeParagraph"/>
              <w:keepNext/>
              <w:rPr>
                <w:rStyle w:val="Code"/>
              </w:rPr>
            </w:pPr>
            <w:r>
              <w:rPr>
                <w:rStyle w:val="Code"/>
              </w:rPr>
              <w:t xml:space="preserve">&lt;lg </w:t>
            </w:r>
            <w:r>
              <w:rPr>
                <w:rStyle w:val="Codeattribute"/>
              </w:rPr>
              <w:t>n=</w:t>
            </w:r>
            <w:r>
              <w:rPr>
                <w:rStyle w:val="Codevalue"/>
              </w:rPr>
              <w:t>"25"</w:t>
            </w:r>
            <w:r>
              <w:rPr>
                <w:rStyle w:val="Code"/>
              </w:rPr>
              <w:t xml:space="preserve"> </w:t>
            </w:r>
            <w:r>
              <w:rPr>
                <w:rStyle w:val="Codeattribute"/>
              </w:rPr>
              <w:t>met=</w:t>
            </w:r>
            <w:r>
              <w:rPr>
                <w:rStyle w:val="Codevalue"/>
              </w:rPr>
              <w:t>"anuṣṭubh"</w:t>
            </w:r>
            <w:r>
              <w:rPr>
                <w:rStyle w:val="Code"/>
              </w:rPr>
              <w:t>&gt;</w:t>
            </w:r>
          </w:p>
          <w:p w14:paraId="3E823370" w14:textId="77777777">
            <w:pPr>
              <w:pStyle w:val="CodeParagraph"/>
              <w:keepNext/>
              <w:rPr>
                <w:rStyle w:val="Code"/>
              </w:rPr>
            </w:pPr>
            <w:r>
              <w:rPr>
                <w:rStyle w:val="Code"/>
              </w:rPr>
              <w:t xml:space="preserve">  &lt;l </w:t>
            </w:r>
            <w:r>
              <w:rPr>
                <w:rStyle w:val="Codeattribute"/>
              </w:rPr>
              <w:t>n=</w:t>
            </w:r>
            <w:r>
              <w:rPr>
                <w:rStyle w:val="Codevalue"/>
              </w:rPr>
              <w:t>"a"</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/&gt;&lt;/l&gt;</w:t>
            </w:r>
          </w:p>
          <w:p w14:paraId="23FC21F6" w14:textId="77777777">
            <w:pPr>
              <w:pStyle w:val="CodeParagraph"/>
              <w:keepNext/>
              <w:rPr>
                <w:rStyle w:val="Code"/>
              </w:rPr>
            </w:pPr>
            <w:r>
              <w:rPr>
                <w:rStyle w:val="Code"/>
              </w:rPr>
              <w:t xml:space="preserve">  &lt;l </w:t>
            </w:r>
            <w:r>
              <w:rPr>
                <w:rStyle w:val="Codeattribute"/>
              </w:rPr>
              <w:t>n=</w:t>
            </w:r>
            <w:r>
              <w:rPr>
                <w:rStyle w:val="Codevalue"/>
              </w:rPr>
              <w:t>"b"</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/&gt;&lt;/l&gt;</w:t>
            </w:r>
          </w:p>
          <w:p w14:paraId="1AAF9EC8" w14:textId="77777777">
            <w:pPr>
              <w:pStyle w:val="CodeParagraph"/>
              <w:keepNext/>
              <w:rPr>
                <w:rStyle w:val="Code"/>
              </w:rPr>
            </w:pPr>
            <w:r>
              <w:rPr>
                <w:rStyle w:val="Code"/>
              </w:rPr>
              <w:t xml:space="preserve">  &lt;l </w:t>
            </w:r>
            <w:r>
              <w:rPr>
                <w:rStyle w:val="Codeattribute"/>
              </w:rPr>
              <w:t>n=</w:t>
            </w:r>
            <w:r>
              <w:rPr>
                <w:rStyle w:val="Code"/>
              </w:rPr>
              <w:t>"</w:t>
            </w:r>
            <w:r>
              <w:rPr>
                <w:rStyle w:val="Codevalue"/>
              </w:rPr>
              <w:t>c"</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/&gt;&lt;/l&gt;</w:t>
            </w:r>
          </w:p>
          <w:p w14:paraId="5E6B0BE9" w14:textId="77777777">
            <w:pPr>
              <w:pStyle w:val="CodeParagraph"/>
              <w:keepNext/>
              <w:rPr>
                <w:rStyle w:val="Code"/>
              </w:rPr>
            </w:pPr>
            <w:r>
              <w:rPr>
                <w:rStyle w:val="Code"/>
              </w:rPr>
              <w:t xml:space="preserve">  &lt;l </w:t>
            </w:r>
            <w:r>
              <w:rPr>
                <w:rStyle w:val="Codeattribute"/>
              </w:rPr>
              <w:t>n=</w:t>
            </w:r>
            <w:r>
              <w:rPr>
                <w:rStyle w:val="Code"/>
              </w:rPr>
              <w:t>"</w:t>
            </w:r>
            <w:r>
              <w:rPr>
                <w:rStyle w:val="Codevalue"/>
              </w:rPr>
              <w:t>d"</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"4"</w:t>
            </w:r>
            <w:r>
              <w:rPr>
                <w:rStyle w:val="Code"/>
              </w:rPr>
              <w:t xml:space="preserve"> </w:t>
            </w:r>
            <w:r>
              <w:rPr>
                <w:rStyle w:val="Codeattribute"/>
              </w:rPr>
              <w:t>unit=</w:t>
            </w:r>
            <w:r>
              <w:rPr>
                <w:rStyle w:val="Codevalue"/>
              </w:rPr>
              <w:t>"character"</w:t>
            </w:r>
            <w:r>
              <w:rPr>
                <w:rStyle w:val="Code"/>
              </w:rPr>
              <w:t xml:space="preserve">/&gt;&lt;lb </w:t>
            </w:r>
            <w:r>
              <w:rPr>
                <w:rStyle w:val="Codeattribute"/>
              </w:rPr>
              <w:t>n=</w:t>
            </w:r>
            <w:r>
              <w:rPr>
                <w:rStyle w:val="Codevalue"/>
              </w:rPr>
              <w:t>"72"</w:t>
            </w:r>
            <w:r>
              <w:rPr>
                <w:rStyle w:val="Code"/>
              </w:rPr>
              <w:t xml:space="preserve"> </w:t>
            </w:r>
            <w:r>
              <w:rPr>
                <w:rStyle w:val="Codeattribute"/>
              </w:rPr>
              <w:t>break=</w:t>
            </w:r>
            <w:r>
              <w:rPr>
                <w:rStyle w:val="Codevalue"/>
              </w:rPr>
              <w:t>"no"</w:t>
            </w:r>
            <w:r>
              <w:rPr>
                <w:rStyle w:val="Code"/>
              </w:rPr>
              <w:t>/&gt;yate kr̥miḥ&lt;/l&gt;</w:t>
            </w:r>
          </w:p>
          <w:p w14:paraId="4BB4DEC2" w14:textId="77777777">
            <w:pPr>
              <w:pStyle w:val="CodeParagraph"/>
              <w:keepNext/>
            </w:pPr>
            <w:r>
              <w:rPr>
                <w:rStyle w:val="Code"/>
              </w:rPr>
              <w:t>&lt;/lg&gt;</w:t>
            </w:r>
          </w:p>
        </w:tc>
      </w:tr>
      <w:tr w14:paraId="3302321B" w14:textId="77777777">
        <w:tc>
          <w:tcPr>
            <w:tcW w:w="5000" w:type="pct"/>
          </w:tcPr>
          <w:p w14:paraId="4CB7256F" w14:textId="77777777">
            <w:pPr>
              <w:pStyle w:val="TableNote"/>
            </w:pPr>
            <w:r>
              <w:t>only the last line on this copper plate is legible, starting with the end of a known stanza</w:t>
            </w:r>
          </w:p>
          <w:p w14:paraId="2923F6E8" w14:textId="77777777">
            <w:pPr>
              <w:pStyle w:val="TableNote"/>
            </w:pPr>
            <w:r>
              <w:t>the rest of this stanza would have been engraved in the now illegible penultimate line</w:t>
            </w:r>
          </w:p>
          <w:p w14:paraId="63C3E51E" w14:textId="77777777">
            <w:pPr>
              <w:pStyle w:val="TableNote"/>
            </w:pPr>
            <w:r>
              <w:t>the editor chose not to restore the text because any one of several known variants of the stanza may have been used here</w:t>
            </w:r>
          </w:p>
          <w:p w14:paraId="6D398AA2" w14:textId="77777777">
            <w:pPr>
              <w:pStyle w:val="TableNote"/>
            </w:pPr>
            <w:r>
              <w:t>verse markup has been created for all four lines of the stanza, each containing a lacuna of eight characters</w:t>
            </w:r>
          </w:p>
          <w:p w14:paraId="538867C7" w14:textId="242D515F">
            <w:pPr>
              <w:pStyle w:val="TableNote"/>
            </w:pPr>
            <w:r>
              <w:t>the prosody of the missing text (§</w:t>
            </w:r>
            <w:r>
              <w:fldChar w:fldCharType="begin"/>
            </w:r>
            <w:r>
              <w:instrText xml:space="preserve"> REF _Ref228267857 \r \h </w:instrText>
            </w:r>
            <w:r>
              <w:fldChar w:fldCharType="separate"/>
            </w:r>
            <w:r>
              <w:t>6.5.2.3</w:t>
            </w:r>
            <w:r>
              <w:fldChar w:fldCharType="end"/>
            </w:r>
            <w:r>
              <w:t>) has not been encoded because doing so would not help in reconstructing the missing text</w:t>
            </w:r>
          </w:p>
        </w:tc>
      </w:tr>
    </w:tbl>
    <w:p w14:paraId="76491677" w14:textId="77777777">
      <w:pPr>
        <w:pStyle w:val="Cmsor4"/>
      </w:pPr>
      <w:bookmarkStart w:id="576" w:name="_Ref228267857"/>
      <w:bookmarkStart w:id="577" w:name="_Ref228275301"/>
      <w:r>
        <w:t xml:space="preserve">Lacunae with known </w:t>
      </w:r>
      <w:bookmarkEnd w:id="573"/>
      <w:bookmarkEnd w:id="576"/>
      <w:r>
        <w:t>prosody</w:t>
      </w:r>
      <w:bookmarkEnd w:id="577"/>
    </w:p>
    <w:p w14:paraId="6CEFB935" w14:textId="4349745E">
      <w:pPr>
        <w:rPr>
          <w:lang w:eastAsia="en-US" w:bidi="ar-SA"/>
        </w:rPr>
      </w:pPr>
      <w:r>
        <w:rPr>
          <w:lang w:eastAsia="en-US" w:bidi="ar-SA"/>
        </w:rPr>
        <w:t xml:space="preserve">When the prosodic pattern of a lacuna can be established from the context, a representation of this pattern can be added to the encoding of the lacuna. Doing so is strongly recommended for all short lacunae in syllabo-quantitative verse, where explicitly representing the pattern may help the reader perceive the extant text as verse and may be an aid to conjectural restoration of the lost text. Because the overall prosodic pattern for a stanza is already encoded on its block-level container, encoding the prosody of longer gaps, especially complete verse lines, is not essential, but nonetheless desirable. When prosody is encoded for lacunae stretching across verse line boundaries, separate </w:t>
      </w:r>
      <w:r>
        <w:rPr>
          <w:rStyle w:val="Code"/>
        </w:rPr>
        <w:t>&lt;gap/&gt;</w:t>
      </w:r>
      <w:r>
        <w:t xml:space="preserve"> elements must of course be created within each line container as per §</w:t>
      </w:r>
      <w:r>
        <w:fldChar w:fldCharType="begin"/>
      </w:r>
      <w:r>
        <w:instrText xml:space="preserve"> REF _Ref228267821 \r \h </w:instrText>
      </w:r>
      <w:r>
        <w:fldChar w:fldCharType="separate"/>
      </w:r>
      <w:r>
        <w:t>6.5.2.2</w:t>
      </w:r>
      <w:r>
        <w:fldChar w:fldCharType="end"/>
      </w:r>
      <w:r>
        <w:t>.</w:t>
      </w:r>
    </w:p>
    <w:p w14:paraId="43A10856" w14:textId="77777777">
      <w:pPr>
        <w:pStyle w:val="Lista"/>
        <w:rPr>
          <w:rStyle w:val="Codeattribute"/>
          <w:rFonts w:ascii="Gentium" w:hAnsi="Gentium" w:cs="Tiro Devanagari Sanskrit"/>
          <w:noProof w:val="0"/>
          <w:color w:val="auto"/>
          <w:shd w:val="clear" w:color="auto" w:fill="auto"/>
        </w:rPr>
      </w:pPr>
      <w:r>
        <w:t xml:space="preserve">to add a prosodic pattern to an encoded inline lacuna, wrap the </w:t>
      </w:r>
      <w:r>
        <w:rPr>
          <w:rStyle w:val="Code"/>
        </w:rPr>
        <w:t>&lt;gap/&gt;</w:t>
      </w:r>
      <w:r>
        <w:t xml:space="preserve"> element in a </w:t>
      </w:r>
      <w:r>
        <w:rPr>
          <w:rStyle w:val="Code"/>
        </w:rPr>
        <w:t>&lt;seg&gt;</w:t>
      </w:r>
      <w:r>
        <w:t xml:space="preserve"> element with the attribute </w:t>
      </w:r>
      <w:r>
        <w:rPr>
          <w:rStyle w:val="Codeattribute"/>
        </w:rPr>
        <w:t>@met</w:t>
      </w:r>
    </w:p>
    <w:p w14:paraId="13C99C3E" w14:textId="236E048F">
      <w:pPr>
        <w:pStyle w:val="Lista2"/>
      </w:pPr>
      <w:r>
        <w:t>the value of this attribute shall be the prosodic pattern of the missing text, in ASCII prosodic code (</w:t>
      </w:r>
      <w:r>
        <w:rPr>
          <w:highlight w:val="yellow"/>
        </w:rPr>
        <w:t>VG</w:t>
      </w:r>
      <w:r>
        <w:t xml:space="preserve"> §)</w:t>
      </w:r>
    </w:p>
    <w:p w14:paraId="387BB790" w14:textId="77777777">
      <w:pPr>
        <w:pStyle w:val="Lista2"/>
      </w:pPr>
      <w:r>
        <w:lastRenderedPageBreak/>
        <w:t>example in a syllabo-quantitative metre (</w:t>
      </w:r>
      <w:r>
        <w:rPr>
          <w:rStyle w:val="Foreign"/>
        </w:rPr>
        <w:t>vasantatilakā</w:t>
      </w:r>
      <w:r>
        <w:t xml:space="preserve">, </w:t>
      </w:r>
      <w:r>
        <w:rPr>
          <w:rStyle w:val="MetreCode"/>
        </w:rPr>
        <w:t>––⏑–⏑⏑⏑–⏑⏑–⏑–⏓</w:t>
      </w:r>
      <w:r>
        <w:t xml:space="preserve">): </w:t>
      </w:r>
      <w:r>
        <w:rPr>
          <w:rStyle w:val="Code"/>
        </w:rPr>
        <w:t xml:space="preserve">&lt;seg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"9"</w:t>
      </w:r>
      <w:r>
        <w:rPr>
          <w:rStyle w:val="Code"/>
        </w:rPr>
        <w:t xml:space="preserve"> </w:t>
      </w:r>
      <w:r>
        <w:rPr>
          <w:rStyle w:val="Codeattribute"/>
        </w:rPr>
        <w:t>unit</w:t>
      </w:r>
      <w:r>
        <w:rPr>
          <w:rStyle w:val="Code"/>
        </w:rPr>
        <w:t>=</w:t>
      </w:r>
      <w:r>
        <w:rPr>
          <w:rStyle w:val="Codevalue"/>
        </w:rPr>
        <w:t>"character"</w:t>
      </w:r>
      <w:r>
        <w:rPr>
          <w:rStyle w:val="Code"/>
        </w:rPr>
        <w:t>/&gt;&lt;/seg&gt;</w:t>
      </w:r>
      <w:r>
        <w:rPr>
          <w:rStyle w:val="Codetext"/>
        </w:rPr>
        <w:t xml:space="preserve"> suvarṇṇa-dāne</w:t>
      </w:r>
    </w:p>
    <w:p w14:paraId="7D3DDC43" w14:textId="77777777">
      <w:pPr>
        <w:pStyle w:val="Lista"/>
      </w:pPr>
      <w:r>
        <w:t>when encoding the prosody of lost text, disregard:</w:t>
      </w:r>
    </w:p>
    <w:p w14:paraId="4937E515" w14:textId="77777777">
      <w:pPr>
        <w:pStyle w:val="Lista2"/>
      </w:pPr>
      <w:r>
        <w:t xml:space="preserve">caesurae </w:t>
      </w:r>
      <w:r>
        <w:rPr>
          <w:noProof/>
        </w:rPr>
        <w:t>(</w:t>
      </w:r>
      <w:r>
        <w:t>which may or may not have been observed by the composer)</w:t>
      </w:r>
    </w:p>
    <w:p w14:paraId="005C4274" w14:textId="77777777">
      <w:pPr>
        <w:pStyle w:val="Lista2"/>
      </w:pPr>
      <w:r>
        <w:t xml:space="preserve">complex nuanced constraints, such as those applicable to the first half of an </w:t>
      </w:r>
      <w:r>
        <w:rPr>
          <w:rStyle w:val="Foreign"/>
        </w:rPr>
        <w:t>anuṣṭubh</w:t>
      </w:r>
      <w:r>
        <w:t xml:space="preserve"> line</w:t>
      </w:r>
    </w:p>
    <w:p w14:paraId="6E6E1E3A" w14:textId="22C435F7">
      <w:pPr>
        <w:pStyle w:val="Lista3"/>
      </w:pPr>
      <w:r>
        <w:t xml:space="preserve">instead, any syllable that is not fully determined by the template should be denoted as anceps, e.g. </w:t>
      </w:r>
      <w:r>
        <w:rPr>
          <w:rStyle w:val="Code"/>
        </w:rPr>
        <w:t xml:space="preserve">&lt;l </w:t>
      </w:r>
      <w:r>
        <w:rPr>
          <w:rStyle w:val="Codeattribute"/>
        </w:rPr>
        <w:t>n=</w:t>
      </w:r>
      <w:r>
        <w:rPr>
          <w:rStyle w:val="Codevalue"/>
        </w:rPr>
        <w:t>"c"</w:t>
      </w:r>
      <w:r>
        <w:rPr>
          <w:rStyle w:val="Code"/>
        </w:rPr>
        <w:t xml:space="preserve">&gt;&lt;seg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"character"</w:t>
      </w:r>
      <w:r>
        <w:rPr>
          <w:rStyle w:val="Code"/>
        </w:rPr>
        <w:t>/&gt;&lt;/seg&gt;</w:t>
      </w:r>
      <w:r>
        <w:rPr>
          <w:rStyle w:val="Codetext"/>
        </w:rPr>
        <w:t>vyāpi</w:t>
      </w:r>
      <w:r>
        <w:rPr>
          <w:rStyle w:val="Code"/>
        </w:rPr>
        <w:t xml:space="preserve">&lt;/l&gt;&lt;l </w:t>
      </w:r>
      <w:r>
        <w:rPr>
          <w:rStyle w:val="Codeattribute"/>
        </w:rPr>
        <w:t>n=</w:t>
      </w:r>
      <w:r>
        <w:rPr>
          <w:rStyle w:val="Codevalue"/>
        </w:rPr>
        <w:t>"d"</w:t>
      </w:r>
      <w:r>
        <w:rPr>
          <w:rStyle w:val="Code"/>
        </w:rPr>
        <w:t>&gt;</w:t>
      </w:r>
      <w:r>
        <w:rPr>
          <w:rStyle w:val="Codetext"/>
        </w:rPr>
        <w:t>candraguptākhyam adbhutaM</w:t>
      </w:r>
      <w:r>
        <w:rPr>
          <w:rStyle w:val="Code"/>
        </w:rPr>
        <w:t>&lt;/l&gt;</w:t>
      </w:r>
    </w:p>
    <w:p w14:paraId="118A78DB" w14:textId="77777777">
      <w:pPr>
        <w:pStyle w:val="Lista2"/>
      </w:pPr>
      <w:r>
        <w:t xml:space="preserve">legitimate metrical variations, as in </w:t>
      </w:r>
      <w:r>
        <w:rPr>
          <w:rStyle w:val="Foreign"/>
        </w:rPr>
        <w:t>vipulā anuṣṭubh</w:t>
      </w:r>
      <w:r>
        <w:t xml:space="preserve"> </w:t>
      </w:r>
      <w:r>
        <w:rPr>
          <w:noProof/>
        </w:rPr>
        <w:t>(</w:t>
      </w:r>
      <w:r>
        <w:t xml:space="preserve">instead, treat all lost </w:t>
      </w:r>
      <w:r>
        <w:rPr>
          <w:rStyle w:val="Foreign"/>
        </w:rPr>
        <w:t>anuṣṭubh</w:t>
      </w:r>
      <w:r>
        <w:t xml:space="preserve"> verse as </w:t>
      </w:r>
      <w:r>
        <w:rPr>
          <w:rStyle w:val="Foreign"/>
        </w:rPr>
        <w:t>pathyā</w:t>
      </w:r>
      <w:r>
        <w:t>)</w:t>
      </w:r>
    </w:p>
    <w:p w14:paraId="084B2D13" w14:textId="77777777">
      <w:pPr>
        <w:pStyle w:val="Lista2"/>
        <w:rPr>
          <w:i/>
          <w:iCs/>
          <w:noProof/>
        </w:rPr>
      </w:pPr>
      <w:r>
        <w:t xml:space="preserve">and optional constraints such as </w:t>
      </w:r>
      <w:r>
        <w:rPr>
          <w:rStyle w:val="Foreign"/>
        </w:rPr>
        <w:t>vipulā</w:t>
      </w:r>
      <w:r>
        <w:t xml:space="preserve"> and </w:t>
      </w:r>
      <w:r>
        <w:rPr>
          <w:rStyle w:val="Foreign"/>
        </w:rPr>
        <w:t>capalā āryā</w:t>
      </w:r>
      <w:r>
        <w:t xml:space="preserve"> </w:t>
      </w:r>
      <w:r>
        <w:rPr>
          <w:noProof/>
        </w:rPr>
        <w:t>(</w:t>
      </w:r>
      <w:r>
        <w:t xml:space="preserve">instead, treat all lost </w:t>
      </w:r>
      <w:r>
        <w:rPr>
          <w:rStyle w:val="Foreign"/>
        </w:rPr>
        <w:t>gāthā</w:t>
      </w:r>
      <w:r>
        <w:t xml:space="preserve">-type verse as </w:t>
      </w:r>
      <w:r>
        <w:rPr>
          <w:rStyle w:val="Foreign"/>
        </w:rPr>
        <w:t>pathyā</w:t>
      </w:r>
      <w:r>
        <w:t>)</w:t>
      </w:r>
    </w:p>
    <w:p w14:paraId="470CD844" w14:textId="77777777">
      <w:pPr>
        <w:pStyle w:val="Lista"/>
      </w:pPr>
      <w:r>
        <w:t>encoding the prosody of a lacuna in moraic verse is a more complicated affair and less potentially helpful for reconstruction</w:t>
      </w:r>
    </w:p>
    <w:p w14:paraId="52D1828B" w14:textId="77777777">
      <w:pPr>
        <w:pStyle w:val="Lista2"/>
      </w:pPr>
      <w:r>
        <w:t xml:space="preserve">lacunae in moraic verse may therefore be encoded simply as </w:t>
      </w:r>
      <w:r>
        <w:rPr>
          <w:rStyle w:val="Code"/>
        </w:rPr>
        <w:t>&lt;gap/&gt;</w:t>
      </w:r>
      <w:r>
        <w:t xml:space="preserve"> elements at your discretion</w:t>
      </w:r>
    </w:p>
    <w:p w14:paraId="4A89E02B" w14:textId="77777777">
      <w:pPr>
        <w:pStyle w:val="Lista3"/>
      </w:pPr>
      <w:r>
        <w:t xml:space="preserve">since the number of lost syllables cannot be determined on the basis of the metre, the length of such a lacuna must usually be estimated and accordingly encoded with </w:t>
      </w:r>
      <w:r>
        <w:rPr>
          <w:rStyle w:val="Codeattribute"/>
        </w:rPr>
        <w:t>@precision</w:t>
      </w:r>
      <w:r>
        <w:rPr>
          <w:rStyle w:val="Code"/>
        </w:rPr>
        <w:t>=</w:t>
      </w:r>
      <w:r>
        <w:rPr>
          <w:rStyle w:val="Codevalue"/>
        </w:rPr>
        <w:t>"low"</w:t>
      </w:r>
      <w:r>
        <w:t xml:space="preserve"> on the </w:t>
      </w:r>
      <w:r>
        <w:rPr>
          <w:rStyle w:val="Code"/>
        </w:rPr>
        <w:t>&lt;gap/&gt;</w:t>
      </w:r>
      <w:r>
        <w:t xml:space="preserve"> element</w:t>
      </w:r>
    </w:p>
    <w:p w14:paraId="2669AB03" w14:textId="77777777">
      <w:pPr>
        <w:pStyle w:val="Lista2"/>
      </w:pPr>
      <w:r>
        <w:t>if you choose to encode the prosody of such a lacuna, use an appropriate combination of numerical notation for mora counts with the notation of syllable length for syllables whose length can be determined on the basis of the metre and the adjacent extant text, remembering to use the foot separator | between moraic feet and adjacent feet or cola, but not at the end of a segment whose metre is encoded</w:t>
      </w:r>
    </w:p>
    <w:p w14:paraId="3ED26051" w14:textId="77777777">
      <w:pPr>
        <w:pStyle w:val="Lista3"/>
      </w:pPr>
      <w:r>
        <w:t>example in a moraic metre (</w:t>
      </w:r>
      <w:r>
        <w:rPr>
          <w:rStyle w:val="Foreign"/>
        </w:rPr>
        <w:t>āryā</w:t>
      </w:r>
      <w:r>
        <w:t xml:space="preserve">, first hemistich, 4|4|4|4|4|4|4|2): </w:t>
      </w:r>
      <w:r>
        <w:rPr>
          <w:rStyle w:val="Codetext"/>
        </w:rPr>
        <w:t xml:space="preserve">yo vīkṣya </w:t>
      </w:r>
      <w:r>
        <w:rPr>
          <w:rStyle w:val="Code"/>
        </w:rPr>
        <w:t xml:space="preserve">&lt;seg </w:t>
      </w:r>
      <w:r>
        <w:rPr>
          <w:rStyle w:val="Codeattribute"/>
        </w:rPr>
        <w:t>met</w:t>
      </w:r>
      <w:r>
        <w:rPr>
          <w:rStyle w:val="Code"/>
        </w:rPr>
        <w:t>=</w:t>
      </w:r>
      <w:r>
        <w:rPr>
          <w:rStyle w:val="Codevalue"/>
        </w:rPr>
        <w:t>"3|4|4|4|-"</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/&gt;&lt;/seg&gt;</w:t>
      </w:r>
      <w:r>
        <w:rPr>
          <w:rStyle w:val="Codetext"/>
        </w:rPr>
        <w:t xml:space="preserve"> bandhana-niruddhaM</w:t>
      </w:r>
    </w:p>
    <w:p w14:paraId="27C5CF2E" w14:textId="77777777">
      <w:pPr>
        <w:pStyle w:val="Lista4"/>
      </w:pPr>
      <w:r>
        <w:t xml:space="preserve">the first foot is </w:t>
      </w:r>
      <w:r>
        <w:rPr>
          <w:rStyle w:val="Foreign"/>
        </w:rPr>
        <w:t>yo vīkṣ</w:t>
      </w:r>
    </w:p>
    <w:p w14:paraId="6AA9E3B0" w14:textId="77777777">
      <w:pPr>
        <w:pStyle w:val="Lista4"/>
      </w:pPr>
      <w:r>
        <w:t xml:space="preserve">in the second foot, </w:t>
      </w:r>
      <w:r>
        <w:rPr>
          <w:rStyle w:val="Foreign"/>
        </w:rPr>
        <w:t>ya</w:t>
      </w:r>
      <w:r>
        <w:t xml:space="preserve"> would have been followed by 3 morae, which may have been comprised of either 2 or 3 syllables, so only numerical notation can be used for the lost part</w:t>
      </w:r>
    </w:p>
    <w:p w14:paraId="1290B7D3" w14:textId="77777777">
      <w:pPr>
        <w:pStyle w:val="Lista4"/>
      </w:pPr>
      <w:r>
        <w:t>the third to fifth feet, each of 4 morae, are fully lost, and each may have been comprised of 2 to 4 syllables, so only numerical notation can be used for them</w:t>
      </w:r>
    </w:p>
    <w:p w14:paraId="54E8C7CF" w14:textId="77777777">
      <w:pPr>
        <w:pStyle w:val="Lista4"/>
      </w:pPr>
      <w:r>
        <w:t xml:space="preserve">the sixth foot ends in </w:t>
      </w:r>
      <w:r>
        <w:rPr>
          <w:rStyle w:val="Foreign"/>
        </w:rPr>
        <w:t>bandha</w:t>
      </w:r>
      <w:r>
        <w:t xml:space="preserve"> (3 morae), so one short syllable must have been lost at the beginning of this foot</w:t>
      </w:r>
    </w:p>
    <w:p w14:paraId="014625D9" w14:textId="77777777">
      <w:pPr>
        <w:pStyle w:val="Lista4"/>
      </w:pPr>
      <w:r>
        <w:t xml:space="preserve">the seventh and eighth feet, </w:t>
      </w:r>
      <w:r>
        <w:rPr>
          <w:rStyle w:val="Foreign"/>
        </w:rPr>
        <w:t>na-niruddhaM</w:t>
      </w:r>
      <w:r>
        <w:t>, are extant</w:t>
      </w:r>
    </w:p>
    <w:p w14:paraId="7B269A8B" w14:textId="77777777">
      <w:pPr>
        <w:pStyle w:val="Lista3"/>
      </w:pPr>
      <w:r>
        <w:t xml:space="preserve">moraic feet may be constrained </w:t>
      </w:r>
      <w:r>
        <w:rPr>
          <w:noProof/>
        </w:rPr>
        <w:t>(</w:t>
      </w:r>
      <w:r>
        <w:t xml:space="preserve">e.g. the pattern </w:t>
      </w:r>
      <w:r>
        <w:rPr>
          <w:rStyle w:val="MetreCode"/>
        </w:rPr>
        <w:t>⏑–⏑</w:t>
      </w:r>
      <w:r>
        <w:t xml:space="preserve"> is prohibited in many tetramoraic feet), but this depth of prosodic analysis is not desirable in our encoding of the prosody of lacunae: simply encode lost tetramoraic feet as 4 regardless of whether or not they exclude certain patterns</w:t>
      </w:r>
    </w:p>
    <w:p w14:paraId="1303C6DA" w14:textId="77777777">
      <w:pPr>
        <w:pStyle w:val="Cmsor4"/>
      </w:pPr>
      <w:bookmarkStart w:id="578" w:name="_xrhzsspv9sor" w:colFirst="0" w:colLast="0"/>
      <w:bookmarkStart w:id="579" w:name="_Ref43987049"/>
      <w:bookmarkEnd w:id="578"/>
      <w:r>
        <w:t>Micro-level lacunae</w:t>
      </w:r>
      <w:bookmarkEnd w:id="579"/>
    </w:p>
    <w:p w14:paraId="12F05E0F" w14:textId="0C8AB654">
      <w:r>
        <w:rPr>
          <w:lang w:eastAsia="en-US" w:bidi="ar-SA"/>
        </w:rPr>
        <w:t xml:space="preserve">As a special case of inline lacunae, the loss or illegibility of specific components of a complex glyph can be represented explicitly in our digital editions. When this level of precision is deemed worth the while, lacunae affecting parts of a complex glyph may be encoded by using </w:t>
      </w:r>
      <w:r>
        <w:rPr>
          <w:rStyle w:val="Codevalue"/>
        </w:rPr>
        <w:t>"component"</w:t>
      </w:r>
      <w:r>
        <w:t xml:space="preserve"> as the value of </w:t>
      </w:r>
      <w:r>
        <w:rPr>
          <w:rStyle w:val="Codeattribute"/>
        </w:rPr>
        <w:t>@unit</w:t>
      </w:r>
      <w:r>
        <w:rPr>
          <w:lang w:eastAsia="en-US" w:bidi="ar-SA"/>
        </w:rPr>
        <w:t xml:space="preserve"> on the </w:t>
      </w:r>
      <w:r>
        <w:rPr>
          <w:rStyle w:val="Code"/>
        </w:rPr>
        <w:t>&lt;gap&gt;</w:t>
      </w:r>
      <w:r>
        <w:t xml:space="preserve"> element and combining this with </w:t>
      </w:r>
      <w:r>
        <w:rPr>
          <w:noProof/>
        </w:rPr>
        <w:t>sub-</w:t>
      </w:r>
      <w:r>
        <w:rPr>
          <w:rStyle w:val="Foreign"/>
        </w:rPr>
        <w:t>akṣara</w:t>
      </w:r>
      <w:r>
        <w:t xml:space="preserve"> encoding (§</w:t>
      </w:r>
      <w:r>
        <w:fldChar w:fldCharType="begin"/>
      </w:r>
      <w:r>
        <w:instrText xml:space="preserve"> REF _Ref228202081 \r \h </w:instrText>
      </w:r>
      <w:r>
        <w:fldChar w:fldCharType="separate"/>
      </w:r>
      <w:r>
        <w:t>5.2.2</w:t>
      </w:r>
      <w:r>
        <w:fldChar w:fldCharType="end"/>
      </w:r>
      <w:r>
        <w:t>) in the following manner. A less sophisticated but much simpler alternative, permitted under §</w:t>
      </w:r>
      <w:r>
        <w:fldChar w:fldCharType="begin"/>
      </w:r>
      <w:r>
        <w:instrText xml:space="preserve"> REF _Ref228202081 \r \h </w:instrText>
      </w:r>
      <w:r>
        <w:fldChar w:fldCharType="separate"/>
      </w:r>
      <w:r>
        <w:t>5.2.2</w:t>
      </w:r>
      <w:r>
        <w:fldChar w:fldCharType="end"/>
      </w:r>
      <w:r>
        <w:t xml:space="preserve"> and TG§3.3.2.2, is to use the placeholders V and C instead of encoding illegible or lost graphemes as component-level lacunae.</w:t>
      </w:r>
    </w:p>
    <w:p w14:paraId="2A551627" w14:textId="77777777">
      <w:pPr>
        <w:pStyle w:val="Lista"/>
      </w:pPr>
      <w:r>
        <w:t xml:space="preserve">mark up available parts of the same </w:t>
      </w:r>
      <w:r>
        <w:rPr>
          <w:rStyle w:val="Foreign"/>
        </w:rPr>
        <w:t>akṣara</w:t>
      </w:r>
      <w:r>
        <w:t xml:space="preserve"> normally as unclear or supplied if applicable</w:t>
      </w:r>
    </w:p>
    <w:p w14:paraId="1D3FB28F" w14:textId="77777777">
      <w:pPr>
        <w:pStyle w:val="Lista"/>
      </w:pPr>
      <w:r>
        <w:t xml:space="preserve">at the lost component’s logical position in the transliterated text, create a </w:t>
      </w:r>
      <w:r>
        <w:rPr>
          <w:rStyle w:val="Code"/>
        </w:rPr>
        <w:t>&lt;gap/&gt;</w:t>
      </w:r>
      <w:r>
        <w:t xml:space="preserve"> element with the following attributes</w:t>
      </w:r>
    </w:p>
    <w:p w14:paraId="2FB1CA01" w14:textId="403184ED">
      <w:pPr>
        <w:pStyle w:val="Lista2"/>
      </w:pPr>
      <w:r>
        <w:t xml:space="preserve">mandatorily, </w:t>
      </w:r>
      <w:r>
        <w:rPr>
          <w:rStyle w:val="Codeattribute"/>
        </w:rPr>
        <w:t>@reason</w:t>
      </w:r>
      <w:r>
        <w:t xml:space="preserve"> as per §</w:t>
      </w:r>
      <w:r>
        <w:fldChar w:fldCharType="begin"/>
      </w:r>
      <w:r>
        <w:instrText xml:space="preserve"> REF _Ref43987758 \r \h </w:instrText>
      </w:r>
      <w:r>
        <w:fldChar w:fldCharType="separate"/>
      </w:r>
      <w:r>
        <w:t>6.5.1.1</w:t>
      </w:r>
      <w:r>
        <w:fldChar w:fldCharType="end"/>
      </w:r>
    </w:p>
    <w:p w14:paraId="529F48BA" w14:textId="77777777">
      <w:pPr>
        <w:pStyle w:val="Lista2"/>
      </w:pPr>
      <w:r>
        <w:t xml:space="preserve">mandatorily, </w:t>
      </w:r>
      <w:r>
        <w:rPr>
          <w:rStyle w:val="Codeattribute"/>
        </w:rPr>
        <w:t>@unit</w:t>
      </w:r>
      <w:r>
        <w:t xml:space="preserve"> with the value </w:t>
      </w:r>
      <w:r>
        <w:rPr>
          <w:rStyle w:val="Codevalue"/>
        </w:rPr>
        <w:t>"component"</w:t>
      </w:r>
      <w:r>
        <w:t xml:space="preserve"> </w:t>
      </w:r>
    </w:p>
    <w:p w14:paraId="43B5E289" w14:textId="77777777">
      <w:pPr>
        <w:pStyle w:val="Lista2"/>
      </w:pPr>
      <w:r>
        <w:t xml:space="preserve">mandatorily, </w:t>
      </w:r>
      <w:r>
        <w:rPr>
          <w:rStyle w:val="Codeattribute"/>
        </w:rPr>
        <w:t>@quantity</w:t>
      </w:r>
      <w:r>
        <w:t>, normally with the value of 1 (see below)</w:t>
      </w:r>
    </w:p>
    <w:p w14:paraId="33C068E1" w14:textId="1CC82023">
      <w:pPr>
        <w:pStyle w:val="Lista"/>
      </w:pPr>
      <w:r>
        <w:t xml:space="preserve">wrap the </w:t>
      </w:r>
      <w:r>
        <w:rPr>
          <w:rStyle w:val="Code"/>
        </w:rPr>
        <w:t>&lt;gap/&gt;</w:t>
      </w:r>
      <w:r>
        <w:t xml:space="preserve"> element in </w:t>
      </w:r>
      <w:r>
        <w:rPr>
          <w:rStyle w:val="Code"/>
        </w:rPr>
        <w:t xml:space="preserve">&lt;seg </w:t>
      </w:r>
      <w:r>
        <w:rPr>
          <w:rStyle w:val="Codeattribute"/>
        </w:rPr>
        <w:t>type</w:t>
      </w:r>
      <w:r>
        <w:rPr>
          <w:rStyle w:val="Code"/>
        </w:rPr>
        <w:t>=</w:t>
      </w:r>
      <w:r>
        <w:rPr>
          <w:rStyle w:val="Codevalue"/>
        </w:rPr>
        <w:t>"component"</w:t>
      </w:r>
      <w:r>
        <w:rPr>
          <w:rStyle w:val="Code"/>
        </w:rPr>
        <w:t>&gt;</w:t>
      </w:r>
      <w:r>
        <w:t xml:space="preserve"> with an applicable value of </w:t>
      </w:r>
      <w:r>
        <w:rPr>
          <w:rStyle w:val="Codeattribute"/>
        </w:rPr>
        <w:t>@subtype</w:t>
      </w:r>
      <w:r>
        <w:t xml:space="preserve"> as per §</w:t>
      </w:r>
      <w:r>
        <w:fldChar w:fldCharType="begin"/>
      </w:r>
      <w:r>
        <w:instrText xml:space="preserve"> REF _Ref43987131 \w \h  \* MERGEFORMAT </w:instrText>
      </w:r>
      <w:r>
        <w:fldChar w:fldCharType="separate"/>
      </w:r>
      <w:r>
        <w:t>5.2.2</w:t>
      </w:r>
      <w:r>
        <w:fldChar w:fldCharType="end"/>
      </w:r>
    </w:p>
    <w:p w14:paraId="778441AC" w14:textId="52EFF75A">
      <w:pPr>
        <w:pStyle w:val="Lista2"/>
      </w:pPr>
      <w:r>
        <w:lastRenderedPageBreak/>
        <w:t xml:space="preserve">if the lost component is a vowel whose prosodic length is known, then add the attribute </w:t>
      </w:r>
      <w:r>
        <w:rPr>
          <w:rStyle w:val="Codeattribute"/>
        </w:rPr>
        <w:t>@met</w:t>
      </w:r>
      <w:r>
        <w:t xml:space="preserve"> </w:t>
      </w:r>
      <w:r>
        <w:rPr>
          <w:noProof/>
        </w:rPr>
        <w:t>(</w:t>
      </w:r>
      <w:r>
        <w:t>as per §</w:t>
      </w:r>
      <w:r>
        <w:fldChar w:fldCharType="begin"/>
      </w:r>
      <w:r>
        <w:instrText xml:space="preserve"> REF _Ref228275301 \r \h </w:instrText>
      </w:r>
      <w:r>
        <w:fldChar w:fldCharType="separate"/>
      </w:r>
      <w:r>
        <w:t>6.5.2.3</w:t>
      </w:r>
      <w:r>
        <w:fldChar w:fldCharType="end"/>
      </w:r>
      <w:r>
        <w:t xml:space="preserve">) to the </w:t>
      </w:r>
      <w:r>
        <w:rPr>
          <w:rStyle w:val="Code"/>
        </w:rPr>
        <w:t xml:space="preserve">&lt;seg </w:t>
      </w:r>
      <w:r>
        <w:rPr>
          <w:rStyle w:val="Codeattribute"/>
        </w:rPr>
        <w:t>type</w:t>
      </w:r>
      <w:r>
        <w:rPr>
          <w:rStyle w:val="Code"/>
        </w:rPr>
        <w:t>=</w:t>
      </w:r>
      <w:r>
        <w:rPr>
          <w:rStyle w:val="Codevalue"/>
        </w:rPr>
        <w:t>"component"</w:t>
      </w:r>
      <w:r>
        <w:rPr>
          <w:rStyle w:val="Code"/>
        </w:rPr>
        <w:t>&gt;</w:t>
      </w:r>
      <w:r>
        <w:t xml:space="preserve"> wrapper </w:t>
      </w:r>
      <w:r>
        <w:rPr>
          <w:noProof/>
        </w:rPr>
        <w:t>(</w:t>
      </w:r>
      <w:r>
        <w:t xml:space="preserve">instead of adding an extra </w:t>
      </w:r>
      <w:r>
        <w:rPr>
          <w:rStyle w:val="Code"/>
        </w:rPr>
        <w:t>&lt;seg&gt;</w:t>
      </w:r>
      <w:r>
        <w:t xml:space="preserve"> element to be qualified by </w:t>
      </w:r>
      <w:r>
        <w:rPr>
          <w:rStyle w:val="Codeattribute"/>
        </w:rPr>
        <w:t>@met</w:t>
      </w:r>
      <w:r>
        <w:t>)</w:t>
      </w:r>
    </w:p>
    <w:p w14:paraId="27D85DB2" w14:textId="77777777">
      <w:pPr>
        <w:pStyle w:val="Lista3"/>
      </w:pPr>
      <w:r>
        <w:t>such markup should reflect the positional value of the vowel and not its length by nature: if a vowel is followed by more than one consonant, then it is positionally long even if it is a short vowel by nature</w:t>
      </w:r>
    </w:p>
    <w:p w14:paraId="328F3308" w14:textId="77777777">
      <w:pPr>
        <w:pStyle w:val="Lista"/>
      </w:pPr>
      <w:r>
        <w:t xml:space="preserve">because it is the </w:t>
      </w:r>
      <w:r>
        <w:rPr>
          <w:rStyle w:val="Code"/>
        </w:rPr>
        <w:t>&lt;seg&gt;</w:t>
      </w:r>
      <w:r>
        <w:t xml:space="preserve"> wrapper that identifies the kind of component affected by the lacuna, </w:t>
      </w:r>
    </w:p>
    <w:p w14:paraId="3AA58AAE" w14:textId="77777777">
      <w:pPr>
        <w:pStyle w:val="Lista2"/>
      </w:pPr>
      <w:r>
        <w:t xml:space="preserve">the </w:t>
      </w:r>
      <w:r>
        <w:rPr>
          <w:rStyle w:val="Codeattribute"/>
        </w:rPr>
        <w:t>@quantity</w:t>
      </w:r>
      <w:r>
        <w:t xml:space="preserve"> of such a gap will normally be 1</w:t>
      </w:r>
    </w:p>
    <w:p w14:paraId="7BC607B4" w14:textId="77777777">
      <w:pPr>
        <w:pStyle w:val="Lista3"/>
      </w:pPr>
      <w:r>
        <w:t>except in rare cases where you are confident that two (or even more) components of the same kind (e.g. subscript) have been lost</w:t>
      </w:r>
    </w:p>
    <w:p w14:paraId="77228411" w14:textId="77777777">
      <w:pPr>
        <w:pStyle w:val="Lista2"/>
      </w:pPr>
      <w:r>
        <w:t xml:space="preserve">several components lost within a single </w:t>
      </w:r>
      <w:r>
        <w:rPr>
          <w:rStyle w:val="Foreign"/>
        </w:rPr>
        <w:t>akṣara</w:t>
      </w:r>
      <w:r>
        <w:t xml:space="preserve"> must normally be encoded with a separate </w:t>
      </w:r>
      <w:r>
        <w:rPr>
          <w:rStyle w:val="Code"/>
        </w:rPr>
        <w:t>&lt;gap/&gt;</w:t>
      </w:r>
      <w:r>
        <w:t xml:space="preserve"> enclosed in a separate </w:t>
      </w:r>
      <w:r>
        <w:rPr>
          <w:rStyle w:val="Code"/>
        </w:rPr>
        <w:t>&lt;seg&gt;</w:t>
      </w:r>
    </w:p>
    <w:p w14:paraId="02316DCD" w14:textId="6E70F879">
      <w:pPr>
        <w:pStyle w:val="Lista2"/>
      </w:pPr>
      <w:r>
        <w:t>however, a component as understood in sub-</w:t>
      </w:r>
      <w:r>
        <w:rPr>
          <w:rStyle w:val="Foreign"/>
        </w:rPr>
        <w:t>akṣara</w:t>
      </w:r>
      <w:r>
        <w:t xml:space="preserve"> markup (§</w:t>
      </w:r>
      <w:r>
        <w:fldChar w:fldCharType="begin"/>
      </w:r>
      <w:r>
        <w:instrText xml:space="preserve"> REF _Ref228202081 \r \h </w:instrText>
      </w:r>
      <w:r>
        <w:fldChar w:fldCharType="separate"/>
      </w:r>
      <w:r>
        <w:t>5.2.2</w:t>
      </w:r>
      <w:r>
        <w:fldChar w:fldCharType="end"/>
      </w:r>
      <w:r>
        <w:t xml:space="preserve">) is not necessarily a single glyph component (i.e. a single graph representing a single grapheme): some values of </w:t>
      </w:r>
      <w:r>
        <w:rPr>
          <w:rStyle w:val="Codeattribute"/>
        </w:rPr>
        <w:t>@subtype</w:t>
      </w:r>
      <w:r>
        <w:t xml:space="preserve"> (e.g. </w:t>
      </w:r>
      <w:r>
        <w:rPr>
          <w:rStyle w:val="Codevalue"/>
        </w:rPr>
        <w:t>"body"</w:t>
      </w:r>
      <w:r>
        <w:t xml:space="preserve">, </w:t>
      </w:r>
      <w:r>
        <w:rPr>
          <w:rStyle w:val="Codevalue"/>
        </w:rPr>
        <w:t>"conjunct"</w:t>
      </w:r>
      <w:r>
        <w:t>) permit or require more than one grapheme</w:t>
      </w:r>
    </w:p>
    <w:p w14:paraId="3D4DFB0F" w14:textId="36B27140">
      <w:pPr>
        <w:pStyle w:val="Lista"/>
      </w:pPr>
      <w:r>
        <w:t xml:space="preserve">if you deem that the resulting complicated markup leads to potential ambiguity regarding </w:t>
      </w:r>
      <w:r>
        <w:rPr>
          <w:rStyle w:val="Foreign"/>
        </w:rPr>
        <w:t>akṣara</w:t>
      </w:r>
      <w:r>
        <w:t xml:space="preserve"> boundaries, feel free to wrap target graphemes and lacunae belonging to a single original glyph in the element </w:t>
      </w:r>
      <w:r>
        <w:rPr>
          <w:rStyle w:val="Code"/>
        </w:rPr>
        <w:t xml:space="preserve">&lt;seg </w:t>
      </w:r>
      <w:r>
        <w:rPr>
          <w:rStyle w:val="Codeattribute"/>
        </w:rPr>
        <w:t>type</w:t>
      </w:r>
      <w:r>
        <w:rPr>
          <w:rStyle w:val="Code"/>
        </w:rPr>
        <w:t>=</w:t>
      </w:r>
      <w:r>
        <w:rPr>
          <w:rStyle w:val="Codevalue"/>
        </w:rPr>
        <w:t>"aksara"</w:t>
      </w:r>
      <w:r>
        <w:rPr>
          <w:rStyle w:val="Code"/>
        </w:rPr>
        <w:t>&gt;</w:t>
      </w:r>
      <w:r>
        <w:t xml:space="preserve"> as per §</w:t>
      </w:r>
      <w:r>
        <w:fldChar w:fldCharType="begin"/>
      </w:r>
      <w:r>
        <w:instrText xml:space="preserve"> REF _Ref43987221 \w \h  \* MERGEFORMAT </w:instrText>
      </w:r>
      <w:r>
        <w:fldChar w:fldCharType="separate"/>
      </w:r>
      <w:r>
        <w:t>5.2.1</w:t>
      </w:r>
      <w:r>
        <w:fldChar w:fldCharType="end"/>
      </w:r>
    </w:p>
    <w:p w14:paraId="73A54105" w14:textId="77777777"/>
    <w:tbl>
      <w:tblPr>
        <w:tblStyle w:val="CodeSampleTable"/>
        <w:tblW w:w="0" w:type="auto"/>
        <w:tblLook w:val="04A0" w:firstRow="1" w:lastRow="0" w:firstColumn="1" w:lastColumn="0" w:noHBand="0" w:noVBand="1"/>
      </w:tblPr>
      <w:tblGrid>
        <w:gridCol w:w="5263"/>
        <w:gridCol w:w="4365"/>
      </w:tblGrid>
      <w:tr w14:paraId="44F349E1" w14:textId="77777777">
        <w:trPr>
          <w:cnfStyle w:val="100000000000" w:firstRow="1" w:lastRow="0" w:firstColumn="0" w:lastColumn="0" w:oddVBand="0" w:evenVBand="0" w:oddHBand="0" w:evenHBand="0" w:firstRowFirstColumn="0" w:firstRowLastColumn="0" w:lastRowFirstColumn="0" w:lastRowLastColumn="0"/>
        </w:trPr>
        <w:tc>
          <w:tcPr>
            <w:tcW w:w="9054" w:type="dxa"/>
            <w:gridSpan w:val="2"/>
          </w:tcPr>
          <w:p w14:paraId="25BC541B" w14:textId="051582FB">
            <w:pPr>
              <w:pStyle w:val="Kpalrs"/>
            </w:pPr>
            <w:r>
              <w:t xml:space="preserve">Exhibit </w:t>
            </w:r>
            <w:fldSimple w:instr=" STYLEREF 2 \s ">
              <w:r>
                <w:rPr>
                  <w:noProof/>
                </w:rPr>
                <w:t>6.5</w:t>
              </w:r>
            </w:fldSimple>
            <w:r>
              <w:t>.</w:t>
            </w:r>
            <w:fldSimple w:instr=" SEQ Exhibit \* ALPHABETIC \s 2 ">
              <w:r>
                <w:rPr>
                  <w:noProof/>
                </w:rPr>
                <w:t>B</w:t>
              </w:r>
            </w:fldSimple>
            <w:r>
              <w:t>: lost consonants</w:t>
            </w:r>
          </w:p>
        </w:tc>
      </w:tr>
      <w:tr w14:paraId="3EE525DF" w14:textId="77777777">
        <w:tc>
          <w:tcPr>
            <w:tcW w:w="5946" w:type="dxa"/>
          </w:tcPr>
          <w:p w14:paraId="44660DD0" w14:textId="77777777">
            <w:pPr>
              <w:pStyle w:val="TableNote"/>
              <w:keepNext/>
            </w:pPr>
            <w:r>
              <w:t xml:space="preserve">a vowel marker for </w:t>
            </w:r>
            <w:r>
              <w:rPr>
                <w:rStyle w:val="Foreign"/>
              </w:rPr>
              <w:t>ā</w:t>
            </w:r>
            <w:r>
              <w:t xml:space="preserve"> and an </w:t>
            </w:r>
            <w:r>
              <w:rPr>
                <w:rStyle w:val="Foreign"/>
              </w:rPr>
              <w:t>anusvāra</w:t>
            </w:r>
            <w:r>
              <w:t xml:space="preserve"> are visible in the last partial line of a fragment</w:t>
            </w:r>
          </w:p>
        </w:tc>
        <w:tc>
          <w:tcPr>
            <w:tcW w:w="3108" w:type="dxa"/>
            <w:vMerge w:val="restart"/>
          </w:tcPr>
          <w:p w14:paraId="1A2CAC92" w14:textId="77777777">
            <w:pPr>
              <w:pStyle w:val="Image"/>
            </w:pPr>
            <w:r>
              <w:drawing>
                <wp:inline distT="114300" distB="114300" distL="114300" distR="114300" wp14:anchorId="290A9A7A" wp14:editId="16D4F6F1">
                  <wp:extent cx="2768600" cy="1074382"/>
                  <wp:effectExtent l="0" t="0" r="0" b="0"/>
                  <wp:docPr id="2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73"/>
                          <a:srcRect/>
                          <a:stretch>
                            <a:fillRect/>
                          </a:stretch>
                        </pic:blipFill>
                        <pic:spPr>
                          <a:xfrm>
                            <a:off x="0" y="0"/>
                            <a:ext cx="2920140" cy="1133189"/>
                          </a:xfrm>
                          <a:prstGeom prst="rect">
                            <a:avLst/>
                          </a:prstGeom>
                          <a:ln/>
                        </pic:spPr>
                      </pic:pic>
                    </a:graphicData>
                  </a:graphic>
                </wp:inline>
              </w:drawing>
            </w:r>
          </w:p>
        </w:tc>
      </w:tr>
      <w:tr w14:paraId="36916A72" w14:textId="77777777">
        <w:tc>
          <w:tcPr>
            <w:tcW w:w="5946" w:type="dxa"/>
          </w:tcPr>
          <w:p w14:paraId="77EAA4C4" w14:textId="77777777">
            <w:pPr>
              <w:pStyle w:val="CodeParagraph"/>
              <w:rPr>
                <w:rStyle w:val="Code"/>
              </w:rPr>
            </w:pPr>
            <w:r>
              <w:rPr>
                <w:rStyle w:val="Code"/>
              </w:rPr>
              <w:t xml:space="preserve">&lt;seg </w:t>
            </w:r>
            <w:r>
              <w:rPr>
                <w:rStyle w:val="Codeattribute"/>
              </w:rPr>
              <w:t>type</w:t>
            </w:r>
            <w:r>
              <w:rPr>
                <w:rStyle w:val="Code"/>
              </w:rPr>
              <w:t>=</w:t>
            </w:r>
            <w:r>
              <w:rPr>
                <w:rStyle w:val="Codevalue"/>
              </w:rPr>
              <w:t>"aksara"</w:t>
            </w:r>
            <w:r>
              <w:rPr>
                <w:rStyle w:val="Code"/>
              </w:rPr>
              <w:t xml:space="preserve">&gt;&lt;seg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r>
              <w:rPr>
                <w:rStyle w:val="Codetext"/>
              </w:rPr>
              <w:t>ā</w:t>
            </w:r>
            <w:r>
              <w:rPr>
                <w:rStyle w:val="Code"/>
              </w:rPr>
              <w:t>&lt;/seg&gt;</w:t>
            </w:r>
          </w:p>
          <w:p w14:paraId="7FBFDB5A" w14:textId="77777777">
            <w:pPr>
              <w:pStyle w:val="CodeParagraph"/>
              <w:rPr>
                <w:rStyle w:val="Code"/>
              </w:rPr>
            </w:pPr>
            <w:r>
              <w:rPr>
                <w:rStyle w:val="Code"/>
              </w:rPr>
              <w:t xml:space="preserve">&lt;seg </w:t>
            </w:r>
            <w:r>
              <w:rPr>
                <w:rStyle w:val="Codeattribute"/>
              </w:rPr>
              <w:t>type</w:t>
            </w:r>
            <w:r>
              <w:rPr>
                <w:rStyle w:val="Code"/>
              </w:rPr>
              <w:t>=</w:t>
            </w:r>
            <w:r>
              <w:rPr>
                <w:rStyle w:val="Codevalue"/>
              </w:rPr>
              <w:t>"aksara"</w:t>
            </w:r>
            <w:r>
              <w:rPr>
                <w:rStyle w:val="Code"/>
              </w:rPr>
              <w:t xml:space="preserve">&gt;&lt;seg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 xml:space="preserve">/&gt;&lt;/seg&gt;&lt;unclear </w:t>
            </w:r>
            <w:r>
              <w:rPr>
                <w:rStyle w:val="Codeattribute"/>
              </w:rPr>
              <w:t>cert</w:t>
            </w:r>
            <w:r>
              <w:rPr>
                <w:rStyle w:val="Code"/>
              </w:rPr>
              <w:t>=</w:t>
            </w:r>
            <w:r>
              <w:rPr>
                <w:rStyle w:val="Codevalue"/>
              </w:rPr>
              <w:t>"low"</w:t>
            </w:r>
            <w:r>
              <w:rPr>
                <w:rStyle w:val="Code"/>
              </w:rPr>
              <w:t>&gt;</w:t>
            </w:r>
            <w:r>
              <w:rPr>
                <w:rStyle w:val="Codetext"/>
              </w:rPr>
              <w:t>a</w:t>
            </w:r>
            <w:r>
              <w:rPr>
                <w:rStyle w:val="Code"/>
              </w:rPr>
              <w:t>&lt;/unclear&gt;</w:t>
            </w:r>
            <w:r>
              <w:rPr>
                <w:rStyle w:val="Codetext"/>
              </w:rPr>
              <w:t>ṁ</w:t>
            </w:r>
            <w:r>
              <w:rPr>
                <w:rStyle w:val="Code"/>
              </w:rPr>
              <w:t>&lt;/seg&gt;</w:t>
            </w:r>
          </w:p>
        </w:tc>
        <w:tc>
          <w:tcPr>
            <w:tcW w:w="3108" w:type="dxa"/>
            <w:vMerge/>
          </w:tcPr>
          <w:p w14:paraId="7E4EF81D" w14:textId="77777777">
            <w:pPr>
              <w:pStyle w:val="CodeParagraph"/>
              <w:rPr>
                <w:rStyle w:val="Code"/>
              </w:rPr>
            </w:pPr>
          </w:p>
        </w:tc>
      </w:tr>
    </w:tbl>
    <w:p w14:paraId="03AD5F46" w14:textId="77777777"/>
    <w:tbl>
      <w:tblPr>
        <w:tblStyle w:val="CodeSampleTable"/>
        <w:tblW w:w="5000" w:type="pct"/>
        <w:tblLook w:val="04A0" w:firstRow="1" w:lastRow="0" w:firstColumn="1" w:lastColumn="0" w:noHBand="0" w:noVBand="1"/>
      </w:tblPr>
      <w:tblGrid>
        <w:gridCol w:w="9628"/>
      </w:tblGrid>
      <w:tr w14:paraId="281B302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D2CBB53" w14:textId="6809FB6C">
            <w:pPr>
              <w:pStyle w:val="Kpalrs"/>
            </w:pPr>
            <w:r>
              <w:t xml:space="preserve">Exhibit </w:t>
            </w:r>
            <w:fldSimple w:instr=" STYLEREF 2 \s ">
              <w:r>
                <w:rPr>
                  <w:noProof/>
                </w:rPr>
                <w:t>6.5</w:t>
              </w:r>
            </w:fldSimple>
            <w:r>
              <w:t>.</w:t>
            </w:r>
            <w:fldSimple w:instr=" SEQ Exhibit \* ALPHABETIC \s 2 ">
              <w:r>
                <w:rPr>
                  <w:noProof/>
                </w:rPr>
                <w:t>C</w:t>
              </w:r>
            </w:fldSimple>
            <w:r>
              <w:t>: lost vowel marker</w:t>
            </w:r>
          </w:p>
        </w:tc>
      </w:tr>
      <w:tr w14:paraId="13550335" w14:textId="77777777">
        <w:tc>
          <w:tcPr>
            <w:tcW w:w="5000" w:type="pct"/>
          </w:tcPr>
          <w:p w14:paraId="36130935" w14:textId="77777777">
            <w:pPr>
              <w:pStyle w:val="Image"/>
            </w:pPr>
            <w:r>
              <w:drawing>
                <wp:inline distT="0" distB="0" distL="0" distR="0" wp14:anchorId="03124403" wp14:editId="6EC7CD00">
                  <wp:extent cx="2187575" cy="875030"/>
                  <wp:effectExtent l="0" t="0" r="3175" b="127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extLst>
                              <a:ext uri="{28A0092B-C50C-407E-A947-70E740481C1C}">
                                <a14:useLocalDpi xmlns:a14="http://schemas.microsoft.com/office/drawing/2010/main" val="0"/>
                              </a:ext>
                            </a:extLst>
                          </a:blip>
                          <a:srcRect/>
                          <a:stretch>
                            <a:fillRect/>
                          </a:stretch>
                        </pic:blipFill>
                        <pic:spPr>
                          <a:xfrm>
                            <a:off x="0" y="0"/>
                            <a:ext cx="2187575" cy="875030"/>
                          </a:xfrm>
                          <a:prstGeom prst="rect">
                            <a:avLst/>
                          </a:prstGeom>
                          <a:ln/>
                        </pic:spPr>
                      </pic:pic>
                    </a:graphicData>
                  </a:graphic>
                </wp:inline>
              </w:drawing>
            </w:r>
          </w:p>
        </w:tc>
      </w:tr>
      <w:tr w14:paraId="7D2F66D2" w14:textId="77777777">
        <w:tc>
          <w:tcPr>
            <w:tcW w:w="5000" w:type="pct"/>
          </w:tcPr>
          <w:p w14:paraId="3F68D0A3" w14:textId="77777777">
            <w:pPr>
              <w:pStyle w:val="TableNote"/>
              <w:keepNext/>
            </w:pPr>
            <w:r>
              <w:t xml:space="preserve">the consonant </w:t>
            </w:r>
            <w:r>
              <w:rPr>
                <w:rStyle w:val="Foreign"/>
              </w:rPr>
              <w:t>t</w:t>
            </w:r>
            <w:r>
              <w:t xml:space="preserve"> has so much damage around it that it may have had any of several vowel marks or none, as in the hypothetical image here</w:t>
            </w:r>
          </w:p>
          <w:p w14:paraId="3318C286" w14:textId="77777777">
            <w:pPr>
              <w:pStyle w:val="TableNote"/>
              <w:keepNext/>
            </w:pPr>
            <w:r>
              <w:t>some candidates are shown on the right</w:t>
            </w:r>
          </w:p>
          <w:p w14:paraId="57EB6931" w14:textId="77777777">
            <w:pPr>
              <w:pStyle w:val="TableNote"/>
              <w:keepNext/>
            </w:pPr>
            <w:r>
              <w:t xml:space="preserve">the same might be represented through transliteration without markup using the optional shorthand </w:t>
            </w:r>
            <w:r>
              <w:rPr>
                <w:rStyle w:val="Foreign"/>
              </w:rPr>
              <w:t>tV</w:t>
            </w:r>
            <w:r>
              <w:t xml:space="preserve"> (TG §3.3.2.2)</w:t>
            </w:r>
          </w:p>
        </w:tc>
      </w:tr>
      <w:tr w14:paraId="76BC002B" w14:textId="77777777">
        <w:tc>
          <w:tcPr>
            <w:tcW w:w="5000" w:type="pct"/>
          </w:tcPr>
          <w:p w14:paraId="1E888751" w14:textId="77777777">
            <w:pPr>
              <w:pStyle w:val="CodeParagraph"/>
              <w:rPr>
                <w:rStyle w:val="Code"/>
              </w:rPr>
            </w:pPr>
            <w:r>
              <w:rPr>
                <w:rStyle w:val="Codetext"/>
              </w:rPr>
              <w:t>t</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p>
        </w:tc>
      </w:tr>
    </w:tbl>
    <w:p w14:paraId="255F7858" w14:textId="77777777"/>
    <w:tbl>
      <w:tblPr>
        <w:tblStyle w:val="CodeSampleTable"/>
        <w:tblW w:w="5000" w:type="pct"/>
        <w:tblLook w:val="04A0" w:firstRow="1" w:lastRow="0" w:firstColumn="1" w:lastColumn="0" w:noHBand="0" w:noVBand="1"/>
      </w:tblPr>
      <w:tblGrid>
        <w:gridCol w:w="9628"/>
      </w:tblGrid>
      <w:tr w14:paraId="2A2E6EC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A989239" w14:textId="324842D7">
            <w:pPr>
              <w:pStyle w:val="Kpalrs"/>
            </w:pPr>
            <w:r>
              <w:lastRenderedPageBreak/>
              <w:t xml:space="preserve">Exhibit </w:t>
            </w:r>
            <w:fldSimple w:instr=" STYLEREF 2 \s ">
              <w:r>
                <w:rPr>
                  <w:noProof/>
                </w:rPr>
                <w:t>6.5</w:t>
              </w:r>
            </w:fldSimple>
            <w:r>
              <w:t>.</w:t>
            </w:r>
            <w:fldSimple w:instr=" SEQ Exhibit \* ALPHABETIC \s 2 ">
              <w:r>
                <w:rPr>
                  <w:noProof/>
                </w:rPr>
                <w:t>D</w:t>
              </w:r>
            </w:fldSimple>
            <w:r>
              <w:t>: lost body with subscript component</w:t>
            </w:r>
          </w:p>
        </w:tc>
      </w:tr>
      <w:tr w14:paraId="3D2DF278" w14:textId="77777777">
        <w:tc>
          <w:tcPr>
            <w:tcW w:w="5000" w:type="pct"/>
          </w:tcPr>
          <w:p w14:paraId="525C6224" w14:textId="77777777">
            <w:pPr>
              <w:pStyle w:val="Image"/>
            </w:pPr>
            <w:r>
              <w:drawing>
                <wp:inline distT="0" distB="0" distL="0" distR="0" wp14:anchorId="021075C3" wp14:editId="4C826E84">
                  <wp:extent cx="2967186" cy="844550"/>
                  <wp:effectExtent l="0" t="0" r="508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5">
                            <a:extLst>
                              <a:ext uri="{28A0092B-C50C-407E-A947-70E740481C1C}">
                                <a14:useLocalDpi xmlns:a14="http://schemas.microsoft.com/office/drawing/2010/main" val="0"/>
                              </a:ext>
                            </a:extLst>
                          </a:blip>
                          <a:srcRect/>
                          <a:stretch>
                            <a:fillRect/>
                          </a:stretch>
                        </pic:blipFill>
                        <pic:spPr>
                          <a:xfrm>
                            <a:off x="0" y="0"/>
                            <a:ext cx="2985276" cy="849699"/>
                          </a:xfrm>
                          <a:prstGeom prst="rect">
                            <a:avLst/>
                          </a:prstGeom>
                          <a:ln/>
                        </pic:spPr>
                      </pic:pic>
                    </a:graphicData>
                  </a:graphic>
                </wp:inline>
              </w:drawing>
            </w:r>
          </w:p>
        </w:tc>
      </w:tr>
      <w:tr w14:paraId="0BE1E556" w14:textId="77777777">
        <w:tc>
          <w:tcPr>
            <w:tcW w:w="5000" w:type="pct"/>
          </w:tcPr>
          <w:p w14:paraId="26BBB4F2" w14:textId="77777777">
            <w:pPr>
              <w:pStyle w:val="TableNote"/>
              <w:keepNext/>
            </w:pPr>
            <w:r>
              <w:t xml:space="preserve">a clear subscript </w:t>
            </w:r>
            <w:r>
              <w:rPr>
                <w:rStyle w:val="Foreign"/>
              </w:rPr>
              <w:t>y</w:t>
            </w:r>
            <w:r>
              <w:t xml:space="preserve"> survives but the principal consonant</w:t>
            </w:r>
            <w:r>
              <w:rPr>
                <w:noProof/>
              </w:rPr>
              <w:t>(</w:t>
            </w:r>
            <w:r>
              <w:t>s) are obliterated along with any vowel marker, as in the hypothetical image above</w:t>
            </w:r>
          </w:p>
          <w:p w14:paraId="0A19691B" w14:textId="77777777">
            <w:pPr>
              <w:pStyle w:val="TableNote"/>
              <w:keepNext/>
            </w:pPr>
            <w:r>
              <w:t>some candidates are shown on the right</w:t>
            </w:r>
          </w:p>
        </w:tc>
      </w:tr>
      <w:tr w14:paraId="370B79A9" w14:textId="77777777">
        <w:tc>
          <w:tcPr>
            <w:tcW w:w="5000" w:type="pct"/>
          </w:tcPr>
          <w:p w14:paraId="7427D461" w14:textId="77777777">
            <w:pPr>
              <w:pStyle w:val="CodeParagraph"/>
              <w:rPr>
                <w:rStyle w:val="Code"/>
              </w:rPr>
            </w:pP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r>
              <w:rPr>
                <w:rStyle w:val="Codetext"/>
              </w:rPr>
              <w:t>y</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p>
        </w:tc>
      </w:tr>
    </w:tbl>
    <w:p w14:paraId="4E471BF0" w14:textId="77777777"/>
    <w:tbl>
      <w:tblPr>
        <w:tblStyle w:val="CodeSampleTable"/>
        <w:tblW w:w="5000" w:type="pct"/>
        <w:tblLook w:val="04A0" w:firstRow="1" w:lastRow="0" w:firstColumn="1" w:lastColumn="0" w:noHBand="0" w:noVBand="1"/>
      </w:tblPr>
      <w:tblGrid>
        <w:gridCol w:w="9628"/>
      </w:tblGrid>
      <w:tr w14:paraId="579DFB2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907B456" w14:textId="462AD3FF">
            <w:pPr>
              <w:pStyle w:val="Kpalrs"/>
            </w:pPr>
            <w:r>
              <w:t xml:space="preserve">Exhibit </w:t>
            </w:r>
            <w:fldSimple w:instr=" STYLEREF 2 \s ">
              <w:r>
                <w:rPr>
                  <w:noProof/>
                </w:rPr>
                <w:t>6.5</w:t>
              </w:r>
            </w:fldSimple>
            <w:r>
              <w:t>.</w:t>
            </w:r>
            <w:fldSimple w:instr=" SEQ Exhibit \* ALPHABETIC \s 2 ">
              <w:r>
                <w:rPr>
                  <w:noProof/>
                </w:rPr>
                <w:t>E</w:t>
              </w:r>
            </w:fldSimple>
            <w:r>
              <w:t>: a complex sequence of partially lost glyphs</w:t>
            </w:r>
          </w:p>
        </w:tc>
      </w:tr>
      <w:tr w14:paraId="52378287" w14:textId="77777777">
        <w:tc>
          <w:tcPr>
            <w:tcW w:w="5000" w:type="pct"/>
          </w:tcPr>
          <w:p w14:paraId="62B975BD" w14:textId="77777777">
            <w:pPr>
              <w:pStyle w:val="TableNote"/>
              <w:keepNext/>
            </w:pPr>
            <w:r>
              <w:t xml:space="preserve">a sequence comprised of the following elements, which are known to follow the prosodic pattern </w:t>
            </w:r>
            <w:r>
              <w:rPr>
                <w:rStyle w:val="MetreCode"/>
              </w:rPr>
              <w:t>−−⏑</w:t>
            </w:r>
          </w:p>
          <w:p w14:paraId="7FE6BAAF" w14:textId="77777777">
            <w:pPr>
              <w:pStyle w:val="TableNote"/>
              <w:keepNext/>
            </w:pPr>
            <w:r>
              <w:t xml:space="preserve">the legible glyph </w:t>
            </w:r>
            <w:r>
              <w:rPr>
                <w:rStyle w:val="Foreign"/>
              </w:rPr>
              <w:t>ku</w:t>
            </w:r>
            <w:r>
              <w:t>, which is simply transliterated</w:t>
            </w:r>
          </w:p>
          <w:p w14:paraId="5194C269" w14:textId="77777777">
            <w:pPr>
              <w:pStyle w:val="TableNote"/>
              <w:keepNext/>
            </w:pPr>
            <w:r>
              <w:t xml:space="preserve">one wholly illegible </w:t>
            </w:r>
            <w:r>
              <w:rPr>
                <w:rStyle w:val="Foreign"/>
              </w:rPr>
              <w:t>akṣara</w:t>
            </w:r>
            <w:r>
              <w:t xml:space="preserve">, which we prefer not to encode simply as a lacuna of one character which is prosodically long, as this would obscure the fact that since the preceding </w:t>
            </w:r>
            <w:r>
              <w:rPr>
                <w:noProof/>
              </w:rPr>
              <w:t>(</w:t>
            </w:r>
            <w:r>
              <w:t xml:space="preserve">clear) </w:t>
            </w:r>
            <w:r>
              <w:rPr>
                <w:rStyle w:val="Foreign"/>
              </w:rPr>
              <w:t>ku</w:t>
            </w:r>
            <w:r>
              <w:t xml:space="preserve"> is prosodically long, the present lost </w:t>
            </w:r>
            <w:r>
              <w:rPr>
                <w:rStyle w:val="Foreign"/>
              </w:rPr>
              <w:t>akṣara</w:t>
            </w:r>
            <w:r>
              <w:t xml:space="preserve"> must be a conjunct</w:t>
            </w:r>
          </w:p>
          <w:p w14:paraId="52F31348" w14:textId="77777777">
            <w:pPr>
              <w:pStyle w:val="TableNote"/>
              <w:keepNext/>
            </w:pPr>
            <w:r>
              <w:t xml:space="preserve">a clear regular </w:t>
            </w:r>
            <w:r>
              <w:rPr>
                <w:rStyle w:val="Foreign"/>
              </w:rPr>
              <w:t>y</w:t>
            </w:r>
            <w:r>
              <w:t xml:space="preserve"> that may or may not have had a vowel marker attached</w:t>
            </w:r>
          </w:p>
        </w:tc>
      </w:tr>
      <w:tr w14:paraId="673B3471" w14:textId="77777777">
        <w:tc>
          <w:tcPr>
            <w:tcW w:w="5000" w:type="pct"/>
          </w:tcPr>
          <w:p w14:paraId="369758EC" w14:textId="77777777">
            <w:pPr>
              <w:pStyle w:val="CodeParagraph"/>
              <w:keepNext/>
              <w:rPr>
                <w:rStyle w:val="Code"/>
              </w:rPr>
            </w:pPr>
            <w:r>
              <w:rPr>
                <w:rStyle w:val="Codetext"/>
              </w:rPr>
              <w:t>ku</w:t>
            </w:r>
            <w:r>
              <w:rPr>
                <w:rStyle w:val="Code"/>
              </w:rPr>
              <w:t xml:space="preserve">&lt;seg </w:t>
            </w:r>
            <w:r>
              <w:rPr>
                <w:rStyle w:val="Codeattribute"/>
              </w:rPr>
              <w:t>type</w:t>
            </w:r>
            <w:r>
              <w:rPr>
                <w:rStyle w:val="Code"/>
              </w:rPr>
              <w:t>=</w:t>
            </w:r>
            <w:r>
              <w:rPr>
                <w:rStyle w:val="Codevalue"/>
              </w:rPr>
              <w:t>"aksara"</w:t>
            </w:r>
            <w:r>
              <w:rPr>
                <w:rStyle w:val="Code"/>
              </w:rPr>
              <w:t xml:space="preserve">&gt;&lt;seg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"conjunct"</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 xml:space="preserve">/&gt;&lt;/seg&gt;&lt;seg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/&gt;&lt;/seg&gt;&lt;/seg&gt;</w:t>
            </w:r>
            <w:r>
              <w:rPr>
                <w:rStyle w:val="Codetext"/>
              </w:rPr>
              <w:t>y</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p>
        </w:tc>
      </w:tr>
      <w:tr w14:paraId="72FA512F" w14:textId="77777777">
        <w:tc>
          <w:tcPr>
            <w:tcW w:w="5000" w:type="pct"/>
          </w:tcPr>
          <w:p w14:paraId="6557C3AB" w14:textId="77777777">
            <w:pPr>
              <w:pStyle w:val="TableNote"/>
              <w:rPr>
                <w:rStyle w:val="Codetext"/>
              </w:rPr>
            </w:pPr>
            <w:r>
              <w:t xml:space="preserve">in the above example, the tag </w:t>
            </w:r>
            <w:r>
              <w:rPr>
                <w:rStyle w:val="Code"/>
              </w:rPr>
              <w:t xml:space="preserve">&lt;seg </w:t>
            </w:r>
            <w:r>
              <w:rPr>
                <w:rStyle w:val="Codeattribute"/>
              </w:rPr>
              <w:t>type</w:t>
            </w:r>
            <w:r>
              <w:rPr>
                <w:rStyle w:val="Code"/>
              </w:rPr>
              <w:t>=</w:t>
            </w:r>
            <w:r>
              <w:rPr>
                <w:rStyle w:val="Codevalue"/>
              </w:rPr>
              <w:t>"aksara"</w:t>
            </w:r>
            <w:r>
              <w:rPr>
                <w:rStyle w:val="Code"/>
              </w:rPr>
              <w:t>&gt;</w:t>
            </w:r>
            <w:r>
              <w:t xml:space="preserve"> around the second </w:t>
            </w:r>
            <w:r>
              <w:rPr>
                <w:noProof/>
              </w:rPr>
              <w:t>(</w:t>
            </w:r>
            <w:r>
              <w:t xml:space="preserve">wholly lost) character is not strictly necessary, but it has been added to make it explicit that the illegible conjunct consonant and the illegible vowel comprise one </w:t>
            </w:r>
            <w:r>
              <w:rPr>
                <w:rStyle w:val="Foreign"/>
              </w:rPr>
              <w:t>akṣara</w:t>
            </w:r>
          </w:p>
        </w:tc>
      </w:tr>
    </w:tbl>
    <w:p w14:paraId="08095EA8" w14:textId="77777777">
      <w:pPr>
        <w:pStyle w:val="Cmsor3"/>
      </w:pPr>
      <w:bookmarkStart w:id="580" w:name="_ks1ouwdqdoh4" w:colFirst="0" w:colLast="0"/>
      <w:bookmarkStart w:id="581" w:name="_Ref228348376"/>
      <w:bookmarkStart w:id="582" w:name="_Toc242889529"/>
      <w:bookmarkEnd w:id="580"/>
      <w:r>
        <w:t>Managing line-level lacunae</w:t>
      </w:r>
      <w:bookmarkEnd w:id="581"/>
      <w:bookmarkEnd w:id="582"/>
    </w:p>
    <w:p w14:paraId="6A80F9C4" w14:textId="31A0E9F2">
      <w:pPr>
        <w:rPr>
          <w:lang w:eastAsia="en-US" w:bidi="ar-SA"/>
        </w:rPr>
      </w:pPr>
      <w:r>
        <w:rPr>
          <w:lang w:eastAsia="en-US" w:bidi="ar-SA"/>
        </w:rPr>
        <w:t>As noted in §</w:t>
      </w:r>
      <w:r>
        <w:rPr>
          <w:lang w:eastAsia="en-US" w:bidi="ar-SA"/>
        </w:rPr>
        <w:fldChar w:fldCharType="begin"/>
      </w:r>
      <w:r>
        <w:rPr>
          <w:lang w:eastAsia="en-US" w:bidi="ar-SA"/>
        </w:rPr>
        <w:instrText xml:space="preserve"> REF _Ref43988016 \r \h </w:instrText>
      </w:r>
      <w:r>
        <w:rPr>
          <w:lang w:eastAsia="en-US" w:bidi="ar-SA"/>
        </w:rPr>
      </w:r>
      <w:r>
        <w:rPr>
          <w:lang w:eastAsia="en-US" w:bidi="ar-SA"/>
        </w:rPr>
        <w:fldChar w:fldCharType="separate"/>
      </w:r>
      <w:r>
        <w:rPr>
          <w:lang w:eastAsia="en-US" w:bidi="ar-SA"/>
        </w:rPr>
        <w:t>6.5.2</w:t>
      </w:r>
      <w:r>
        <w:rPr>
          <w:lang w:eastAsia="en-US" w:bidi="ar-SA"/>
        </w:rPr>
        <w:fldChar w:fldCharType="end"/>
      </w:r>
      <w:r>
        <w:rPr>
          <w:lang w:eastAsia="en-US" w:bidi="ar-SA"/>
        </w:rPr>
        <w:t xml:space="preserve">, the preferred method for encoding lacunae is to treat them as inline. Consequently, when </w:t>
      </w:r>
    </w:p>
    <w:p w14:paraId="70FAD0E2" w14:textId="77777777">
      <w:pPr>
        <w:rPr>
          <w:lang w:eastAsia="en-US" w:bidi="ar-SA"/>
        </w:rPr>
      </w:pPr>
      <w:r>
        <w:rPr>
          <w:lang w:eastAsia="en-US" w:bidi="ar-SA"/>
        </w:rPr>
        <w:t>a lacuna extends over one or more entire physical lines, the preferred encoding method is to mark up the beginning of each line, with an inline lacuna occupying the entire line. Doing so allows the edition to reflect the source’s extrinsic structure accurately and to number physical lines consecutively without complications. This, of course, is only feasible when the number of lost or illegible lines is small and can be precisely determined.</w:t>
      </w:r>
    </w:p>
    <w:p w14:paraId="612C5188" w14:textId="77777777">
      <w:pPr>
        <w:pStyle w:val="Cmsor4"/>
      </w:pPr>
      <w:bookmarkStart w:id="583" w:name="_Ref228368995"/>
      <w:r>
        <w:t>Inline lacunae for full lines</w:t>
      </w:r>
      <w:bookmarkEnd w:id="583"/>
    </w:p>
    <w:p w14:paraId="7C40A9BE" w14:textId="77777777">
      <w:r>
        <w:t>When the number of lost or illegible lines is small (as a rule of thumb, up to five) and can be determined precisely, reconstruct the extrinsic structure in your edition and encode inline lacunae as follows.</w:t>
      </w:r>
    </w:p>
    <w:p w14:paraId="57BCC7F9" w14:textId="5D2A6022">
      <w:pPr>
        <w:pStyle w:val="Lista"/>
      </w:pPr>
      <w:r>
        <w:t xml:space="preserve">encode each line beginning </w:t>
      </w:r>
      <w:r>
        <w:rPr>
          <w:noProof/>
        </w:rPr>
        <w:t>(</w:t>
      </w:r>
      <w:r>
        <w:t>§</w:t>
      </w:r>
      <w:r>
        <w:fldChar w:fldCharType="begin"/>
      </w:r>
      <w:r>
        <w:instrText xml:space="preserve"> REF _Ref43980100 \r \h </w:instrText>
      </w:r>
      <w:r>
        <w:fldChar w:fldCharType="separate"/>
      </w:r>
      <w:r>
        <w:t>4.5.1</w:t>
      </w:r>
      <w:r>
        <w:fldChar w:fldCharType="end"/>
      </w:r>
      <w:r>
        <w:t>), numbering them consecutively</w:t>
      </w:r>
    </w:p>
    <w:p w14:paraId="00506F4E" w14:textId="0755F63C">
      <w:pPr>
        <w:pStyle w:val="Lista"/>
      </w:pPr>
      <w:r>
        <w:t xml:space="preserve">populate each line with separate inline </w:t>
      </w:r>
      <w:r>
        <w:rPr>
          <w:rStyle w:val="Code"/>
        </w:rPr>
        <w:t>&lt;gap/&gt;</w:t>
      </w:r>
      <w:r>
        <w:t xml:space="preserve"> elements </w:t>
      </w:r>
      <w:r>
        <w:rPr>
          <w:noProof/>
        </w:rPr>
        <w:t>(</w:t>
      </w:r>
      <w:r>
        <w:t>§</w:t>
      </w:r>
      <w:r>
        <w:fldChar w:fldCharType="begin"/>
      </w:r>
      <w:r>
        <w:instrText xml:space="preserve"> REF _Ref43988016 \w \h  \* MERGEFORMAT </w:instrText>
      </w:r>
      <w:r>
        <w:fldChar w:fldCharType="separate"/>
      </w:r>
      <w:r>
        <w:t>6.5.2</w:t>
      </w:r>
      <w:r>
        <w:fldChar w:fldCharType="end"/>
      </w:r>
      <w:r>
        <w:t>), encoded as lost or illegible (§</w:t>
      </w:r>
      <w:r>
        <w:fldChar w:fldCharType="begin"/>
      </w:r>
      <w:r>
        <w:instrText xml:space="preserve"> REF _Ref43987758 \r \h </w:instrText>
      </w:r>
      <w:r>
        <w:fldChar w:fldCharType="separate"/>
      </w:r>
      <w:r>
        <w:t>6.5.1.1</w:t>
      </w:r>
      <w:r>
        <w:fldChar w:fldCharType="end"/>
      </w:r>
      <w:r>
        <w:t>) as the case may be, with estimated quantity or unknown extent (§</w:t>
      </w:r>
      <w:r>
        <w:fldChar w:fldCharType="begin"/>
      </w:r>
      <w:r>
        <w:instrText xml:space="preserve"> REF _Ref228262228 \r \h </w:instrText>
      </w:r>
      <w:r>
        <w:fldChar w:fldCharType="separate"/>
      </w:r>
      <w:r>
        <w:t>6.5.1.2</w:t>
      </w:r>
      <w:r>
        <w:fldChar w:fldCharType="end"/>
      </w:r>
      <w:r>
        <w:t>)</w:t>
      </w:r>
    </w:p>
    <w:p w14:paraId="28CAC0A1" w14:textId="77777777">
      <w:pPr>
        <w:pStyle w:val="Lista"/>
      </w:pPr>
      <w:r>
        <w:t xml:space="preserve">e.g. for a gap of two full lines, </w:t>
      </w:r>
      <w:r>
        <w:rPr>
          <w:rStyle w:val="Code"/>
        </w:rPr>
        <w:t xml:space="preserve">&lt;lb </w:t>
      </w:r>
      <w:r>
        <w:rPr>
          <w:rStyle w:val="Codeattribute"/>
        </w:rPr>
        <w:t>n</w:t>
      </w:r>
      <w:r>
        <w:rPr>
          <w:rStyle w:val="Code"/>
        </w:rPr>
        <w:t>=</w:t>
      </w:r>
      <w:r>
        <w:rPr>
          <w:rStyle w:val="Codevalue"/>
        </w:rPr>
        <w:t>"3"</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"30"</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 xml:space="preserve">/&gt;&lt;lb </w:t>
      </w:r>
      <w:r>
        <w:rPr>
          <w:rStyle w:val="Codeattribute"/>
        </w:rPr>
        <w:t>n</w:t>
      </w:r>
      <w:r>
        <w:rPr>
          <w:rStyle w:val="Code"/>
        </w:rPr>
        <w:t>=</w:t>
      </w:r>
      <w:r>
        <w:rPr>
          <w:rStyle w:val="Codevalue"/>
        </w:rPr>
        <w:t>"4"</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"30"</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w:t>
      </w:r>
    </w:p>
    <w:p w14:paraId="054CAA4C" w14:textId="77777777">
      <w:pPr>
        <w:pStyle w:val="Cmsor4"/>
      </w:pPr>
      <w:bookmarkStart w:id="584" w:name="_Ref228349461"/>
      <w:r>
        <w:t>Multiline lacunae</w:t>
      </w:r>
      <w:bookmarkEnd w:id="584"/>
    </w:p>
    <w:p w14:paraId="692DE43F" w14:textId="77777777">
      <w:pPr>
        <w:rPr>
          <w:lang w:eastAsia="en-US" w:bidi="ar-SA"/>
        </w:rPr>
      </w:pPr>
      <w:r>
        <w:rPr>
          <w:lang w:eastAsia="en-US" w:bidi="ar-SA"/>
        </w:rPr>
        <w:t xml:space="preserve">When a large number of lines (as a rule of thumb, more than five) lines are lost or illegible, or the number of lines affected by a lacuna cannot be determined exactly, encode line-level lacunae as follows. </w:t>
      </w:r>
    </w:p>
    <w:p w14:paraId="209A3F66" w14:textId="77777777">
      <w:pPr>
        <w:pStyle w:val="Lista"/>
      </w:pPr>
      <w:r>
        <w:t>do not encode line beginnings for the lost lines</w:t>
      </w:r>
    </w:p>
    <w:p w14:paraId="587EDEDB" w14:textId="168F2156">
      <w:pPr>
        <w:pStyle w:val="Lista"/>
      </w:pPr>
      <w:r>
        <w:t xml:space="preserve">use the </w:t>
      </w:r>
      <w:r>
        <w:rPr>
          <w:rStyle w:val="Code"/>
        </w:rPr>
        <w:t>&lt;gap/&gt;</w:t>
      </w:r>
      <w:r>
        <w:t xml:space="preserve"> element, encoded as lost or illegible (§</w:t>
      </w:r>
      <w:r>
        <w:fldChar w:fldCharType="begin"/>
      </w:r>
      <w:r>
        <w:instrText xml:space="preserve"> REF _Ref43987758 \r \h </w:instrText>
      </w:r>
      <w:r>
        <w:fldChar w:fldCharType="separate"/>
      </w:r>
      <w:r>
        <w:t>6.5.1.1</w:t>
      </w:r>
      <w:r>
        <w:fldChar w:fldCharType="end"/>
      </w:r>
      <w:r>
        <w:t xml:space="preserve">) as the case may be, with </w:t>
      </w:r>
      <w:r>
        <w:rPr>
          <w:rStyle w:val="Codevalue"/>
        </w:rPr>
        <w:t>"line"</w:t>
      </w:r>
      <w:r>
        <w:t xml:space="preserve"> as the value of </w:t>
      </w:r>
      <w:r>
        <w:rPr>
          <w:rStyle w:val="Codeattribute"/>
        </w:rPr>
        <w:t>@unit</w:t>
      </w:r>
      <w:r>
        <w:t xml:space="preserve"> (§</w:t>
      </w:r>
      <w:r>
        <w:fldChar w:fldCharType="begin"/>
      </w:r>
      <w:r>
        <w:instrText xml:space="preserve"> REF _Ref228262228 \r \h </w:instrText>
      </w:r>
      <w:r>
        <w:fldChar w:fldCharType="separate"/>
      </w:r>
      <w:r>
        <w:t>6.5.1.2</w:t>
      </w:r>
      <w:r>
        <w:fldChar w:fldCharType="end"/>
      </w:r>
      <w:r>
        <w:t>)</w:t>
      </w:r>
    </w:p>
    <w:p w14:paraId="1638573F" w14:textId="77777777">
      <w:pPr>
        <w:pStyle w:val="Lista"/>
      </w:pPr>
      <w:r>
        <w:lastRenderedPageBreak/>
        <w:t xml:space="preserve">for a precisely known number of lost or illegible lines, record the number in </w:t>
      </w:r>
      <w:r>
        <w:rPr>
          <w:rStyle w:val="Codeattribute"/>
        </w:rPr>
        <w:t>@quantity</w:t>
      </w:r>
    </w:p>
    <w:p w14:paraId="0A77BDA5" w14:textId="77777777">
      <w:pPr>
        <w:pStyle w:val="Lista2"/>
      </w:pPr>
      <w:r>
        <w:t xml:space="preserve">e.g.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"line"</w:t>
      </w:r>
      <w:r>
        <w:rPr>
          <w:rStyle w:val="Code"/>
        </w:rPr>
        <w:t>/&gt;</w:t>
      </w:r>
    </w:p>
    <w:p w14:paraId="2EB3076F" w14:textId="77777777">
      <w:pPr>
        <w:pStyle w:val="Lista"/>
      </w:pPr>
      <w:r>
        <w:t xml:space="preserve">for an estimated number of lost or illegible lines, record the number in </w:t>
      </w:r>
      <w:r>
        <w:rPr>
          <w:rStyle w:val="Codeattribute"/>
        </w:rPr>
        <w:t>@quantity</w:t>
      </w:r>
      <w:r>
        <w:t xml:space="preserve"> and add </w:t>
      </w:r>
      <w:r>
        <w:rPr>
          <w:rStyle w:val="Codeattribute"/>
        </w:rPr>
        <w:t>@precision</w:t>
      </w:r>
      <w:r>
        <w:rPr>
          <w:rStyle w:val="Code"/>
        </w:rPr>
        <w:t>=</w:t>
      </w:r>
      <w:r>
        <w:rPr>
          <w:rStyle w:val="Codevalue"/>
        </w:rPr>
        <w:t>"low"</w:t>
      </w:r>
    </w:p>
    <w:p w14:paraId="2530F269" w14:textId="77777777">
      <w:pPr>
        <w:pStyle w:val="Lista2"/>
      </w:pPr>
      <w:r>
        <w:t xml:space="preserve">e.g.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"line"</w:t>
      </w:r>
      <w:r>
        <w:rPr>
          <w:rStyle w:val="Code"/>
        </w:rPr>
        <w:t xml:space="preserve"> </w:t>
      </w:r>
      <w:r>
        <w:rPr>
          <w:rStyle w:val="Codeattribute"/>
        </w:rPr>
        <w:t>precision</w:t>
      </w:r>
      <w:r>
        <w:rPr>
          <w:rStyle w:val="Code"/>
        </w:rPr>
        <w:t>=</w:t>
      </w:r>
      <w:r>
        <w:rPr>
          <w:rStyle w:val="Codevalue"/>
        </w:rPr>
        <w:t>"low"</w:t>
      </w:r>
      <w:r>
        <w:rPr>
          <w:rStyle w:val="Code"/>
        </w:rPr>
        <w:t>/&gt;</w:t>
      </w:r>
    </w:p>
    <w:p w14:paraId="61D06BC0" w14:textId="77777777">
      <w:pPr>
        <w:pStyle w:val="Lista"/>
      </w:pPr>
      <w:r>
        <w:t xml:space="preserve">for an unknown number of lost (or illegible) lines, use </w:t>
      </w:r>
      <w:r>
        <w:rPr>
          <w:rStyle w:val="Codeattribute"/>
        </w:rPr>
        <w:t>@extent</w:t>
      </w:r>
      <w:r>
        <w:t xml:space="preserve"> with the value </w:t>
      </w:r>
      <w:r>
        <w:rPr>
          <w:rStyle w:val="Codevalue"/>
        </w:rPr>
        <w:t>"unknown"</w:t>
      </w:r>
      <w:r>
        <w:t xml:space="preserve"> (but retain </w:t>
      </w:r>
      <w:r>
        <w:rPr>
          <w:rStyle w:val="Codeattribute"/>
        </w:rPr>
        <w:t>@unit</w:t>
      </w:r>
      <w:r>
        <w:t xml:space="preserve"> with the value </w:t>
      </w:r>
      <w:r>
        <w:rPr>
          <w:rStyle w:val="Codevalue"/>
        </w:rPr>
        <w:t>"line"</w:t>
      </w:r>
      <w:r>
        <w:t xml:space="preserve"> to distinguish such lacunae from inline lacunae of unknown length)</w:t>
      </w:r>
    </w:p>
    <w:p w14:paraId="13C29B24" w14:textId="77777777">
      <w:pPr>
        <w:pStyle w:val="Lista2"/>
        <w:rPr>
          <w:rStyle w:val="Code"/>
          <w:rFonts w:ascii="Gentium" w:hAnsi="Gentium" w:cs="Tiro Devanagari Sanskrit"/>
          <w:noProof w:val="0"/>
          <w:color w:val="auto"/>
          <w:shd w:val="clear" w:color="auto" w:fill="auto"/>
        </w:rPr>
      </w:pPr>
      <w:r>
        <w:t xml:space="preserve">e.g.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/&gt;</w:t>
      </w:r>
    </w:p>
    <w:p w14:paraId="2BC66741" w14:textId="77777777">
      <w:pPr>
        <w:pStyle w:val="Lista"/>
      </w:pPr>
      <w:r>
        <w:t>if a multiline lacuna occurs at any place other than the end of an inscription, the editorial numbering of the extant lines will need special consideration, with the following general recommendations</w:t>
      </w:r>
    </w:p>
    <w:p w14:paraId="757404C6" w14:textId="77777777">
      <w:pPr>
        <w:pStyle w:val="Lista2"/>
      </w:pPr>
      <w:r>
        <w:t>if the number of lines in the lacuna is known precisely, it is best if you mentally assign numbers to these lines and start or continue numbering after the lacuna accordingly</w:t>
      </w:r>
    </w:p>
    <w:p w14:paraId="7EE809CD" w14:textId="77777777">
      <w:pPr>
        <w:pStyle w:val="Lista3"/>
      </w:pPr>
      <w:r>
        <w:t>for example, if an inscription has three extant lines, followed by a six-line lacuna and three more extant lines, then number the extant lines 1 to 3 and 10 to 12</w:t>
      </w:r>
    </w:p>
    <w:p w14:paraId="26CCF0A4" w14:textId="77777777">
      <w:pPr>
        <w:pStyle w:val="Lista2"/>
      </w:pPr>
      <w:r>
        <w:t>if the number of lines in the lacuna is unknown, disregard the lacuna and start or continue numbering extant lines consecutively</w:t>
      </w:r>
    </w:p>
    <w:p w14:paraId="1F387E19" w14:textId="77777777">
      <w:pPr>
        <w:pStyle w:val="Lista3"/>
      </w:pPr>
      <w:r>
        <w:t>for example, if an inscription has three extant lines, followed by an indeterminate lacuna and three more extant lines, then number the extant lines 1 to 3 and 4 to 6</w:t>
      </w:r>
    </w:p>
    <w:p w14:paraId="554A599A" w14:textId="77777777">
      <w:pPr>
        <w:pStyle w:val="Lista2"/>
      </w:pPr>
      <w:r>
        <w:t>if the number of lines in the lacuna is estimated, then choose one of the above methods at your discretion</w:t>
      </w:r>
    </w:p>
    <w:p w14:paraId="205C3E97" w14:textId="4102A52E">
      <w:pPr>
        <w:pStyle w:val="Lista"/>
      </w:pPr>
      <w:r>
        <w:t>additional considerations for the interaction of multiline lacunae with intrinsic and extrinsic structure are discussed in the section on massive lacunae (§</w:t>
      </w:r>
      <w:r>
        <w:fldChar w:fldCharType="begin"/>
      </w:r>
      <w:r>
        <w:instrText xml:space="preserve"> REF _Ref43981711 \w \h  \* MERGEFORMAT </w:instrText>
      </w:r>
      <w:r>
        <w:fldChar w:fldCharType="separate"/>
      </w:r>
      <w:r>
        <w:t>6.5.4</w:t>
      </w:r>
      <w:r>
        <w:fldChar w:fldCharType="end"/>
      </w:r>
      <w:r>
        <w:t>)</w:t>
      </w:r>
    </w:p>
    <w:p w14:paraId="0DD9F1F0" w14:textId="77777777">
      <w:pPr>
        <w:pStyle w:val="Cmsor4"/>
      </w:pPr>
      <w:bookmarkStart w:id="585" w:name="_Ref228262561"/>
      <w:r>
        <w:t>Possibly lost</w:t>
      </w:r>
      <w:bookmarkEnd w:id="585"/>
      <w:r>
        <w:t xml:space="preserve"> lines</w:t>
      </w:r>
    </w:p>
    <w:p w14:paraId="7D2337CF" w14:textId="538D676F">
      <w:pPr>
        <w:rPr>
          <w:lang w:eastAsia="en-US" w:bidi="ar-SA"/>
        </w:rPr>
      </w:pPr>
      <w:r>
        <w:rPr>
          <w:lang w:eastAsia="en-US" w:bidi="ar-SA"/>
        </w:rPr>
        <w:t xml:space="preserve">In some cases </w:t>
      </w:r>
      <w:r>
        <w:t>it is impossible to tell whether there were more lines to an inscription than are now extant. Such situations are best described in the annotation of an edition, but if you wish to represent it in encoding, proceed as follows.</w:t>
      </w:r>
    </w:p>
    <w:p w14:paraId="4B21062C" w14:textId="77D13820">
      <w:pPr>
        <w:pStyle w:val="Lista"/>
      </w:pPr>
      <w:r>
        <w:t xml:space="preserve">create a </w:t>
      </w:r>
      <w:r>
        <w:rPr>
          <w:rStyle w:val="Code"/>
        </w:rPr>
        <w:t>&lt;gap&gt;</w:t>
      </w:r>
      <w:r>
        <w:t xml:space="preserve"> element for a multiline lacuna (§</w:t>
      </w:r>
      <w:r>
        <w:fldChar w:fldCharType="begin"/>
      </w:r>
      <w:r>
        <w:instrText xml:space="preserve"> REF _Ref228349461 \r \h </w:instrText>
      </w:r>
      <w:r>
        <w:fldChar w:fldCharType="separate"/>
      </w:r>
      <w:r>
        <w:t>6.5.3.2</w:t>
      </w:r>
      <w:r>
        <w:fldChar w:fldCharType="end"/>
      </w:r>
      <w:r>
        <w:t>) even if you estimate or know the number of possibly lost lines to be small</w:t>
      </w:r>
    </w:p>
    <w:p w14:paraId="4CF69722" w14:textId="77777777">
      <w:pPr>
        <w:pStyle w:val="Lista2"/>
      </w:pPr>
      <w:r>
        <w:t xml:space="preserve">the value of </w:t>
      </w:r>
      <w:r>
        <w:rPr>
          <w:rStyle w:val="Codeattribute"/>
        </w:rPr>
        <w:t>@reason</w:t>
      </w:r>
      <w:r>
        <w:t xml:space="preserve"> shall always be </w:t>
      </w:r>
      <w:r>
        <w:rPr>
          <w:rStyle w:val="Codevalue"/>
        </w:rPr>
        <w:t>"lost"</w:t>
      </w:r>
      <w:r>
        <w:t xml:space="preserve"> in such a case</w:t>
      </w:r>
    </w:p>
    <w:p w14:paraId="2B10C254" w14:textId="77777777">
      <w:pPr>
        <w:pStyle w:val="Lista3"/>
      </w:pPr>
      <w:r>
        <w:t>just conceivably, the support might be extant but so effaced that it may or may not bear vestiges of writing, but this is for all practical purposes equivalent to saying that the writing (if it ever existed) is now lost</w:t>
      </w:r>
    </w:p>
    <w:p w14:paraId="3CFBD53A" w14:textId="77777777">
      <w:pPr>
        <w:pStyle w:val="Lista"/>
      </w:pPr>
      <w:r>
        <w:t xml:space="preserve">within this element, add </w:t>
      </w:r>
      <w:r>
        <w:rPr>
          <w:rStyle w:val="Code"/>
        </w:rPr>
        <w:t xml:space="preserve">&lt;certainty </w:t>
      </w:r>
      <w:r>
        <w:rPr>
          <w:rStyle w:val="Codeattribute"/>
        </w:rPr>
        <w:t>match</w:t>
      </w:r>
      <w:r>
        <w:rPr>
          <w:rStyle w:val="Code"/>
        </w:rPr>
        <w:t>=</w:t>
      </w:r>
      <w:r>
        <w:rPr>
          <w:rStyle w:val="Codevalue"/>
        </w:rPr>
        <w:t xml:space="preserve">".." </w:t>
      </w:r>
      <w:r>
        <w:rPr>
          <w:rStyle w:val="Codeattribute"/>
        </w:rPr>
        <w:t>locus</w:t>
      </w:r>
      <w:r>
        <w:rPr>
          <w:rStyle w:val="Code"/>
        </w:rPr>
        <w:t>=</w:t>
      </w:r>
      <w:r>
        <w:rPr>
          <w:rStyle w:val="Codevalue"/>
        </w:rPr>
        <w:t>"name"</w:t>
      </w:r>
      <w:r>
        <w:rPr>
          <w:rStyle w:val="Code"/>
        </w:rPr>
        <w:t>/&gt;</w:t>
      </w:r>
      <w:r>
        <w:t>, where</w:t>
      </w:r>
    </w:p>
    <w:p w14:paraId="242FDB34" w14:textId="77777777">
      <w:pPr>
        <w:pStyle w:val="Lista2"/>
      </w:pPr>
      <w:r>
        <w:rPr>
          <w:rStyle w:val="Codeattribute"/>
        </w:rPr>
        <w:t>@match</w:t>
      </w:r>
      <w:r>
        <w:rPr>
          <w:rStyle w:val="Code"/>
        </w:rPr>
        <w:t>=</w:t>
      </w:r>
      <w:r>
        <w:rPr>
          <w:rStyle w:val="Codevalue"/>
        </w:rPr>
        <w:t>".."</w:t>
      </w:r>
      <w:r>
        <w:t xml:space="preserve"> indicates that we are making a statement regarding certainty</w:t>
      </w:r>
      <w:r>
        <w:rPr>
          <w:rStyle w:val="Lbjegyzet-hivatkozs"/>
        </w:rPr>
        <w:footnoteReference w:id="32"/>
      </w:r>
      <w:r>
        <w:t xml:space="preserve"> applicable to the parent element </w:t>
      </w:r>
      <w:r>
        <w:rPr>
          <w:noProof/>
        </w:rPr>
        <w:t>(</w:t>
      </w:r>
      <w:r>
        <w:t xml:space="preserve">i.e. </w:t>
      </w:r>
      <w:r>
        <w:rPr>
          <w:rStyle w:val="Code"/>
        </w:rPr>
        <w:t>&lt;gap&gt;</w:t>
      </w:r>
      <w:r>
        <w:t>)</w:t>
      </w:r>
    </w:p>
    <w:p w14:paraId="5AF91828" w14:textId="77777777">
      <w:pPr>
        <w:pStyle w:val="Lista2"/>
      </w:pPr>
      <w:r>
        <w:rPr>
          <w:rStyle w:val="Codeattribute"/>
        </w:rPr>
        <w:t>@locus</w:t>
      </w:r>
      <w:r>
        <w:rPr>
          <w:rStyle w:val="Code"/>
        </w:rPr>
        <w:t>=</w:t>
      </w:r>
      <w:r>
        <w:rPr>
          <w:rStyle w:val="Codevalue"/>
        </w:rPr>
        <w:t>"name"</w:t>
      </w:r>
      <w:r>
        <w:t xml:space="preserve"> indicates that the uncertainty concerns the name of the parent element </w:t>
      </w:r>
      <w:r>
        <w:rPr>
          <w:noProof/>
        </w:rPr>
        <w:t xml:space="preserve">(viz. “gap”, </w:t>
      </w:r>
      <w:r>
        <w:t>and thus the fact that what we have there is a lacuna)</w:t>
      </w:r>
    </w:p>
    <w:p w14:paraId="21208E33" w14:textId="77777777">
      <w:pPr>
        <w:pStyle w:val="Lista2"/>
      </w:pPr>
      <w:r>
        <w:t xml:space="preserve">note that in this single case, the </w:t>
      </w:r>
      <w:r>
        <w:rPr>
          <w:rStyle w:val="Code"/>
        </w:rPr>
        <w:t>&lt;gap&gt;</w:t>
      </w:r>
      <w:r>
        <w:t xml:space="preserve"> element is not empty but comprised of separate opening and closing tags wrapping the </w:t>
      </w:r>
      <w:r>
        <w:rPr>
          <w:rStyle w:val="Code"/>
        </w:rPr>
        <w:t>&lt;certainty&gt;</w:t>
      </w:r>
      <w:r>
        <w:t xml:space="preserve"> element</w:t>
      </w:r>
    </w:p>
    <w:p w14:paraId="78FC01EE" w14:textId="77777777">
      <w:pPr>
        <w:pStyle w:val="Lista"/>
      </w:pPr>
      <w:r>
        <w:t>for example,</w:t>
      </w:r>
    </w:p>
    <w:p w14:paraId="76E30BA2" w14:textId="77777777">
      <w:pPr>
        <w:pStyle w:val="Lista2"/>
      </w:pPr>
      <w:r>
        <w:t xml:space="preserve">one line possibly lost: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"line"</w:t>
      </w:r>
      <w:r>
        <w:rPr>
          <w:rStyle w:val="Code"/>
        </w:rPr>
        <w:t xml:space="preserve">&gt;&lt;certainty </w:t>
      </w:r>
      <w:r>
        <w:rPr>
          <w:rStyle w:val="Codeattribute"/>
        </w:rPr>
        <w:t>match</w:t>
      </w:r>
      <w:r>
        <w:rPr>
          <w:rStyle w:val="Code"/>
        </w:rPr>
        <w:t>=</w:t>
      </w:r>
      <w:r>
        <w:rPr>
          <w:rStyle w:val="Codevalue"/>
        </w:rPr>
        <w:t>".."</w:t>
      </w:r>
      <w:r>
        <w:rPr>
          <w:rStyle w:val="Code"/>
        </w:rPr>
        <w:t xml:space="preserve"> </w:t>
      </w:r>
      <w:r>
        <w:rPr>
          <w:rStyle w:val="Codeattribute"/>
        </w:rPr>
        <w:t>locus</w:t>
      </w:r>
      <w:r>
        <w:rPr>
          <w:rStyle w:val="Code"/>
        </w:rPr>
        <w:t>=</w:t>
      </w:r>
      <w:r>
        <w:rPr>
          <w:rStyle w:val="Codevalue"/>
        </w:rPr>
        <w:t>"name"</w:t>
      </w:r>
      <w:r>
        <w:rPr>
          <w:rStyle w:val="Code"/>
        </w:rPr>
        <w:t>/&gt;&lt;/gap&gt;</w:t>
      </w:r>
    </w:p>
    <w:p w14:paraId="7F422F92" w14:textId="77777777">
      <w:pPr>
        <w:pStyle w:val="Lista2"/>
      </w:pPr>
      <w:bookmarkStart w:id="586" w:name="_2xcytpi" w:colFirst="0" w:colLast="0"/>
      <w:bookmarkEnd w:id="586"/>
      <w:r>
        <w:t xml:space="preserve">approximately two lines possibly lost: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"2"</w:t>
      </w:r>
      <w:r>
        <w:rPr>
          <w:rStyle w:val="Code"/>
        </w:rPr>
        <w:t xml:space="preserve"> </w:t>
      </w:r>
      <w:r>
        <w:rPr>
          <w:rStyle w:val="Codeattribute"/>
        </w:rPr>
        <w:t>unit</w:t>
      </w:r>
      <w:r>
        <w:rPr>
          <w:rStyle w:val="Code"/>
        </w:rPr>
        <w:t>=</w:t>
      </w:r>
      <w:r>
        <w:rPr>
          <w:rStyle w:val="Codevalue"/>
        </w:rPr>
        <w:t>"line"</w:t>
      </w:r>
      <w:r>
        <w:rPr>
          <w:rStyle w:val="Code"/>
        </w:rPr>
        <w:t xml:space="preserve"> </w:t>
      </w:r>
      <w:r>
        <w:rPr>
          <w:rStyle w:val="Codeattribute"/>
        </w:rPr>
        <w:t>precision</w:t>
      </w:r>
      <w:r>
        <w:rPr>
          <w:rStyle w:val="Code"/>
        </w:rPr>
        <w:t>=</w:t>
      </w:r>
      <w:r>
        <w:rPr>
          <w:rStyle w:val="Codevalue"/>
        </w:rPr>
        <w:t>"low"</w:t>
      </w:r>
      <w:r>
        <w:rPr>
          <w:rStyle w:val="Code"/>
        </w:rPr>
        <w:t xml:space="preserve">&gt;&lt;certainty </w:t>
      </w:r>
      <w:r>
        <w:rPr>
          <w:rStyle w:val="Codeattribute"/>
        </w:rPr>
        <w:t>match</w:t>
      </w:r>
      <w:r>
        <w:rPr>
          <w:rStyle w:val="Code"/>
        </w:rPr>
        <w:t>=</w:t>
      </w:r>
      <w:r>
        <w:rPr>
          <w:rStyle w:val="Codevalue"/>
        </w:rPr>
        <w:t>".."</w:t>
      </w:r>
      <w:r>
        <w:rPr>
          <w:rStyle w:val="Code"/>
        </w:rPr>
        <w:t xml:space="preserve"> </w:t>
      </w:r>
      <w:r>
        <w:rPr>
          <w:rStyle w:val="Codeattribute"/>
        </w:rPr>
        <w:t>locus</w:t>
      </w:r>
      <w:r>
        <w:rPr>
          <w:rStyle w:val="Code"/>
        </w:rPr>
        <w:t>=</w:t>
      </w:r>
      <w:r>
        <w:rPr>
          <w:rStyle w:val="Codevalue"/>
        </w:rPr>
        <w:t>"name"</w:t>
      </w:r>
      <w:r>
        <w:rPr>
          <w:rStyle w:val="Code"/>
        </w:rPr>
        <w:t>/&gt;&lt;/gap&gt;</w:t>
      </w:r>
    </w:p>
    <w:p w14:paraId="2927FFA2" w14:textId="77777777">
      <w:pPr>
        <w:pStyle w:val="Lista2"/>
      </w:pPr>
      <w:bookmarkStart w:id="587" w:name="_dag8mx6ycrl2" w:colFirst="0" w:colLast="0"/>
      <w:bookmarkEnd w:id="587"/>
      <w:r>
        <w:t xml:space="preserve">any number of lines possibly lost: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 xml:space="preserve">&gt;&lt;certainty </w:t>
      </w:r>
      <w:r>
        <w:rPr>
          <w:rStyle w:val="Codeattribute"/>
        </w:rPr>
        <w:t>match</w:t>
      </w:r>
      <w:r>
        <w:rPr>
          <w:rStyle w:val="Code"/>
        </w:rPr>
        <w:t>=</w:t>
      </w:r>
      <w:r>
        <w:rPr>
          <w:rStyle w:val="Codevalue"/>
        </w:rPr>
        <w:t>".."</w:t>
      </w:r>
      <w:r>
        <w:rPr>
          <w:rStyle w:val="Code"/>
        </w:rPr>
        <w:t xml:space="preserve"> </w:t>
      </w:r>
      <w:r>
        <w:rPr>
          <w:rStyle w:val="Codeattribute"/>
        </w:rPr>
        <w:t>locus</w:t>
      </w:r>
      <w:r>
        <w:rPr>
          <w:rStyle w:val="Code"/>
        </w:rPr>
        <w:t>=</w:t>
      </w:r>
      <w:r>
        <w:rPr>
          <w:rStyle w:val="Codevalue"/>
        </w:rPr>
        <w:t>"name"</w:t>
      </w:r>
      <w:r>
        <w:rPr>
          <w:rStyle w:val="Code"/>
        </w:rPr>
        <w:t>/&gt;&lt;/gap&gt;</w:t>
      </w:r>
    </w:p>
    <w:p w14:paraId="7E86AC9C" w14:textId="77777777">
      <w:pPr>
        <w:pStyle w:val="Cmsor3"/>
      </w:pPr>
      <w:bookmarkStart w:id="588" w:name="_bj792jk8c4tv" w:colFirst="0" w:colLast="0"/>
      <w:bookmarkStart w:id="589" w:name="_Ref43981711"/>
      <w:bookmarkStart w:id="590" w:name="_Toc242889530"/>
      <w:bookmarkEnd w:id="588"/>
      <w:r>
        <w:lastRenderedPageBreak/>
        <w:t>Managing massive lacunae</w:t>
      </w:r>
      <w:bookmarkEnd w:id="589"/>
      <w:bookmarkEnd w:id="590"/>
    </w:p>
    <w:p w14:paraId="0F98D6CF" w14:textId="6728A4C3">
      <w:pPr>
        <w:rPr>
          <w:lang w:eastAsia="en-US" w:bidi="ar-SA"/>
        </w:rPr>
      </w:pPr>
      <w:r>
        <w:rPr>
          <w:lang w:eastAsia="en-US" w:bidi="ar-SA"/>
        </w:rPr>
        <w:t>The preferred method for dealing with lacunae extending over more than one line of text is to reconstruct the lost line beginnings and populate each reconstructed line with an inline lacuna as per §</w:t>
      </w:r>
      <w:r>
        <w:rPr>
          <w:lang w:eastAsia="en-US" w:bidi="ar-SA"/>
        </w:rPr>
        <w:fldChar w:fldCharType="begin"/>
      </w:r>
      <w:r>
        <w:rPr>
          <w:lang w:eastAsia="en-US" w:bidi="ar-SA"/>
        </w:rPr>
        <w:instrText xml:space="preserve"> REF _Ref228368995 \r \h </w:instrText>
      </w:r>
      <w:r>
        <w:rPr>
          <w:lang w:eastAsia="en-US" w:bidi="ar-SA"/>
        </w:rPr>
      </w:r>
      <w:r>
        <w:rPr>
          <w:lang w:eastAsia="en-US" w:bidi="ar-SA"/>
        </w:rPr>
        <w:fldChar w:fldCharType="separate"/>
      </w:r>
      <w:r>
        <w:rPr>
          <w:lang w:eastAsia="en-US" w:bidi="ar-SA"/>
        </w:rPr>
        <w:t>6.5.3.1</w:t>
      </w:r>
      <w:r>
        <w:rPr>
          <w:lang w:eastAsia="en-US" w:bidi="ar-SA"/>
        </w:rPr>
        <w:fldChar w:fldCharType="end"/>
      </w:r>
      <w:r>
        <w:rPr>
          <w:lang w:eastAsia="en-US" w:bidi="ar-SA"/>
        </w:rPr>
        <w:t xml:space="preserve">. However, extensive lacunae can make it impossible or at least unfeasible to fully reconstruct the extrinsic and/or intrinsic structure of a text. When this happens, we speak of a massive lacuna. </w:t>
      </w:r>
    </w:p>
    <w:p w14:paraId="757579AB" w14:textId="6ED33B7C">
      <w:pPr>
        <w:pStyle w:val="Normlbehzs"/>
        <w:rPr>
          <w:lang w:eastAsia="en-US" w:bidi="ar-SA"/>
        </w:rPr>
      </w:pPr>
      <w:r>
        <w:rPr>
          <w:lang w:eastAsia="en-US" w:bidi="ar-SA"/>
        </w:rPr>
        <w:t>Around massive lacunae (i.e. at the points where a massive lacuna meets the extant text), we must still create the essential minimum of structural elements for any text that is present in the edition, but the lacuna itself will in this case be encoded outside the usual text containers and does not need to be divided into parts corresponding to lost lines or other units of extrinsic structure. Importantly, however, some text can often be restored (</w:t>
      </w:r>
      <w:r>
        <w:t>§</w:t>
      </w:r>
      <w:r>
        <w:fldChar w:fldCharType="begin"/>
      </w:r>
      <w:r>
        <w:instrText xml:space="preserve"> REF _Ref228459751 \r \h </w:instrText>
      </w:r>
      <w:r>
        <w:fldChar w:fldCharType="separate"/>
      </w:r>
      <w:r>
        <w:t>6.4</w:t>
      </w:r>
      <w:r>
        <w:fldChar w:fldCharType="end"/>
      </w:r>
      <w:r>
        <w:rPr>
          <w:lang w:eastAsia="en-US" w:bidi="ar-SA"/>
        </w:rPr>
        <w:t xml:space="preserve">) at the edge of a massive lacuna, such as the end of a word at the start of the lacuna, or the beginning of a word at the end of the lacuna. Restored text is no less available in the edition than extant text read from the source, so any applicable structural elements must also be present for restored text. The basic framework for encoding a massive lacuna is illustrated in </w:t>
      </w:r>
      <w:r>
        <w:rPr>
          <w:lang w:eastAsia="en-US" w:bidi="ar-SA"/>
        </w:rPr>
        <w:fldChar w:fldCharType="begin"/>
      </w:r>
      <w:r>
        <w:rPr>
          <w:lang w:eastAsia="en-US" w:bidi="ar-SA"/>
        </w:rPr>
        <w:instrText xml:space="preserve"> REF _Ref228352584 \h </w:instrText>
      </w:r>
      <w:r>
        <w:rPr>
          <w:lang w:eastAsia="en-US" w:bidi="ar-SA"/>
        </w:rPr>
      </w:r>
      <w:r>
        <w:rPr>
          <w:lang w:eastAsia="en-US" w:bidi="ar-SA"/>
        </w:rPr>
        <w:fldChar w:fldCharType="separate"/>
      </w:r>
      <w:r>
        <w:t xml:space="preserve">Exhibit </w:t>
      </w:r>
      <w:r>
        <w:rPr>
          <w:noProof/>
        </w:rPr>
        <w:t>6.5</w:t>
      </w:r>
      <w:r>
        <w:t>.</w:t>
      </w:r>
      <w:r>
        <w:rPr>
          <w:noProof/>
        </w:rPr>
        <w:t>F</w:t>
      </w:r>
      <w:r>
        <w:rPr>
          <w:lang w:eastAsia="en-US" w:bidi="ar-SA"/>
        </w:rPr>
        <w:fldChar w:fldCharType="end"/>
      </w:r>
      <w:r>
        <w:rPr>
          <w:lang w:eastAsia="en-US" w:bidi="ar-SA"/>
        </w:rPr>
        <w:t>, which shows a massive medial lacuna (i.e. one in the middle of a text). The part of the table up to the lacuna is applicable to all situations where text is available before a lacuna, and the part of the table from the lacuna onward is applicable to all situations where text is available after a lacuna.</w:t>
      </w:r>
    </w:p>
    <w:p w14:paraId="36C99759" w14:textId="77777777">
      <w:pPr>
        <w:pStyle w:val="Normlbehzs"/>
        <w:rPr>
          <w:lang w:eastAsia="en-US" w:bidi="ar-SA"/>
        </w:rPr>
      </w:pPr>
      <w:r>
        <w:rPr>
          <w:lang w:eastAsia="en-US" w:bidi="ar-SA"/>
        </w:rPr>
        <w:t>Throughout this section, ‘available text’ includes both extant text (readings) and supplied text (restorations), while ‘unavailable text’ refers to text that is lost and not restored.</w:t>
      </w:r>
    </w:p>
    <w:p w14:paraId="6EBFFF7B" w14:textId="77777777">
      <w:pPr>
        <w:rPr>
          <w:lang w:eastAsia="en-US" w:bidi="ar-SA"/>
        </w:rPr>
      </w:pPr>
    </w:p>
    <w:tbl>
      <w:tblPr>
        <w:tblStyle w:val="FigureTable"/>
        <w:tblW w:w="0" w:type="auto"/>
        <w:tblLook w:val="04A0" w:firstRow="1" w:lastRow="0" w:firstColumn="1" w:lastColumn="0" w:noHBand="0" w:noVBand="1"/>
      </w:tblPr>
      <w:tblGrid>
        <w:gridCol w:w="2263"/>
        <w:gridCol w:w="3682"/>
        <w:gridCol w:w="3683"/>
      </w:tblGrid>
      <w:tr w14:paraId="11C847A1" w14:textId="77777777">
        <w:trPr>
          <w:cnfStyle w:val="100000000000" w:firstRow="1" w:lastRow="0" w:firstColumn="0" w:lastColumn="0" w:oddVBand="0" w:evenVBand="0" w:oddHBand="0" w:evenHBand="0" w:firstRowFirstColumn="0" w:firstRowLastColumn="0" w:lastRowFirstColumn="0" w:lastRowLastColumn="0"/>
        </w:trPr>
        <w:tc>
          <w:tcPr>
            <w:tcW w:w="9628" w:type="dxa"/>
            <w:gridSpan w:val="3"/>
          </w:tcPr>
          <w:p w14:paraId="56B8FCD4" w14:textId="7326CFFE">
            <w:pPr>
              <w:pStyle w:val="Kpalrs"/>
              <w:rPr>
                <w:lang w:eastAsia="en-US" w:bidi="ar-SA"/>
              </w:rPr>
            </w:pPr>
            <w:bookmarkStart w:id="591" w:name="_Ref228352584"/>
            <w:r>
              <w:t xml:space="preserve">Exhibit </w:t>
            </w:r>
            <w:fldSimple w:instr=" STYLEREF 2 \s ">
              <w:r>
                <w:rPr>
                  <w:noProof/>
                </w:rPr>
                <w:t>6.5</w:t>
              </w:r>
            </w:fldSimple>
            <w:r>
              <w:t>.</w:t>
            </w:r>
            <w:fldSimple w:instr=" SEQ Exhibit \* ALPHABETIC \s 2 ">
              <w:r>
                <w:rPr>
                  <w:noProof/>
                </w:rPr>
                <w:t>F</w:t>
              </w:r>
            </w:fldSimple>
            <w:bookmarkEnd w:id="591"/>
            <w:r>
              <w:t>: structure around a massive lacuna</w:t>
            </w:r>
          </w:p>
        </w:tc>
      </w:tr>
      <w:tr w14:paraId="7020762F" w14:textId="77777777">
        <w:tc>
          <w:tcPr>
            <w:tcW w:w="2263" w:type="dxa"/>
            <w:tcBorders>
              <w:right w:val="single" w:sz="4" w:space="0" w:color="auto"/>
            </w:tcBorders>
            <w:shd w:val="clear" w:color="auto" w:fill="F0F7D7"/>
          </w:tcPr>
          <w:p w14:paraId="4B70B392" w14:textId="77777777">
            <w:pPr>
              <w:jc w:val="right"/>
              <w:rPr>
                <w:b/>
                <w:bCs/>
                <w:lang w:eastAsia="en-US" w:bidi="ar-SA"/>
              </w:rPr>
            </w:pPr>
          </w:p>
        </w:tc>
        <w:tc>
          <w:tcPr>
            <w:tcW w:w="3682" w:type="dxa"/>
            <w:tcBorders>
              <w:left w:val="single" w:sz="4" w:space="0" w:color="auto"/>
              <w:right w:val="single" w:sz="4" w:space="0" w:color="auto"/>
            </w:tcBorders>
            <w:shd w:val="clear" w:color="auto" w:fill="F0F7D7"/>
          </w:tcPr>
          <w:p w14:paraId="3DA5B7D7" w14:textId="77777777">
            <w:pPr>
              <w:jc w:val="center"/>
              <w:rPr>
                <w:b/>
                <w:bCs/>
                <w:lang w:eastAsia="en-US" w:bidi="ar-SA"/>
              </w:rPr>
            </w:pPr>
            <w:r>
              <w:rPr>
                <w:b/>
                <w:bCs/>
                <w:lang w:eastAsia="en-US" w:bidi="ar-SA"/>
              </w:rPr>
              <w:t>intrinsic structure</w:t>
            </w:r>
          </w:p>
        </w:tc>
        <w:tc>
          <w:tcPr>
            <w:tcW w:w="3683" w:type="dxa"/>
            <w:tcBorders>
              <w:left w:val="single" w:sz="4" w:space="0" w:color="auto"/>
            </w:tcBorders>
            <w:shd w:val="clear" w:color="auto" w:fill="F0F7D7"/>
          </w:tcPr>
          <w:p w14:paraId="198A77BE" w14:textId="77777777">
            <w:pPr>
              <w:jc w:val="center"/>
              <w:rPr>
                <w:b/>
                <w:bCs/>
                <w:lang w:eastAsia="en-US" w:bidi="ar-SA"/>
              </w:rPr>
            </w:pPr>
            <w:r>
              <w:rPr>
                <w:b/>
                <w:bCs/>
                <w:lang w:eastAsia="en-US" w:bidi="ar-SA"/>
              </w:rPr>
              <w:t>extrinsic structure</w:t>
            </w:r>
          </w:p>
        </w:tc>
      </w:tr>
      <w:tr w14:paraId="541F0674" w14:textId="77777777">
        <w:tc>
          <w:tcPr>
            <w:tcW w:w="2263" w:type="dxa"/>
            <w:tcBorders>
              <w:right w:val="single" w:sz="4" w:space="0" w:color="auto"/>
            </w:tcBorders>
            <w:shd w:val="clear" w:color="auto" w:fill="FFFF00"/>
          </w:tcPr>
          <w:p w14:paraId="2862D1D3" w14:textId="77777777">
            <w:pPr>
              <w:jc w:val="right"/>
              <w:rPr>
                <w:b/>
                <w:bCs/>
                <w:lang w:eastAsia="en-US" w:bidi="ar-SA"/>
              </w:rPr>
            </w:pPr>
            <w:r>
              <w:rPr>
                <w:b/>
                <w:bCs/>
                <w:lang w:eastAsia="en-US" w:bidi="ar-SA"/>
              </w:rPr>
              <w:t>structure start</w:t>
            </w:r>
          </w:p>
        </w:tc>
        <w:tc>
          <w:tcPr>
            <w:tcW w:w="3682" w:type="dxa"/>
            <w:tcBorders>
              <w:left w:val="single" w:sz="4" w:space="0" w:color="auto"/>
              <w:right w:val="single" w:sz="4" w:space="0" w:color="auto"/>
            </w:tcBorders>
          </w:tcPr>
          <w:p w14:paraId="72186317" w14:textId="77777777">
            <w:pPr>
              <w:jc w:val="center"/>
              <w:rPr>
                <w:lang w:eastAsia="en-US" w:bidi="ar-SA"/>
              </w:rPr>
            </w:pPr>
            <w:r>
              <w:rPr>
                <w:rStyle w:val="Code"/>
                <w:lang w:eastAsia="en-US" w:bidi="ar-SA"/>
              </w:rPr>
              <w:t>&lt;p</w:t>
            </w:r>
            <w:r>
              <w:rPr>
                <w:rStyle w:val="Codeattribute"/>
              </w:rPr>
              <w:t xml:space="preserve"> part</w:t>
            </w:r>
            <w:r>
              <w:rPr>
                <w:rStyle w:val="Code"/>
              </w:rPr>
              <w:t>=</w:t>
            </w:r>
            <w:r>
              <w:rPr>
                <w:rStyle w:val="Codevalue"/>
              </w:rPr>
              <w:t>"I"</w:t>
            </w:r>
            <w:r>
              <w:rPr>
                <w:rStyle w:val="Code"/>
                <w:lang w:eastAsia="en-US" w:bidi="ar-SA"/>
              </w:rPr>
              <w:t>&gt;</w:t>
            </w:r>
          </w:p>
        </w:tc>
        <w:tc>
          <w:tcPr>
            <w:tcW w:w="3683" w:type="dxa"/>
            <w:tcBorders>
              <w:left w:val="single" w:sz="4" w:space="0" w:color="auto"/>
            </w:tcBorders>
          </w:tcPr>
          <w:p w14:paraId="2C9E6896" w14:textId="77777777">
            <w:pPr>
              <w:jc w:val="center"/>
              <w:rPr>
                <w:lang w:eastAsia="en-US" w:bidi="ar-SA"/>
              </w:rPr>
            </w:pPr>
            <w:r>
              <w:rPr>
                <w:rStyle w:val="Code"/>
                <w:lang w:eastAsia="en-US" w:bidi="ar-SA"/>
              </w:rPr>
              <w:t>&lt;lb</w:t>
            </w:r>
            <w:r>
              <w:rPr>
                <w:rStyle w:val="Codeattribute"/>
              </w:rPr>
              <w:t xml:space="preserve"> n</w:t>
            </w:r>
            <w:r>
              <w:rPr>
                <w:rStyle w:val="Code"/>
              </w:rPr>
              <w:t>=</w:t>
            </w:r>
            <w:r>
              <w:rPr>
                <w:rStyle w:val="Codevalue"/>
              </w:rPr>
              <w:t>"x"/</w:t>
            </w:r>
            <w:r>
              <w:rPr>
                <w:rStyle w:val="Code"/>
                <w:lang w:eastAsia="en-US" w:bidi="ar-SA"/>
              </w:rPr>
              <w:t>&gt;</w:t>
            </w:r>
          </w:p>
        </w:tc>
      </w:tr>
      <w:tr w14:paraId="5BEEB60D" w14:textId="77777777">
        <w:tc>
          <w:tcPr>
            <w:tcW w:w="2263" w:type="dxa"/>
            <w:tcBorders>
              <w:right w:val="single" w:sz="4" w:space="0" w:color="auto"/>
            </w:tcBorders>
            <w:shd w:val="clear" w:color="auto" w:fill="FFFFFF" w:themeFill="background1"/>
          </w:tcPr>
          <w:p w14:paraId="45476050" w14:textId="77777777">
            <w:pPr>
              <w:jc w:val="right"/>
              <w:rPr>
                <w:b/>
                <w:bCs/>
                <w:lang w:eastAsia="en-US" w:bidi="ar-SA"/>
              </w:rPr>
            </w:pPr>
            <w:r>
              <w:rPr>
                <w:b/>
                <w:bCs/>
                <w:lang w:eastAsia="en-US" w:bidi="ar-SA"/>
              </w:rPr>
              <w:t>extant text</w:t>
            </w:r>
          </w:p>
        </w:tc>
        <w:tc>
          <w:tcPr>
            <w:tcW w:w="7365" w:type="dxa"/>
            <w:gridSpan w:val="2"/>
            <w:tcBorders>
              <w:left w:val="single" w:sz="4" w:space="0" w:color="auto"/>
            </w:tcBorders>
          </w:tcPr>
          <w:p w14:paraId="5E46C489" w14:textId="77777777">
            <w:pPr>
              <w:jc w:val="center"/>
              <w:rPr>
                <w:rStyle w:val="Code"/>
                <w:lang w:eastAsia="en-US" w:bidi="ar-SA"/>
              </w:rPr>
            </w:pPr>
            <w:r>
              <w:rPr>
                <w:lang w:eastAsia="en-US" w:bidi="ar-SA"/>
              </w:rPr>
              <w:t>abc</w:t>
            </w:r>
          </w:p>
        </w:tc>
      </w:tr>
      <w:tr w14:paraId="3A5FAF98" w14:textId="77777777">
        <w:tc>
          <w:tcPr>
            <w:tcW w:w="2263" w:type="dxa"/>
            <w:tcBorders>
              <w:right w:val="single" w:sz="4" w:space="0" w:color="auto"/>
            </w:tcBorders>
            <w:shd w:val="clear" w:color="auto" w:fill="D9D9D9" w:themeFill="background1" w:themeFillShade="D9"/>
          </w:tcPr>
          <w:p w14:paraId="6FCAFB58" w14:textId="77777777">
            <w:pPr>
              <w:jc w:val="right"/>
              <w:rPr>
                <w:b/>
                <w:bCs/>
                <w:lang w:eastAsia="en-US" w:bidi="ar-SA"/>
              </w:rPr>
            </w:pPr>
            <w:r>
              <w:rPr>
                <w:b/>
                <w:bCs/>
                <w:lang w:eastAsia="en-US" w:bidi="ar-SA"/>
              </w:rPr>
              <w:t>restored text</w:t>
            </w:r>
          </w:p>
        </w:tc>
        <w:tc>
          <w:tcPr>
            <w:tcW w:w="7365" w:type="dxa"/>
            <w:gridSpan w:val="2"/>
            <w:tcBorders>
              <w:left w:val="single" w:sz="4" w:space="0" w:color="auto"/>
            </w:tcBorders>
          </w:tcPr>
          <w:p w14:paraId="59194B04" w14:textId="77777777">
            <w:pPr>
              <w:jc w:val="center"/>
              <w:rPr>
                <w:lang w:eastAsia="en-US" w:bidi="ar-SA"/>
              </w:rPr>
            </w:pPr>
            <w:r>
              <w:rPr>
                <w:rStyle w:val="Code"/>
                <w:lang w:eastAsia="en-US" w:bidi="ar-SA"/>
              </w:rPr>
              <w:t>&lt;supplied&gt;</w:t>
            </w:r>
            <w:r>
              <w:rPr>
                <w:lang w:eastAsia="en-US" w:bidi="ar-SA"/>
              </w:rPr>
              <w:t>def</w:t>
            </w:r>
            <w:r>
              <w:rPr>
                <w:rStyle w:val="Code"/>
                <w:lang w:eastAsia="en-US" w:bidi="ar-SA"/>
              </w:rPr>
              <w:t>&lt;/supplied&gt;</w:t>
            </w:r>
          </w:p>
        </w:tc>
      </w:tr>
      <w:tr w14:paraId="5172C1A5" w14:textId="77777777">
        <w:tc>
          <w:tcPr>
            <w:tcW w:w="2263" w:type="dxa"/>
            <w:tcBorders>
              <w:right w:val="single" w:sz="4" w:space="0" w:color="auto"/>
            </w:tcBorders>
            <w:shd w:val="clear" w:color="auto" w:fill="FFFF00"/>
          </w:tcPr>
          <w:p w14:paraId="03E03D94" w14:textId="77777777">
            <w:pPr>
              <w:jc w:val="right"/>
              <w:rPr>
                <w:b/>
                <w:bCs/>
                <w:lang w:eastAsia="en-US" w:bidi="ar-SA"/>
              </w:rPr>
            </w:pPr>
            <w:r>
              <w:rPr>
                <w:b/>
                <w:bCs/>
                <w:lang w:eastAsia="en-US" w:bidi="ar-SA"/>
              </w:rPr>
              <w:t>structure end</w:t>
            </w:r>
          </w:p>
        </w:tc>
        <w:tc>
          <w:tcPr>
            <w:tcW w:w="3682" w:type="dxa"/>
            <w:tcBorders>
              <w:left w:val="single" w:sz="4" w:space="0" w:color="auto"/>
              <w:right w:val="single" w:sz="4" w:space="0" w:color="auto"/>
            </w:tcBorders>
          </w:tcPr>
          <w:p w14:paraId="4CA704B2" w14:textId="77777777">
            <w:pPr>
              <w:jc w:val="center"/>
              <w:rPr>
                <w:lang w:eastAsia="en-US" w:bidi="ar-SA"/>
              </w:rPr>
            </w:pPr>
            <w:r>
              <w:rPr>
                <w:rStyle w:val="Code"/>
                <w:lang w:eastAsia="en-US" w:bidi="ar-SA"/>
              </w:rPr>
              <w:t>&lt;/p&gt;</w:t>
            </w:r>
          </w:p>
        </w:tc>
        <w:tc>
          <w:tcPr>
            <w:tcW w:w="3683" w:type="dxa"/>
            <w:tcBorders>
              <w:left w:val="single" w:sz="4" w:space="0" w:color="auto"/>
            </w:tcBorders>
          </w:tcPr>
          <w:p w14:paraId="3E6C07C4" w14:textId="77777777">
            <w:pPr>
              <w:jc w:val="center"/>
              <w:rPr>
                <w:lang w:eastAsia="en-US" w:bidi="ar-SA"/>
              </w:rPr>
            </w:pPr>
          </w:p>
        </w:tc>
      </w:tr>
      <w:tr w14:paraId="461AA154" w14:textId="77777777">
        <w:tc>
          <w:tcPr>
            <w:tcW w:w="2263" w:type="dxa"/>
            <w:tcBorders>
              <w:right w:val="single" w:sz="4" w:space="0" w:color="auto"/>
            </w:tcBorders>
            <w:shd w:val="clear" w:color="auto" w:fill="000000" w:themeFill="text1"/>
          </w:tcPr>
          <w:p w14:paraId="3A7BAFCF" w14:textId="77777777">
            <w:pPr>
              <w:jc w:val="right"/>
              <w:rPr>
                <w:b/>
                <w:bCs/>
                <w:lang w:eastAsia="en-US" w:bidi="ar-SA"/>
              </w:rPr>
            </w:pPr>
            <w:r>
              <w:rPr>
                <w:b/>
                <w:bCs/>
                <w:lang w:eastAsia="en-US" w:bidi="ar-SA"/>
              </w:rPr>
              <w:t>unavailable text</w:t>
            </w:r>
          </w:p>
        </w:tc>
        <w:tc>
          <w:tcPr>
            <w:tcW w:w="7365" w:type="dxa"/>
            <w:gridSpan w:val="2"/>
            <w:tcBorders>
              <w:left w:val="single" w:sz="4" w:space="0" w:color="auto"/>
            </w:tcBorders>
          </w:tcPr>
          <w:p w14:paraId="36145C03" w14:textId="77777777">
            <w:pPr>
              <w:jc w:val="center"/>
              <w:rPr>
                <w:lang w:eastAsia="en-US" w:bidi="ar-SA"/>
              </w:rPr>
            </w:pPr>
            <w:r>
              <w:rPr>
                <w:rStyle w:val="Code"/>
                <w:lang w:eastAsia="en-US" w:bidi="ar-SA"/>
              </w:rPr>
              <w:t>&lt;g</w:t>
            </w:r>
            <w:r>
              <w:rPr>
                <w:rStyle w:val="Code"/>
              </w:rPr>
              <w:t>a</w:t>
            </w:r>
            <w:r>
              <w:rPr>
                <w:rStyle w:val="Code"/>
                <w:lang w:eastAsia="en-US" w:bidi="ar-SA"/>
              </w:rPr>
              <w:t xml:space="preserve">p </w:t>
            </w:r>
            <w:r>
              <w:rPr>
                <w:rStyle w:val="Code"/>
              </w:rPr>
              <w:t>...</w:t>
            </w:r>
            <w:r>
              <w:rPr>
                <w:rStyle w:val="Code"/>
                <w:lang w:eastAsia="en-US" w:bidi="ar-SA"/>
              </w:rPr>
              <w:t>/&gt;</w:t>
            </w:r>
          </w:p>
        </w:tc>
      </w:tr>
      <w:tr w14:paraId="596409C5" w14:textId="77777777">
        <w:tc>
          <w:tcPr>
            <w:tcW w:w="2263" w:type="dxa"/>
            <w:tcBorders>
              <w:right w:val="single" w:sz="4" w:space="0" w:color="auto"/>
            </w:tcBorders>
            <w:shd w:val="clear" w:color="auto" w:fill="FFFF00"/>
          </w:tcPr>
          <w:p w14:paraId="06ABDCE0" w14:textId="77777777">
            <w:pPr>
              <w:jc w:val="right"/>
              <w:rPr>
                <w:b/>
                <w:bCs/>
                <w:lang w:eastAsia="en-US" w:bidi="ar-SA"/>
              </w:rPr>
            </w:pPr>
            <w:r>
              <w:rPr>
                <w:b/>
                <w:bCs/>
                <w:lang w:eastAsia="en-US" w:bidi="ar-SA"/>
              </w:rPr>
              <w:t>structure start</w:t>
            </w:r>
          </w:p>
        </w:tc>
        <w:tc>
          <w:tcPr>
            <w:tcW w:w="3682" w:type="dxa"/>
            <w:tcBorders>
              <w:left w:val="single" w:sz="4" w:space="0" w:color="auto"/>
              <w:right w:val="single" w:sz="4" w:space="0" w:color="auto"/>
            </w:tcBorders>
          </w:tcPr>
          <w:p w14:paraId="0A452A30" w14:textId="77777777">
            <w:pPr>
              <w:jc w:val="center"/>
              <w:rPr>
                <w:rStyle w:val="Code"/>
                <w:lang w:eastAsia="en-US" w:bidi="ar-SA"/>
              </w:rPr>
            </w:pPr>
            <w:r>
              <w:rPr>
                <w:rStyle w:val="Code"/>
                <w:lang w:eastAsia="en-US" w:bidi="ar-SA"/>
              </w:rPr>
              <w:t>&lt;p</w:t>
            </w:r>
            <w:r>
              <w:rPr>
                <w:rStyle w:val="Codeattribute"/>
              </w:rPr>
              <w:t xml:space="preserve"> part</w:t>
            </w:r>
            <w:r>
              <w:rPr>
                <w:rStyle w:val="Code"/>
              </w:rPr>
              <w:t>=</w:t>
            </w:r>
            <w:r>
              <w:rPr>
                <w:rStyle w:val="Codevalue"/>
              </w:rPr>
              <w:t>"F"</w:t>
            </w:r>
            <w:r>
              <w:rPr>
                <w:rStyle w:val="Code"/>
                <w:lang w:eastAsia="en-US" w:bidi="ar-SA"/>
              </w:rPr>
              <w:t>&gt;</w:t>
            </w:r>
          </w:p>
        </w:tc>
        <w:tc>
          <w:tcPr>
            <w:tcW w:w="3683" w:type="dxa"/>
            <w:tcBorders>
              <w:left w:val="single" w:sz="4" w:space="0" w:color="auto"/>
            </w:tcBorders>
          </w:tcPr>
          <w:p w14:paraId="1A701861" w14:textId="77777777">
            <w:pPr>
              <w:jc w:val="center"/>
              <w:rPr>
                <w:rStyle w:val="Code"/>
                <w:lang w:eastAsia="en-US" w:bidi="ar-SA"/>
              </w:rPr>
            </w:pPr>
            <w:r>
              <w:rPr>
                <w:rStyle w:val="Code"/>
                <w:lang w:eastAsia="en-US" w:bidi="ar-SA"/>
              </w:rPr>
              <w:t>&lt;lb</w:t>
            </w:r>
            <w:r>
              <w:rPr>
                <w:rStyle w:val="Codeattribute"/>
              </w:rPr>
              <w:t xml:space="preserve"> n</w:t>
            </w:r>
            <w:r>
              <w:rPr>
                <w:rStyle w:val="Code"/>
              </w:rPr>
              <w:t>=</w:t>
            </w:r>
            <w:r>
              <w:rPr>
                <w:rStyle w:val="Codevalue"/>
              </w:rPr>
              <w:t>"y"/</w:t>
            </w:r>
            <w:r>
              <w:rPr>
                <w:rStyle w:val="Code"/>
                <w:lang w:eastAsia="en-US" w:bidi="ar-SA"/>
              </w:rPr>
              <w:t>&gt;</w:t>
            </w:r>
          </w:p>
        </w:tc>
      </w:tr>
      <w:tr w14:paraId="11E9044E" w14:textId="77777777">
        <w:tc>
          <w:tcPr>
            <w:tcW w:w="2263" w:type="dxa"/>
            <w:tcBorders>
              <w:right w:val="single" w:sz="4" w:space="0" w:color="auto"/>
            </w:tcBorders>
            <w:shd w:val="clear" w:color="auto" w:fill="D9D9D9" w:themeFill="background1" w:themeFillShade="D9"/>
          </w:tcPr>
          <w:p w14:paraId="6DD79DCF" w14:textId="77777777">
            <w:pPr>
              <w:jc w:val="right"/>
              <w:rPr>
                <w:b/>
                <w:bCs/>
                <w:lang w:eastAsia="en-US" w:bidi="ar-SA"/>
              </w:rPr>
            </w:pPr>
            <w:r>
              <w:rPr>
                <w:b/>
                <w:bCs/>
                <w:lang w:eastAsia="en-US" w:bidi="ar-SA"/>
              </w:rPr>
              <w:t>restored text</w:t>
            </w:r>
          </w:p>
        </w:tc>
        <w:tc>
          <w:tcPr>
            <w:tcW w:w="7365" w:type="dxa"/>
            <w:gridSpan w:val="2"/>
            <w:tcBorders>
              <w:left w:val="single" w:sz="4" w:space="0" w:color="auto"/>
            </w:tcBorders>
          </w:tcPr>
          <w:p w14:paraId="03CE06D6" w14:textId="77777777">
            <w:pPr>
              <w:jc w:val="center"/>
              <w:rPr>
                <w:lang w:eastAsia="en-US" w:bidi="ar-SA"/>
              </w:rPr>
            </w:pPr>
            <w:r>
              <w:rPr>
                <w:rStyle w:val="Code"/>
                <w:lang w:eastAsia="en-US" w:bidi="ar-SA"/>
              </w:rPr>
              <w:t>&lt;supplied&gt;</w:t>
            </w:r>
            <w:r>
              <w:t>uvw</w:t>
            </w:r>
            <w:r>
              <w:rPr>
                <w:rStyle w:val="Code"/>
                <w:lang w:eastAsia="en-US" w:bidi="ar-SA"/>
              </w:rPr>
              <w:t>&lt;/supplied&gt;</w:t>
            </w:r>
          </w:p>
        </w:tc>
      </w:tr>
      <w:tr w14:paraId="34DD29ED" w14:textId="77777777">
        <w:tc>
          <w:tcPr>
            <w:tcW w:w="2263" w:type="dxa"/>
            <w:tcBorders>
              <w:right w:val="single" w:sz="4" w:space="0" w:color="auto"/>
            </w:tcBorders>
            <w:shd w:val="clear" w:color="auto" w:fill="FFFFFF" w:themeFill="background1"/>
          </w:tcPr>
          <w:p w14:paraId="3356DF88" w14:textId="77777777">
            <w:pPr>
              <w:jc w:val="right"/>
              <w:rPr>
                <w:b/>
                <w:bCs/>
                <w:lang w:eastAsia="en-US" w:bidi="ar-SA"/>
              </w:rPr>
            </w:pPr>
            <w:r>
              <w:rPr>
                <w:b/>
                <w:bCs/>
                <w:lang w:eastAsia="en-US" w:bidi="ar-SA"/>
              </w:rPr>
              <w:t>extant text</w:t>
            </w:r>
          </w:p>
        </w:tc>
        <w:tc>
          <w:tcPr>
            <w:tcW w:w="7365" w:type="dxa"/>
            <w:gridSpan w:val="2"/>
            <w:tcBorders>
              <w:left w:val="single" w:sz="4" w:space="0" w:color="auto"/>
            </w:tcBorders>
          </w:tcPr>
          <w:p w14:paraId="26CA2AEA" w14:textId="77777777">
            <w:pPr>
              <w:jc w:val="center"/>
              <w:rPr>
                <w:lang w:eastAsia="en-US" w:bidi="ar-SA"/>
              </w:rPr>
            </w:pPr>
            <w:r>
              <w:rPr>
                <w:lang w:eastAsia="en-US" w:bidi="ar-SA"/>
              </w:rPr>
              <w:t>xyz</w:t>
            </w:r>
          </w:p>
        </w:tc>
      </w:tr>
      <w:tr w14:paraId="23106B78" w14:textId="77777777">
        <w:tc>
          <w:tcPr>
            <w:tcW w:w="2263" w:type="dxa"/>
            <w:tcBorders>
              <w:right w:val="single" w:sz="4" w:space="0" w:color="auto"/>
            </w:tcBorders>
            <w:shd w:val="clear" w:color="auto" w:fill="FFFF00"/>
          </w:tcPr>
          <w:p w14:paraId="239E378D" w14:textId="77777777">
            <w:pPr>
              <w:jc w:val="right"/>
              <w:rPr>
                <w:b/>
                <w:bCs/>
                <w:lang w:eastAsia="en-US" w:bidi="ar-SA"/>
              </w:rPr>
            </w:pPr>
            <w:r>
              <w:rPr>
                <w:b/>
                <w:bCs/>
                <w:lang w:eastAsia="en-US" w:bidi="ar-SA"/>
              </w:rPr>
              <w:t>structure end</w:t>
            </w:r>
          </w:p>
        </w:tc>
        <w:tc>
          <w:tcPr>
            <w:tcW w:w="3682" w:type="dxa"/>
            <w:tcBorders>
              <w:left w:val="single" w:sz="4" w:space="0" w:color="auto"/>
              <w:right w:val="single" w:sz="4" w:space="0" w:color="auto"/>
            </w:tcBorders>
          </w:tcPr>
          <w:p w14:paraId="07C5D685" w14:textId="77777777">
            <w:pPr>
              <w:jc w:val="center"/>
              <w:rPr>
                <w:lang w:eastAsia="en-US" w:bidi="ar-SA"/>
              </w:rPr>
            </w:pPr>
            <w:r>
              <w:rPr>
                <w:rStyle w:val="Code"/>
                <w:lang w:eastAsia="en-US" w:bidi="ar-SA"/>
              </w:rPr>
              <w:t>&lt;/p&gt;</w:t>
            </w:r>
          </w:p>
        </w:tc>
        <w:tc>
          <w:tcPr>
            <w:tcW w:w="3683" w:type="dxa"/>
            <w:tcBorders>
              <w:left w:val="single" w:sz="4" w:space="0" w:color="auto"/>
            </w:tcBorders>
          </w:tcPr>
          <w:p w14:paraId="4BC36BEE" w14:textId="77777777">
            <w:pPr>
              <w:jc w:val="center"/>
              <w:rPr>
                <w:lang w:eastAsia="en-US" w:bidi="ar-SA"/>
              </w:rPr>
            </w:pPr>
          </w:p>
        </w:tc>
      </w:tr>
    </w:tbl>
    <w:p w14:paraId="47F7A48C" w14:textId="77777777">
      <w:pPr>
        <w:rPr>
          <w:lang w:eastAsia="en-US" w:bidi="ar-SA"/>
        </w:rPr>
      </w:pPr>
    </w:p>
    <w:p w14:paraId="0270736B" w14:textId="77777777">
      <w:pPr>
        <w:pStyle w:val="Cmsor4"/>
      </w:pPr>
      <w:bookmarkStart w:id="592" w:name="_Ref228452369"/>
      <w:r>
        <w:t>Encoding a massive lacuna</w:t>
      </w:r>
    </w:p>
    <w:p w14:paraId="2F087A35" w14:textId="1CD74DE2">
      <w:pPr>
        <w:pStyle w:val="Lista"/>
        <w:rPr>
          <w:lang w:eastAsia="en-US" w:bidi="ar-SA"/>
        </w:rPr>
      </w:pPr>
      <w:r>
        <w:rPr>
          <w:lang w:eastAsia="en-US" w:bidi="ar-SA"/>
        </w:rPr>
        <w:t xml:space="preserve">the massive lacuna itself must usually be encoded with a single </w:t>
      </w:r>
      <w:r>
        <w:rPr>
          <w:rStyle w:val="Code"/>
        </w:rPr>
        <w:t>&lt;gap/&gt;</w:t>
      </w:r>
      <w:r>
        <w:t xml:space="preserve"> element for a multiline lacuna as per §</w:t>
      </w:r>
      <w:r>
        <w:fldChar w:fldCharType="begin"/>
      </w:r>
      <w:r>
        <w:instrText xml:space="preserve"> REF _Ref228349461 \r \h </w:instrText>
      </w:r>
      <w:r>
        <w:fldChar w:fldCharType="separate"/>
      </w:r>
      <w:r>
        <w:t>6.5.3.2</w:t>
      </w:r>
      <w:r>
        <w:fldChar w:fldCharType="end"/>
      </w:r>
      <w:r>
        <w:t>, with a known, estimated or unknown number of lines</w:t>
      </w:r>
    </w:p>
    <w:p w14:paraId="73450EC8" w14:textId="77777777">
      <w:pPr>
        <w:pStyle w:val="Lista"/>
        <w:rPr>
          <w:lang w:eastAsia="en-US" w:bidi="ar-SA"/>
        </w:rPr>
      </w:pPr>
      <w:r>
        <w:rPr>
          <w:lang w:eastAsia="en-US" w:bidi="ar-SA"/>
        </w:rPr>
        <w:t xml:space="preserve">this </w:t>
      </w:r>
      <w:r>
        <w:rPr>
          <w:rStyle w:val="Code"/>
        </w:rPr>
        <w:t>&lt;gap/&gt;</w:t>
      </w:r>
      <w:r>
        <w:t xml:space="preserve"> element is to be placed, exceptionally, outside block-level text containers, so it will be a direct child of the edition division or (if present), a textpart division</w:t>
      </w:r>
    </w:p>
    <w:p w14:paraId="3B550318" w14:textId="77777777">
      <w:pPr>
        <w:pStyle w:val="Lista"/>
        <w:rPr>
          <w:lang w:eastAsia="en-US" w:bidi="ar-SA"/>
        </w:rPr>
      </w:pPr>
      <w:r>
        <w:t>the subsections below provide additional considerations for encoding an edition involving a massive lacuna, of which the following are indispensable:</w:t>
      </w:r>
    </w:p>
    <w:p w14:paraId="4764940C" w14:textId="74ED4E18">
      <w:pPr>
        <w:pStyle w:val="Lista2"/>
        <w:rPr>
          <w:lang w:eastAsia="en-US" w:bidi="ar-SA"/>
        </w:rPr>
      </w:pPr>
      <w:r>
        <w:rPr>
          <w:lang w:eastAsia="en-US" w:bidi="ar-SA"/>
        </w:rPr>
        <w:t>for a massive final lacuna (i.e. where the end of an inscription is lost): §</w:t>
      </w:r>
      <w:r>
        <w:rPr>
          <w:lang w:eastAsia="en-US" w:bidi="ar-SA"/>
        </w:rPr>
        <w:fldChar w:fldCharType="begin"/>
      </w:r>
      <w:r>
        <w:rPr>
          <w:lang w:eastAsia="en-US" w:bidi="ar-SA"/>
        </w:rPr>
        <w:instrText xml:space="preserve"> REF _Ref228453535 \r \h </w:instrText>
      </w:r>
      <w:r>
        <w:rPr>
          <w:lang w:eastAsia="en-US" w:bidi="ar-SA"/>
        </w:rPr>
      </w:r>
      <w:r>
        <w:rPr>
          <w:lang w:eastAsia="en-US" w:bidi="ar-SA"/>
        </w:rPr>
        <w:fldChar w:fldCharType="separate"/>
      </w:r>
      <w:r>
        <w:rPr>
          <w:lang w:eastAsia="en-US" w:bidi="ar-SA"/>
        </w:rPr>
        <w:t>6.5.4.3</w:t>
      </w:r>
      <w:r>
        <w:rPr>
          <w:lang w:eastAsia="en-US" w:bidi="ar-SA"/>
        </w:rPr>
        <w:fldChar w:fldCharType="end"/>
      </w:r>
    </w:p>
    <w:p w14:paraId="78907283" w14:textId="15E6F124">
      <w:pPr>
        <w:pStyle w:val="Lista2"/>
        <w:rPr>
          <w:lang w:eastAsia="en-US" w:bidi="ar-SA"/>
        </w:rPr>
      </w:pPr>
      <w:r>
        <w:rPr>
          <w:lang w:eastAsia="en-US" w:bidi="ar-SA"/>
        </w:rPr>
        <w:t>for a massive initial lacuna (i.e. where the beginning of an inscription is lost): §</w:t>
      </w:r>
      <w:r>
        <w:rPr>
          <w:lang w:eastAsia="en-US" w:bidi="ar-SA"/>
        </w:rPr>
        <w:fldChar w:fldCharType="begin"/>
      </w:r>
      <w:r>
        <w:rPr>
          <w:lang w:eastAsia="en-US" w:bidi="ar-SA"/>
        </w:rPr>
        <w:instrText xml:space="preserve"> REF _Ref228453546 \r \h </w:instrText>
      </w:r>
      <w:r>
        <w:rPr>
          <w:lang w:eastAsia="en-US" w:bidi="ar-SA"/>
        </w:rPr>
      </w:r>
      <w:r>
        <w:rPr>
          <w:lang w:eastAsia="en-US" w:bidi="ar-SA"/>
        </w:rPr>
        <w:fldChar w:fldCharType="separate"/>
      </w:r>
      <w:r>
        <w:rPr>
          <w:lang w:eastAsia="en-US" w:bidi="ar-SA"/>
        </w:rPr>
        <w:t>6.5.4.4</w:t>
      </w:r>
      <w:r>
        <w:rPr>
          <w:lang w:eastAsia="en-US" w:bidi="ar-SA"/>
        </w:rPr>
        <w:fldChar w:fldCharType="end"/>
      </w:r>
    </w:p>
    <w:p w14:paraId="588609D8" w14:textId="779F10C1">
      <w:pPr>
        <w:pStyle w:val="Lista2"/>
        <w:rPr>
          <w:lang w:eastAsia="en-US" w:bidi="ar-SA"/>
        </w:rPr>
      </w:pPr>
      <w:r>
        <w:rPr>
          <w:lang w:eastAsia="en-US" w:bidi="ar-SA"/>
        </w:rPr>
        <w:t>for a massive medial lacuna (i.e. where the middle of an inscription is lost): §</w:t>
      </w:r>
      <w:r>
        <w:rPr>
          <w:lang w:eastAsia="en-US" w:bidi="ar-SA"/>
        </w:rPr>
        <w:fldChar w:fldCharType="begin"/>
      </w:r>
      <w:r>
        <w:rPr>
          <w:lang w:eastAsia="en-US" w:bidi="ar-SA"/>
        </w:rPr>
        <w:instrText xml:space="preserve"> REF _Ref228453535 \r \h </w:instrText>
      </w:r>
      <w:r>
        <w:rPr>
          <w:lang w:eastAsia="en-US" w:bidi="ar-SA"/>
        </w:rPr>
      </w:r>
      <w:r>
        <w:rPr>
          <w:lang w:eastAsia="en-US" w:bidi="ar-SA"/>
        </w:rPr>
        <w:fldChar w:fldCharType="separate"/>
      </w:r>
      <w:r>
        <w:rPr>
          <w:lang w:eastAsia="en-US" w:bidi="ar-SA"/>
        </w:rPr>
        <w:t>6.5.4.3</w:t>
      </w:r>
      <w:r>
        <w:rPr>
          <w:lang w:eastAsia="en-US" w:bidi="ar-SA"/>
        </w:rPr>
        <w:fldChar w:fldCharType="end"/>
      </w:r>
      <w:r>
        <w:rPr>
          <w:lang w:eastAsia="en-US" w:bidi="ar-SA"/>
        </w:rPr>
        <w:t xml:space="preserve"> and §</w:t>
      </w:r>
      <w:r>
        <w:rPr>
          <w:lang w:eastAsia="en-US" w:bidi="ar-SA"/>
        </w:rPr>
        <w:fldChar w:fldCharType="begin"/>
      </w:r>
      <w:r>
        <w:rPr>
          <w:lang w:eastAsia="en-US" w:bidi="ar-SA"/>
        </w:rPr>
        <w:instrText xml:space="preserve"> REF _Ref228453546 \r \h </w:instrText>
      </w:r>
      <w:r>
        <w:rPr>
          <w:lang w:eastAsia="en-US" w:bidi="ar-SA"/>
        </w:rPr>
      </w:r>
      <w:r>
        <w:rPr>
          <w:lang w:eastAsia="en-US" w:bidi="ar-SA"/>
        </w:rPr>
        <w:fldChar w:fldCharType="separate"/>
      </w:r>
      <w:r>
        <w:rPr>
          <w:lang w:eastAsia="en-US" w:bidi="ar-SA"/>
        </w:rPr>
        <w:t>6.5.4.4</w:t>
      </w:r>
      <w:r>
        <w:rPr>
          <w:lang w:eastAsia="en-US" w:bidi="ar-SA"/>
        </w:rPr>
        <w:fldChar w:fldCharType="end"/>
      </w:r>
    </w:p>
    <w:p w14:paraId="29347FDB" w14:textId="037C778A">
      <w:pPr>
        <w:pStyle w:val="Lista2"/>
        <w:rPr>
          <w:lang w:eastAsia="en-US" w:bidi="ar-SA"/>
        </w:rPr>
      </w:pPr>
      <w:r>
        <w:rPr>
          <w:lang w:eastAsia="en-US" w:bidi="ar-SA"/>
        </w:rPr>
        <w:t>for a massive bilateral lacuna (i.e. where the beginning and end of an inscription are both lost): §</w:t>
      </w:r>
      <w:r>
        <w:rPr>
          <w:lang w:eastAsia="en-US" w:bidi="ar-SA"/>
        </w:rPr>
        <w:fldChar w:fldCharType="begin"/>
      </w:r>
      <w:r>
        <w:rPr>
          <w:lang w:eastAsia="en-US" w:bidi="ar-SA"/>
        </w:rPr>
        <w:instrText xml:space="preserve"> REF _Ref228453546 \r \h </w:instrText>
      </w:r>
      <w:r>
        <w:rPr>
          <w:lang w:eastAsia="en-US" w:bidi="ar-SA"/>
        </w:rPr>
      </w:r>
      <w:r>
        <w:rPr>
          <w:lang w:eastAsia="en-US" w:bidi="ar-SA"/>
        </w:rPr>
        <w:fldChar w:fldCharType="separate"/>
      </w:r>
      <w:r>
        <w:rPr>
          <w:lang w:eastAsia="en-US" w:bidi="ar-SA"/>
        </w:rPr>
        <w:t>6.5.4.4</w:t>
      </w:r>
      <w:r>
        <w:rPr>
          <w:lang w:eastAsia="en-US" w:bidi="ar-SA"/>
        </w:rPr>
        <w:fldChar w:fldCharType="end"/>
      </w:r>
      <w:r>
        <w:rPr>
          <w:lang w:eastAsia="en-US" w:bidi="ar-SA"/>
        </w:rPr>
        <w:t xml:space="preserve"> and §</w:t>
      </w:r>
      <w:r>
        <w:rPr>
          <w:lang w:eastAsia="en-US" w:bidi="ar-SA"/>
        </w:rPr>
        <w:fldChar w:fldCharType="begin"/>
      </w:r>
      <w:r>
        <w:rPr>
          <w:lang w:eastAsia="en-US" w:bidi="ar-SA"/>
        </w:rPr>
        <w:instrText xml:space="preserve"> REF _Ref228453535 \r \h </w:instrText>
      </w:r>
      <w:r>
        <w:rPr>
          <w:lang w:eastAsia="en-US" w:bidi="ar-SA"/>
        </w:rPr>
      </w:r>
      <w:r>
        <w:rPr>
          <w:lang w:eastAsia="en-US" w:bidi="ar-SA"/>
        </w:rPr>
        <w:fldChar w:fldCharType="separate"/>
      </w:r>
      <w:r>
        <w:rPr>
          <w:lang w:eastAsia="en-US" w:bidi="ar-SA"/>
        </w:rPr>
        <w:t>6.5.4.3</w:t>
      </w:r>
      <w:r>
        <w:rPr>
          <w:lang w:eastAsia="en-US" w:bidi="ar-SA"/>
        </w:rPr>
        <w:fldChar w:fldCharType="end"/>
      </w:r>
    </w:p>
    <w:p w14:paraId="5E19CCF9" w14:textId="77777777">
      <w:pPr>
        <w:pStyle w:val="Cmsor4"/>
      </w:pPr>
      <w:bookmarkStart w:id="593" w:name="_Ref228458226"/>
      <w:r>
        <w:lastRenderedPageBreak/>
        <w:t>Alternatives to encoding a massive lacuna</w:t>
      </w:r>
      <w:bookmarkEnd w:id="592"/>
      <w:bookmarkEnd w:id="593"/>
    </w:p>
    <w:p w14:paraId="1ED95330" w14:textId="5530537B">
      <w:pPr>
        <w:pStyle w:val="Lista"/>
      </w:pPr>
      <w:r>
        <w:t xml:space="preserve">when the extrinsic structure of the unavailable text (including line beginnings by default and the beginnings of pages or other larger structural units when applicable) can be reconstructed with fair confidence, then it is preferable to create the applicable structural milestones and encode inline lacunae </w:t>
      </w:r>
      <w:r>
        <w:rPr>
          <w:lang w:eastAsia="en-US" w:bidi="ar-SA"/>
        </w:rPr>
        <w:t>as per §</w:t>
      </w:r>
      <w:r>
        <w:rPr>
          <w:lang w:eastAsia="en-US" w:bidi="ar-SA"/>
        </w:rPr>
        <w:fldChar w:fldCharType="begin"/>
      </w:r>
      <w:r>
        <w:rPr>
          <w:lang w:eastAsia="en-US" w:bidi="ar-SA"/>
        </w:rPr>
        <w:instrText xml:space="preserve"> REF _Ref228368995 \r \h </w:instrText>
      </w:r>
      <w:r>
        <w:rPr>
          <w:lang w:eastAsia="en-US" w:bidi="ar-SA"/>
        </w:rPr>
      </w:r>
      <w:r>
        <w:rPr>
          <w:lang w:eastAsia="en-US" w:bidi="ar-SA"/>
        </w:rPr>
        <w:fldChar w:fldCharType="separate"/>
      </w:r>
      <w:r>
        <w:rPr>
          <w:lang w:eastAsia="en-US" w:bidi="ar-SA"/>
        </w:rPr>
        <w:t>6.5.3.1</w:t>
      </w:r>
      <w:r>
        <w:rPr>
          <w:lang w:eastAsia="en-US" w:bidi="ar-SA"/>
        </w:rPr>
        <w:fldChar w:fldCharType="end"/>
      </w:r>
    </w:p>
    <w:p w14:paraId="12590D0A" w14:textId="77777777">
      <w:pPr>
        <w:pStyle w:val="Lista2"/>
      </w:pPr>
      <w:r>
        <w:t>however, if this would result in a large number of empty lines (as a rule of thumb: more than half of the edition), then feel free to forego this and encode a massive lacuna instead</w:t>
      </w:r>
    </w:p>
    <w:p w14:paraId="7D55FFBD" w14:textId="17327BAF">
      <w:pPr>
        <w:pStyle w:val="Lista2"/>
      </w:pPr>
      <w:r>
        <w:t>the structural milestones must be contained within the usual block-level containers for text (§</w:t>
      </w:r>
      <w:r>
        <w:fldChar w:fldCharType="begin"/>
      </w:r>
      <w:r>
        <w:instrText xml:space="preserve"> REF _Ref225502709 \r \h </w:instrText>
      </w:r>
      <w:r>
        <w:fldChar w:fldCharType="separate"/>
      </w:r>
      <w:r>
        <w:t>4.3.3.1</w:t>
      </w:r>
      <w:r>
        <w:fldChar w:fldCharType="end"/>
      </w:r>
      <w:r>
        <w:t>)</w:t>
      </w:r>
    </w:p>
    <w:p w14:paraId="6740DDF5" w14:textId="7F5F7590">
      <w:pPr>
        <w:pStyle w:val="Lista3"/>
      </w:pPr>
      <w:r>
        <w:t xml:space="preserve">occasionally, it may be possible to reconstruct the intrinsic structure of the unavailable text (especially when physical lines correspond to verse lines), in which case feel free to do so and create separate </w:t>
      </w:r>
      <w:r>
        <w:rPr>
          <w:rStyle w:val="Code"/>
        </w:rPr>
        <w:t>&lt;gap/&gt;</w:t>
      </w:r>
      <w:r>
        <w:t xml:space="preserve"> elements within each container as per §</w:t>
      </w:r>
      <w:r>
        <w:fldChar w:fldCharType="begin"/>
      </w:r>
      <w:r>
        <w:instrText xml:space="preserve"> REF _Ref228267821 \r \h </w:instrText>
      </w:r>
      <w:r>
        <w:fldChar w:fldCharType="separate"/>
      </w:r>
      <w:r>
        <w:t>6.5.2.2</w:t>
      </w:r>
      <w:r>
        <w:fldChar w:fldCharType="end"/>
      </w:r>
    </w:p>
    <w:p w14:paraId="3E8FFA36" w14:textId="609FE7D1">
      <w:pPr>
        <w:pStyle w:val="Lista3"/>
      </w:pPr>
      <w:r>
        <w:t xml:space="preserve">but if this is impossible or impracticable, simply create a single </w:t>
      </w:r>
      <w:r>
        <w:rPr>
          <w:rStyle w:val="Code"/>
        </w:rPr>
        <w:t>&lt;ab&gt;</w:t>
      </w:r>
      <w:r>
        <w:t xml:space="preserve"> element (§</w:t>
      </w:r>
      <w:r>
        <w:fldChar w:fldCharType="begin"/>
      </w:r>
      <w:r>
        <w:instrText xml:space="preserve"> REF _Ref43981028 \r \h </w:instrText>
      </w:r>
      <w:r>
        <w:fldChar w:fldCharType="separate"/>
      </w:r>
      <w:r>
        <w:t>3.2.1.2</w:t>
      </w:r>
      <w:r>
        <w:fldChar w:fldCharType="end"/>
      </w:r>
      <w:r>
        <w:t>) as a container for the reconstructed lines without available text</w:t>
      </w:r>
    </w:p>
    <w:p w14:paraId="347ECD46" w14:textId="77777777">
      <w:pPr>
        <w:pStyle w:val="Lista"/>
        <w:rPr>
          <w:lang w:eastAsia="en-US" w:bidi="ar-SA"/>
        </w:rPr>
      </w:pPr>
      <w:r>
        <w:rPr>
          <w:lang w:eastAsia="en-US" w:bidi="ar-SA"/>
        </w:rPr>
        <w:t>when an inscription is interrupted by a massive medial lacuna in such a way that the number of lost lines cannot be counted or estimated reliably, then creating textpart divisions for the extant parts is a viable alternative to encoding a massive lacuna</w:t>
      </w:r>
    </w:p>
    <w:p w14:paraId="7F95C03B" w14:textId="4F7AEEAC">
      <w:pPr>
        <w:pStyle w:val="Lista2"/>
      </w:pPr>
      <w:r>
        <w:t>this, in effect, treats the inscription as consisting of unconnected fragments (§</w:t>
      </w:r>
      <w:r>
        <w:fldChar w:fldCharType="begin"/>
      </w:r>
      <w:r>
        <w:instrText xml:space="preserve"> REF _Ref225346692 \r \h </w:instrText>
      </w:r>
      <w:r>
        <w:fldChar w:fldCharType="separate"/>
      </w:r>
      <w:r>
        <w:t>4.7.3.2</w:t>
      </w:r>
      <w:r>
        <w:fldChar w:fldCharType="end"/>
      </w:r>
      <w:r>
        <w:t>), even if the massive lacuna is merely due to surface damage</w:t>
      </w:r>
    </w:p>
    <w:p w14:paraId="2EFC946A" w14:textId="77777777">
      <w:pPr>
        <w:pStyle w:val="Lista2"/>
      </w:pPr>
      <w:r>
        <w:t xml:space="preserve">putting the final extant chunk in a new textpart division allows </w:t>
      </w:r>
      <w:r>
        <w:rPr>
          <w:noProof/>
        </w:rPr>
        <w:t>(</w:t>
      </w:r>
      <w:r>
        <w:t>and compels) you to restart line and stanza numbering from 1, thus avoiding complications arising from being unable to count the number of unavailable lines and stanzas</w:t>
      </w:r>
    </w:p>
    <w:p w14:paraId="2AD67F73" w14:textId="77777777">
      <w:pPr>
        <w:pStyle w:val="Lista2"/>
      </w:pPr>
      <w:r>
        <w:t>since textpart divisions encoded as fragments necessarily imply the presence of lacunae between the textparts, lines lost between the fragments shall not be encoded explicitly</w:t>
      </w:r>
    </w:p>
    <w:p w14:paraId="01E4298F" w14:textId="77777777">
      <w:pPr>
        <w:pStyle w:val="Lista3"/>
      </w:pPr>
      <w:r>
        <w:t xml:space="preserve">the use of </w:t>
      </w:r>
      <w:r>
        <w:rPr>
          <w:rStyle w:val="Codeattribute"/>
        </w:rPr>
        <w:t>@part</w:t>
      </w:r>
      <w:r>
        <w:t xml:space="preserve"> on incomplete block-level containers before and after the lacuna applies as described below </w:t>
      </w:r>
    </w:p>
    <w:p w14:paraId="291B1111" w14:textId="77777777">
      <w:pPr>
        <w:pStyle w:val="Lista3"/>
      </w:pPr>
      <w:r>
        <w:t xml:space="preserve">any partially available lines (i.e. those that contain extant or restored text at the end or beginning) must be completed by encoding an inline lacuna for the part of the line where text is not available </w:t>
      </w:r>
    </w:p>
    <w:p w14:paraId="0E6A82E9" w14:textId="77777777">
      <w:pPr>
        <w:pStyle w:val="Cmsor4"/>
      </w:pPr>
      <w:bookmarkStart w:id="594" w:name="_Ref228453535"/>
      <w:r>
        <w:t>Structure before a massive lacuna</w:t>
      </w:r>
      <w:bookmarkEnd w:id="594"/>
    </w:p>
    <w:p w14:paraId="272CE4EF" w14:textId="1CE4D3E8">
      <w:pPr>
        <w:rPr>
          <w:lang w:eastAsia="en-US" w:bidi="ar-SA"/>
        </w:rPr>
      </w:pPr>
      <w:r>
        <w:rPr>
          <w:lang w:eastAsia="en-US" w:bidi="ar-SA"/>
        </w:rPr>
        <w:t xml:space="preserve">The encoding of a massive final lacuna is illustrated in </w:t>
      </w:r>
      <w:r>
        <w:rPr>
          <w:lang w:eastAsia="en-US" w:bidi="ar-SA"/>
        </w:rPr>
        <w:fldChar w:fldCharType="begin"/>
      </w:r>
      <w:r>
        <w:rPr>
          <w:lang w:eastAsia="en-US" w:bidi="ar-SA"/>
        </w:rPr>
        <w:instrText xml:space="preserve"> REF _Ref228450971 \h </w:instrText>
      </w:r>
      <w:r>
        <w:rPr>
          <w:lang w:eastAsia="en-US" w:bidi="ar-SA"/>
        </w:rPr>
      </w:r>
      <w:r>
        <w:rPr>
          <w:lang w:eastAsia="en-US" w:bidi="ar-SA"/>
        </w:rPr>
        <w:fldChar w:fldCharType="separate"/>
      </w:r>
      <w:r>
        <w:t xml:space="preserve">Exhibit </w:t>
      </w:r>
      <w:r>
        <w:rPr>
          <w:noProof/>
        </w:rPr>
        <w:t>6.5</w:t>
      </w:r>
      <w:r>
        <w:t>.</w:t>
      </w:r>
      <w:r>
        <w:rPr>
          <w:noProof/>
        </w:rPr>
        <w:t>G</w:t>
      </w:r>
      <w:r>
        <w:rPr>
          <w:lang w:eastAsia="en-US" w:bidi="ar-SA"/>
        </w:rPr>
        <w:fldChar w:fldCharType="end"/>
      </w:r>
      <w:r>
        <w:rPr>
          <w:lang w:eastAsia="en-US" w:bidi="ar-SA"/>
        </w:rPr>
        <w:t>.</w:t>
      </w:r>
    </w:p>
    <w:p w14:paraId="005778D3" w14:textId="77777777">
      <w:pPr>
        <w:pStyle w:val="Lista"/>
        <w:rPr>
          <w:lang w:eastAsia="en-US" w:bidi="ar-SA"/>
        </w:rPr>
      </w:pPr>
      <w:r>
        <w:rPr>
          <w:b/>
          <w:bCs/>
          <w:lang w:eastAsia="en-US" w:bidi="ar-SA"/>
        </w:rPr>
        <w:t>intrinsic structure</w:t>
      </w:r>
    </w:p>
    <w:p w14:paraId="36C2DB85" w14:textId="1420E30A">
      <w:pPr>
        <w:pStyle w:val="Lista2"/>
        <w:rPr>
          <w:lang w:eastAsia="en-US" w:bidi="ar-SA"/>
        </w:rPr>
      </w:pPr>
      <w:r>
        <w:rPr>
          <w:lang w:eastAsia="en-US" w:bidi="ar-SA"/>
        </w:rPr>
        <w:t>because all available text must be within a container for intrinsic structure (§</w:t>
      </w:r>
      <w:r>
        <w:rPr>
          <w:lang w:eastAsia="en-US" w:bidi="ar-SA"/>
        </w:rPr>
        <w:fldChar w:fldCharType="begin"/>
      </w:r>
      <w:r>
        <w:rPr>
          <w:lang w:eastAsia="en-US" w:bidi="ar-SA"/>
        </w:rPr>
        <w:instrText xml:space="preserve"> REF _Ref225153755 \r \h </w:instrText>
      </w:r>
      <w:r>
        <w:rPr>
          <w:lang w:eastAsia="en-US" w:bidi="ar-SA"/>
        </w:rPr>
      </w:r>
      <w:r>
        <w:rPr>
          <w:lang w:eastAsia="en-US" w:bidi="ar-SA"/>
        </w:rPr>
        <w:fldChar w:fldCharType="separate"/>
      </w:r>
      <w:r>
        <w:rPr>
          <w:lang w:eastAsia="en-US" w:bidi="ar-SA"/>
        </w:rPr>
        <w:t>3.1</w:t>
      </w:r>
      <w:r>
        <w:rPr>
          <w:lang w:eastAsia="en-US" w:bidi="ar-SA"/>
        </w:rPr>
        <w:fldChar w:fldCharType="end"/>
      </w:r>
      <w:r>
        <w:rPr>
          <w:lang w:eastAsia="en-US" w:bidi="ar-SA"/>
        </w:rPr>
        <w:t>) but intrinsic structure is not reconstructed within a massive lacuna, any open block-level containers must be closed after all text ends and before the lacuna is encoded</w:t>
      </w:r>
    </w:p>
    <w:p w14:paraId="6C6C3EE1" w14:textId="7DAAA08A">
      <w:pPr>
        <w:pStyle w:val="Lista2"/>
        <w:rPr>
          <w:lang w:eastAsia="en-US" w:bidi="ar-SA"/>
        </w:rPr>
      </w:pPr>
      <w:r>
        <w:rPr>
          <w:lang w:eastAsia="en-US" w:bidi="ar-SA"/>
        </w:rPr>
        <w:t xml:space="preserve">if the end of the available text does not coincide with the natural (semantic or metrical) end of the container, so the container ends prematurely, then the interrupted container must be encoded with </w:t>
      </w:r>
      <w:r>
        <w:rPr>
          <w:rStyle w:val="Codeattribute"/>
        </w:rPr>
        <w:t>@part</w:t>
      </w:r>
      <w:r>
        <w:rPr>
          <w:rStyle w:val="Code"/>
        </w:rPr>
        <w:t>=</w:t>
      </w:r>
      <w:r>
        <w:rPr>
          <w:rStyle w:val="Codevalue"/>
        </w:rPr>
        <w:t>"I"</w:t>
      </w:r>
      <w:r>
        <w:t xml:space="preserve"> (or </w:t>
      </w:r>
      <w:r>
        <w:rPr>
          <w:rStyle w:val="Codeattribute"/>
        </w:rPr>
        <w:t>@part</w:t>
      </w:r>
      <w:r>
        <w:rPr>
          <w:rStyle w:val="Code"/>
        </w:rPr>
        <w:t>=</w:t>
      </w:r>
      <w:r>
        <w:rPr>
          <w:rStyle w:val="Codevalue"/>
        </w:rPr>
        <w:t>"M"</w:t>
      </w:r>
      <w:r>
        <w:t xml:space="preserve"> if the beginning of the same container is lost to another lacuna) as per §</w:t>
      </w:r>
      <w:r>
        <w:fldChar w:fldCharType="begin"/>
      </w:r>
      <w:r>
        <w:instrText xml:space="preserve"> REF _Ref228980509 \r \h </w:instrText>
      </w:r>
      <w:r>
        <w:fldChar w:fldCharType="separate"/>
      </w:r>
      <w:r>
        <w:t>3.2.3.1</w:t>
      </w:r>
      <w:r>
        <w:fldChar w:fldCharType="end"/>
      </w:r>
      <w:r>
        <w:rPr>
          <w:lang w:eastAsia="en-US" w:bidi="ar-SA"/>
        </w:rPr>
        <w:t xml:space="preserve"> </w:t>
      </w:r>
    </w:p>
    <w:p w14:paraId="0FB5237F" w14:textId="77777777">
      <w:pPr>
        <w:pStyle w:val="Lista2"/>
        <w:rPr>
          <w:lang w:eastAsia="en-US" w:bidi="ar-SA"/>
        </w:rPr>
      </w:pPr>
      <w:r>
        <w:t>if the available text is in more than one nested container (verse lines in a stanza or a list in a paragraph), then care must be taken</w:t>
      </w:r>
    </w:p>
    <w:p w14:paraId="331F6607" w14:textId="77777777">
      <w:pPr>
        <w:pStyle w:val="Lista3"/>
        <w:rPr>
          <w:lang w:eastAsia="en-US" w:bidi="ar-SA"/>
        </w:rPr>
      </w:pPr>
      <w:r>
        <w:t>to add the end tag for all containers</w:t>
      </w:r>
    </w:p>
    <w:p w14:paraId="5699D86F" w14:textId="77777777">
      <w:pPr>
        <w:pStyle w:val="Lista3"/>
        <w:rPr>
          <w:lang w:eastAsia="en-US" w:bidi="ar-SA"/>
        </w:rPr>
      </w:pPr>
      <w:r>
        <w:t xml:space="preserve">and to add </w:t>
      </w:r>
      <w:r>
        <w:rPr>
          <w:rStyle w:val="Codeattribute"/>
        </w:rPr>
        <w:t>@part</w:t>
      </w:r>
      <w:r>
        <w:t xml:space="preserve"> to all containers which end prematurely</w:t>
      </w:r>
    </w:p>
    <w:p w14:paraId="6710F583" w14:textId="77777777">
      <w:pPr>
        <w:pStyle w:val="Lista4"/>
      </w:pPr>
      <w:r>
        <w:t xml:space="preserve">if the end of the available text coincides with the end of a verse line, then </w:t>
      </w:r>
      <w:r>
        <w:rPr>
          <w:rStyle w:val="Codeattribute"/>
        </w:rPr>
        <w:t>@part</w:t>
      </w:r>
      <w:r>
        <w:t xml:space="preserve"> is not applicable to that </w:t>
      </w:r>
      <w:r>
        <w:rPr>
          <w:rStyle w:val="Code"/>
        </w:rPr>
        <w:t>&lt;l&gt;</w:t>
      </w:r>
      <w:r>
        <w:t xml:space="preserve"> element, but may still be applicable to the enclosing </w:t>
      </w:r>
      <w:r>
        <w:rPr>
          <w:rStyle w:val="Code"/>
        </w:rPr>
        <w:t>&lt;lg&gt;</w:t>
      </w:r>
      <w:r>
        <w:t xml:space="preserve"> element if the stanza had subsequent lines lost to the lacuna</w:t>
      </w:r>
    </w:p>
    <w:p w14:paraId="10A77E9B" w14:textId="76DD469B">
      <w:pPr>
        <w:pStyle w:val="Lista2"/>
        <w:rPr>
          <w:lang w:eastAsia="en-US" w:bidi="ar-SA"/>
        </w:rPr>
      </w:pPr>
      <w:r>
        <w:rPr>
          <w:lang w:eastAsia="en-US" w:bidi="ar-SA"/>
        </w:rPr>
        <w:t xml:space="preserve">because structure is not reconstructed within a massive lacuna and interrupted containers are tagged with </w:t>
      </w:r>
      <w:r>
        <w:rPr>
          <w:rStyle w:val="Codeattribute"/>
        </w:rPr>
        <w:t>@part</w:t>
      </w:r>
      <w:r>
        <w:t xml:space="preserve"> to show that they are incomplete, additional containers for unavailable verse lines need not and must not be created (unlike the case in §</w:t>
      </w:r>
      <w:r>
        <w:fldChar w:fldCharType="begin"/>
      </w:r>
      <w:r>
        <w:instrText xml:space="preserve"> REF _Ref228267821 \r \h </w:instrText>
      </w:r>
      <w:r>
        <w:fldChar w:fldCharType="separate"/>
      </w:r>
      <w:r>
        <w:t>6.5.2.2</w:t>
      </w:r>
      <w:r>
        <w:fldChar w:fldCharType="end"/>
      </w:r>
      <w:r>
        <w:t>)</w:t>
      </w:r>
    </w:p>
    <w:p w14:paraId="04B0B5E3" w14:textId="77777777">
      <w:pPr>
        <w:pStyle w:val="Lista"/>
      </w:pPr>
      <w:r>
        <w:rPr>
          <w:b/>
          <w:bCs/>
          <w:lang w:eastAsia="en-US" w:bidi="ar-SA"/>
        </w:rPr>
        <w:t>extrinsic structure</w:t>
      </w:r>
    </w:p>
    <w:p w14:paraId="0A3E7413" w14:textId="43A58C06">
      <w:pPr>
        <w:pStyle w:val="Lista2"/>
      </w:pPr>
      <w:r>
        <w:lastRenderedPageBreak/>
        <w:t>the elements representing extrinsic structure are milestones that mark transition points (§</w:t>
      </w:r>
      <w:r>
        <w:fldChar w:fldCharType="begin"/>
      </w:r>
      <w:r>
        <w:instrText xml:space="preserve"> REF _Ref182923075 \r \h </w:instrText>
      </w:r>
      <w:r>
        <w:fldChar w:fldCharType="separate"/>
      </w:r>
      <w:r>
        <w:t>4.1</w:t>
      </w:r>
      <w:r>
        <w:fldChar w:fldCharType="end"/>
      </w:r>
      <w:r>
        <w:t>), so units of extrinsic structure do not have endpoints represented in the encoding and therefore cannot be “closed” before a lacuna</w:t>
      </w:r>
    </w:p>
    <w:p w14:paraId="18F7AFA2" w14:textId="4067FA12">
      <w:pPr>
        <w:pStyle w:val="Lista2"/>
      </w:pPr>
      <w:r>
        <w:t>line numbering is mandatory in all our editions (§</w:t>
      </w:r>
      <w:r>
        <w:fldChar w:fldCharType="begin"/>
      </w:r>
      <w:r>
        <w:instrText xml:space="preserve"> REF _Ref225761016 \r \h </w:instrText>
      </w:r>
      <w:r>
        <w:fldChar w:fldCharType="separate"/>
      </w:r>
      <w:r>
        <w:t>4.5.2</w:t>
      </w:r>
      <w:r>
        <w:fldChar w:fldCharType="end"/>
      </w:r>
      <w:r>
        <w:t>), so all available text must belong to a numbered line</w:t>
      </w:r>
    </w:p>
    <w:p w14:paraId="71198C33" w14:textId="77777777">
      <w:pPr>
        <w:pStyle w:val="Lista3"/>
      </w:pPr>
      <w:r>
        <w:t>thus, if any text is restored after the last extant line, a line beginning must be created for the line containing that restored text</w:t>
      </w:r>
    </w:p>
    <w:p w14:paraId="7C248320" w14:textId="182EF2E4">
      <w:pPr>
        <w:pStyle w:val="Lista3"/>
      </w:pPr>
      <w:r>
        <w:t>however, see §</w:t>
      </w:r>
      <w:r>
        <w:fldChar w:fldCharType="begin"/>
      </w:r>
      <w:r>
        <w:instrText xml:space="preserve"> REF _Ref228367464 \r \h </w:instrText>
      </w:r>
      <w:r>
        <w:fldChar w:fldCharType="separate"/>
      </w:r>
      <w:r>
        <w:t>6.5.4.5</w:t>
      </w:r>
      <w:r>
        <w:fldChar w:fldCharType="end"/>
      </w:r>
      <w:r>
        <w:t xml:space="preserve"> for an alternative</w:t>
      </w:r>
    </w:p>
    <w:p w14:paraId="1FC7538B" w14:textId="23262F2F">
      <w:pPr>
        <w:pStyle w:val="Lista2"/>
      </w:pPr>
      <w:r>
        <w:t>if any line has available text (whether extant or restored) at the beginning but no available text later on, then an inline lacuna (§</w:t>
      </w:r>
      <w:r>
        <w:fldChar w:fldCharType="begin"/>
      </w:r>
      <w:r>
        <w:instrText xml:space="preserve"> REF _Ref43988016 \r \h </w:instrText>
      </w:r>
      <w:r>
        <w:fldChar w:fldCharType="separate"/>
      </w:r>
      <w:r>
        <w:t>6.5.2</w:t>
      </w:r>
      <w:r>
        <w:fldChar w:fldCharType="end"/>
      </w:r>
      <w:r>
        <w:t>) must be encoded for the remainder of that line</w:t>
      </w:r>
    </w:p>
    <w:p w14:paraId="3CDCCB25" w14:textId="77777777">
      <w:pPr>
        <w:pStyle w:val="Lista3"/>
      </w:pPr>
      <w:r>
        <w:t>the inline lacuna is an entity separate from the massive lacuna and must, as usual, be within and not outside the block level text containers</w:t>
      </w:r>
    </w:p>
    <w:p w14:paraId="7D6A2780" w14:textId="3BD38D03">
      <w:pPr>
        <w:pStyle w:val="Lista4"/>
      </w:pPr>
      <w:r>
        <w:t>if this happens in a verse context, attempt to reconstruct verse structure as per §</w:t>
      </w:r>
      <w:r>
        <w:fldChar w:fldCharType="begin"/>
      </w:r>
      <w:r>
        <w:instrText xml:space="preserve"> REF _Ref228267821 \r \h </w:instrText>
      </w:r>
      <w:r>
        <w:fldChar w:fldCharType="separate"/>
      </w:r>
      <w:r>
        <w:t>6.5.2.2</w:t>
      </w:r>
      <w:r>
        <w:fldChar w:fldCharType="end"/>
      </w:r>
      <w:r>
        <w:t xml:space="preserve"> for the duration of the inline lacuna, even though structure is not reconstructed for the massive lacuna itself</w:t>
      </w:r>
    </w:p>
    <w:p w14:paraId="6C7A4A44" w14:textId="77777777">
      <w:pPr>
        <w:pStyle w:val="Lista4"/>
      </w:pPr>
      <w:r>
        <w:t xml:space="preserve">however, if this proves problematic, you may alternatively choose to encode the incomplete stanza as above, then create an </w:t>
      </w:r>
      <w:r>
        <w:rPr>
          <w:rStyle w:val="Code"/>
        </w:rPr>
        <w:t>&lt;ab&gt;</w:t>
      </w:r>
      <w:r>
        <w:t xml:space="preserve"> element after it (and before the massive lacuna) to contain only the inline lacuna</w:t>
      </w:r>
    </w:p>
    <w:p w14:paraId="2A7FFAC8" w14:textId="454038F5">
      <w:pPr>
        <w:pStyle w:val="Lista2"/>
      </w:pPr>
      <w:r>
        <w:t>if an inscription with a massive lacuna contains pages or pagelike milestones, handle it according to the considerations offered for incomplete copperplate sets (§</w:t>
      </w:r>
      <w:r>
        <w:fldChar w:fldCharType="begin"/>
      </w:r>
      <w:r>
        <w:instrText xml:space="preserve"> REF _Ref228453273 \r \h </w:instrText>
      </w:r>
      <w:r>
        <w:fldChar w:fldCharType="separate"/>
      </w:r>
      <w:r>
        <w:t>6.5.5</w:t>
      </w:r>
      <w:r>
        <w:fldChar w:fldCharType="end"/>
      </w:r>
      <w:r>
        <w:t>)</w:t>
      </w:r>
    </w:p>
    <w:p w14:paraId="0AC489AD" w14:textId="77777777">
      <w:pPr>
        <w:pStyle w:val="Lista2"/>
      </w:pPr>
      <w:r>
        <w:t>if an inscription with a massive lacuna contains lower-level structural boundaries (gridlike milestones), these must be ignored for the extent of the massive lacuna itself, but</w:t>
      </w:r>
    </w:p>
    <w:p w14:paraId="30E25C1C" w14:textId="77777777">
      <w:pPr>
        <w:pStyle w:val="Lista3"/>
      </w:pPr>
      <w:r>
        <w:t>must be reconstructed as applicable to any restored text</w:t>
      </w:r>
    </w:p>
    <w:p w14:paraId="76F462BA" w14:textId="77777777">
      <w:pPr>
        <w:pStyle w:val="Lista3"/>
      </w:pPr>
      <w:r>
        <w:t>may be optionally reconstructed for the segmentation of inline lacunae adjacent to the massive lacuna, when this is feasible</w:t>
      </w:r>
    </w:p>
    <w:p w14:paraId="187C817E" w14:textId="77777777"/>
    <w:tbl>
      <w:tblPr>
        <w:tblStyle w:val="CodeSampleTable"/>
        <w:tblW w:w="5000" w:type="pct"/>
        <w:tblLook w:val="04A0" w:firstRow="1" w:lastRow="0" w:firstColumn="1" w:lastColumn="0" w:noHBand="0" w:noVBand="1"/>
      </w:tblPr>
      <w:tblGrid>
        <w:gridCol w:w="9628"/>
      </w:tblGrid>
      <w:tr w14:paraId="0C8BB1D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B80856D" w14:textId="33756623">
            <w:pPr>
              <w:pStyle w:val="Kpalrs"/>
            </w:pPr>
            <w:bookmarkStart w:id="595" w:name="_Ref228450971"/>
            <w:r>
              <w:t xml:space="preserve">Exhibit </w:t>
            </w:r>
            <w:fldSimple w:instr=" STYLEREF 2 \s ">
              <w:r>
                <w:rPr>
                  <w:noProof/>
                </w:rPr>
                <w:t>6.5</w:t>
              </w:r>
            </w:fldSimple>
            <w:r>
              <w:t>.</w:t>
            </w:r>
            <w:fldSimple w:instr=" SEQ Exhibit \* ALPHABETIC \s 2 ">
              <w:r>
                <w:rPr>
                  <w:noProof/>
                </w:rPr>
                <w:t>G</w:t>
              </w:r>
            </w:fldSimple>
            <w:bookmarkEnd w:id="595"/>
            <w:r>
              <w:t>: massive final lacuna</w:t>
            </w:r>
          </w:p>
        </w:tc>
      </w:tr>
      <w:tr w14:paraId="078D8732" w14:textId="77777777">
        <w:tc>
          <w:tcPr>
            <w:tcW w:w="5000" w:type="pct"/>
          </w:tcPr>
          <w:p w14:paraId="66316548" w14:textId="77777777">
            <w:pPr>
              <w:pStyle w:val="CodeParagraph"/>
              <w:rPr>
                <w:rStyle w:val="Code"/>
              </w:rPr>
            </w:pPr>
            <w:r>
              <w:rPr>
                <w:rStyle w:val="Code"/>
              </w:rPr>
              <w:t xml:space="preserve">&lt;p </w:t>
            </w:r>
            <w:r>
              <w:rPr>
                <w:rStyle w:val="Codeattribute"/>
              </w:rPr>
              <w:t>part</w:t>
            </w:r>
            <w:r>
              <w:rPr>
                <w:rStyle w:val="Code"/>
              </w:rPr>
              <w:t>=</w:t>
            </w:r>
            <w:r>
              <w:rPr>
                <w:rStyle w:val="Codevalue"/>
              </w:rPr>
              <w:t>"I"</w:t>
            </w:r>
            <w:r>
              <w:rPr>
                <w:rStyle w:val="Code"/>
              </w:rPr>
              <w:t>&gt;</w:t>
            </w:r>
            <w:r>
              <w:rPr>
                <w:rStyle w:val="Codetext"/>
              </w:rPr>
              <w:t>...</w:t>
            </w:r>
            <w:r>
              <w:rPr>
                <w:rStyle w:val="Codetext"/>
              </w:rPr>
              <w:br/>
            </w:r>
            <w:r>
              <w:rPr>
                <w:rStyle w:val="Code"/>
              </w:rPr>
              <w:t xml:space="preserve">  &lt;lb </w:t>
            </w:r>
            <w:r>
              <w:rPr>
                <w:rStyle w:val="Codeattribute"/>
              </w:rPr>
              <w:t>n</w:t>
            </w:r>
            <w:r>
              <w:rPr>
                <w:rStyle w:val="Code"/>
              </w:rPr>
              <w:t>=</w:t>
            </w:r>
            <w:r>
              <w:rPr>
                <w:rStyle w:val="Codevalue"/>
              </w:rPr>
              <w:t>"5"</w:t>
            </w:r>
            <w:r>
              <w:rPr>
                <w:rStyle w:val="Code"/>
              </w:rPr>
              <w:t>/&gt;</w:t>
            </w:r>
            <w:r>
              <w:rPr>
                <w:rStyle w:val="Codetext"/>
              </w:rPr>
              <w:t>tāpasāśrama-va</w:t>
            </w:r>
            <w:r>
              <w:rPr>
                <w:rStyle w:val="Code"/>
              </w:rPr>
              <w:t>&lt;supplied&gt;</w:t>
            </w:r>
            <w:r>
              <w:rPr>
                <w:rStyle w:val="Codetext"/>
              </w:rPr>
              <w:t>ne</w:t>
            </w:r>
            <w:r>
              <w:rPr>
                <w:rStyle w:val="Code"/>
              </w:rPr>
              <w:t xml:space="preserve">&lt;/supplied&gt; </w:t>
            </w:r>
          </w:p>
          <w:p w14:paraId="10076A81" w14:textId="77777777">
            <w:pPr>
              <w:pStyle w:val="CodeParagraph"/>
            </w:pPr>
            <w:r>
              <w:rPr>
                <w:rStyle w:val="Code"/>
              </w:rPr>
              <w:t xml:space="preserve">  &lt;gap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"character"</w:t>
            </w:r>
            <w:r>
              <w:rPr>
                <w:rStyle w:val="Code"/>
              </w:rPr>
              <w:t>&gt;</w:t>
            </w:r>
            <w:r>
              <w:rPr>
                <w:rStyle w:val="Codetext"/>
              </w:rPr>
              <w:br/>
            </w:r>
            <w:r>
              <w:rPr>
                <w:rStyle w:val="Code"/>
              </w:rPr>
              <w:t>&lt;/p&gt;</w:t>
            </w:r>
            <w:r>
              <w:rPr>
                <w:rStyle w:val="Codetext"/>
              </w:rPr>
              <w:br/>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/&gt;</w:t>
            </w:r>
          </w:p>
        </w:tc>
      </w:tr>
      <w:tr w14:paraId="1F34BEC9" w14:textId="77777777">
        <w:tc>
          <w:tcPr>
            <w:tcW w:w="5000" w:type="pct"/>
          </w:tcPr>
          <w:p w14:paraId="5B8842B5" w14:textId="77777777">
            <w:pPr>
              <w:pStyle w:val="TableNote"/>
            </w:pPr>
            <w:r>
              <w:t>line 5 is the last extant line, containing some text followed by a partial restoration and an inline lacuna</w:t>
            </w:r>
          </w:p>
          <w:p w14:paraId="157406C7" w14:textId="77777777">
            <w:pPr>
              <w:pStyle w:val="TableNote"/>
            </w:pPr>
            <w:r>
              <w:t>after the end-tag for the block-level container, a massive lacuna of unknown size is encoded</w:t>
            </w:r>
          </w:p>
        </w:tc>
      </w:tr>
    </w:tbl>
    <w:p w14:paraId="4587EB3A" w14:textId="77777777"/>
    <w:p w14:paraId="0A57F17B" w14:textId="77777777">
      <w:pPr>
        <w:pStyle w:val="Cmsor4"/>
      </w:pPr>
      <w:bookmarkStart w:id="596" w:name="_Ref228453546"/>
      <w:r>
        <w:t>Structure after a massive lacuna</w:t>
      </w:r>
      <w:bookmarkEnd w:id="596"/>
    </w:p>
    <w:p w14:paraId="6AD7B441" w14:textId="5E29274C">
      <w:pPr>
        <w:rPr>
          <w:lang w:eastAsia="en-US" w:bidi="ar-SA"/>
        </w:rPr>
      </w:pPr>
      <w:r>
        <w:rPr>
          <w:lang w:eastAsia="en-US" w:bidi="ar-SA"/>
        </w:rPr>
        <w:t xml:space="preserve">The encoding of a massive initial lacuna is illustrated in </w:t>
      </w:r>
      <w:r>
        <w:rPr>
          <w:lang w:eastAsia="en-US" w:bidi="ar-SA"/>
        </w:rPr>
        <w:fldChar w:fldCharType="begin"/>
      </w:r>
      <w:r>
        <w:rPr>
          <w:lang w:eastAsia="en-US" w:bidi="ar-SA"/>
        </w:rPr>
        <w:instrText xml:space="preserve"> REF _Ref228450997 \h </w:instrText>
      </w:r>
      <w:r>
        <w:rPr>
          <w:lang w:eastAsia="en-US" w:bidi="ar-SA"/>
        </w:rPr>
      </w:r>
      <w:r>
        <w:rPr>
          <w:lang w:eastAsia="en-US" w:bidi="ar-SA"/>
        </w:rPr>
        <w:fldChar w:fldCharType="separate"/>
      </w:r>
      <w:r>
        <w:t xml:space="preserve">Exhibit </w:t>
      </w:r>
      <w:r>
        <w:rPr>
          <w:noProof/>
        </w:rPr>
        <w:t>6.5</w:t>
      </w:r>
      <w:r>
        <w:t>.</w:t>
      </w:r>
      <w:r>
        <w:rPr>
          <w:noProof/>
        </w:rPr>
        <w:t>H</w:t>
      </w:r>
      <w:r>
        <w:rPr>
          <w:lang w:eastAsia="en-US" w:bidi="ar-SA"/>
        </w:rPr>
        <w:fldChar w:fldCharType="end"/>
      </w:r>
      <w:r>
        <w:rPr>
          <w:lang w:eastAsia="en-US" w:bidi="ar-SA"/>
        </w:rPr>
        <w:t>.</w:t>
      </w:r>
    </w:p>
    <w:p w14:paraId="702B00C5" w14:textId="77777777">
      <w:pPr>
        <w:pStyle w:val="Lista"/>
        <w:rPr>
          <w:lang w:eastAsia="en-US" w:bidi="ar-SA"/>
        </w:rPr>
      </w:pPr>
      <w:r>
        <w:rPr>
          <w:b/>
          <w:bCs/>
          <w:lang w:eastAsia="en-US" w:bidi="ar-SA"/>
        </w:rPr>
        <w:t>intrinsic structure</w:t>
      </w:r>
    </w:p>
    <w:p w14:paraId="3CC979C8" w14:textId="79D4BEBE">
      <w:pPr>
        <w:pStyle w:val="Lista2"/>
        <w:rPr>
          <w:lang w:eastAsia="en-US" w:bidi="ar-SA"/>
        </w:rPr>
      </w:pPr>
      <w:r>
        <w:rPr>
          <w:lang w:eastAsia="en-US" w:bidi="ar-SA"/>
        </w:rPr>
        <w:t>because all available text must be within a container for intrinsic structure (§</w:t>
      </w:r>
      <w:r>
        <w:rPr>
          <w:lang w:eastAsia="en-US" w:bidi="ar-SA"/>
        </w:rPr>
        <w:fldChar w:fldCharType="begin"/>
      </w:r>
      <w:r>
        <w:rPr>
          <w:lang w:eastAsia="en-US" w:bidi="ar-SA"/>
        </w:rPr>
        <w:instrText xml:space="preserve"> REF _Ref225153755 \r \h </w:instrText>
      </w:r>
      <w:r>
        <w:rPr>
          <w:lang w:eastAsia="en-US" w:bidi="ar-SA"/>
        </w:rPr>
      </w:r>
      <w:r>
        <w:rPr>
          <w:lang w:eastAsia="en-US" w:bidi="ar-SA"/>
        </w:rPr>
        <w:fldChar w:fldCharType="separate"/>
      </w:r>
      <w:r>
        <w:rPr>
          <w:lang w:eastAsia="en-US" w:bidi="ar-SA"/>
        </w:rPr>
        <w:t>3.1</w:t>
      </w:r>
      <w:r>
        <w:rPr>
          <w:lang w:eastAsia="en-US" w:bidi="ar-SA"/>
        </w:rPr>
        <w:fldChar w:fldCharType="end"/>
      </w:r>
      <w:r>
        <w:rPr>
          <w:lang w:eastAsia="en-US" w:bidi="ar-SA"/>
        </w:rPr>
        <w:t>) but intrinsic structure is not reconstructed within a massive lacuna, block-level containers must be opened right after the lacuna, before any text begins</w:t>
      </w:r>
    </w:p>
    <w:p w14:paraId="1851BD02" w14:textId="18D68391">
      <w:pPr>
        <w:pStyle w:val="Lista2"/>
        <w:rPr>
          <w:lang w:eastAsia="en-US" w:bidi="ar-SA"/>
        </w:rPr>
      </w:pPr>
      <w:r>
        <w:rPr>
          <w:lang w:eastAsia="en-US" w:bidi="ar-SA"/>
        </w:rPr>
        <w:t xml:space="preserve">if the beginning of the available text does not coincide with the natural (semantic or metrical) end of the container, so the container begins late, then the interrupted container must be encoded with </w:t>
      </w:r>
      <w:r>
        <w:rPr>
          <w:rStyle w:val="Codeattribute"/>
        </w:rPr>
        <w:t>@part</w:t>
      </w:r>
      <w:r>
        <w:rPr>
          <w:rStyle w:val="Code"/>
        </w:rPr>
        <w:t>=</w:t>
      </w:r>
      <w:r>
        <w:rPr>
          <w:rStyle w:val="Codevalue"/>
        </w:rPr>
        <w:t>"F"</w:t>
      </w:r>
      <w:r>
        <w:t xml:space="preserve"> (or </w:t>
      </w:r>
      <w:r>
        <w:rPr>
          <w:rStyle w:val="Codeattribute"/>
        </w:rPr>
        <w:t>@part</w:t>
      </w:r>
      <w:r>
        <w:rPr>
          <w:rStyle w:val="Code"/>
        </w:rPr>
        <w:t>=</w:t>
      </w:r>
      <w:r>
        <w:rPr>
          <w:rStyle w:val="Codevalue"/>
        </w:rPr>
        <w:t>"M"</w:t>
      </w:r>
      <w:r>
        <w:t xml:space="preserve"> if the end of the same container is lost to another lacuna) as per §</w:t>
      </w:r>
      <w:r>
        <w:fldChar w:fldCharType="begin"/>
      </w:r>
      <w:r>
        <w:instrText xml:space="preserve"> REF _Ref228980509 \r \h </w:instrText>
      </w:r>
      <w:r>
        <w:fldChar w:fldCharType="separate"/>
      </w:r>
      <w:r>
        <w:t>3.2.3.1</w:t>
      </w:r>
      <w:r>
        <w:fldChar w:fldCharType="end"/>
      </w:r>
      <w:r>
        <w:rPr>
          <w:lang w:eastAsia="en-US" w:bidi="ar-SA"/>
        </w:rPr>
        <w:t xml:space="preserve"> </w:t>
      </w:r>
    </w:p>
    <w:p w14:paraId="12CCB6EB" w14:textId="77777777">
      <w:pPr>
        <w:pStyle w:val="Lista2"/>
        <w:rPr>
          <w:lang w:eastAsia="en-US" w:bidi="ar-SA"/>
        </w:rPr>
      </w:pPr>
      <w:r>
        <w:t>if the available text needs more than one nested container (verse lines in a stanza or a list in a paragraph), then care must be taken</w:t>
      </w:r>
    </w:p>
    <w:p w14:paraId="529209E5" w14:textId="77777777">
      <w:pPr>
        <w:pStyle w:val="Lista3"/>
        <w:rPr>
          <w:lang w:eastAsia="en-US" w:bidi="ar-SA"/>
        </w:rPr>
      </w:pPr>
      <w:r>
        <w:t>to create the start tag for all containers</w:t>
      </w:r>
    </w:p>
    <w:p w14:paraId="47927CB1" w14:textId="77777777">
      <w:pPr>
        <w:pStyle w:val="Lista3"/>
        <w:rPr>
          <w:lang w:eastAsia="en-US" w:bidi="ar-SA"/>
        </w:rPr>
      </w:pPr>
      <w:r>
        <w:t xml:space="preserve">and to add </w:t>
      </w:r>
      <w:r>
        <w:rPr>
          <w:rStyle w:val="Codeattribute"/>
        </w:rPr>
        <w:t>@part</w:t>
      </w:r>
      <w:r>
        <w:t xml:space="preserve"> to all containers which begin late</w:t>
      </w:r>
    </w:p>
    <w:p w14:paraId="59C67EB9" w14:textId="77777777">
      <w:pPr>
        <w:pStyle w:val="Lista4"/>
      </w:pPr>
      <w:r>
        <w:t xml:space="preserve">if the beginning of the available text coincides with the beginning of a line, then </w:t>
      </w:r>
      <w:r>
        <w:rPr>
          <w:rStyle w:val="Codeattribute"/>
        </w:rPr>
        <w:t>@part</w:t>
      </w:r>
      <w:r>
        <w:t xml:space="preserve"> is not applicable to that </w:t>
      </w:r>
      <w:r>
        <w:rPr>
          <w:rStyle w:val="Code"/>
        </w:rPr>
        <w:t>&lt;l&gt;</w:t>
      </w:r>
      <w:r>
        <w:t xml:space="preserve"> element, but may still be applicable to the enclosing </w:t>
      </w:r>
      <w:r>
        <w:rPr>
          <w:rStyle w:val="Code"/>
        </w:rPr>
        <w:t>&lt;lg&gt;</w:t>
      </w:r>
      <w:r>
        <w:t xml:space="preserve"> element if the stanza had previous lines lost to the lacuna</w:t>
      </w:r>
    </w:p>
    <w:p w14:paraId="2EF852AE" w14:textId="2E5A42DC">
      <w:pPr>
        <w:pStyle w:val="Lista2"/>
        <w:rPr>
          <w:lang w:eastAsia="en-US" w:bidi="ar-SA"/>
        </w:rPr>
      </w:pPr>
      <w:r>
        <w:rPr>
          <w:lang w:eastAsia="en-US" w:bidi="ar-SA"/>
        </w:rPr>
        <w:lastRenderedPageBreak/>
        <w:t xml:space="preserve">because structure is not reconstructed within a massive lacuna and interrupted containers are tagged with </w:t>
      </w:r>
      <w:r>
        <w:rPr>
          <w:rStyle w:val="Codeattribute"/>
        </w:rPr>
        <w:t>@part</w:t>
      </w:r>
      <w:r>
        <w:t xml:space="preserve"> to show that they are incomplete, additional containers for unavailable verse lines need not and must not be created (unlike the case in §</w:t>
      </w:r>
      <w:r>
        <w:fldChar w:fldCharType="begin"/>
      </w:r>
      <w:r>
        <w:instrText xml:space="preserve"> REF _Ref228267821 \r \h </w:instrText>
      </w:r>
      <w:r>
        <w:fldChar w:fldCharType="separate"/>
      </w:r>
      <w:r>
        <w:t>6.5.2.2</w:t>
      </w:r>
      <w:r>
        <w:fldChar w:fldCharType="end"/>
      </w:r>
      <w:r>
        <w:t>)</w:t>
      </w:r>
    </w:p>
    <w:p w14:paraId="07889E07" w14:textId="77777777">
      <w:pPr>
        <w:pStyle w:val="Lista"/>
      </w:pPr>
      <w:r>
        <w:rPr>
          <w:b/>
          <w:bCs/>
          <w:lang w:eastAsia="en-US" w:bidi="ar-SA"/>
        </w:rPr>
        <w:t>extrinsic structure</w:t>
      </w:r>
    </w:p>
    <w:p w14:paraId="1F232A97" w14:textId="0B6760CB">
      <w:pPr>
        <w:pStyle w:val="Lista2"/>
      </w:pPr>
      <w:r>
        <w:t>the elements representing extrinsic structure are milestones that mark transition points (§</w:t>
      </w:r>
      <w:r>
        <w:fldChar w:fldCharType="begin"/>
      </w:r>
      <w:r>
        <w:instrText xml:space="preserve"> REF _Ref182923075 \r \h </w:instrText>
      </w:r>
      <w:r>
        <w:fldChar w:fldCharType="separate"/>
      </w:r>
      <w:r>
        <w:t>4.1</w:t>
      </w:r>
      <w:r>
        <w:fldChar w:fldCharType="end"/>
      </w:r>
      <w:r>
        <w:t>), so units of extrinsic structure are represented in the encoding at their start and must be created after a lacuna</w:t>
      </w:r>
    </w:p>
    <w:p w14:paraId="2325B79A" w14:textId="484129E9">
      <w:pPr>
        <w:pStyle w:val="Lista2"/>
      </w:pPr>
      <w:r>
        <w:t>line numbering is mandatory in all our editions (§</w:t>
      </w:r>
      <w:r>
        <w:fldChar w:fldCharType="begin"/>
      </w:r>
      <w:r>
        <w:instrText xml:space="preserve"> REF _Ref225761016 \r \h </w:instrText>
      </w:r>
      <w:r>
        <w:fldChar w:fldCharType="separate"/>
      </w:r>
      <w:r>
        <w:t>4.5.2</w:t>
      </w:r>
      <w:r>
        <w:fldChar w:fldCharType="end"/>
      </w:r>
      <w:r>
        <w:t>), so all available text must belong to a numbered line</w:t>
      </w:r>
    </w:p>
    <w:p w14:paraId="79015320" w14:textId="77777777">
      <w:pPr>
        <w:pStyle w:val="Lista2"/>
      </w:pPr>
      <w:r>
        <w:t>all applicable milestones must be present for all available text, even if a structural unit contains only a (partial) restoration</w:t>
      </w:r>
    </w:p>
    <w:p w14:paraId="42DEFE11" w14:textId="77777777">
      <w:pPr>
        <w:pStyle w:val="Lista3"/>
      </w:pPr>
      <w:r>
        <w:t>thus, if any text is restored before the first extant line, a line beginning must be created for the line containing that restored text</w:t>
      </w:r>
    </w:p>
    <w:p w14:paraId="7FC5AD5C" w14:textId="00E5C160">
      <w:pPr>
        <w:pStyle w:val="Lista3"/>
      </w:pPr>
      <w:r>
        <w:t>however, see §</w:t>
      </w:r>
      <w:r>
        <w:fldChar w:fldCharType="begin"/>
      </w:r>
      <w:r>
        <w:instrText xml:space="preserve"> REF _Ref228367464 \r \h </w:instrText>
      </w:r>
      <w:r>
        <w:fldChar w:fldCharType="separate"/>
      </w:r>
      <w:r>
        <w:t>6.5.4.5</w:t>
      </w:r>
      <w:r>
        <w:fldChar w:fldCharType="end"/>
      </w:r>
      <w:r>
        <w:t xml:space="preserve"> for an alternative</w:t>
      </w:r>
    </w:p>
    <w:p w14:paraId="5D98A4CC" w14:textId="77777777">
      <w:pPr>
        <w:pStyle w:val="Lista2"/>
      </w:pPr>
      <w:r>
        <w:t>line beginnings (as well as all structural milestones) after the lacuna must, as usual, be contained within block-level containers</w:t>
      </w:r>
    </w:p>
    <w:p w14:paraId="43F7020C" w14:textId="4E5B7B3E">
      <w:pPr>
        <w:pStyle w:val="Lista2"/>
      </w:pPr>
      <w:r>
        <w:t xml:space="preserve">if the available text begins within a word, then </w:t>
      </w:r>
      <w:r>
        <w:rPr>
          <w:rStyle w:val="Codeattribute"/>
        </w:rPr>
        <w:t>@break</w:t>
      </w:r>
      <w:r>
        <w:rPr>
          <w:rStyle w:val="Code"/>
        </w:rPr>
        <w:t>=</w:t>
      </w:r>
      <w:r>
        <w:rPr>
          <w:rStyle w:val="Codevalue"/>
        </w:rPr>
        <w:t>"no"</w:t>
      </w:r>
      <w:r>
        <w:t xml:space="preserve"> must be used normally (§</w:t>
      </w:r>
      <w:r>
        <w:fldChar w:fldCharType="begin"/>
      </w:r>
      <w:r>
        <w:instrText xml:space="preserve"> REF _Ref225519777 \r \h </w:instrText>
      </w:r>
      <w:r>
        <w:fldChar w:fldCharType="separate"/>
      </w:r>
      <w:r>
        <w:t>4.3.2.1</w:t>
      </w:r>
      <w:r>
        <w:fldChar w:fldCharType="end"/>
      </w:r>
      <w:r>
        <w:t>) on the line beginning (as well as any higher-level structural milestone) preceding it</w:t>
      </w:r>
    </w:p>
    <w:p w14:paraId="76165B53" w14:textId="13831181">
      <w:pPr>
        <w:pStyle w:val="Lista2"/>
      </w:pPr>
      <w:r>
        <w:t>if any line has available text (whether extant or restored) at the end but no available text earlier, then an inline lacuna (§</w:t>
      </w:r>
      <w:r>
        <w:fldChar w:fldCharType="begin"/>
      </w:r>
      <w:r>
        <w:instrText xml:space="preserve"> REF _Ref43988016 \r \h </w:instrText>
      </w:r>
      <w:r>
        <w:fldChar w:fldCharType="separate"/>
      </w:r>
      <w:r>
        <w:t>6.5.2</w:t>
      </w:r>
      <w:r>
        <w:fldChar w:fldCharType="end"/>
      </w:r>
      <w:r>
        <w:t>) must be encoded for the beginning of that line</w:t>
      </w:r>
    </w:p>
    <w:p w14:paraId="52BA7E9B" w14:textId="77777777">
      <w:pPr>
        <w:pStyle w:val="Lista3"/>
      </w:pPr>
      <w:r>
        <w:t>the inline lacuna is an entity separate from the massive lacuna and must, as usual, be within and not outside the block level text containers</w:t>
      </w:r>
    </w:p>
    <w:p w14:paraId="5797D919" w14:textId="7F5BAE7E">
      <w:pPr>
        <w:pStyle w:val="Lista4"/>
      </w:pPr>
      <w:r>
        <w:t>if this happens in a verse context, attempt to reconstruct verse structure as per §</w:t>
      </w:r>
      <w:r>
        <w:fldChar w:fldCharType="begin"/>
      </w:r>
      <w:r>
        <w:instrText xml:space="preserve"> REF _Ref228267821 \r \h </w:instrText>
      </w:r>
      <w:r>
        <w:fldChar w:fldCharType="separate"/>
      </w:r>
      <w:r>
        <w:t>6.5.2.2</w:t>
      </w:r>
      <w:r>
        <w:fldChar w:fldCharType="end"/>
      </w:r>
      <w:r>
        <w:t xml:space="preserve"> for the duration of the inline lacuna, even though structure is not reconstructed for the massive lacuna itself</w:t>
      </w:r>
    </w:p>
    <w:p w14:paraId="77707749" w14:textId="77777777">
      <w:pPr>
        <w:pStyle w:val="Lista4"/>
      </w:pPr>
      <w:r>
        <w:t xml:space="preserve">however, if this proves problematic, you may alternatively choose to encode the incomplete stanza as above, then create an </w:t>
      </w:r>
      <w:r>
        <w:rPr>
          <w:rStyle w:val="Code"/>
        </w:rPr>
        <w:t>&lt;ab&gt;</w:t>
      </w:r>
      <w:r>
        <w:t xml:space="preserve"> element after it (and before the massive lacuna) to contain only the inline lacuna</w:t>
      </w:r>
    </w:p>
    <w:p w14:paraId="309D183E" w14:textId="31652628">
      <w:pPr>
        <w:pStyle w:val="Lista2"/>
      </w:pPr>
      <w:r>
        <w:t>if an inscription with a massive lacuna contains pages or pagelike milestones, handle it according to the considerations offered for incomplete copperplate sets (§</w:t>
      </w:r>
      <w:r>
        <w:fldChar w:fldCharType="begin"/>
      </w:r>
      <w:r>
        <w:instrText xml:space="preserve"> REF _Ref228453273 \r \h </w:instrText>
      </w:r>
      <w:r>
        <w:fldChar w:fldCharType="separate"/>
      </w:r>
      <w:r>
        <w:t>6.5.5</w:t>
      </w:r>
      <w:r>
        <w:fldChar w:fldCharType="end"/>
      </w:r>
      <w:r>
        <w:t>)</w:t>
      </w:r>
    </w:p>
    <w:p w14:paraId="15B7CB95" w14:textId="77777777">
      <w:pPr>
        <w:pStyle w:val="Lista2"/>
      </w:pPr>
      <w:r>
        <w:t>if an inscription with a massive lacuna contains lower-level structural boundaries (gridlike milestones), these must be ignored for the extent of the massive lacuna itself, but</w:t>
      </w:r>
    </w:p>
    <w:p w14:paraId="4709CA6D" w14:textId="77777777">
      <w:pPr>
        <w:pStyle w:val="Lista3"/>
      </w:pPr>
      <w:r>
        <w:t>must be reconstructed as applicable to any restored text</w:t>
      </w:r>
    </w:p>
    <w:p w14:paraId="5DA79362" w14:textId="77777777">
      <w:pPr>
        <w:pStyle w:val="Lista3"/>
      </w:pPr>
      <w:r>
        <w:t>may be optionally reconstructed for the segmentation of inline lacunae adjacent to the massive lacuna, when this is feasible</w:t>
      </w:r>
    </w:p>
    <w:p w14:paraId="00CE0400" w14:textId="77777777"/>
    <w:tbl>
      <w:tblPr>
        <w:tblStyle w:val="CodeSampleTable"/>
        <w:tblW w:w="5000" w:type="pct"/>
        <w:tblLook w:val="04A0" w:firstRow="1" w:lastRow="0" w:firstColumn="1" w:lastColumn="0" w:noHBand="0" w:noVBand="1"/>
      </w:tblPr>
      <w:tblGrid>
        <w:gridCol w:w="9628"/>
      </w:tblGrid>
      <w:tr w14:paraId="0922B810"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A7C2EF7" w14:textId="2355FC03">
            <w:pPr>
              <w:pStyle w:val="Kpalrs"/>
            </w:pPr>
            <w:bookmarkStart w:id="597" w:name="_Ref228450997"/>
            <w:r>
              <w:t xml:space="preserve">Exhibit </w:t>
            </w:r>
            <w:fldSimple w:instr=" STYLEREF 2 \s ">
              <w:r>
                <w:rPr>
                  <w:noProof/>
                </w:rPr>
                <w:t>6.5</w:t>
              </w:r>
            </w:fldSimple>
            <w:r>
              <w:t>.</w:t>
            </w:r>
            <w:fldSimple w:instr=" SEQ Exhibit \* ALPHABETIC \s 2 ">
              <w:r>
                <w:rPr>
                  <w:noProof/>
                </w:rPr>
                <w:t>H</w:t>
              </w:r>
            </w:fldSimple>
            <w:bookmarkEnd w:id="597"/>
            <w:r>
              <w:t>: massive initial lacuna</w:t>
            </w:r>
          </w:p>
        </w:tc>
      </w:tr>
      <w:tr w14:paraId="4D44A16E" w14:textId="77777777">
        <w:tc>
          <w:tcPr>
            <w:tcW w:w="5000" w:type="pct"/>
          </w:tcPr>
          <w:p w14:paraId="13FC0645" w14:textId="77777777">
            <w:pPr>
              <w:pStyle w:val="CodeParagraph"/>
              <w:rPr>
                <w:rStyle w:val="Code"/>
              </w:rPr>
            </w:pP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/&gt;</w:t>
            </w:r>
            <w:r>
              <w:rPr>
                <w:rStyle w:val="Codetext"/>
              </w:rPr>
              <w:br/>
            </w:r>
            <w:r>
              <w:rPr>
                <w:rStyle w:val="Code"/>
              </w:rPr>
              <w:t xml:space="preserve">&lt;p </w:t>
            </w:r>
            <w:r>
              <w:rPr>
                <w:rStyle w:val="Codeattribute"/>
              </w:rPr>
              <w:t>part</w:t>
            </w:r>
            <w:r>
              <w:rPr>
                <w:rStyle w:val="Code"/>
              </w:rPr>
              <w:t>=</w:t>
            </w:r>
            <w:r>
              <w:rPr>
                <w:rStyle w:val="Codevalue"/>
              </w:rPr>
              <w:t>"F"</w:t>
            </w:r>
            <w:r>
              <w:rPr>
                <w:rStyle w:val="Code"/>
              </w:rPr>
              <w:t>&gt;</w:t>
            </w:r>
          </w:p>
          <w:p w14:paraId="46895158" w14:textId="77777777">
            <w:pPr>
              <w:pStyle w:val="CodeParagraph"/>
              <w:rPr>
                <w:rStyle w:val="Codetext"/>
              </w:rPr>
            </w:pPr>
            <w:r>
              <w:rPr>
                <w:rStyle w:val="Code"/>
              </w:rPr>
              <w:t xml:space="preserve">  &lt;lb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precision</w:t>
            </w:r>
            <w:r>
              <w:rPr>
                <w:rStyle w:val="Code"/>
              </w:rPr>
              <w:t>=</w:t>
            </w:r>
            <w:r>
              <w:rPr>
                <w:rStyle w:val="Codevalue"/>
              </w:rPr>
              <w:t>"low"</w:t>
            </w:r>
            <w:r>
              <w:rPr>
                <w:rStyle w:val="Code"/>
              </w:rPr>
              <w:t xml:space="preserve"> </w:t>
            </w:r>
            <w:r>
              <w:rPr>
                <w:rStyle w:val="Codeattribute"/>
              </w:rPr>
              <w:t>quantity</w:t>
            </w:r>
            <w:r>
              <w:rPr>
                <w:rStyle w:val="Code"/>
              </w:rPr>
              <w:t>=</w:t>
            </w:r>
            <w:r>
              <w:rPr>
                <w:rStyle w:val="Codevalue"/>
              </w:rPr>
              <w:t>"7"</w:t>
            </w:r>
            <w:r>
              <w:rPr>
                <w:rStyle w:val="Code"/>
              </w:rPr>
              <w:t xml:space="preserve"> </w:t>
            </w:r>
            <w:r>
              <w:rPr>
                <w:rStyle w:val="Codeattribute"/>
              </w:rPr>
              <w:t>unit</w:t>
            </w:r>
            <w:r>
              <w:rPr>
                <w:rStyle w:val="Code"/>
              </w:rPr>
              <w:t>=</w:t>
            </w:r>
            <w:r>
              <w:rPr>
                <w:rStyle w:val="Codevalue"/>
              </w:rPr>
              <w:t>"character"</w:t>
            </w:r>
            <w:r>
              <w:rPr>
                <w:rStyle w:val="Code"/>
              </w:rPr>
              <w:t>/&gt;</w:t>
            </w:r>
            <w:r>
              <w:rPr>
                <w:rStyle w:val="Codetext"/>
              </w:rPr>
              <w:br/>
              <w:t xml:space="preserve">  bhagavat-paśupati-bhaṭṭāraka-pādānugr̥hīto bappa-pādānu</w:t>
            </w:r>
          </w:p>
          <w:p w14:paraId="1D02735D"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"12"</w:t>
            </w:r>
            <w:r>
              <w:rPr>
                <w:rStyle w:val="Code"/>
              </w:rPr>
              <w:t xml:space="preserve"> </w:t>
            </w:r>
            <w:r>
              <w:rPr>
                <w:rStyle w:val="Codeattribute"/>
              </w:rPr>
              <w:t>break</w:t>
            </w:r>
            <w:r>
              <w:rPr>
                <w:rStyle w:val="Code"/>
              </w:rPr>
              <w:t>=</w:t>
            </w:r>
            <w:r>
              <w:rPr>
                <w:rStyle w:val="Codevalue"/>
              </w:rPr>
              <w:t>"no"</w:t>
            </w:r>
            <w:r>
              <w:rPr>
                <w:rStyle w:val="Code"/>
              </w:rPr>
              <w:t>/&gt;</w:t>
            </w:r>
            <w:r>
              <w:rPr>
                <w:rStyle w:val="Codetext"/>
              </w:rPr>
              <w:t>dhyātaḥ parama-bhaṭṭāraka-mahārājādhirāja-śrī-narendradevaḥ kuśali ...</w:t>
            </w:r>
          </w:p>
          <w:p w14:paraId="02107AD3" w14:textId="77777777">
            <w:pPr>
              <w:pStyle w:val="CodeParagraph"/>
            </w:pPr>
            <w:r>
              <w:rPr>
                <w:rStyle w:val="Code"/>
              </w:rPr>
              <w:t>&lt;/p&gt;</w:t>
            </w:r>
          </w:p>
        </w:tc>
      </w:tr>
      <w:tr w14:paraId="4FDA47CA" w14:textId="77777777">
        <w:tc>
          <w:tcPr>
            <w:tcW w:w="5000" w:type="pct"/>
          </w:tcPr>
          <w:p w14:paraId="5CF1DC51" w14:textId="77777777">
            <w:pPr>
              <w:pStyle w:val="TableNote"/>
            </w:pPr>
            <w:r>
              <w:t>an unknown number of lines have been lost before the first extant line</w:t>
            </w:r>
          </w:p>
          <w:p w14:paraId="459DFAB9" w14:textId="77777777">
            <w:pPr>
              <w:pStyle w:val="TableNote"/>
            </w:pPr>
            <w:r>
              <w:t>the initial part of the fist extant line is also illegible, encoded as an inline lacuna</w:t>
            </w:r>
          </w:p>
          <w:p w14:paraId="58A8693E" w14:textId="77777777">
            <w:pPr>
              <w:pStyle w:val="TableNote"/>
            </w:pPr>
            <w:r>
              <w:t>a block-level container is opened after the massive lacuna</w:t>
            </w:r>
          </w:p>
        </w:tc>
      </w:tr>
    </w:tbl>
    <w:p w14:paraId="0400E92D" w14:textId="77777777">
      <w:pPr>
        <w:pStyle w:val="Cmsor4"/>
      </w:pPr>
      <w:bookmarkStart w:id="598" w:name="_Ref228367464"/>
      <w:r>
        <w:t>Avoiding the need to reconstruct structure for restored text</w:t>
      </w:r>
      <w:bookmarkEnd w:id="598"/>
    </w:p>
    <w:p w14:paraId="31FE2031" w14:textId="77777777">
      <w:pPr>
        <w:rPr>
          <w:lang w:eastAsia="en-US" w:bidi="ar-SA"/>
        </w:rPr>
      </w:pPr>
      <w:r>
        <w:rPr>
          <w:lang w:eastAsia="en-US" w:bidi="ar-SA"/>
        </w:rPr>
        <w:t xml:space="preserve">The procedure for encoding a massive lacuna allows you not to reconstruct the document’s intrinsic and extrinsic structure within the stretch lost to the lacuna, but requires you to reconstruct both structures for all available text. A consequence of this is that when a lacuna’s physical beginning or end coincides with a structural boundary, then a separate structural unit must be created for any restored text, even if that text </w:t>
      </w:r>
      <w:r>
        <w:rPr>
          <w:lang w:eastAsia="en-US" w:bidi="ar-SA"/>
        </w:rPr>
        <w:lastRenderedPageBreak/>
        <w:t>is just the beginning or end of a partially extant word. In order to avoid this complication, we suggest the following workaround.</w:t>
      </w:r>
    </w:p>
    <w:p w14:paraId="7D25BE28" w14:textId="08940931">
      <w:pPr>
        <w:pStyle w:val="Lista"/>
      </w:pPr>
      <w:r>
        <w:t xml:space="preserve">instead of including the restoration in the text of your edition, mention it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2BFCF3E0" w14:textId="77777777">
      <w:pPr>
        <w:pStyle w:val="Lista"/>
      </w:pPr>
      <w:r>
        <w:t>this method is recommended especially in the following cases:</w:t>
      </w:r>
    </w:p>
    <w:p w14:paraId="2224AF38" w14:textId="77777777">
      <w:pPr>
        <w:pStyle w:val="Lista2"/>
      </w:pPr>
      <w:r>
        <w:t xml:space="preserve">for very short restorations </w:t>
      </w:r>
      <w:r>
        <w:rPr>
          <w:noProof/>
        </w:rPr>
        <w:t>(</w:t>
      </w:r>
      <w:r>
        <w:t>smaller than one word)</w:t>
      </w:r>
    </w:p>
    <w:p w14:paraId="7462BED3" w14:textId="77777777">
      <w:pPr>
        <w:pStyle w:val="Lista2"/>
      </w:pPr>
      <w:r>
        <w:t>for the restoration of widely occurring text such as standardised genealogies or stock admonitory verses in land grants</w:t>
      </w:r>
    </w:p>
    <w:p w14:paraId="0B3F896F" w14:textId="77777777">
      <w:pPr>
        <w:pStyle w:val="Lista2"/>
      </w:pPr>
      <w:r>
        <w:t>for restorations where several alternatives are deemed possible, so including them in the text of the edition would be difficult anyway</w:t>
      </w:r>
    </w:p>
    <w:p w14:paraId="1F8826A4" w14:textId="77777777">
      <w:pPr>
        <w:pStyle w:val="Cmsor4"/>
      </w:pPr>
      <w:r>
        <w:t>Massive lacunae affecting the numbering of structural elements</w:t>
      </w:r>
    </w:p>
    <w:p w14:paraId="453F27B6" w14:textId="77777777">
      <w:pPr>
        <w:rPr>
          <w:lang w:eastAsia="en-US" w:bidi="ar-SA"/>
        </w:rPr>
      </w:pPr>
      <w:r>
        <w:rPr>
          <w:lang w:eastAsia="en-US" w:bidi="ar-SA"/>
        </w:rPr>
        <w:t>DHARMA editions mandatorily include editorial numbering for units of extrinsic structure and for stanzas of verse. A massive final lacuna has no relevance to such numeration, but if a large chunk of text is unavailable at the beginning or middle of the document, then the numbers assigned to these units require an editorial decision. This subsection presents rules of thumb for that decision.</w:t>
      </w:r>
    </w:p>
    <w:p w14:paraId="22E34B8F" w14:textId="77777777">
      <w:pPr>
        <w:pStyle w:val="Lista"/>
        <w:rPr>
          <w:lang w:eastAsia="en-US" w:bidi="ar-SA"/>
        </w:rPr>
      </w:pPr>
      <w:r>
        <w:rPr>
          <w:lang w:eastAsia="en-US" w:bidi="ar-SA"/>
        </w:rPr>
        <w:t>after an initial lacuna</w:t>
      </w:r>
    </w:p>
    <w:p w14:paraId="04D669A5" w14:textId="77777777">
      <w:pPr>
        <w:pStyle w:val="Lista2"/>
      </w:pPr>
      <w:r>
        <w:t>if it is possible to calculate or estimate how many units are unavailable, then feel free to number the extant units from the next greater number onward</w:t>
      </w:r>
    </w:p>
    <w:p w14:paraId="309F975D" w14:textId="77777777">
      <w:pPr>
        <w:pStyle w:val="Lista2"/>
      </w:pPr>
      <w:r>
        <w:t>if such an estimate is not possible, or for any reason you prefer not to rely on it, then treat the lacuna as a black box and start numbering the extant units from 1</w:t>
      </w:r>
    </w:p>
    <w:p w14:paraId="757E9C01" w14:textId="77777777">
      <w:pPr>
        <w:pStyle w:val="Lista2"/>
      </w:pPr>
      <w:r>
        <w:t>any mix of these numeration schemes may be used</w:t>
      </w:r>
    </w:p>
    <w:p w14:paraId="1533CEAC" w14:textId="77777777">
      <w:pPr>
        <w:pStyle w:val="Lista3"/>
      </w:pPr>
      <w:r>
        <w:t>for example you may choose to number lines from the next greater number because the unavailable lines can be counted with fair confidence, but number stanzas from 1 because there is no way to tell how many, if any, stanzas were present in the unavailable text</w:t>
      </w:r>
    </w:p>
    <w:p w14:paraId="7F8C5D25" w14:textId="77777777">
      <w:pPr>
        <w:pStyle w:val="Lista"/>
      </w:pPr>
      <w:r>
        <w:t>after a medial lacuna</w:t>
      </w:r>
    </w:p>
    <w:p w14:paraId="46DE4B47" w14:textId="77777777">
      <w:pPr>
        <w:pStyle w:val="Lista2"/>
      </w:pPr>
      <w:r>
        <w:t>if it is possible to calculate or estimate how many units are unavailable, then preferably add their number to the number of extant units before the lacuna, and number the extant units after the lacuna from the next greater number onward</w:t>
      </w:r>
    </w:p>
    <w:p w14:paraId="58FABFED" w14:textId="77777777">
      <w:pPr>
        <w:pStyle w:val="Lista2"/>
      </w:pPr>
      <w:r>
        <w:t>if such an estimate is not possible, or you strongly prefer not to rely on it, then treat the lacuna as a black box and start numbering the extant units after the lacuna from the next higher number following the extant units before the lacuna</w:t>
      </w:r>
    </w:p>
    <w:p w14:paraId="26A1DED6" w14:textId="77777777">
      <w:pPr>
        <w:pStyle w:val="Lista2"/>
      </w:pPr>
      <w:r>
        <w:t>any mix of the above numeration schemes may be used</w:t>
      </w:r>
    </w:p>
    <w:p w14:paraId="2AEE7543" w14:textId="2B03ACE5">
      <w:pPr>
        <w:pStyle w:val="Lista2"/>
      </w:pPr>
      <w:r>
        <w:t>if neither seems satisfactory, you may opt to create complex numbers (analogous to repetitive line numbering, §</w:t>
      </w:r>
      <w:r>
        <w:fldChar w:fldCharType="begin"/>
      </w:r>
      <w:r>
        <w:instrText xml:space="preserve"> REF _Ref182228380 \r \h </w:instrText>
      </w:r>
      <w:r>
        <w:fldChar w:fldCharType="separate"/>
      </w:r>
      <w:r>
        <w:t>4.5.2.2</w:t>
      </w:r>
      <w:r>
        <w:fldChar w:fldCharType="end"/>
      </w:r>
      <w:r>
        <w:t>) for all units that require numeration</w:t>
      </w:r>
    </w:p>
    <w:p w14:paraId="191543B0" w14:textId="4903CB83">
      <w:pPr>
        <w:pStyle w:val="Lista2"/>
      </w:pPr>
      <w:r>
        <w:t>keep in mind that if you choose to create textparts instead of encoding a massive lacuna (§</w:t>
      </w:r>
      <w:r>
        <w:fldChar w:fldCharType="begin"/>
      </w:r>
      <w:r>
        <w:instrText xml:space="preserve"> REF _Ref228452369 \r \h </w:instrText>
      </w:r>
      <w:r>
        <w:fldChar w:fldCharType="separate"/>
      </w:r>
      <w:r>
        <w:t>6.5.4.1</w:t>
      </w:r>
      <w:r>
        <w:fldChar w:fldCharType="end"/>
      </w:r>
      <w:r>
        <w:t>), then numeration of all units must be restarted in every textpart division</w:t>
      </w:r>
    </w:p>
    <w:p w14:paraId="5FD28131" w14:textId="77777777">
      <w:pPr>
        <w:pStyle w:val="Cmsor3"/>
      </w:pPr>
      <w:bookmarkStart w:id="599" w:name="_ogtcaja4eie" w:colFirst="0" w:colLast="0"/>
      <w:bookmarkStart w:id="600" w:name="_Ref228453273"/>
      <w:bookmarkStart w:id="601" w:name="_Toc242889531"/>
      <w:bookmarkEnd w:id="599"/>
      <w:r>
        <w:t>Managing incomplete copperplate sets</w:t>
      </w:r>
      <w:bookmarkEnd w:id="600"/>
      <w:bookmarkEnd w:id="601"/>
    </w:p>
    <w:p w14:paraId="29B30EDE" w14:textId="77777777">
      <w:r>
        <w:rPr>
          <w:lang w:eastAsia="en-US" w:bidi="ar-SA"/>
        </w:rPr>
        <w:t xml:space="preserve">Essentially, sets of copper plates of which one or more plates are missing are no different from any other document with a massive lacuna. However, the existence of discrete and separable plates complicates the encoding of structure. It </w:t>
      </w:r>
      <w:r>
        <w:t xml:space="preserve">would be theoretically permissible to use </w:t>
      </w:r>
      <w:r>
        <w:rPr>
          <w:rStyle w:val="Codevalue"/>
        </w:rPr>
        <w:t>"plate"</w:t>
      </w:r>
      <w:r>
        <w:t xml:space="preserve"> or a related concept as the value of </w:t>
      </w:r>
      <w:r>
        <w:rPr>
          <w:rStyle w:val="Codeattribute"/>
        </w:rPr>
        <w:t>@unit</w:t>
      </w:r>
      <w:r>
        <w:t xml:space="preserve"> in a </w:t>
      </w:r>
      <w:r>
        <w:rPr>
          <w:rStyle w:val="Code"/>
        </w:rPr>
        <w:t>&lt;gap/&gt;</w:t>
      </w:r>
      <w:r>
        <w:t xml:space="preserve"> element for encoding plate-level lacunae, but we see no practical advantage to doing so. Instead, proceed as instructed in this section.</w:t>
      </w:r>
    </w:p>
    <w:p w14:paraId="554E1ADC" w14:textId="77777777">
      <w:pPr>
        <w:pStyle w:val="Cmsor4"/>
      </w:pPr>
      <w:bookmarkStart w:id="602" w:name="_Ref228457421"/>
      <w:r>
        <w:t>Lost final plates</w:t>
      </w:r>
      <w:bookmarkEnd w:id="602"/>
    </w:p>
    <w:p w14:paraId="30695D50" w14:textId="5F1F12F5">
      <w:pPr>
        <w:rPr>
          <w:b/>
          <w:bCs/>
        </w:rPr>
      </w:pPr>
      <w:r>
        <w:t>Lost final plates shall normally be ignored in the encoding. However it is, at least in some corpora, possible to confidently estimate the number of lost pages, and even that of lines on each lost page. In such a case you may choose at your discretion to reconstruct the structure for all lost pages as per §</w:t>
      </w:r>
      <w:r>
        <w:fldChar w:fldCharType="begin"/>
      </w:r>
      <w:r>
        <w:instrText xml:space="preserve"> REF _Ref228455432 \r \h </w:instrText>
      </w:r>
      <w:r>
        <w:fldChar w:fldCharType="separate"/>
      </w:r>
      <w:r>
        <w:t>6.5.5.4</w:t>
      </w:r>
      <w:r>
        <w:fldChar w:fldCharType="end"/>
      </w:r>
      <w:r>
        <w:t>.</w:t>
      </w:r>
    </w:p>
    <w:p w14:paraId="552D9569" w14:textId="77777777">
      <w:pPr>
        <w:pStyle w:val="Lista"/>
      </w:pPr>
      <w:r>
        <w:t>as a rule, simply end your edition at the end of the extant text</w:t>
      </w:r>
    </w:p>
    <w:p w14:paraId="50C9C4B2" w14:textId="77777777">
      <w:pPr>
        <w:pStyle w:val="Lista2"/>
      </w:pPr>
      <w:r>
        <w:t>closing the currently open block-level container</w:t>
      </w:r>
    </w:p>
    <w:p w14:paraId="678BBB8D" w14:textId="67E4039E">
      <w:pPr>
        <w:pStyle w:val="Lista2"/>
      </w:pPr>
      <w:r>
        <w:t xml:space="preserve">and adding </w:t>
      </w:r>
      <w:r>
        <w:rPr>
          <w:rStyle w:val="Codeattribute"/>
        </w:rPr>
        <w:t>@part</w:t>
      </w:r>
      <w:r>
        <w:rPr>
          <w:rStyle w:val="Code"/>
        </w:rPr>
        <w:t>=</w:t>
      </w:r>
      <w:r>
        <w:rPr>
          <w:rStyle w:val="Codevalue"/>
        </w:rPr>
        <w:t>"I"</w:t>
      </w:r>
      <w:r>
        <w:t xml:space="preserve"> if it is incomplete, as per §</w:t>
      </w:r>
      <w:r>
        <w:fldChar w:fldCharType="begin"/>
      </w:r>
      <w:r>
        <w:instrText xml:space="preserve"> REF _Ref228980509 \r \h </w:instrText>
      </w:r>
      <w:r>
        <w:fldChar w:fldCharType="separate"/>
      </w:r>
      <w:r>
        <w:t>3.2.3.1</w:t>
      </w:r>
      <w:r>
        <w:fldChar w:fldCharType="end"/>
      </w:r>
      <w:r>
        <w:t xml:space="preserve"> </w:t>
      </w:r>
    </w:p>
    <w:p w14:paraId="76A6F6B9" w14:textId="77777777">
      <w:pPr>
        <w:pStyle w:val="Lista"/>
      </w:pPr>
      <w:r>
        <w:lastRenderedPageBreak/>
        <w:t>mention in your annotation that the subsequent plate(s) are lost</w:t>
      </w:r>
    </w:p>
    <w:p w14:paraId="7E5403A0" w14:textId="77777777">
      <w:pPr>
        <w:pStyle w:val="Lista"/>
      </w:pPr>
      <w:r>
        <w:t>if you are able to restore any text following the last extant plate</w:t>
      </w:r>
    </w:p>
    <w:p w14:paraId="781C0B08" w14:textId="0C4B71AD">
      <w:pPr>
        <w:pStyle w:val="Lista2"/>
      </w:pPr>
      <w:r>
        <w:t>preferably record it outside the edition as suggested in §</w:t>
      </w:r>
      <w:r>
        <w:fldChar w:fldCharType="begin"/>
      </w:r>
      <w:r>
        <w:instrText xml:space="preserve"> REF _Ref228367464 \r \h </w:instrText>
      </w:r>
      <w:r>
        <w:fldChar w:fldCharType="separate"/>
      </w:r>
      <w:r>
        <w:t>6.5.4.5</w:t>
      </w:r>
      <w:r>
        <w:fldChar w:fldCharType="end"/>
      </w:r>
    </w:p>
    <w:p w14:paraId="66E02020" w14:textId="5C5C1CE4">
      <w:pPr>
        <w:pStyle w:val="Lista2"/>
      </w:pPr>
      <w:r>
        <w:t>alternatively, reconstruct the structure for the following page as per §</w:t>
      </w:r>
      <w:r>
        <w:fldChar w:fldCharType="begin"/>
      </w:r>
      <w:r>
        <w:instrText xml:space="preserve"> REF _Ref228455432 \r \h </w:instrText>
      </w:r>
      <w:r>
        <w:fldChar w:fldCharType="separate"/>
      </w:r>
      <w:r>
        <w:t>6.5.5.4</w:t>
      </w:r>
      <w:r>
        <w:fldChar w:fldCharType="end"/>
      </w:r>
    </w:p>
    <w:p w14:paraId="3F3D4CF5" w14:textId="77777777">
      <w:pPr>
        <w:pStyle w:val="Cmsor4"/>
      </w:pPr>
      <w:bookmarkStart w:id="603" w:name="_Ref228457448"/>
      <w:r>
        <w:t>Lost initial plates</w:t>
      </w:r>
      <w:bookmarkEnd w:id="603"/>
    </w:p>
    <w:p w14:paraId="2DBE2AF9" w14:textId="62E172FA">
      <w:pPr>
        <w:rPr>
          <w:lang w:eastAsia="en-US" w:bidi="ar-SA"/>
        </w:rPr>
      </w:pPr>
      <w:r>
        <w:rPr>
          <w:lang w:eastAsia="en-US" w:bidi="ar-SA"/>
        </w:rPr>
        <w:t xml:space="preserve">Lost initial plates shall preferably be ignored in the encoding, but may affect the editorial numbering of extrinsic and intrinsic structural units in the extant text. </w:t>
      </w:r>
      <w:r>
        <w:t>At least in some corpora, it may be possible to confidently estimate the number of lost pages, and even that of lines on each lost page. In such a case you may choose at your discretion to reconstruct the structure for all lost pages as per §</w:t>
      </w:r>
      <w:r>
        <w:fldChar w:fldCharType="begin"/>
      </w:r>
      <w:r>
        <w:instrText xml:space="preserve"> REF _Ref228455432 \r \h </w:instrText>
      </w:r>
      <w:r>
        <w:fldChar w:fldCharType="separate"/>
      </w:r>
      <w:r>
        <w:t>6.5.5.4</w:t>
      </w:r>
      <w:r>
        <w:fldChar w:fldCharType="end"/>
      </w:r>
      <w:r>
        <w:t>.</w:t>
      </w:r>
    </w:p>
    <w:p w14:paraId="73834F5F" w14:textId="77777777">
      <w:pPr>
        <w:pStyle w:val="Lista"/>
      </w:pPr>
      <w:r>
        <w:t>as a rule, simply start your edition at the beginning of the extant text</w:t>
      </w:r>
    </w:p>
    <w:p w14:paraId="0F88E334" w14:textId="77777777">
      <w:pPr>
        <w:pStyle w:val="Lista2"/>
      </w:pPr>
      <w:r>
        <w:t>creating the applicable block-level container(s)</w:t>
      </w:r>
    </w:p>
    <w:p w14:paraId="118106C1" w14:textId="170F3058">
      <w:pPr>
        <w:pStyle w:val="Lista3"/>
      </w:pPr>
      <w:r>
        <w:t xml:space="preserve">and adding </w:t>
      </w:r>
      <w:r>
        <w:rPr>
          <w:rStyle w:val="Codeattribute"/>
        </w:rPr>
        <w:t>@part</w:t>
      </w:r>
      <w:r>
        <w:rPr>
          <w:rStyle w:val="Code"/>
        </w:rPr>
        <w:t>=</w:t>
      </w:r>
      <w:r>
        <w:rPr>
          <w:rStyle w:val="Codevalue"/>
        </w:rPr>
        <w:t>"F"</w:t>
      </w:r>
      <w:r>
        <w:t xml:space="preserve"> if they are incomplete, as per §</w:t>
      </w:r>
      <w:r>
        <w:fldChar w:fldCharType="begin"/>
      </w:r>
      <w:r>
        <w:instrText xml:space="preserve"> REF _Ref228980509 \r \h </w:instrText>
      </w:r>
      <w:r>
        <w:fldChar w:fldCharType="separate"/>
      </w:r>
      <w:r>
        <w:t>3.2.3.1</w:t>
      </w:r>
      <w:r>
        <w:fldChar w:fldCharType="end"/>
      </w:r>
      <w:r>
        <w:t xml:space="preserve"> </w:t>
      </w:r>
    </w:p>
    <w:p w14:paraId="1DECCAD2" w14:textId="77777777">
      <w:pPr>
        <w:pStyle w:val="Lista2"/>
      </w:pPr>
      <w:r>
        <w:t>and creating page and line beginnings normally</w:t>
      </w:r>
    </w:p>
    <w:p w14:paraId="202D9051" w14:textId="6EE9F32F">
      <w:pPr>
        <w:pStyle w:val="Lista3"/>
      </w:pPr>
      <w:r>
        <w:t xml:space="preserve">adding </w:t>
      </w:r>
      <w:r>
        <w:rPr>
          <w:rStyle w:val="Codeattribute"/>
        </w:rPr>
        <w:t>@break</w:t>
      </w:r>
      <w:r>
        <w:rPr>
          <w:rStyle w:val="Code"/>
        </w:rPr>
        <w:t>=</w:t>
      </w:r>
      <w:r>
        <w:rPr>
          <w:rStyle w:val="Codevalue"/>
        </w:rPr>
        <w:t>"no"</w:t>
      </w:r>
      <w:r>
        <w:t xml:space="preserve"> to both if applicable (§</w:t>
      </w:r>
      <w:r>
        <w:fldChar w:fldCharType="begin"/>
      </w:r>
      <w:r>
        <w:instrText xml:space="preserve"> REF _Ref225519777 \r \h </w:instrText>
      </w:r>
      <w:r>
        <w:fldChar w:fldCharType="separate"/>
      </w:r>
      <w:r>
        <w:t>4.3.2.1</w:t>
      </w:r>
      <w:r>
        <w:fldChar w:fldCharType="end"/>
      </w:r>
      <w:r>
        <w:t>)</w:t>
      </w:r>
    </w:p>
    <w:p w14:paraId="0F06257B" w14:textId="77777777">
      <w:pPr>
        <w:pStyle w:val="Lista"/>
      </w:pPr>
      <w:r>
        <w:t>if you are able to restore any text preceding the first extant plate</w:t>
      </w:r>
    </w:p>
    <w:p w14:paraId="79D8A00B" w14:textId="040D1715">
      <w:pPr>
        <w:pStyle w:val="Lista2"/>
      </w:pPr>
      <w:r>
        <w:t>preferably record it outside the edition as suggested in §</w:t>
      </w:r>
      <w:r>
        <w:fldChar w:fldCharType="begin"/>
      </w:r>
      <w:r>
        <w:instrText xml:space="preserve"> REF _Ref228367464 \r \h </w:instrText>
      </w:r>
      <w:r>
        <w:fldChar w:fldCharType="separate"/>
      </w:r>
      <w:r>
        <w:t>6.5.4.5</w:t>
      </w:r>
      <w:r>
        <w:fldChar w:fldCharType="end"/>
      </w:r>
    </w:p>
    <w:p w14:paraId="0680C753" w14:textId="49AFB3F9">
      <w:pPr>
        <w:pStyle w:val="Lista2"/>
      </w:pPr>
      <w:r>
        <w:t>alternatively, reconstruct the structure for the preceding page as per §</w:t>
      </w:r>
      <w:r>
        <w:fldChar w:fldCharType="begin"/>
      </w:r>
      <w:r>
        <w:instrText xml:space="preserve"> REF _Ref228455432 \r \h </w:instrText>
      </w:r>
      <w:r>
        <w:fldChar w:fldCharType="separate"/>
      </w:r>
      <w:r>
        <w:t>6.5.5.4</w:t>
      </w:r>
      <w:r>
        <w:fldChar w:fldCharType="end"/>
      </w:r>
    </w:p>
    <w:p w14:paraId="156B8269" w14:textId="77777777">
      <w:pPr>
        <w:pStyle w:val="Lista"/>
      </w:pPr>
      <w:r>
        <w:t>depending on your corpus, it may be possible to confidently estimate the number of lost pages, and even that of lines on each lost page</w:t>
      </w:r>
    </w:p>
    <w:p w14:paraId="5876C604" w14:textId="0FAA8B23">
      <w:pPr>
        <w:pStyle w:val="Lista2"/>
      </w:pPr>
      <w:r>
        <w:t>if this is the case, you may choose at your discretion to reconstruct all lost pages as per §</w:t>
      </w:r>
      <w:r>
        <w:fldChar w:fldCharType="begin"/>
      </w:r>
      <w:r>
        <w:instrText xml:space="preserve"> REF _Ref228455432 \r \h </w:instrText>
      </w:r>
      <w:r>
        <w:fldChar w:fldCharType="separate"/>
      </w:r>
      <w:r>
        <w:t>6.5.5.4</w:t>
      </w:r>
      <w:r>
        <w:fldChar w:fldCharType="end"/>
      </w:r>
    </w:p>
    <w:p w14:paraId="5F97796B" w14:textId="77777777">
      <w:pPr>
        <w:pStyle w:val="Lista"/>
      </w:pPr>
      <w:r>
        <w:t>number pages as follows</w:t>
      </w:r>
    </w:p>
    <w:p w14:paraId="5119E246" w14:textId="77777777">
      <w:pPr>
        <w:pStyle w:val="Lista2"/>
      </w:pPr>
      <w:r>
        <w:t>preferably: calculate or estimate the number of lost initial plates and start the numbering of the extant plates with the next higher number</w:t>
      </w:r>
    </w:p>
    <w:p w14:paraId="690A808D" w14:textId="77777777">
      <w:pPr>
        <w:pStyle w:val="Lista3"/>
      </w:pPr>
      <w:r>
        <w:t>thus, if you estimate that two plates were lost at the beginning of a set, then</w:t>
      </w:r>
    </w:p>
    <w:p w14:paraId="52F29B5B" w14:textId="77777777">
      <w:pPr>
        <w:pStyle w:val="Lista4"/>
      </w:pPr>
      <w:r>
        <w:t>the extant text will be encoded as beginning on page 3r</w:t>
      </w:r>
    </w:p>
    <w:p w14:paraId="403ECEBF" w14:textId="03AC8641">
      <w:pPr>
        <w:pStyle w:val="Lista4"/>
      </w:pPr>
      <w:r>
        <w:t>any restoration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being at the bottom of page 2v</w:t>
      </w:r>
    </w:p>
    <w:p w14:paraId="448E4350" w14:textId="77777777">
      <w:pPr>
        <w:pStyle w:val="Lista2"/>
      </w:pPr>
      <w:r>
        <w:t>if no reliable estimate can be made, start the numbering of the plates with available text from 1, thus</w:t>
      </w:r>
    </w:p>
    <w:p w14:paraId="20B92A4F" w14:textId="0DB953AB">
      <w:pPr>
        <w:pStyle w:val="Lista3"/>
      </w:pPr>
      <w:r>
        <w:t>if no restoration precedes the extant text, then extant text will be encoded as beginning on page 1r</w:t>
      </w:r>
    </w:p>
    <w:p w14:paraId="7A98CECB" w14:textId="02EA80D3">
      <w:pPr>
        <w:pStyle w:val="Lista3"/>
      </w:pPr>
      <w:r>
        <w:t>any restoration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beginning at the bottom of page 1v, while the extant text will be encoded as beginning on page 2r</w:t>
      </w:r>
    </w:p>
    <w:p w14:paraId="5342477E" w14:textId="77777777">
      <w:pPr>
        <w:pStyle w:val="Lista"/>
      </w:pPr>
      <w:r>
        <w:t>number lines as follows</w:t>
      </w:r>
    </w:p>
    <w:p w14:paraId="30BD8F75" w14:textId="77777777">
      <w:pPr>
        <w:pStyle w:val="Lista2"/>
      </w:pPr>
      <w:r>
        <w:t>if the number of lost lines can be calculated or at least estimated confidently, then start the numbering of the extant lines with the next higher number</w:t>
      </w:r>
    </w:p>
    <w:p w14:paraId="73353772" w14:textId="77777777">
      <w:pPr>
        <w:pStyle w:val="Lista3"/>
      </w:pPr>
      <w:r>
        <w:t>thus, if you estimate that twenty lines were lost at the beginning of a set, then</w:t>
      </w:r>
    </w:p>
    <w:p w14:paraId="5B9CF63E" w14:textId="77777777">
      <w:pPr>
        <w:pStyle w:val="Lista4"/>
      </w:pPr>
      <w:r>
        <w:t>the extant text will be encoded as beginning in line 21</w:t>
      </w:r>
    </w:p>
    <w:p w14:paraId="2F9F7CAB" w14:textId="77FED8C8">
      <w:pPr>
        <w:pStyle w:val="Lista4"/>
      </w:pPr>
      <w:r>
        <w:t>any restoration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being at the end of line 20</w:t>
      </w:r>
    </w:p>
    <w:p w14:paraId="147E854A" w14:textId="77777777">
      <w:pPr>
        <w:pStyle w:val="Lista2"/>
      </w:pPr>
      <w:r>
        <w:t>if no reliable estimate can be made, start the numbering of the lines with available text from 1, thus</w:t>
      </w:r>
    </w:p>
    <w:p w14:paraId="54CC2134" w14:textId="77777777">
      <w:pPr>
        <w:pStyle w:val="Lista3"/>
      </w:pPr>
      <w:r>
        <w:t>if no restoration precedes the extant text, then the extant text will be encoded as beginning in line 1</w:t>
      </w:r>
    </w:p>
    <w:p w14:paraId="3622A002" w14:textId="5E2C850C">
      <w:pPr>
        <w:pStyle w:val="Lista3"/>
      </w:pPr>
      <w:r>
        <w:t>any restoration (covering less than a full line)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beginning at the end of line 1, while the extant text will be encoded as beginning in line 2</w:t>
      </w:r>
    </w:p>
    <w:p w14:paraId="69613794" w14:textId="29C527F2">
      <w:pPr>
        <w:pStyle w:val="Lista2"/>
      </w:pPr>
      <w:r>
        <w:t>alternatively, especially if the number of lost plates can be estimated but that of lost lines cannot, use complex line numbering (§</w:t>
      </w:r>
      <w:r>
        <w:fldChar w:fldCharType="begin"/>
      </w:r>
      <w:r>
        <w:instrText xml:space="preserve"> REF _Ref182228380 \r \h </w:instrText>
      </w:r>
      <w:r>
        <w:fldChar w:fldCharType="separate"/>
      </w:r>
      <w:r>
        <w:t>4.5.2.2</w:t>
      </w:r>
      <w:r>
        <w:fldChar w:fldCharType="end"/>
      </w:r>
      <w:r>
        <w:t>) even if the rest of your corpus uses consecutive line numbers</w:t>
      </w:r>
    </w:p>
    <w:p w14:paraId="519E1436" w14:textId="77777777">
      <w:pPr>
        <w:pStyle w:val="Lista"/>
      </w:pPr>
      <w:r>
        <w:t>number stanzas as follows</w:t>
      </w:r>
    </w:p>
    <w:p w14:paraId="387A4797" w14:textId="77777777">
      <w:pPr>
        <w:pStyle w:val="Lista2"/>
      </w:pPr>
      <w:r>
        <w:t>if on the basis of related texts you can estimate the number of lost stanzas with great confidence, start numbering extant stanzas with the next higher number</w:t>
      </w:r>
    </w:p>
    <w:p w14:paraId="46193BE1" w14:textId="77777777">
      <w:pPr>
        <w:pStyle w:val="Lista2"/>
      </w:pPr>
      <w:r>
        <w:t>in all other cases, number extant stanzas from 1</w:t>
      </w:r>
    </w:p>
    <w:p w14:paraId="511B0047" w14:textId="77777777">
      <w:pPr>
        <w:pStyle w:val="Cmsor4"/>
      </w:pPr>
      <w:bookmarkStart w:id="604" w:name="_Ref149918878"/>
      <w:r>
        <w:lastRenderedPageBreak/>
        <w:t>Lost medial plates</w:t>
      </w:r>
      <w:bookmarkEnd w:id="604"/>
    </w:p>
    <w:p w14:paraId="13E67FF5" w14:textId="77777777">
      <w:r>
        <w:t>Unlike incomplete copperplate sets with only the end and/or only the beginning missing, we prefer not to ignore lost medial plates in our encoding.</w:t>
      </w:r>
    </w:p>
    <w:p w14:paraId="0CC79D85" w14:textId="77777777">
      <w:pPr>
        <w:pStyle w:val="Lista"/>
      </w:pPr>
      <w:r>
        <w:t xml:space="preserve">if the number of lost plates is known or can be estimated with at least some confidence, then </w:t>
      </w:r>
    </w:p>
    <w:p w14:paraId="60F29DAE" w14:textId="374DB826">
      <w:pPr>
        <w:pStyle w:val="Lista2"/>
      </w:pPr>
      <w:r>
        <w:t>reconstruct the structure for the lost plates as per §</w:t>
      </w:r>
      <w:r>
        <w:fldChar w:fldCharType="begin"/>
      </w:r>
      <w:r>
        <w:instrText xml:space="preserve"> REF _Ref228455432 \r \h </w:instrText>
      </w:r>
      <w:r>
        <w:fldChar w:fldCharType="separate"/>
      </w:r>
      <w:r>
        <w:t>6.5.5.4</w:t>
      </w:r>
      <w:r>
        <w:fldChar w:fldCharType="end"/>
      </w:r>
    </w:p>
    <w:p w14:paraId="5697F60D" w14:textId="47C5F294">
      <w:pPr>
        <w:pStyle w:val="Lista3"/>
      </w:pPr>
      <w:r>
        <w:t xml:space="preserve">the Case Study in </w:t>
      </w:r>
      <w:r>
        <w:fldChar w:fldCharType="begin"/>
      </w:r>
      <w:r>
        <w:instrText xml:space="preserve"> REF _Ref239844389 \r \h </w:instrText>
      </w:r>
      <w:r>
        <w:fldChar w:fldCharType="separate"/>
      </w:r>
      <w:r>
        <w:t>Appendix A.3</w:t>
      </w:r>
      <w:r>
        <w:fldChar w:fldCharType="end"/>
      </w:r>
      <w:r>
        <w:t xml:space="preserve"> shows a fully encoded illustration of a reconstructed medial plate </w:t>
      </w:r>
    </w:p>
    <w:p w14:paraId="1EC72266" w14:textId="3413EEF8">
      <w:pPr>
        <w:pStyle w:val="Lista2"/>
      </w:pPr>
      <w:r>
        <w:t>before the first lost plate, encode the text as you would for lost final plates (§</w:t>
      </w:r>
      <w:r>
        <w:fldChar w:fldCharType="begin"/>
      </w:r>
      <w:r>
        <w:instrText xml:space="preserve"> REF _Ref228457421 \r \h </w:instrText>
      </w:r>
      <w:r>
        <w:fldChar w:fldCharType="separate"/>
      </w:r>
      <w:r>
        <w:t>6.5.5.1</w:t>
      </w:r>
      <w:r>
        <w:fldChar w:fldCharType="end"/>
      </w:r>
      <w:r>
        <w:t>)</w:t>
      </w:r>
    </w:p>
    <w:p w14:paraId="587F5614" w14:textId="10D9C929">
      <w:pPr>
        <w:pStyle w:val="Lista2"/>
      </w:pPr>
      <w:r>
        <w:t>after the last lost plate, encode the text as you would for lost initial plates (§</w:t>
      </w:r>
      <w:r>
        <w:fldChar w:fldCharType="begin"/>
      </w:r>
      <w:r>
        <w:instrText xml:space="preserve"> REF _Ref228457448 \r \h </w:instrText>
      </w:r>
      <w:r>
        <w:fldChar w:fldCharType="separate"/>
      </w:r>
      <w:r>
        <w:t>6.5.5.2</w:t>
      </w:r>
      <w:r>
        <w:fldChar w:fldCharType="end"/>
      </w:r>
      <w:r>
        <w:t>)</w:t>
      </w:r>
    </w:p>
    <w:p w14:paraId="281631DB" w14:textId="77777777">
      <w:pPr>
        <w:pStyle w:val="Lista2"/>
      </w:pPr>
      <w:r>
        <w:t>since the structure of the lost plates is reconstructed, any restored text on a lost plate can be integrated into that structure, so do not resort to recording restorations outside the edition</w:t>
      </w:r>
    </w:p>
    <w:p w14:paraId="76836A4F" w14:textId="77777777">
      <w:pPr>
        <w:pStyle w:val="Lista2"/>
      </w:pPr>
      <w:r>
        <w:t>in the section after the last lost plate, number units as follows</w:t>
      </w:r>
    </w:p>
    <w:p w14:paraId="2A924B0B" w14:textId="77777777">
      <w:pPr>
        <w:pStyle w:val="Lista3"/>
      </w:pPr>
      <w:r>
        <w:t>continue page numbering after the reconstructed numbering for the lost plates</w:t>
      </w:r>
    </w:p>
    <w:p w14:paraId="49559FAA" w14:textId="77777777">
      <w:pPr>
        <w:pStyle w:val="Lista3"/>
      </w:pPr>
      <w:r>
        <w:t>continue line numbering after the reconstructed numbering for the lost plates</w:t>
      </w:r>
    </w:p>
    <w:p w14:paraId="74DB1F36" w14:textId="39CBC726">
      <w:pPr>
        <w:pStyle w:val="Lista4"/>
      </w:pPr>
      <w:r>
        <w:t>or use complex line numbering (§</w:t>
      </w:r>
      <w:r>
        <w:fldChar w:fldCharType="begin"/>
      </w:r>
      <w:r>
        <w:instrText xml:space="preserve"> REF _Ref182228380 \r \h </w:instrText>
      </w:r>
      <w:r>
        <w:fldChar w:fldCharType="separate"/>
      </w:r>
      <w:r>
        <w:t>4.5.2.2</w:t>
      </w:r>
      <w:r>
        <w:fldChar w:fldCharType="end"/>
      </w:r>
      <w:r>
        <w:t>) if the number of lost pages could be estimated but that of lost lines could not</w:t>
      </w:r>
    </w:p>
    <w:p w14:paraId="15494E62" w14:textId="77777777">
      <w:pPr>
        <w:pStyle w:val="Lista3"/>
      </w:pPr>
      <w:r>
        <w:t>continue stanza numbering with the next greater number after that of the last extant stanza</w:t>
      </w:r>
    </w:p>
    <w:p w14:paraId="3850D181" w14:textId="77777777">
      <w:pPr>
        <w:pStyle w:val="Lista4"/>
      </w:pPr>
      <w:r>
        <w:t>unless you can estimate the number of stanzas in the lost plates with great confidence, in which case skip their numbers and continue numeration with the next higher number</w:t>
      </w:r>
    </w:p>
    <w:p w14:paraId="0F821BC8" w14:textId="0B63126E">
      <w:pPr>
        <w:pStyle w:val="Lista"/>
      </w:pPr>
      <w:r>
        <w:t xml:space="preserve">if the total number of lost medial pages cannot be estimated with any confidence, encode the extant sections as textpart divisions </w:t>
      </w:r>
      <w:r>
        <w:rPr>
          <w:noProof/>
        </w:rPr>
        <w:t>(</w:t>
      </w:r>
      <w:r>
        <w:t>§</w:t>
      </w:r>
      <w:r>
        <w:fldChar w:fldCharType="begin"/>
      </w:r>
      <w:r>
        <w:instrText xml:space="preserve"> REF _Ref225778181 \r \h </w:instrText>
      </w:r>
      <w:r>
        <w:fldChar w:fldCharType="separate"/>
      </w:r>
      <w:r>
        <w:t>4.2</w:t>
      </w:r>
      <w:r>
        <w:fldChar w:fldCharType="end"/>
      </w:r>
      <w:r>
        <w:t>, §</w:t>
      </w:r>
      <w:r>
        <w:fldChar w:fldCharType="begin"/>
      </w:r>
      <w:r>
        <w:instrText xml:space="preserve"> REF _Ref228458226 \r \h </w:instrText>
      </w:r>
      <w:r>
        <w:fldChar w:fldCharType="separate"/>
      </w:r>
      <w:r>
        <w:t>6.5.4.2</w:t>
      </w:r>
      <w:r>
        <w:fldChar w:fldCharType="end"/>
      </w:r>
      <w:r>
        <w:t>) to eliminate difficulties with page and line numbering</w:t>
      </w:r>
    </w:p>
    <w:p w14:paraId="0D7079F0" w14:textId="4F2ED38E">
      <w:pPr>
        <w:pStyle w:val="Lista2"/>
      </w:pPr>
      <w:r>
        <w:t xml:space="preserve">the Case Study in </w:t>
      </w:r>
      <w:r>
        <w:fldChar w:fldCharType="begin"/>
      </w:r>
      <w:r>
        <w:instrText xml:space="preserve"> REF _Ref239844430 \r \h </w:instrText>
      </w:r>
      <w:r>
        <w:fldChar w:fldCharType="separate"/>
      </w:r>
      <w:r>
        <w:t>Appendix A.4</w:t>
      </w:r>
      <w:r>
        <w:fldChar w:fldCharType="end"/>
      </w:r>
      <w:r>
        <w:t xml:space="preserve"> shows a fully encoded illustration of a missing medial plate encoded with textpart divisions</w:t>
      </w:r>
    </w:p>
    <w:p w14:paraId="2F029B18" w14:textId="77777777">
      <w:pPr>
        <w:pStyle w:val="Lista2"/>
      </w:pPr>
      <w:r>
        <w:t>within each textpart, encode only the pages pertaining to that part of the edition and do not reconstruct any page or line beginnings believed or known to be lost unless you find it essential to show a restoration in the edition</w:t>
      </w:r>
    </w:p>
    <w:p w14:paraId="1204B652" w14:textId="77777777">
      <w:pPr>
        <w:pStyle w:val="Lista2"/>
      </w:pPr>
      <w:r>
        <w:t>if you are able to restore any text preceding the first extant plate</w:t>
      </w:r>
    </w:p>
    <w:p w14:paraId="59D33005" w14:textId="31589641">
      <w:pPr>
        <w:pStyle w:val="Lista3"/>
      </w:pPr>
      <w:r>
        <w:t>preferably record it outside the edition as suggested in §</w:t>
      </w:r>
      <w:r>
        <w:fldChar w:fldCharType="begin"/>
      </w:r>
      <w:r>
        <w:instrText xml:space="preserve"> REF _Ref228367464 \r \h </w:instrText>
      </w:r>
      <w:r>
        <w:fldChar w:fldCharType="separate"/>
      </w:r>
      <w:r>
        <w:t>6.5.4.5</w:t>
      </w:r>
      <w:r>
        <w:fldChar w:fldCharType="end"/>
      </w:r>
    </w:p>
    <w:p w14:paraId="15E60D8E" w14:textId="5AD262C7">
      <w:pPr>
        <w:pStyle w:val="Lista3"/>
      </w:pPr>
      <w:r>
        <w:t>alternatively, reconstruct the structure for the preceding page as per §</w:t>
      </w:r>
      <w:r>
        <w:fldChar w:fldCharType="begin"/>
      </w:r>
      <w:r>
        <w:instrText xml:space="preserve"> REF _Ref228455432 \r \h </w:instrText>
      </w:r>
      <w:r>
        <w:fldChar w:fldCharType="separate"/>
      </w:r>
      <w:r>
        <w:t>6.5.5.4</w:t>
      </w:r>
      <w:r>
        <w:fldChar w:fldCharType="end"/>
      </w:r>
    </w:p>
    <w:p w14:paraId="35A2BCFB" w14:textId="77777777">
      <w:pPr>
        <w:pStyle w:val="Cmsor4"/>
      </w:pPr>
      <w:bookmarkStart w:id="605" w:name="_Ref228455432"/>
      <w:r>
        <w:t>Reconstructing structure for lost copper plates</w:t>
      </w:r>
      <w:bookmarkEnd w:id="605"/>
    </w:p>
    <w:p w14:paraId="3F38AC18" w14:textId="77777777">
      <w:pPr>
        <w:rPr>
          <w:lang w:eastAsia="en-US" w:bidi="ar-SA"/>
        </w:rPr>
      </w:pPr>
      <w:r>
        <w:rPr>
          <w:lang w:eastAsia="en-US" w:bidi="ar-SA"/>
        </w:rPr>
        <w:t>Reconstruction of the page and line beginnings for lost copper plates is the less preferred option for missing final and initial plates and the preferred option for missing medial plates unless it is impossible to estimate their number.</w:t>
      </w:r>
    </w:p>
    <w:p w14:paraId="7C2EF66C" w14:textId="77777777">
      <w:pPr>
        <w:pStyle w:val="Lista"/>
      </w:pPr>
      <w:r>
        <w:t xml:space="preserve">to reconstruct the page structure for one or more missing plates, estimate the number of missing plates and create </w:t>
      </w:r>
      <w:r>
        <w:rPr>
          <w:rStyle w:val="Code"/>
        </w:rPr>
        <w:t>&lt;pb/&gt;</w:t>
      </w:r>
      <w:r>
        <w:t xml:space="preserve"> elements for both the recto and the verso face of each</w:t>
      </w:r>
    </w:p>
    <w:p w14:paraId="30B0880B" w14:textId="120770F8">
      <w:pPr>
        <w:pStyle w:val="Lista"/>
      </w:pPr>
      <w:r>
        <w:t>to reconstruct a single page in order to accommodate a restoration (when not using the option to record such a restoration outside the edition, §</w:t>
      </w:r>
      <w:r>
        <w:fldChar w:fldCharType="begin"/>
      </w:r>
      <w:r>
        <w:instrText xml:space="preserve"> REF _Ref228367464 \r \h </w:instrText>
      </w:r>
      <w:r>
        <w:fldChar w:fldCharType="separate"/>
      </w:r>
      <w:r>
        <w:t>6.5.4.5</w:t>
      </w:r>
      <w:r>
        <w:fldChar w:fldCharType="end"/>
      </w:r>
      <w:r>
        <w:t>), create only the single (recto or verso) page beginning for the page on which the restored text would have been located</w:t>
      </w:r>
    </w:p>
    <w:p w14:paraId="7F5FDCBE" w14:textId="77777777">
      <w:pPr>
        <w:pStyle w:val="Lista"/>
      </w:pPr>
      <w:r>
        <w:t>handle the line structure on reconstructed pages as follows</w:t>
      </w:r>
    </w:p>
    <w:p w14:paraId="1BA4618F" w14:textId="1BB9C781">
      <w:pPr>
        <w:pStyle w:val="Lista2"/>
      </w:pPr>
      <w:r>
        <w:t xml:space="preserve">the default option is to create no </w:t>
      </w:r>
      <w:r>
        <w:rPr>
          <w:rStyle w:val="Code"/>
        </w:rPr>
        <w:t>&lt;lb/&gt;</w:t>
      </w:r>
      <w:r>
        <w:t xml:space="preserve"> elements and instead encode a multiline lacuna (§</w:t>
      </w:r>
      <w:r>
        <w:fldChar w:fldCharType="begin"/>
      </w:r>
      <w:r>
        <w:instrText xml:space="preserve"> REF _Ref228349461 \r \h </w:instrText>
      </w:r>
      <w:r>
        <w:fldChar w:fldCharType="separate"/>
      </w:r>
      <w:r>
        <w:t>6.5.3.2</w:t>
      </w:r>
      <w:r>
        <w:fldChar w:fldCharType="end"/>
      </w:r>
      <w:r>
        <w:t>) on each lost page, with an extent of a known, estimated or unknown number of lines</w:t>
      </w:r>
    </w:p>
    <w:p w14:paraId="0C3F5A3C" w14:textId="77777777">
      <w:pPr>
        <w:pStyle w:val="Lista2"/>
      </w:pPr>
      <w:r>
        <w:t>if the page has been reconstructed in order to accommodate a restoration, then a line beginning must be reconstructed for the line(s) in which the restored text would have been located</w:t>
      </w:r>
    </w:p>
    <w:p w14:paraId="75755482" w14:textId="1C30C83B">
      <w:pPr>
        <w:pStyle w:val="Lista3"/>
      </w:pPr>
      <w:r>
        <w:t>for the remaining lines on the same page, encode a multiline lacuna (§</w:t>
      </w:r>
      <w:r>
        <w:fldChar w:fldCharType="begin"/>
      </w:r>
      <w:r>
        <w:instrText xml:space="preserve"> REF _Ref228349461 \r \h </w:instrText>
      </w:r>
      <w:r>
        <w:fldChar w:fldCharType="separate"/>
      </w:r>
      <w:r>
        <w:t>6.5.3.2</w:t>
      </w:r>
      <w:r>
        <w:fldChar w:fldCharType="end"/>
      </w:r>
      <w:r>
        <w:t>) on each lost page, with an extent of a known, estimated or unknown number of lines</w:t>
      </w:r>
    </w:p>
    <w:p w14:paraId="3137FF94" w14:textId="020C6AFA">
      <w:pPr>
        <w:pStyle w:val="Lista3"/>
      </w:pPr>
      <w:r>
        <w:t>the part of the line outside the restored reading must be encoded as an inline lacuna (§</w:t>
      </w:r>
      <w:r>
        <w:fldChar w:fldCharType="begin"/>
      </w:r>
      <w:r>
        <w:instrText xml:space="preserve"> REF _Ref43988016 \r \h </w:instrText>
      </w:r>
      <w:r>
        <w:fldChar w:fldCharType="separate"/>
      </w:r>
      <w:r>
        <w:t>6.5.2</w:t>
      </w:r>
      <w:r>
        <w:fldChar w:fldCharType="end"/>
      </w:r>
      <w:r>
        <w:t>)</w:t>
      </w:r>
    </w:p>
    <w:p w14:paraId="4C54B073" w14:textId="77777777">
      <w:pPr>
        <w:pStyle w:val="Lista2"/>
      </w:pPr>
      <w:r>
        <w:t>alternatively, if it is feasible to do so, you may choose to reconstruct line beginnings for all lines on every lost page, encoding an inline lacuna for each line</w:t>
      </w:r>
    </w:p>
    <w:p w14:paraId="680203E4" w14:textId="77777777">
      <w:pPr>
        <w:pStyle w:val="Cmsor1"/>
      </w:pPr>
      <w:bookmarkStart w:id="606" w:name="_m2k3hdqjm9zb" w:colFirst="0" w:colLast="0"/>
      <w:bookmarkStart w:id="607" w:name="_v1clk7602zin" w:colFirst="0" w:colLast="0"/>
      <w:bookmarkStart w:id="608" w:name="_Ref43978565"/>
      <w:bookmarkStart w:id="609" w:name="_Ref181694670"/>
      <w:bookmarkStart w:id="610" w:name="_Toc242889532"/>
      <w:bookmarkEnd w:id="606"/>
      <w:bookmarkEnd w:id="607"/>
      <w:r>
        <w:lastRenderedPageBreak/>
        <w:t>Editorial intervention</w:t>
      </w:r>
      <w:bookmarkEnd w:id="608"/>
      <w:bookmarkEnd w:id="609"/>
      <w:bookmarkEnd w:id="610"/>
    </w:p>
    <w:p w14:paraId="305C330C" w14:textId="11099D93">
      <w:pPr>
        <w:rPr>
          <w:lang w:eastAsia="en-US" w:bidi="ar-SA"/>
        </w:rPr>
      </w:pPr>
      <w:r>
        <w:rPr>
          <w:lang w:eastAsia="en-US" w:bidi="ar-SA"/>
        </w:rPr>
        <w:t>The editor intervenes in the text of a document because she perceives that there is something anomalous in the language of the text as received. The kind of editorial intervention, and thus the manner of its encoding, differs depending on the nature of the perceived anomaly (§</w:t>
      </w:r>
      <w:r>
        <w:rPr>
          <w:lang w:eastAsia="en-US" w:bidi="ar-SA"/>
        </w:rPr>
        <w:fldChar w:fldCharType="begin"/>
      </w:r>
      <w:r>
        <w:rPr>
          <w:lang w:eastAsia="en-US" w:bidi="ar-SA"/>
        </w:rPr>
        <w:instrText xml:space="preserve"> REF _Ref229054160 \r \h </w:instrText>
      </w:r>
      <w:r>
        <w:rPr>
          <w:lang w:eastAsia="en-US" w:bidi="ar-SA"/>
        </w:rPr>
      </w:r>
      <w:r>
        <w:rPr>
          <w:lang w:eastAsia="en-US" w:bidi="ar-SA"/>
        </w:rPr>
        <w:fldChar w:fldCharType="separate"/>
      </w:r>
      <w:r>
        <w:rPr>
          <w:lang w:eastAsia="en-US" w:bidi="ar-SA"/>
        </w:rPr>
        <w:t>7.1</w:t>
      </w:r>
      <w:r>
        <w:rPr>
          <w:lang w:eastAsia="en-US" w:bidi="ar-SA"/>
        </w:rPr>
        <w:fldChar w:fldCharType="end"/>
      </w:r>
      <w:r>
        <w:rPr>
          <w:lang w:eastAsia="en-US" w:bidi="ar-SA"/>
        </w:rPr>
        <w:t>): does the text contain an inadvertent scribal mistake, or is its unusualness likely to be deliberate on the part of its composer? Once an anomaly and its nature have been identified, you as editor must decide what to do about it and encode the intervention accordingly (§</w:t>
      </w:r>
      <w:r>
        <w:rPr>
          <w:lang w:eastAsia="en-US" w:bidi="ar-SA"/>
        </w:rPr>
        <w:fldChar w:fldCharType="begin"/>
      </w:r>
      <w:r>
        <w:rPr>
          <w:lang w:eastAsia="en-US" w:bidi="ar-SA"/>
        </w:rPr>
        <w:instrText xml:space="preserve"> REF _Ref229054270 \r \h </w:instrText>
      </w:r>
      <w:r>
        <w:rPr>
          <w:lang w:eastAsia="en-US" w:bidi="ar-SA"/>
        </w:rPr>
      </w:r>
      <w:r>
        <w:rPr>
          <w:lang w:eastAsia="en-US" w:bidi="ar-SA"/>
        </w:rPr>
        <w:fldChar w:fldCharType="separate"/>
      </w:r>
      <w:r>
        <w:rPr>
          <w:lang w:eastAsia="en-US" w:bidi="ar-SA"/>
        </w:rPr>
        <w:t>7.2</w:t>
      </w:r>
      <w:r>
        <w:rPr>
          <w:lang w:eastAsia="en-US" w:bidi="ar-SA"/>
        </w:rPr>
        <w:fldChar w:fldCharType="end"/>
      </w:r>
      <w:r>
        <w:rPr>
          <w:lang w:eastAsia="en-US" w:bidi="ar-SA"/>
        </w:rPr>
        <w:t>). Additional guidelines for good practice applicable to all editorial intervention are collected in §</w:t>
      </w:r>
      <w:r>
        <w:rPr>
          <w:lang w:eastAsia="en-US" w:bidi="ar-SA"/>
        </w:rPr>
        <w:fldChar w:fldCharType="begin"/>
      </w:r>
      <w:r>
        <w:rPr>
          <w:lang w:eastAsia="en-US" w:bidi="ar-SA"/>
        </w:rPr>
        <w:instrText xml:space="preserve"> REF _Ref43991017 \r \h </w:instrText>
      </w:r>
      <w:r>
        <w:rPr>
          <w:lang w:eastAsia="en-US" w:bidi="ar-SA"/>
        </w:rPr>
      </w:r>
      <w:r>
        <w:rPr>
          <w:lang w:eastAsia="en-US" w:bidi="ar-SA"/>
        </w:rPr>
        <w:fldChar w:fldCharType="separate"/>
      </w:r>
      <w:r>
        <w:rPr>
          <w:lang w:eastAsia="en-US" w:bidi="ar-SA"/>
        </w:rPr>
        <w:t>7.7</w:t>
      </w:r>
      <w:r>
        <w:rPr>
          <w:lang w:eastAsia="en-US" w:bidi="ar-SA"/>
        </w:rPr>
        <w:fldChar w:fldCharType="end"/>
      </w:r>
      <w:r>
        <w:rPr>
          <w:lang w:eastAsia="en-US" w:bidi="ar-SA"/>
        </w:rPr>
        <w:t>, while §</w:t>
      </w:r>
      <w:r>
        <w:rPr>
          <w:lang w:eastAsia="en-US" w:bidi="ar-SA"/>
        </w:rPr>
        <w:fldChar w:fldCharType="begin"/>
      </w:r>
      <w:r>
        <w:rPr>
          <w:lang w:eastAsia="en-US" w:bidi="ar-SA"/>
        </w:rPr>
        <w:instrText xml:space="preserve"> REF _Ref229056523 \r \h </w:instrText>
      </w:r>
      <w:r>
        <w:rPr>
          <w:lang w:eastAsia="en-US" w:bidi="ar-SA"/>
        </w:rPr>
      </w:r>
      <w:r>
        <w:rPr>
          <w:lang w:eastAsia="en-US" w:bidi="ar-SA"/>
        </w:rPr>
        <w:fldChar w:fldCharType="separate"/>
      </w:r>
      <w:r>
        <w:rPr>
          <w:lang w:eastAsia="en-US" w:bidi="ar-SA"/>
        </w:rPr>
        <w:t>7.8</w:t>
      </w:r>
      <w:r>
        <w:rPr>
          <w:lang w:eastAsia="en-US" w:bidi="ar-SA"/>
        </w:rPr>
        <w:fldChar w:fldCharType="end"/>
      </w:r>
      <w:r>
        <w:rPr>
          <w:lang w:eastAsia="en-US" w:bidi="ar-SA"/>
        </w:rPr>
        <w:t xml:space="preserve"> discusses “curatorial” modifications the editor can make in the text without encoding them as editorial.</w:t>
      </w:r>
    </w:p>
    <w:p w14:paraId="5C1F1871" w14:textId="77777777">
      <w:pPr>
        <w:pStyle w:val="Cmsor2"/>
      </w:pPr>
      <w:bookmarkStart w:id="611" w:name="_syuqjrbqvtf4" w:colFirst="0" w:colLast="0"/>
      <w:bookmarkStart w:id="612" w:name="_Ref229054160"/>
      <w:bookmarkStart w:id="613" w:name="_Toc242889533"/>
      <w:bookmarkEnd w:id="611"/>
      <w:r>
        <w:t>Distinguishing correction from normalisation</w:t>
      </w:r>
      <w:bookmarkEnd w:id="612"/>
      <w:bookmarkEnd w:id="613"/>
    </w:p>
    <w:p w14:paraId="2FF99306" w14:textId="027D5D58">
      <w:pPr>
        <w:rPr>
          <w:lang w:eastAsia="en-US" w:bidi="ar-SA"/>
        </w:rPr>
      </w:pPr>
      <w:r>
        <w:rPr>
          <w:lang w:eastAsia="en-US" w:bidi="ar-SA"/>
        </w:rPr>
        <w:t xml:space="preserve">While classical editions of Indic epigraphic texts rarely make such a distinction, TEI allows us to differentiate text written in error from non-standard usage. To set the two apart, you as editor must, informed by your expertise, establish the text as intended by the persons(s) who composed it. Doing so </w:t>
      </w:r>
      <w:r>
        <w:t>may be problematic and will often involve a subjective decision, which may be supported by the guidelines presented below.</w:t>
      </w:r>
    </w:p>
    <w:p w14:paraId="148A1D35" w14:textId="77777777">
      <w:pPr>
        <w:pStyle w:val="Cmsor3"/>
      </w:pPr>
      <w:bookmarkStart w:id="614" w:name="_Toc242889534"/>
      <w:r>
        <w:t>Erroneous readings</w:t>
      </w:r>
      <w:bookmarkEnd w:id="614"/>
    </w:p>
    <w:p w14:paraId="118F2D6F" w14:textId="77777777">
      <w:r>
        <w:rPr>
          <w:lang w:eastAsia="en-US" w:bidi="ar-SA"/>
        </w:rPr>
        <w:t>A received reading that deviates from the presumed intent of its composer is an erroneous reading, which may or may not be linguistically correct. An erroneous reading is of the nature of a typographic mistake: it is created inadvertently as a result of a mistake on the part of a scribe.</w:t>
      </w:r>
      <w:r>
        <w:rPr>
          <w:rStyle w:val="Lbjegyzet-hivatkozs"/>
          <w:lang w:eastAsia="en-US" w:bidi="ar-SA"/>
        </w:rPr>
        <w:footnoteReference w:id="33"/>
      </w:r>
      <w:r>
        <w:rPr>
          <w:lang w:eastAsia="en-US" w:bidi="ar-SA"/>
        </w:rPr>
        <w:t xml:space="preserve"> Correction is the editorial rectification of an erroneous reading by restoring the </w:t>
      </w:r>
      <w:r>
        <w:t>text to the form that you believe the composer of the text had intended.</w:t>
      </w:r>
    </w:p>
    <w:p w14:paraId="3CCEB120" w14:textId="450C51D5">
      <w:pPr>
        <w:pStyle w:val="Lista"/>
        <w:rPr>
          <w:lang w:eastAsia="en-US" w:bidi="ar-SA"/>
        </w:rPr>
      </w:pPr>
      <w:r>
        <w:rPr>
          <w:lang w:eastAsia="en-US" w:bidi="ar-SA"/>
        </w:rPr>
        <w:t>the correction of scribal mistakes is on the whole strongly recommended in our editions, because doing so may be necessary in order to make the text intelligible and, when the text is intelligible as received, can clarify the editor’s notion of what the text had been intended to be</w:t>
      </w:r>
    </w:p>
    <w:p w14:paraId="606DDC22" w14:textId="77777777">
      <w:pPr>
        <w:pStyle w:val="Lista"/>
        <w:rPr>
          <w:lang w:eastAsia="en-US" w:bidi="ar-SA"/>
        </w:rPr>
      </w:pPr>
      <w:r>
        <w:rPr>
          <w:lang w:eastAsia="en-US" w:bidi="ar-SA"/>
        </w:rPr>
        <w:t>when judging whether an unexpected reading is erroneous or non-standard, it may be helpful to keep in mind that scribal errors often (though not necessarily) have one or more of the following features</w:t>
      </w:r>
    </w:p>
    <w:p w14:paraId="71A2F770" w14:textId="77777777">
      <w:pPr>
        <w:pStyle w:val="Lista2"/>
        <w:rPr>
          <w:lang w:eastAsia="en-US" w:bidi="ar-SA"/>
        </w:rPr>
      </w:pPr>
      <w:r>
        <w:rPr>
          <w:lang w:eastAsia="en-US" w:bidi="ar-SA"/>
        </w:rPr>
        <w:t>they occur inconsistently through a document and deviate from the expected form randomly, producing readings which are meaningless or inappropriate to the context</w:t>
      </w:r>
    </w:p>
    <w:p w14:paraId="13FB83E5" w14:textId="77777777">
      <w:pPr>
        <w:pStyle w:val="Lista3"/>
        <w:rPr>
          <w:lang w:eastAsia="en-US" w:bidi="ar-SA"/>
        </w:rPr>
      </w:pPr>
      <w:r>
        <w:rPr>
          <w:lang w:eastAsia="en-US" w:bidi="ar-SA"/>
        </w:rPr>
        <w:t>the expected (correct) form of the same word may thus also occur in the same document</w:t>
      </w:r>
    </w:p>
    <w:p w14:paraId="32FF9393" w14:textId="77777777">
      <w:pPr>
        <w:pStyle w:val="Lista2"/>
        <w:rPr>
          <w:lang w:eastAsia="en-US" w:bidi="ar-SA"/>
        </w:rPr>
      </w:pPr>
      <w:r>
        <w:rPr>
          <w:lang w:eastAsia="en-US" w:bidi="ar-SA"/>
        </w:rPr>
        <w:t>they involve a graphically similar glyph or graph instead of the expected one</w:t>
      </w:r>
    </w:p>
    <w:p w14:paraId="11CD4EC3" w14:textId="77777777">
      <w:pPr>
        <w:pStyle w:val="Lista3"/>
        <w:rPr>
          <w:lang w:eastAsia="en-US" w:bidi="ar-SA"/>
        </w:rPr>
      </w:pPr>
      <w:r>
        <w:rPr>
          <w:lang w:eastAsia="en-US" w:bidi="ar-SA"/>
        </w:rPr>
        <w:t xml:space="preserve">e.g. </w:t>
      </w:r>
      <w:r>
        <w:rPr>
          <w:rStyle w:val="Foreign"/>
        </w:rPr>
        <w:t>ka</w:t>
      </w:r>
      <w:r>
        <w:t xml:space="preserve"> instead of </w:t>
      </w:r>
      <w:r>
        <w:rPr>
          <w:rStyle w:val="Foreign"/>
        </w:rPr>
        <w:t>ra</w:t>
      </w:r>
      <w:r>
        <w:t xml:space="preserve"> in a script where these look similar</w:t>
      </w:r>
    </w:p>
    <w:p w14:paraId="0C5358F3" w14:textId="77777777">
      <w:pPr>
        <w:pStyle w:val="Lista2"/>
        <w:rPr>
          <w:lang w:eastAsia="en-US" w:bidi="ar-SA"/>
        </w:rPr>
      </w:pPr>
      <w:r>
        <w:rPr>
          <w:lang w:eastAsia="en-US" w:bidi="ar-SA"/>
        </w:rPr>
        <w:t>they involve the omission of glyphs or sequences that ought to be repeated (haplography)</w:t>
      </w:r>
    </w:p>
    <w:p w14:paraId="7488080A" w14:textId="77777777">
      <w:pPr>
        <w:pStyle w:val="Lista3"/>
        <w:rPr>
          <w:lang w:eastAsia="en-US" w:bidi="ar-SA"/>
        </w:rPr>
      </w:pPr>
      <w:r>
        <w:rPr>
          <w:lang w:eastAsia="en-US" w:bidi="ar-SA"/>
        </w:rPr>
        <w:t xml:space="preserve">e.g. </w:t>
      </w:r>
      <w:r>
        <w:rPr>
          <w:rStyle w:val="Foreign"/>
        </w:rPr>
        <w:t>varṣa</w:t>
      </w:r>
      <w:r>
        <w:t xml:space="preserve"> instead of </w:t>
      </w:r>
      <w:r>
        <w:rPr>
          <w:rStyle w:val="Foreign"/>
        </w:rPr>
        <w:t>vavarṣa</w:t>
      </w:r>
      <w:r>
        <w:t xml:space="preserve">; </w:t>
      </w:r>
      <w:r>
        <w:rPr>
          <w:rStyle w:val="Foreign"/>
        </w:rPr>
        <w:t>mandaṁ</w:t>
      </w:r>
      <w:r>
        <w:t xml:space="preserve"> instead of </w:t>
      </w:r>
      <w:r>
        <w:rPr>
          <w:rStyle w:val="Foreign"/>
        </w:rPr>
        <w:t>mandaṁ mandaṁ</w:t>
      </w:r>
    </w:p>
    <w:p w14:paraId="21A95674" w14:textId="77777777">
      <w:pPr>
        <w:pStyle w:val="Lista2"/>
        <w:rPr>
          <w:lang w:eastAsia="en-US" w:bidi="ar-SA"/>
        </w:rPr>
      </w:pPr>
      <w:r>
        <w:rPr>
          <w:lang w:eastAsia="en-US" w:bidi="ar-SA"/>
        </w:rPr>
        <w:t>they involve the repetition of glyphs or sequences that ought to appear only once (dittography)</w:t>
      </w:r>
    </w:p>
    <w:p w14:paraId="78666C7D" w14:textId="77777777">
      <w:pPr>
        <w:pStyle w:val="Lista3"/>
        <w:rPr>
          <w:lang w:eastAsia="en-US" w:bidi="ar-SA"/>
        </w:rPr>
      </w:pPr>
      <w:r>
        <w:rPr>
          <w:lang w:eastAsia="en-US" w:bidi="ar-SA"/>
        </w:rPr>
        <w:t xml:space="preserve">e.g. </w:t>
      </w:r>
      <w:r>
        <w:rPr>
          <w:rStyle w:val="Foreign"/>
          <w:lang w:eastAsia="en-US" w:bidi="ar-SA"/>
        </w:rPr>
        <w:t>sasarveṣāṁ</w:t>
      </w:r>
      <w:r>
        <w:t xml:space="preserve"> or </w:t>
      </w:r>
      <w:r>
        <w:rPr>
          <w:rStyle w:val="Foreign"/>
        </w:rPr>
        <w:t>sarvesarveṣāṁ</w:t>
      </w:r>
      <w:r>
        <w:t xml:space="preserve"> instead of </w:t>
      </w:r>
      <w:r>
        <w:rPr>
          <w:rStyle w:val="Foreign"/>
        </w:rPr>
        <w:t>sarveṣāṁ</w:t>
      </w:r>
    </w:p>
    <w:p w14:paraId="0C5CFB23" w14:textId="77777777">
      <w:pPr>
        <w:pStyle w:val="Lista2"/>
        <w:rPr>
          <w:lang w:eastAsia="en-US" w:bidi="ar-SA"/>
        </w:rPr>
      </w:pPr>
      <w:r>
        <w:rPr>
          <w:lang w:eastAsia="en-US" w:bidi="ar-SA"/>
        </w:rPr>
        <w:t>they involve the omission of a chunk that is elsewhere preceded and followed by the same (or a very similar) glyph or sequence (eyeskip)</w:t>
      </w:r>
    </w:p>
    <w:p w14:paraId="661B2DC7" w14:textId="77777777">
      <w:pPr>
        <w:pStyle w:val="Lista3"/>
        <w:rPr>
          <w:lang w:eastAsia="en-US" w:bidi="ar-SA"/>
        </w:rPr>
      </w:pPr>
      <w:r>
        <w:rPr>
          <w:lang w:eastAsia="en-US" w:bidi="ar-SA"/>
        </w:rPr>
        <w:t xml:space="preserve">e.g. </w:t>
      </w:r>
      <w:r>
        <w:rPr>
          <w:rStyle w:val="Foreign"/>
        </w:rPr>
        <w:t>mañjarī-puñjarita</w:t>
      </w:r>
      <w:r>
        <w:t xml:space="preserve"> instead of </w:t>
      </w:r>
      <w:r>
        <w:rPr>
          <w:rStyle w:val="Foreign"/>
        </w:rPr>
        <w:t>mañjarī-puñja-piñjarita</w:t>
      </w:r>
    </w:p>
    <w:p w14:paraId="3BB810BF" w14:textId="77777777">
      <w:pPr>
        <w:pStyle w:val="Cmsor3"/>
      </w:pPr>
      <w:bookmarkStart w:id="615" w:name="_Ref242868067"/>
      <w:bookmarkStart w:id="616" w:name="_Toc242889535"/>
      <w:r>
        <w:t>Non-standard readings</w:t>
      </w:r>
      <w:bookmarkEnd w:id="615"/>
      <w:bookmarkEnd w:id="616"/>
    </w:p>
    <w:p w14:paraId="1F6746FB" w14:textId="77777777">
      <w:r>
        <w:rPr>
          <w:lang w:eastAsia="en-US" w:bidi="ar-SA"/>
        </w:rPr>
        <w:t xml:space="preserve">A received reading that matches the presumed intent of its composer is not erroneous, but may be non-standard if it does not conform to generally established linguistic conventions. A non-standard reading is created deliberately, although not necessarily with awareness of its non-standard nature. That is to say, non-standard language is written usually when a composer’s individual concept of a language differs from the </w:t>
      </w:r>
      <w:r>
        <w:rPr>
          <w:lang w:eastAsia="en-US" w:bidi="ar-SA"/>
        </w:rPr>
        <w:lastRenderedPageBreak/>
        <w:t>general conventions governing that language, or occasionally when a composer chooses to transgress such conventions. Normalisation is the</w:t>
      </w:r>
      <w:r>
        <w:t xml:space="preserve"> editorial rectification of non-standard usage by alteration into something that fits the standard more closely.</w:t>
      </w:r>
    </w:p>
    <w:p w14:paraId="581ACB9F" w14:textId="77777777">
      <w:pPr>
        <w:pStyle w:val="Lista"/>
        <w:rPr>
          <w:lang w:eastAsia="en-US" w:bidi="ar-SA"/>
        </w:rPr>
      </w:pPr>
      <w:r>
        <w:rPr>
          <w:lang w:eastAsia="en-US" w:bidi="ar-SA"/>
        </w:rPr>
        <w:t>normalisation is always optional in our editions, but is recommended whenever you deem it helpful to the reader for understanding difficult non-standard language or for clarifying your editorial interpretation of it</w:t>
      </w:r>
    </w:p>
    <w:p w14:paraId="170274B2" w14:textId="77777777">
      <w:pPr>
        <w:pStyle w:val="Lista"/>
        <w:rPr>
          <w:lang w:eastAsia="en-US" w:bidi="ar-SA"/>
        </w:rPr>
      </w:pPr>
      <w:r>
        <w:rPr>
          <w:lang w:eastAsia="en-US" w:bidi="ar-SA"/>
        </w:rPr>
        <w:t>when judging whether an unexpected reading is erroneous or non-standard, it may be helpful to keep in mind that non-standard variations often (though not necessarily) have one or more of the following features</w:t>
      </w:r>
    </w:p>
    <w:p w14:paraId="544393A6" w14:textId="77777777">
      <w:pPr>
        <w:pStyle w:val="Lista2"/>
      </w:pPr>
      <w:r>
        <w:t>they occur consistently through a document and deviate from the expected form systematically, producing readings which are meaningful and appropriate to the context once their systematic deviation has been taken into account</w:t>
      </w:r>
    </w:p>
    <w:p w14:paraId="3F842FFB" w14:textId="77777777">
      <w:pPr>
        <w:pStyle w:val="Lista2"/>
      </w:pPr>
      <w:r>
        <w:t>they involve a plausible phonological alternative to the standard pronunciation of a word or sequence</w:t>
      </w:r>
    </w:p>
    <w:p w14:paraId="4D318082" w14:textId="77777777">
      <w:pPr>
        <w:pStyle w:val="Lista3"/>
        <w:rPr>
          <w:rStyle w:val="Foreign"/>
          <w:i w:val="0"/>
          <w:iCs w:val="0"/>
          <w:noProof w:val="0"/>
        </w:rPr>
      </w:pPr>
      <w:r>
        <w:t xml:space="preserve">e.g. </w:t>
      </w:r>
      <w:r>
        <w:rPr>
          <w:rStyle w:val="Foreign"/>
        </w:rPr>
        <w:t>vacchara</w:t>
      </w:r>
      <w:r>
        <w:t xml:space="preserve"> instead of </w:t>
      </w:r>
      <w:r>
        <w:rPr>
          <w:rStyle w:val="Foreign"/>
        </w:rPr>
        <w:t>vatsara</w:t>
      </w:r>
      <w:r>
        <w:t xml:space="preserve">; </w:t>
      </w:r>
      <w:r>
        <w:rPr>
          <w:rStyle w:val="Foreign"/>
        </w:rPr>
        <w:t>kuṭiṁbin</w:t>
      </w:r>
      <w:r>
        <w:t xml:space="preserve"> instead of </w:t>
      </w:r>
      <w:r>
        <w:rPr>
          <w:rStyle w:val="Foreign"/>
        </w:rPr>
        <w:t>kuṭuṁbin</w:t>
      </w:r>
      <w:r>
        <w:t xml:space="preserve">; </w:t>
      </w:r>
      <w:r>
        <w:rPr>
          <w:rStyle w:val="Foreign"/>
        </w:rPr>
        <w:t>krita</w:t>
      </w:r>
      <w:r>
        <w:t xml:space="preserve"> (or </w:t>
      </w:r>
      <w:r>
        <w:rPr>
          <w:rStyle w:val="Foreign"/>
        </w:rPr>
        <w:t>kruta</w:t>
      </w:r>
      <w:r>
        <w:t xml:space="preserve"> or </w:t>
      </w:r>
      <w:r>
        <w:rPr>
          <w:rStyle w:val="Foreign"/>
        </w:rPr>
        <w:t>krata</w:t>
      </w:r>
      <w:r>
        <w:t xml:space="preserve">) instead of </w:t>
      </w:r>
      <w:r>
        <w:rPr>
          <w:rStyle w:val="Foreign"/>
        </w:rPr>
        <w:t>kr̥ta</w:t>
      </w:r>
    </w:p>
    <w:p w14:paraId="7F1BCA46" w14:textId="77777777">
      <w:pPr>
        <w:pStyle w:val="Lista2"/>
      </w:pPr>
      <w:r>
        <w:t>they involve a plausible graphemic alternative to the standard orthography of a word or sequence</w:t>
      </w:r>
    </w:p>
    <w:p w14:paraId="682BD178" w14:textId="77777777">
      <w:pPr>
        <w:pStyle w:val="Lista3"/>
      </w:pPr>
      <w:r>
        <w:t xml:space="preserve">e.g. </w:t>
      </w:r>
      <w:r>
        <w:rPr>
          <w:rStyle w:val="Foreign"/>
        </w:rPr>
        <w:t>satva</w:t>
      </w:r>
      <w:r>
        <w:t xml:space="preserve"> instead of </w:t>
      </w:r>
      <w:r>
        <w:rPr>
          <w:rStyle w:val="Foreign"/>
        </w:rPr>
        <w:t>sattva</w:t>
      </w:r>
      <w:r>
        <w:t xml:space="preserve">; </w:t>
      </w:r>
      <w:r>
        <w:rPr>
          <w:rStyle w:val="Foreign"/>
        </w:rPr>
        <w:t>sattya</w:t>
      </w:r>
      <w:r>
        <w:t xml:space="preserve"> instead of </w:t>
      </w:r>
      <w:r>
        <w:rPr>
          <w:rStyle w:val="Foreign"/>
        </w:rPr>
        <w:t>satya</w:t>
      </w:r>
    </w:p>
    <w:p w14:paraId="740FD41D" w14:textId="77777777">
      <w:pPr>
        <w:pStyle w:val="Lista2"/>
      </w:pPr>
      <w:r>
        <w:t>they involve the application of a generic grammatical rule where a specific rule (exception) is expected</w:t>
      </w:r>
    </w:p>
    <w:p w14:paraId="1E494F7A" w14:textId="77777777">
      <w:pPr>
        <w:pStyle w:val="Lista3"/>
        <w:rPr>
          <w:rStyle w:val="Foreign"/>
          <w:i w:val="0"/>
          <w:iCs w:val="0"/>
          <w:noProof w:val="0"/>
        </w:rPr>
      </w:pPr>
      <w:r>
        <w:t xml:space="preserve">e.g. </w:t>
      </w:r>
      <w:r>
        <w:rPr>
          <w:rStyle w:val="Foreign"/>
        </w:rPr>
        <w:t>rājasya</w:t>
      </w:r>
      <w:r>
        <w:t xml:space="preserve"> instead of </w:t>
      </w:r>
      <w:r>
        <w:rPr>
          <w:rStyle w:val="Foreign"/>
        </w:rPr>
        <w:t>rājñaḥ</w:t>
      </w:r>
    </w:p>
    <w:p w14:paraId="7D7AC75E" w14:textId="77777777">
      <w:pPr>
        <w:pStyle w:val="Lista2"/>
      </w:pPr>
      <w:r>
        <w:t>they involve the application of a specific grammatical rule where it is not expected to apply</w:t>
      </w:r>
    </w:p>
    <w:p w14:paraId="6A3F6F5C" w14:textId="77777777">
      <w:pPr>
        <w:pStyle w:val="Lista3"/>
      </w:pPr>
      <w:r>
        <w:t xml:space="preserve">e.g. </w:t>
      </w:r>
      <w:r>
        <w:rPr>
          <w:rStyle w:val="Foreign"/>
        </w:rPr>
        <w:t>mahārājñaḥ</w:t>
      </w:r>
      <w:r>
        <w:t xml:space="preserve"> instead of </w:t>
      </w:r>
      <w:r>
        <w:rPr>
          <w:rStyle w:val="Foreign"/>
        </w:rPr>
        <w:t>mahārājasya</w:t>
      </w:r>
    </w:p>
    <w:p w14:paraId="1EA01356" w14:textId="77777777">
      <w:pPr>
        <w:pStyle w:val="Cmsor2"/>
      </w:pPr>
      <w:bookmarkStart w:id="617" w:name="_8gcqc0hm9n9l" w:colFirst="0" w:colLast="0"/>
      <w:bookmarkStart w:id="618" w:name="_Ref229054270"/>
      <w:bookmarkStart w:id="619" w:name="_Toc242889536"/>
      <w:bookmarkEnd w:id="617"/>
      <w:r>
        <w:t>Encoding editorial intervention</w:t>
      </w:r>
      <w:bookmarkEnd w:id="618"/>
      <w:bookmarkEnd w:id="619"/>
    </w:p>
    <w:p w14:paraId="7E1287D4" w14:textId="6CE1183A">
      <w:pPr>
        <w:rPr>
          <w:lang w:eastAsia="en-US" w:bidi="ar-SA"/>
        </w:rPr>
      </w:pPr>
      <w:r>
        <w:rPr>
          <w:lang w:eastAsia="en-US" w:bidi="ar-SA"/>
        </w:rPr>
        <w:t>In DHARMA digital editions, the literal reading of the source must always be present (i.e. never discarded in favour of a correction or normalisation), and any editorial alteration must be explicitly tagged as such (i.e. never silent), except for the small number of specific cases listed in §</w:t>
      </w:r>
      <w:r>
        <w:rPr>
          <w:lang w:eastAsia="en-US" w:bidi="ar-SA"/>
        </w:rPr>
        <w:fldChar w:fldCharType="begin"/>
      </w:r>
      <w:r>
        <w:rPr>
          <w:lang w:eastAsia="en-US" w:bidi="ar-SA"/>
        </w:rPr>
        <w:instrText xml:space="preserve"> REF _Ref229056523 \r \h </w:instrText>
      </w:r>
      <w:r>
        <w:rPr>
          <w:lang w:eastAsia="en-US" w:bidi="ar-SA"/>
        </w:rPr>
      </w:r>
      <w:r>
        <w:rPr>
          <w:lang w:eastAsia="en-US" w:bidi="ar-SA"/>
        </w:rPr>
        <w:fldChar w:fldCharType="separate"/>
      </w:r>
      <w:r>
        <w:rPr>
          <w:lang w:eastAsia="en-US" w:bidi="ar-SA"/>
        </w:rPr>
        <w:t>7.8</w:t>
      </w:r>
      <w:r>
        <w:rPr>
          <w:lang w:eastAsia="en-US" w:bidi="ar-SA"/>
        </w:rPr>
        <w:fldChar w:fldCharType="end"/>
      </w:r>
      <w:r>
        <w:rPr>
          <w:lang w:eastAsia="en-US" w:bidi="ar-SA"/>
        </w:rPr>
        <w:t xml:space="preserve"> below. This requirement leaves us with the following practical scenarios for the treatment of an anomalous reading: ignore it (§</w:t>
      </w:r>
      <w:r>
        <w:rPr>
          <w:lang w:eastAsia="en-US" w:bidi="ar-SA"/>
        </w:rPr>
        <w:fldChar w:fldCharType="begin"/>
      </w:r>
      <w:r>
        <w:rPr>
          <w:lang w:eastAsia="en-US" w:bidi="ar-SA"/>
        </w:rPr>
        <w:instrText xml:space="preserve"> REF _Ref228976848 \r \h </w:instrText>
      </w:r>
      <w:r>
        <w:rPr>
          <w:lang w:eastAsia="en-US" w:bidi="ar-SA"/>
        </w:rPr>
      </w:r>
      <w:r>
        <w:rPr>
          <w:lang w:eastAsia="en-US" w:bidi="ar-SA"/>
        </w:rPr>
        <w:fldChar w:fldCharType="separate"/>
      </w:r>
      <w:r>
        <w:rPr>
          <w:lang w:eastAsia="en-US" w:bidi="ar-SA"/>
        </w:rPr>
        <w:t>7.3</w:t>
      </w:r>
      <w:r>
        <w:rPr>
          <w:lang w:eastAsia="en-US" w:bidi="ar-SA"/>
        </w:rPr>
        <w:fldChar w:fldCharType="end"/>
      </w:r>
      <w:r>
        <w:rPr>
          <w:lang w:eastAsia="en-US" w:bidi="ar-SA"/>
        </w:rPr>
        <w:t>), flag it as anomalous (§</w:t>
      </w:r>
      <w:r>
        <w:rPr>
          <w:lang w:eastAsia="en-US" w:bidi="ar-SA"/>
        </w:rPr>
        <w:fldChar w:fldCharType="begin"/>
      </w:r>
      <w:r>
        <w:rPr>
          <w:lang w:eastAsia="en-US" w:bidi="ar-SA"/>
        </w:rPr>
        <w:instrText xml:space="preserve"> REF _Ref228872759 \r \h </w:instrText>
      </w:r>
      <w:r>
        <w:rPr>
          <w:lang w:eastAsia="en-US" w:bidi="ar-SA"/>
        </w:rPr>
      </w:r>
      <w:r>
        <w:rPr>
          <w:lang w:eastAsia="en-US" w:bidi="ar-SA"/>
        </w:rPr>
        <w:fldChar w:fldCharType="separate"/>
      </w:r>
      <w:r>
        <w:rPr>
          <w:lang w:eastAsia="en-US" w:bidi="ar-SA"/>
        </w:rPr>
        <w:t>7.4</w:t>
      </w:r>
      <w:r>
        <w:rPr>
          <w:lang w:eastAsia="en-US" w:bidi="ar-SA"/>
        </w:rPr>
        <w:fldChar w:fldCharType="end"/>
      </w:r>
      <w:r>
        <w:rPr>
          <w:lang w:eastAsia="en-US" w:bidi="ar-SA"/>
        </w:rPr>
        <w:t>) or rectify it by providing the corrected or normalised reading as an alternative to the received reading (§</w:t>
      </w:r>
      <w:r>
        <w:rPr>
          <w:lang w:eastAsia="en-US" w:bidi="ar-SA"/>
        </w:rPr>
        <w:fldChar w:fldCharType="begin"/>
      </w:r>
      <w:r>
        <w:rPr>
          <w:lang w:eastAsia="en-US" w:bidi="ar-SA"/>
        </w:rPr>
        <w:instrText xml:space="preserve"> REF _Ref228872858 \r \h </w:instrText>
      </w:r>
      <w:r>
        <w:rPr>
          <w:lang w:eastAsia="en-US" w:bidi="ar-SA"/>
        </w:rPr>
      </w:r>
      <w:r>
        <w:rPr>
          <w:lang w:eastAsia="en-US" w:bidi="ar-SA"/>
        </w:rPr>
        <w:fldChar w:fldCharType="separate"/>
      </w:r>
      <w:r>
        <w:rPr>
          <w:lang w:eastAsia="en-US" w:bidi="ar-SA"/>
        </w:rPr>
        <w:t>7.5</w:t>
      </w:r>
      <w:r>
        <w:rPr>
          <w:lang w:eastAsia="en-US" w:bidi="ar-SA"/>
        </w:rPr>
        <w:fldChar w:fldCharType="end"/>
      </w:r>
      <w:r>
        <w:rPr>
          <w:lang w:eastAsia="en-US" w:bidi="ar-SA"/>
        </w:rPr>
        <w:t>). All of the encoding introduced in this section must comply with the guidance on good practice in §</w:t>
      </w:r>
      <w:r>
        <w:rPr>
          <w:lang w:eastAsia="en-US" w:bidi="ar-SA"/>
        </w:rPr>
        <w:fldChar w:fldCharType="begin"/>
      </w:r>
      <w:r>
        <w:rPr>
          <w:lang w:eastAsia="en-US" w:bidi="ar-SA"/>
        </w:rPr>
        <w:instrText xml:space="preserve"> REF _Ref43991017 \r \h </w:instrText>
      </w:r>
      <w:r>
        <w:rPr>
          <w:lang w:eastAsia="en-US" w:bidi="ar-SA"/>
        </w:rPr>
      </w:r>
      <w:r>
        <w:rPr>
          <w:lang w:eastAsia="en-US" w:bidi="ar-SA"/>
        </w:rPr>
        <w:fldChar w:fldCharType="separate"/>
      </w:r>
      <w:r>
        <w:rPr>
          <w:lang w:eastAsia="en-US" w:bidi="ar-SA"/>
        </w:rPr>
        <w:t>7.7</w:t>
      </w:r>
      <w:r>
        <w:rPr>
          <w:lang w:eastAsia="en-US" w:bidi="ar-SA"/>
        </w:rPr>
        <w:fldChar w:fldCharType="end"/>
      </w:r>
      <w:r>
        <w:rPr>
          <w:lang w:eastAsia="en-US" w:bidi="ar-SA"/>
        </w:rPr>
        <w:t>.</w:t>
      </w:r>
    </w:p>
    <w:p w14:paraId="27F1DC0F" w14:textId="42D07C08">
      <w:pPr>
        <w:pStyle w:val="Normlbehzs"/>
        <w:rPr>
          <w:lang w:eastAsia="en-US" w:bidi="ar-SA"/>
        </w:rPr>
      </w:pPr>
      <w:r>
        <w:rPr>
          <w:lang w:eastAsia="en-US" w:bidi="ar-SA"/>
        </w:rPr>
        <w:t xml:space="preserve">The action you take with regard to any linguistic anomaly must be selected at your discretion, depending on your perception of the relative commonness or uncommonness of the anomaly in your corpus and of its transparency to the scholarly target audience. </w:t>
      </w:r>
      <w:r>
        <w:t>No objective and universal criteria can be established for such a decision,</w:t>
      </w:r>
      <w:r>
        <w:rPr>
          <w:lang w:eastAsia="en-US" w:bidi="ar-SA"/>
        </w:rPr>
        <w:t xml:space="preserve"> but the following subsections provide some rules of thumb for the kinds of cases where each level of intervention is appropriate. The general aim is not to clutter the edition with code (and its display rendition with character-based markup) unless it serves a useful purpose. A lower level of intervention may be applied to phenomena that you perceive to be common in your particular text or subcorpus. Erring on the side of caution is always allowed, so in any individual case where you deem a higher level of intervention to be warranted, feel free to encode it.</w:t>
      </w:r>
    </w:p>
    <w:p w14:paraId="0493F1A9" w14:textId="77777777">
      <w:pPr>
        <w:pStyle w:val="Cmsor3"/>
      </w:pPr>
      <w:bookmarkStart w:id="620" w:name="_yyyl8vy3rih7" w:colFirst="0" w:colLast="0"/>
      <w:bookmarkStart w:id="621" w:name="_tebtz9jasa9y" w:colFirst="0" w:colLast="0"/>
      <w:bookmarkStart w:id="622" w:name="_Ref228885762"/>
      <w:bookmarkStart w:id="623" w:name="_Ref228868276"/>
      <w:bookmarkStart w:id="624" w:name="_Ref43988218"/>
      <w:bookmarkStart w:id="625" w:name="_Toc242889537"/>
      <w:bookmarkEnd w:id="620"/>
      <w:bookmarkEnd w:id="621"/>
      <w:r>
        <w:t>Encoding tools for anomalous readings</w:t>
      </w:r>
      <w:bookmarkEnd w:id="622"/>
      <w:bookmarkEnd w:id="625"/>
    </w:p>
    <w:p w14:paraId="3AAA9B70" w14:textId="77777777">
      <w:r>
        <w:t>TEI and EpiDoc provide the following elements for encoding the editorial treatment of incorrect or non-standard text.</w:t>
      </w:r>
    </w:p>
    <w:p w14:paraId="3E19F69F" w14:textId="77777777">
      <w:pPr>
        <w:pStyle w:val="Lista"/>
      </w:pPr>
      <w:r>
        <w:t>for encoding anomalous readings in the received text,</w:t>
      </w:r>
    </w:p>
    <w:p w14:paraId="051710ED" w14:textId="77777777">
      <w:pPr>
        <w:pStyle w:val="Lista2"/>
      </w:pPr>
      <w:r>
        <w:t xml:space="preserve">the element </w:t>
      </w:r>
      <w:r>
        <w:rPr>
          <w:rStyle w:val="Code"/>
        </w:rPr>
        <w:t>&lt;orig&gt;</w:t>
      </w:r>
      <w:r>
        <w:t xml:space="preserve"> (for “original form”) serves as a wrapper for text that is literally present in the source, but is deemed by the editor to be non-standard</w:t>
      </w:r>
    </w:p>
    <w:p w14:paraId="60F0FB6F" w14:textId="77777777">
      <w:pPr>
        <w:pStyle w:val="Lista2"/>
      </w:pPr>
      <w:r>
        <w:t xml:space="preserve">the element </w:t>
      </w:r>
      <w:r>
        <w:rPr>
          <w:rStyle w:val="Code"/>
        </w:rPr>
        <w:t>&lt;sic&gt;</w:t>
      </w:r>
      <w:r>
        <w:t xml:space="preserve"> (Latin for “thus”) serves as a wrapper for text that is literally present in the source, but is deemed by the editor to be incorrect</w:t>
      </w:r>
    </w:p>
    <w:p w14:paraId="17EAB907" w14:textId="3D1FDAB3">
      <w:pPr>
        <w:pStyle w:val="Lista2"/>
      </w:pPr>
      <w:r>
        <w:t>on their own, these elements may be used for flagging a reading as anomalous (§</w:t>
      </w:r>
      <w:r>
        <w:fldChar w:fldCharType="begin"/>
      </w:r>
      <w:r>
        <w:instrText xml:space="preserve"> REF _Ref228872759 \r \h </w:instrText>
      </w:r>
      <w:r>
        <w:fldChar w:fldCharType="separate"/>
      </w:r>
      <w:r>
        <w:t>7.4</w:t>
      </w:r>
      <w:r>
        <w:fldChar w:fldCharType="end"/>
      </w:r>
      <w:r>
        <w:t>)</w:t>
      </w:r>
    </w:p>
    <w:p w14:paraId="22C90402" w14:textId="77777777">
      <w:pPr>
        <w:pStyle w:val="Lista"/>
      </w:pPr>
      <w:r>
        <w:t>for indicating readings altered by the editor,</w:t>
      </w:r>
    </w:p>
    <w:p w14:paraId="14AB78A0" w14:textId="43F41232">
      <w:pPr>
        <w:pStyle w:val="Lista2"/>
      </w:pPr>
      <w:r>
        <w:lastRenderedPageBreak/>
        <w:t xml:space="preserve">the element </w:t>
      </w:r>
      <w:r>
        <w:rPr>
          <w:rStyle w:val="Code"/>
        </w:rPr>
        <w:t>&lt;reg&gt;</w:t>
      </w:r>
      <w:r>
        <w:t xml:space="preserve"> (for “regularisation,” which is a synonym of normalisation in TEI usage) serves as a wrapper for text that has been normalised by the editor because the received reading was deemed non-standard</w:t>
      </w:r>
    </w:p>
    <w:p w14:paraId="113F58EF" w14:textId="77777777">
      <w:pPr>
        <w:pStyle w:val="Lista2"/>
      </w:pPr>
      <w:r>
        <w:t xml:space="preserve">the element </w:t>
      </w:r>
      <w:r>
        <w:rPr>
          <w:rStyle w:val="Code"/>
        </w:rPr>
        <w:t>&lt;corr&gt;</w:t>
      </w:r>
      <w:r>
        <w:t xml:space="preserve"> (for “correction”) serves as a wrapper for text that has been corrected by the editor because the received reading was deemed erroneous</w:t>
      </w:r>
    </w:p>
    <w:p w14:paraId="46439540" w14:textId="77777777">
      <w:pPr>
        <w:pStyle w:val="Lista2"/>
      </w:pPr>
      <w:r>
        <w:t>these elements are never used on their own in DHARMA editions, since the received (i.e. unaltered) reading must always be present</w:t>
      </w:r>
    </w:p>
    <w:p w14:paraId="29C19C95" w14:textId="0102FFA1">
      <w:pPr>
        <w:pStyle w:val="Lista3"/>
      </w:pPr>
      <w:r>
        <w:t>instead, they are employed in rectification by substitution (§</w:t>
      </w:r>
      <w:r>
        <w:fldChar w:fldCharType="begin"/>
      </w:r>
      <w:r>
        <w:instrText xml:space="preserve"> REF _Ref229057056 \r \h </w:instrText>
      </w:r>
      <w:r>
        <w:fldChar w:fldCharType="separate"/>
      </w:r>
      <w:r>
        <w:t>7.5.1</w:t>
      </w:r>
      <w:r>
        <w:fldChar w:fldCharType="end"/>
      </w:r>
      <w:r>
        <w:t xml:space="preserve">), where the element </w:t>
      </w:r>
      <w:r>
        <w:rPr>
          <w:rStyle w:val="Code"/>
        </w:rPr>
        <w:t>&lt;choice&gt;</w:t>
      </w:r>
      <w:r>
        <w:t xml:space="preserve"> wraps both the received reading (tagged as above) and the editorial reading, indicating that only one of the two is actually present at the given locus</w:t>
      </w:r>
    </w:p>
    <w:p w14:paraId="03A0BBED" w14:textId="77777777">
      <w:pPr>
        <w:pStyle w:val="Lista"/>
      </w:pPr>
      <w:r>
        <w:t>TEI also caters for marking up parts of the text which are deemed superfluous and parts of the text which have been added by the editor:</w:t>
      </w:r>
    </w:p>
    <w:p w14:paraId="485624A0" w14:textId="77777777">
      <w:pPr>
        <w:pStyle w:val="Lista2"/>
      </w:pPr>
      <w:r>
        <w:t xml:space="preserve">the element </w:t>
      </w:r>
      <w:r>
        <w:rPr>
          <w:rStyle w:val="Code"/>
        </w:rPr>
        <w:t>&lt;surplus&gt;</w:t>
      </w:r>
      <w:r>
        <w:t xml:space="preserve"> serves as a wrapper for text that is present in the source but should not be there according to the editor</w:t>
      </w:r>
    </w:p>
    <w:p w14:paraId="2BC7EA70" w14:textId="77777777">
      <w:pPr>
        <w:pStyle w:val="Lista2"/>
      </w:pPr>
      <w:r>
        <w:t xml:space="preserve">the element </w:t>
      </w:r>
      <w:r>
        <w:rPr>
          <w:rStyle w:val="Code"/>
        </w:rPr>
        <w:t>&lt;supplied&gt;</w:t>
      </w:r>
      <w:r>
        <w:t xml:space="preserve"> serves as a wrapper for text that is no present in the source but should be there according to the editor</w:t>
      </w:r>
    </w:p>
    <w:p w14:paraId="2F799C23" w14:textId="056AE0CF">
      <w:pPr>
        <w:pStyle w:val="Lista3"/>
      </w:pPr>
      <w:r>
        <w:t xml:space="preserve">the attribute </w:t>
      </w:r>
      <w:r>
        <w:rPr>
          <w:rStyle w:val="Codeattribute"/>
        </w:rPr>
        <w:t>@reason</w:t>
      </w:r>
      <w:r>
        <w:t xml:space="preserve"> with the value </w:t>
      </w:r>
      <w:r>
        <w:rPr>
          <w:rStyle w:val="Codevalue"/>
        </w:rPr>
        <w:t>"omitted"</w:t>
      </w:r>
      <w:r>
        <w:t xml:space="preserve"> on this element indicates that the supplied text ought to have been written by the scribe but was omitted</w:t>
      </w:r>
      <w:r>
        <w:rPr>
          <w:rStyle w:val="Lbjegyzet-hivatkozs"/>
        </w:rPr>
        <w:footnoteReference w:id="34"/>
      </w:r>
    </w:p>
    <w:p w14:paraId="6767AF32" w14:textId="77777777">
      <w:pPr>
        <w:pStyle w:val="Lista2"/>
      </w:pPr>
      <w:r>
        <w:t>these elements do not, by general TEI convention, assert anything about the nature or reason of redundance or omission, but in DHARMA editions, they are dedicated solely to the rectification of erroneous readings</w:t>
      </w:r>
    </w:p>
    <w:p w14:paraId="0FB9121E" w14:textId="77777777">
      <w:pPr>
        <w:pStyle w:val="Lista3"/>
      </w:pPr>
      <w:r>
        <w:t>therefore, even when non-standard orthography could be normalised simply by adding or suppressing specific graphemes, this must not be done with these elements but rather by the substitution method outlined above</w:t>
      </w:r>
    </w:p>
    <w:p w14:paraId="49F8D387" w14:textId="77777777">
      <w:pPr>
        <w:pStyle w:val="Lista3"/>
      </w:pPr>
      <w:r>
        <w:t>this leaves us with the following possible editorial actions:</w:t>
      </w:r>
    </w:p>
    <w:p w14:paraId="69D7B895" w14:textId="33507E95">
      <w:pPr>
        <w:pStyle w:val="Lista4"/>
      </w:pPr>
      <w:r>
        <w:t>correction by suppression of superfluous graphemes written by mistake (§</w:t>
      </w:r>
      <w:r>
        <w:fldChar w:fldCharType="begin"/>
      </w:r>
      <w:r>
        <w:instrText xml:space="preserve"> REF _Ref229054665 \r \h </w:instrText>
      </w:r>
      <w:r>
        <w:fldChar w:fldCharType="separate"/>
      </w:r>
      <w:r>
        <w:t>7.5.2</w:t>
      </w:r>
      <w:r>
        <w:fldChar w:fldCharType="end"/>
      </w:r>
      <w:r>
        <w:t>)</w:t>
      </w:r>
    </w:p>
    <w:p w14:paraId="13D12477" w14:textId="68DA8306">
      <w:pPr>
        <w:pStyle w:val="Lista4"/>
      </w:pPr>
      <w:r>
        <w:t>correction by restitution of erroneously omitted graphemes (§</w:t>
      </w:r>
      <w:r>
        <w:fldChar w:fldCharType="begin"/>
      </w:r>
      <w:r>
        <w:instrText xml:space="preserve"> REF _Ref228873746 \r \h </w:instrText>
      </w:r>
      <w:r>
        <w:fldChar w:fldCharType="separate"/>
      </w:r>
      <w:r>
        <w:t>7.5.3</w:t>
      </w:r>
      <w:r>
        <w:fldChar w:fldCharType="end"/>
      </w:r>
      <w:r>
        <w:t>)</w:t>
      </w:r>
    </w:p>
    <w:p w14:paraId="5970B821" w14:textId="77777777">
      <w:pPr>
        <w:pStyle w:val="Cmsor2"/>
      </w:pPr>
      <w:bookmarkStart w:id="626" w:name="_Ref228976848"/>
      <w:bookmarkStart w:id="627" w:name="_Toc242889538"/>
      <w:r>
        <w:t>Ignor</w:t>
      </w:r>
      <w:bookmarkEnd w:id="623"/>
      <w:r>
        <w:t>ing anomalous readings</w:t>
      </w:r>
      <w:bookmarkEnd w:id="626"/>
      <w:bookmarkEnd w:id="627"/>
    </w:p>
    <w:p w14:paraId="5454AE17" w14:textId="647A1488">
      <w:r>
        <w:t>Trivial linguistic anomalies may be left without any editorial encoding.</w:t>
      </w:r>
    </w:p>
    <w:p w14:paraId="4FA79BF8" w14:textId="77777777">
      <w:pPr>
        <w:pStyle w:val="Lista"/>
      </w:pPr>
      <w:r>
        <w:t xml:space="preserve">this applies in particular to </w:t>
      </w:r>
      <w:r>
        <w:rPr>
          <w:noProof/>
        </w:rPr>
        <w:t>(</w:t>
      </w:r>
      <w:r>
        <w:t>near-)universal features of inscriptional orthography prevalent throughout South and Southeast Asia, or throughout a particular region, including but not limited to:</w:t>
      </w:r>
    </w:p>
    <w:p w14:paraId="6C175D58" w14:textId="77777777">
      <w:pPr>
        <w:pStyle w:val="Lista2"/>
      </w:pPr>
      <w:r>
        <w:t xml:space="preserve">the doubling of plosives, nasals and glides after an </w:t>
      </w:r>
      <w:r>
        <w:rPr>
          <w:rStyle w:val="Foreign"/>
        </w:rPr>
        <w:t>r</w:t>
      </w:r>
      <w:r>
        <w:t xml:space="preserve"> </w:t>
      </w:r>
      <w:r>
        <w:rPr>
          <w:noProof/>
        </w:rPr>
        <w:t>(</w:t>
      </w:r>
      <w:r>
        <w:t xml:space="preserve">e.g. </w:t>
      </w:r>
      <w:r>
        <w:rPr>
          <w:rStyle w:val="Foreign"/>
        </w:rPr>
        <w:t>dharmma</w:t>
      </w:r>
      <w:r>
        <w:t xml:space="preserve"> for </w:t>
      </w:r>
      <w:r>
        <w:rPr>
          <w:rStyle w:val="Foreign"/>
        </w:rPr>
        <w:t>dharma</w:t>
      </w:r>
      <w:r>
        <w:t>)</w:t>
      </w:r>
    </w:p>
    <w:p w14:paraId="5764FA85" w14:textId="77777777">
      <w:pPr>
        <w:pStyle w:val="Lista2"/>
      </w:pPr>
      <w:r>
        <w:t xml:space="preserve">the use of an </w:t>
      </w:r>
      <w:r>
        <w:rPr>
          <w:rStyle w:val="Foreign"/>
        </w:rPr>
        <w:t>anusvāra</w:t>
      </w:r>
      <w:r>
        <w:t xml:space="preserve"> instead of the class nasal or vice versa </w:t>
      </w:r>
      <w:r>
        <w:rPr>
          <w:noProof/>
        </w:rPr>
        <w:t>(</w:t>
      </w:r>
      <w:r>
        <w:t xml:space="preserve">e.g. </w:t>
      </w:r>
      <w:r>
        <w:rPr>
          <w:rStyle w:val="Foreign"/>
        </w:rPr>
        <w:t>maṁtra</w:t>
      </w:r>
      <w:r>
        <w:t xml:space="preserve"> for </w:t>
      </w:r>
      <w:r>
        <w:rPr>
          <w:rStyle w:val="Foreign"/>
        </w:rPr>
        <w:t>mantra</w:t>
      </w:r>
      <w:r>
        <w:t>)</w:t>
      </w:r>
    </w:p>
    <w:p w14:paraId="57EB9C67" w14:textId="77777777">
      <w:pPr>
        <w:pStyle w:val="Lista3"/>
      </w:pPr>
      <w:r>
        <w:t xml:space="preserve">including final positions (e.g. </w:t>
      </w:r>
      <w:r>
        <w:rPr>
          <w:rStyle w:val="Foreign"/>
        </w:rPr>
        <w:t>kin tu</w:t>
      </w:r>
      <w:r>
        <w:t xml:space="preserve"> for </w:t>
      </w:r>
      <w:r>
        <w:rPr>
          <w:rStyle w:val="Foreign"/>
        </w:rPr>
        <w:t>kiṁ tu</w:t>
      </w:r>
      <w:r>
        <w:t xml:space="preserve"> as well as </w:t>
      </w:r>
      <w:r>
        <w:rPr>
          <w:rStyle w:val="Foreign"/>
        </w:rPr>
        <w:t>tathoktaṁ|</w:t>
      </w:r>
      <w:r>
        <w:t xml:space="preserve"> for </w:t>
      </w:r>
      <w:r>
        <w:rPr>
          <w:rStyle w:val="Foreign"/>
        </w:rPr>
        <w:t>tathoktaM|</w:t>
      </w:r>
      <w:r>
        <w:t>)</w:t>
      </w:r>
    </w:p>
    <w:p w14:paraId="04DBFE54" w14:textId="3A729487">
      <w:pPr>
        <w:pStyle w:val="Lista2"/>
      </w:pPr>
      <w:r>
        <w:t>the use of hiatus (often deliberately to imply a pause) where sandhi would be expected by modern standards</w:t>
      </w:r>
    </w:p>
    <w:p w14:paraId="06B88701" w14:textId="77777777">
      <w:pPr>
        <w:pStyle w:val="Lista"/>
      </w:pPr>
      <w:r>
        <w:t>in Old Javanese, it is recommended that you ignore the following kinds of anomalies unless they create ambiguity:</w:t>
      </w:r>
    </w:p>
    <w:p w14:paraId="701FE476" w14:textId="77777777">
      <w:pPr>
        <w:pStyle w:val="Lista2"/>
      </w:pPr>
      <w:r>
        <w:t xml:space="preserve">spelling of long </w:t>
      </w:r>
      <w:r>
        <w:rPr>
          <w:rStyle w:val="Foreign"/>
        </w:rPr>
        <w:t>pepet</w:t>
      </w:r>
      <w:r>
        <w:t xml:space="preserve"> with </w:t>
      </w:r>
      <w:r>
        <w:rPr>
          <w:rStyle w:val="Foreign"/>
        </w:rPr>
        <w:t>ə</w:t>
      </w:r>
      <w:r>
        <w:t xml:space="preserve"> plus length mark (to be transliterated as </w:t>
      </w:r>
      <w:r>
        <w:rPr>
          <w:rStyle w:val="Foreign"/>
        </w:rPr>
        <w:t>ə:</w:t>
      </w:r>
      <w:r>
        <w:t xml:space="preserve"> as per TG §4.1.7</w:t>
      </w:r>
    </w:p>
    <w:p w14:paraId="128C7E6D" w14:textId="77777777">
      <w:pPr>
        <w:pStyle w:val="Lista2"/>
      </w:pPr>
      <w:r>
        <w:t xml:space="preserve">use of </w:t>
      </w:r>
      <w:r>
        <w:rPr>
          <w:rStyle w:val="Foreign"/>
        </w:rPr>
        <w:t>R̥</w:t>
      </w:r>
      <w:r>
        <w:t xml:space="preserve"> or </w:t>
      </w:r>
      <w:r>
        <w:rPr>
          <w:rStyle w:val="Foreign"/>
        </w:rPr>
        <w:t>L̥</w:t>
      </w:r>
      <w:r>
        <w:t xml:space="preserve"> </w:t>
      </w:r>
      <w:r>
        <w:rPr>
          <w:noProof/>
        </w:rPr>
        <w:t>(</w:t>
      </w:r>
      <w:r>
        <w:t xml:space="preserve">and </w:t>
      </w:r>
      <w:r>
        <w:rPr>
          <w:rStyle w:val="Foreign"/>
        </w:rPr>
        <w:t>R̥̄</w:t>
      </w:r>
      <w:r>
        <w:t xml:space="preserve"> or </w:t>
      </w:r>
      <w:r>
        <w:rPr>
          <w:rStyle w:val="Foreign"/>
        </w:rPr>
        <w:t>L̥̄</w:t>
      </w:r>
      <w:r>
        <w:t xml:space="preserve">) in words whose dictionary spelling has </w:t>
      </w:r>
      <w:r>
        <w:rPr>
          <w:rStyle w:val="Foreign"/>
        </w:rPr>
        <w:t>rə</w:t>
      </w:r>
      <w:r>
        <w:t xml:space="preserve"> or </w:t>
      </w:r>
      <w:r>
        <w:rPr>
          <w:rStyle w:val="Foreign"/>
        </w:rPr>
        <w:t>lə</w:t>
      </w:r>
      <w:r>
        <w:t xml:space="preserve"> </w:t>
      </w:r>
      <w:r>
        <w:rPr>
          <w:noProof/>
        </w:rPr>
        <w:t>(</w:t>
      </w:r>
      <w:r>
        <w:t xml:space="preserve">or </w:t>
      </w:r>
      <w:r>
        <w:rPr>
          <w:rStyle w:val="Foreign"/>
        </w:rPr>
        <w:t>rə̄</w:t>
      </w:r>
      <w:r>
        <w:t xml:space="preserve"> or </w:t>
      </w:r>
      <w:r>
        <w:rPr>
          <w:rStyle w:val="Foreign"/>
        </w:rPr>
        <w:t>lə̄</w:t>
      </w:r>
      <w:r>
        <w:t>)</w:t>
      </w:r>
    </w:p>
    <w:p w14:paraId="32DAE34E" w14:textId="77777777">
      <w:pPr>
        <w:pStyle w:val="Lista"/>
      </w:pPr>
      <w:r>
        <w:t>in Old Khmer, it is recommended that you ignore the following kinds of anomalies unless they create ambiguity:</w:t>
      </w:r>
    </w:p>
    <w:p w14:paraId="124EFAA9" w14:textId="77777777">
      <w:pPr>
        <w:pStyle w:val="Lista2"/>
      </w:pPr>
      <w:r>
        <w:t xml:space="preserve">absence of </w:t>
      </w:r>
      <w:r>
        <w:rPr>
          <w:rStyle w:val="Foreign"/>
        </w:rPr>
        <w:t>virāma</w:t>
      </w:r>
    </w:p>
    <w:p w14:paraId="7AF2D844" w14:textId="77777777">
      <w:pPr>
        <w:pStyle w:val="Lista2"/>
      </w:pPr>
      <w:r>
        <w:t xml:space="preserve">representation of final consonant </w:t>
      </w:r>
      <w:r>
        <w:rPr>
          <w:rStyle w:val="Foreign"/>
        </w:rPr>
        <w:t>C</w:t>
      </w:r>
      <w:r>
        <w:t xml:space="preserve"> by the spelling </w:t>
      </w:r>
      <w:r>
        <w:rPr>
          <w:rStyle w:val="Foreign"/>
        </w:rPr>
        <w:t>CCa</w:t>
      </w:r>
      <w:r>
        <w:t xml:space="preserve">, including final /h/ represented as </w:t>
      </w:r>
      <w:r>
        <w:rPr>
          <w:rStyle w:val="Foreign"/>
        </w:rPr>
        <w:t>ḥha</w:t>
      </w:r>
    </w:p>
    <w:p w14:paraId="515FB5B8" w14:textId="77777777">
      <w:pPr>
        <w:pStyle w:val="Lista"/>
      </w:pPr>
      <w:r>
        <w:t>grammatical laxity may in general be ignored, especially in complex constructions such as subordinate clauses, long compounds or compound-like structures, and very long “sentences” encompassing multiple topics and/or stanzas</w:t>
      </w:r>
    </w:p>
    <w:p w14:paraId="5FCB27FD" w14:textId="77777777">
      <w:pPr>
        <w:pStyle w:val="Lista2"/>
      </w:pPr>
      <w:r>
        <w:lastRenderedPageBreak/>
        <w:t xml:space="preserve">we see no advantage in attempting </w:t>
      </w:r>
      <w:r>
        <w:rPr>
          <w:lang w:eastAsia="en-US" w:bidi="ar-SA"/>
        </w:rPr>
        <w:t>to force a source document into conforming to canons which, even if they exist for the language in question, may not have been known or perceived as binding by the document’s composer</w:t>
      </w:r>
    </w:p>
    <w:p w14:paraId="0FC9EE14" w14:textId="77777777">
      <w:pPr>
        <w:pStyle w:val="Lista2"/>
      </w:pPr>
      <w:r>
        <w:rPr>
          <w:lang w:eastAsia="en-US" w:bidi="ar-SA"/>
        </w:rPr>
        <w:t>in particular, normalisation to high standards should be avoided if doing so requires altering or reorganising a  stretch of text longer than a word or two</w:t>
      </w:r>
    </w:p>
    <w:p w14:paraId="50BF2E96" w14:textId="77777777">
      <w:pPr>
        <w:pStyle w:val="Lista"/>
      </w:pPr>
      <w:r>
        <w:t>scribal mistakes you deem to be completely insignificant and entirely transparent may be ignored at your discretion</w:t>
      </w:r>
    </w:p>
    <w:p w14:paraId="516B089B" w14:textId="77777777">
      <w:pPr>
        <w:pStyle w:val="Cmsor2"/>
      </w:pPr>
      <w:bookmarkStart w:id="628" w:name="_Ref228868281"/>
      <w:bookmarkStart w:id="629" w:name="_Ref228872759"/>
      <w:bookmarkStart w:id="630" w:name="_Toc242889539"/>
      <w:r>
        <w:t>Flag</w:t>
      </w:r>
      <w:bookmarkEnd w:id="628"/>
      <w:r>
        <w:t>ging anomalous readings</w:t>
      </w:r>
      <w:bookmarkEnd w:id="629"/>
      <w:bookmarkEnd w:id="630"/>
    </w:p>
    <w:p w14:paraId="12361387" w14:textId="77777777">
      <w:r>
        <w:t xml:space="preserve">Flagging reading as linguistically anomalous without rectifying it serves two purposes: it highlights unexpected text for the reader’s attention, and it makes it clear to the reader that the unexpected text is not your editorial mistake. </w:t>
      </w:r>
    </w:p>
    <w:p w14:paraId="3F97E721" w14:textId="5DFF1F09">
      <w:pPr>
        <w:pStyle w:val="Lista"/>
      </w:pPr>
      <w:r>
        <w:t>flagging without rectification is recommended for scribal errors and unintelligible text only if you cannot propose a single confident correction (tentative or alternative corrections may be discussed in an apparatus note, §</w:t>
      </w:r>
      <w:r>
        <w:fldChar w:fldCharType="begin"/>
      </w:r>
      <w:r>
        <w:instrText xml:space="preserve"> REF _Ref43988104 \w \h  \* MERGEFORMAT </w:instrText>
      </w:r>
      <w:r>
        <w:fldChar w:fldCharType="separate"/>
      </w:r>
      <w:r>
        <w:t>10.7</w:t>
      </w:r>
      <w:r>
        <w:fldChar w:fldCharType="end"/>
      </w:r>
      <w:r>
        <w:t>), or if a mistake is entirely transparent</w:t>
      </w:r>
    </w:p>
    <w:p w14:paraId="418AA299" w14:textId="77777777">
      <w:pPr>
        <w:pStyle w:val="Lista"/>
      </w:pPr>
      <w:r>
        <w:t xml:space="preserve">flagging without rectification is recommended for non-standard orthography that is common but not quite universal, such as </w:t>
      </w:r>
    </w:p>
    <w:p w14:paraId="7E8C979A" w14:textId="77777777">
      <w:pPr>
        <w:pStyle w:val="Lista2"/>
      </w:pPr>
      <w:r>
        <w:t xml:space="preserve">the doubling of consonants in certain conjuncts that do not begin with </w:t>
      </w:r>
      <w:r>
        <w:rPr>
          <w:rStyle w:val="Foreign"/>
        </w:rPr>
        <w:t>r</w:t>
      </w:r>
      <w:r>
        <w:t xml:space="preserve"> </w:t>
      </w:r>
      <w:r>
        <w:rPr>
          <w:noProof/>
        </w:rPr>
        <w:t>(</w:t>
      </w:r>
      <w:r>
        <w:t xml:space="preserve">e.g. </w:t>
      </w:r>
      <w:r>
        <w:rPr>
          <w:rStyle w:val="Foreign"/>
        </w:rPr>
        <w:t>puttra</w:t>
      </w:r>
      <w:r>
        <w:t xml:space="preserve"> for </w:t>
      </w:r>
      <w:r>
        <w:rPr>
          <w:rStyle w:val="Foreign"/>
        </w:rPr>
        <w:t>putra</w:t>
      </w:r>
      <w:r>
        <w:t xml:space="preserve">; </w:t>
      </w:r>
      <w:r>
        <w:rPr>
          <w:rStyle w:val="Foreign"/>
        </w:rPr>
        <w:t>sattya</w:t>
      </w:r>
      <w:r>
        <w:t xml:space="preserve"> for </w:t>
      </w:r>
      <w:r>
        <w:rPr>
          <w:rStyle w:val="Foreign"/>
        </w:rPr>
        <w:t>satya</w:t>
      </w:r>
      <w:r>
        <w:t>)</w:t>
      </w:r>
    </w:p>
    <w:p w14:paraId="72A0EED8" w14:textId="77777777">
      <w:pPr>
        <w:pStyle w:val="Lista2"/>
      </w:pPr>
      <w:r>
        <w:t xml:space="preserve">the exchange of a consonant for a phonetically similar one </w:t>
      </w:r>
      <w:r>
        <w:rPr>
          <w:noProof/>
        </w:rPr>
        <w:t>(</w:t>
      </w:r>
      <w:r>
        <w:t xml:space="preserve">e.g. </w:t>
      </w:r>
      <w:r>
        <w:rPr>
          <w:rStyle w:val="Foreign"/>
        </w:rPr>
        <w:t>muṇi</w:t>
      </w:r>
      <w:r>
        <w:t xml:space="preserve"> for </w:t>
      </w:r>
      <w:r>
        <w:rPr>
          <w:rStyle w:val="Foreign"/>
        </w:rPr>
        <w:t>muni</w:t>
      </w:r>
      <w:r>
        <w:t>)</w:t>
      </w:r>
    </w:p>
    <w:p w14:paraId="22F7D712" w14:textId="77777777">
      <w:pPr>
        <w:pStyle w:val="Lista2"/>
      </w:pPr>
      <w:r>
        <w:t xml:space="preserve">infidelity to the correct length of vowels in words borrowed from Sanskrit, in languages where inconsistency in spelling of vowel-length is rampant </w:t>
      </w:r>
      <w:r>
        <w:rPr>
          <w:noProof/>
        </w:rPr>
        <w:t>(</w:t>
      </w:r>
      <w:r>
        <w:t xml:space="preserve">e.g. </w:t>
      </w:r>
      <w:r>
        <w:rPr>
          <w:rStyle w:val="Foreign"/>
        </w:rPr>
        <w:t>bhima</w:t>
      </w:r>
      <w:r>
        <w:t xml:space="preserve"> for </w:t>
      </w:r>
      <w:r>
        <w:rPr>
          <w:rStyle w:val="Foreign"/>
        </w:rPr>
        <w:t>bhīma</w:t>
      </w:r>
      <w:r>
        <w:t>)</w:t>
      </w:r>
    </w:p>
    <w:p w14:paraId="19029818" w14:textId="77777777">
      <w:pPr>
        <w:pStyle w:val="Lista"/>
      </w:pPr>
      <w:r>
        <w:t>flagging without rectification is recommended for non-standard language use that is common in a given subcorpus or text, such as</w:t>
      </w:r>
    </w:p>
    <w:p w14:paraId="1391A04C" w14:textId="77777777">
      <w:pPr>
        <w:pStyle w:val="Lista2"/>
      </w:pPr>
      <w:r>
        <w:t xml:space="preserve">non-standard or substandard grammar </w:t>
      </w:r>
      <w:r>
        <w:rPr>
          <w:noProof/>
        </w:rPr>
        <w:t>(</w:t>
      </w:r>
      <w:r>
        <w:t xml:space="preserve">e.g. </w:t>
      </w:r>
      <w:r>
        <w:rPr>
          <w:rStyle w:val="Foreign"/>
        </w:rPr>
        <w:t>rājasya</w:t>
      </w:r>
      <w:r>
        <w:t xml:space="preserve"> for </w:t>
      </w:r>
      <w:r>
        <w:rPr>
          <w:rStyle w:val="Foreign"/>
        </w:rPr>
        <w:t>rājñaḥ</w:t>
      </w:r>
      <w:r>
        <w:t xml:space="preserve">; </w:t>
      </w:r>
      <w:r>
        <w:rPr>
          <w:rStyle w:val="Foreign"/>
        </w:rPr>
        <w:t>kr̥tedam</w:t>
      </w:r>
      <w:r>
        <w:t xml:space="preserve"> for </w:t>
      </w:r>
      <w:r>
        <w:rPr>
          <w:rStyle w:val="Foreign"/>
        </w:rPr>
        <w:t>kr̥tam idam</w:t>
      </w:r>
      <w:r>
        <w:t xml:space="preserve">; </w:t>
      </w:r>
      <w:r>
        <w:rPr>
          <w:rStyle w:val="Foreign"/>
        </w:rPr>
        <w:t>sā gataḥ</w:t>
      </w:r>
      <w:r>
        <w:t xml:space="preserve"> for </w:t>
      </w:r>
      <w:r>
        <w:rPr>
          <w:rStyle w:val="Foreign"/>
        </w:rPr>
        <w:t>sā gatā</w:t>
      </w:r>
      <w:r>
        <w:t>)</w:t>
      </w:r>
    </w:p>
    <w:p w14:paraId="54BF3356" w14:textId="77777777">
      <w:pPr>
        <w:pStyle w:val="Lista2"/>
      </w:pPr>
      <w:r>
        <w:t xml:space="preserve">non-standard sandhi </w:t>
      </w:r>
      <w:r>
        <w:rPr>
          <w:noProof/>
        </w:rPr>
        <w:t>(</w:t>
      </w:r>
      <w:r>
        <w:t xml:space="preserve">e.g. </w:t>
      </w:r>
      <w:r>
        <w:rPr>
          <w:rStyle w:val="Foreign"/>
        </w:rPr>
        <w:t>anugrahāya-m udaka-pūrvveṇa</w:t>
      </w:r>
      <w:r>
        <w:t xml:space="preserve">; </w:t>
      </w:r>
      <w:r>
        <w:rPr>
          <w:rStyle w:val="Foreign"/>
        </w:rPr>
        <w:t>paṁca-s-triṁśottaratame</w:t>
      </w:r>
      <w:r>
        <w:t>)</w:t>
      </w:r>
    </w:p>
    <w:p w14:paraId="46215F21" w14:textId="77777777">
      <w:pPr>
        <w:pStyle w:val="Lista2"/>
      </w:pPr>
      <w:r>
        <w:t xml:space="preserve">hyper-Sanskritisation </w:t>
      </w:r>
      <w:r>
        <w:rPr>
          <w:noProof/>
        </w:rPr>
        <w:t>(</w:t>
      </w:r>
      <w:r>
        <w:t xml:space="preserve">e.g. </w:t>
      </w:r>
      <w:r>
        <w:rPr>
          <w:rStyle w:val="Foreign"/>
        </w:rPr>
        <w:t>prārk</w:t>
      </w:r>
      <w:r>
        <w:t xml:space="preserve"> instead of </w:t>
      </w:r>
      <w:r>
        <w:rPr>
          <w:rStyle w:val="Foreign"/>
        </w:rPr>
        <w:t>prāk</w:t>
      </w:r>
      <w:r>
        <w:t xml:space="preserve">, </w:t>
      </w:r>
      <w:r>
        <w:rPr>
          <w:rStyle w:val="Foreign"/>
        </w:rPr>
        <w:t>śrāpa</w:t>
      </w:r>
      <w:r>
        <w:t xml:space="preserve"> instead of </w:t>
      </w:r>
      <w:r>
        <w:rPr>
          <w:rStyle w:val="Foreign"/>
        </w:rPr>
        <w:t>śāpa</w:t>
      </w:r>
      <w:r>
        <w:t>)</w:t>
      </w:r>
    </w:p>
    <w:p w14:paraId="094B5C9E" w14:textId="77777777">
      <w:pPr>
        <w:pStyle w:val="Cmsor3"/>
      </w:pPr>
      <w:bookmarkStart w:id="631" w:name="_Toc242889540"/>
      <w:r>
        <w:t xml:space="preserve">Flagging erroneous and uninterpretable </w:t>
      </w:r>
      <w:bookmarkEnd w:id="624"/>
      <w:r>
        <w:t>readings</w:t>
      </w:r>
      <w:bookmarkEnd w:id="631"/>
    </w:p>
    <w:p w14:paraId="2B2CD4E5" w14:textId="77777777">
      <w:pPr>
        <w:pStyle w:val="Lista"/>
      </w:pPr>
      <w:r>
        <w:t xml:space="preserve">to flag a reading deemed erroneous or unintelligible, wrap it in the element </w:t>
      </w:r>
      <w:r>
        <w:rPr>
          <w:rStyle w:val="Code"/>
        </w:rPr>
        <w:t>&lt;sic&gt;</w:t>
      </w:r>
    </w:p>
    <w:p w14:paraId="71F01135" w14:textId="77777777">
      <w:pPr>
        <w:pStyle w:val="Lista2"/>
      </w:pPr>
      <w:r>
        <w:t>this markup on its own is primarily for use on text that is legible but does not seem intelligible (i.e. for which no straightforward correction can be offered)</w:t>
      </w:r>
    </w:p>
    <w:p w14:paraId="21D10B0D" w14:textId="77777777">
      <w:pPr>
        <w:pStyle w:val="Lista3"/>
      </w:pPr>
      <w:r>
        <w:t xml:space="preserve">stretches of text which are uninterpretable on account of poor legibility do not require </w:t>
      </w:r>
      <w:r>
        <w:rPr>
          <w:rStyle w:val="Code"/>
        </w:rPr>
        <w:t>&lt;sic&gt;</w:t>
      </w:r>
      <w:r>
        <w:t xml:space="preserve">, but </w:t>
      </w:r>
      <w:r>
        <w:rPr>
          <w:rStyle w:val="Code"/>
        </w:rPr>
        <w:t>&lt;sic&gt;</w:t>
      </w:r>
      <w:r>
        <w:t xml:space="preserve"> may of course include markup for unclear readings and lacunae</w:t>
      </w:r>
    </w:p>
    <w:p w14:paraId="6BA1C1AB" w14:textId="77777777">
      <w:pPr>
        <w:pStyle w:val="Lista"/>
      </w:pPr>
      <w:r>
        <w:t>for example,</w:t>
      </w:r>
    </w:p>
    <w:p w14:paraId="378FB60E" w14:textId="77777777">
      <w:pPr>
        <w:pStyle w:val="Lista2"/>
      </w:pPr>
      <w:r>
        <w:t xml:space="preserve">a trivial scribal error flagged as such: </w:t>
      </w:r>
      <w:r>
        <w:rPr>
          <w:rStyle w:val="Codetext"/>
        </w:rPr>
        <w:t>mahār</w:t>
      </w:r>
      <w:r>
        <w:rPr>
          <w:rStyle w:val="Code"/>
        </w:rPr>
        <w:t>&lt;sic&gt;</w:t>
      </w:r>
      <w:r>
        <w:rPr>
          <w:rStyle w:val="Codetext"/>
        </w:rPr>
        <w:t>a</w:t>
      </w:r>
      <w:r>
        <w:rPr>
          <w:rStyle w:val="Code"/>
        </w:rPr>
        <w:t>&lt;/sic&gt;</w:t>
      </w:r>
      <w:r>
        <w:rPr>
          <w:rStyle w:val="Codetext"/>
        </w:rPr>
        <w:t>ja</w:t>
      </w:r>
      <w:r>
        <w:t xml:space="preserve"> </w:t>
      </w:r>
      <w:r>
        <w:rPr>
          <w:noProof/>
        </w:rPr>
        <w:t>(</w:t>
      </w:r>
      <w:r>
        <w:rPr>
          <w:rStyle w:val="Foreign"/>
        </w:rPr>
        <w:t>ā</w:t>
      </w:r>
      <w:r>
        <w:t xml:space="preserve"> would be correct)</w:t>
      </w:r>
    </w:p>
    <w:p w14:paraId="1F481785" w14:textId="77777777">
      <w:pPr>
        <w:pStyle w:val="Lista2"/>
      </w:pPr>
      <w:r>
        <w:t xml:space="preserve">an unintelligible phrase flagged as such: </w:t>
      </w:r>
      <w:r>
        <w:rPr>
          <w:rStyle w:val="Code"/>
        </w:rPr>
        <w:t>&lt;sic&gt;</w:t>
      </w:r>
      <w:r>
        <w:rPr>
          <w:rStyle w:val="Codetext"/>
        </w:rPr>
        <w:t>marnta kali-kulanām</w:t>
      </w:r>
      <w:r>
        <w:rPr>
          <w:rStyle w:val="Code"/>
        </w:rPr>
        <w:t>&lt;/sic&gt;</w:t>
      </w:r>
      <w:r>
        <w:t xml:space="preserve"> </w:t>
      </w:r>
    </w:p>
    <w:p w14:paraId="2BBB1A64" w14:textId="77777777">
      <w:pPr>
        <w:pStyle w:val="Cmsor3"/>
      </w:pPr>
      <w:bookmarkStart w:id="632" w:name="_wc8w2ovzvy8k" w:colFirst="0" w:colLast="0"/>
      <w:bookmarkStart w:id="633" w:name="_Ref43981422"/>
      <w:bookmarkStart w:id="634" w:name="_Ref228886903"/>
      <w:bookmarkStart w:id="635" w:name="_Ref43988258"/>
      <w:bookmarkStart w:id="636" w:name="_Toc242889541"/>
      <w:bookmarkEnd w:id="632"/>
      <w:r>
        <w:t xml:space="preserve">Flagging non-standard </w:t>
      </w:r>
      <w:bookmarkEnd w:id="633"/>
      <w:r>
        <w:t>readings</w:t>
      </w:r>
      <w:bookmarkEnd w:id="634"/>
      <w:bookmarkEnd w:id="636"/>
    </w:p>
    <w:p w14:paraId="43F03656" w14:textId="77777777">
      <w:pPr>
        <w:pStyle w:val="Lista"/>
      </w:pPr>
      <w:r>
        <w:t xml:space="preserve">to flag a reading deemed non-standard but intelligible, wrap it in the element </w:t>
      </w:r>
      <w:r>
        <w:rPr>
          <w:rStyle w:val="Code"/>
        </w:rPr>
        <w:t>&lt;orig&gt;</w:t>
      </w:r>
    </w:p>
    <w:p w14:paraId="71614A12" w14:textId="77777777">
      <w:pPr>
        <w:pStyle w:val="Lista"/>
      </w:pPr>
      <w:r>
        <w:t>for example,</w:t>
      </w:r>
    </w:p>
    <w:p w14:paraId="3C6383A9" w14:textId="77777777">
      <w:pPr>
        <w:pStyle w:val="Lista2"/>
      </w:pPr>
      <w:r>
        <w:t>a non-standard (</w:t>
      </w:r>
      <w:r>
        <w:rPr>
          <w:rStyle w:val="Foreign"/>
        </w:rPr>
        <w:t>tadbhava</w:t>
      </w:r>
      <w:r>
        <w:t xml:space="preserve">) word form in Sanskrit text: </w:t>
      </w:r>
      <w:r>
        <w:rPr>
          <w:rStyle w:val="Codetext"/>
        </w:rPr>
        <w:t xml:space="preserve">dine </w:t>
      </w:r>
      <w:r>
        <w:rPr>
          <w:rStyle w:val="Code"/>
        </w:rPr>
        <w:t>&lt;orig&gt;</w:t>
      </w:r>
      <w:r>
        <w:rPr>
          <w:rStyle w:val="Codetext"/>
        </w:rPr>
        <w:t>Āśvoja</w:t>
      </w:r>
      <w:r>
        <w:rPr>
          <w:rStyle w:val="Code"/>
        </w:rPr>
        <w:t>&lt;/orig&gt;</w:t>
      </w:r>
      <w:r>
        <w:rPr>
          <w:rStyle w:val="Codetext"/>
        </w:rPr>
        <w:t>-śuklasya</w:t>
      </w:r>
      <w:r>
        <w:t xml:space="preserve"> </w:t>
      </w:r>
      <w:r>
        <w:rPr>
          <w:noProof/>
        </w:rPr>
        <w:t>(</w:t>
      </w:r>
      <w:r>
        <w:rPr>
          <w:rStyle w:val="Foreign"/>
        </w:rPr>
        <w:t>Āśvayuja</w:t>
      </w:r>
      <w:r>
        <w:t xml:space="preserve"> or </w:t>
      </w:r>
      <w:r>
        <w:rPr>
          <w:rStyle w:val="Foreign"/>
        </w:rPr>
        <w:t>’śvayuja</w:t>
      </w:r>
      <w:r>
        <w:t xml:space="preserve"> is expected)</w:t>
      </w:r>
    </w:p>
    <w:p w14:paraId="50BEAC41" w14:textId="77777777">
      <w:pPr>
        <w:pStyle w:val="Lista2"/>
      </w:pPr>
      <w:r>
        <w:t xml:space="preserve">a non-standard or substandard spelling: </w:t>
      </w:r>
      <w:r>
        <w:rPr>
          <w:rStyle w:val="Codetext"/>
        </w:rPr>
        <w:t>sahasrā</w:t>
      </w:r>
      <w:r>
        <w:rPr>
          <w:rStyle w:val="Code"/>
        </w:rPr>
        <w:t>&lt;orig&gt;</w:t>
      </w:r>
      <w:r>
        <w:rPr>
          <w:rStyle w:val="Codetext"/>
        </w:rPr>
        <w:t>n</w:t>
      </w:r>
      <w:r>
        <w:rPr>
          <w:rStyle w:val="Code"/>
        </w:rPr>
        <w:t>&lt;/orig&gt;</w:t>
      </w:r>
      <w:r>
        <w:rPr>
          <w:rStyle w:val="Codetext"/>
        </w:rPr>
        <w:t>i</w:t>
      </w:r>
      <w:r>
        <w:t xml:space="preserve"> </w:t>
      </w:r>
      <w:r>
        <w:rPr>
          <w:noProof/>
        </w:rPr>
        <w:t>(</w:t>
      </w:r>
      <w:r>
        <w:rPr>
          <w:rStyle w:val="Foreign"/>
        </w:rPr>
        <w:t>sahasrāṇi</w:t>
      </w:r>
      <w:r>
        <w:t xml:space="preserve"> is expected)</w:t>
      </w:r>
    </w:p>
    <w:p w14:paraId="3DE32CDA" w14:textId="2BCD0DF7">
      <w:pPr>
        <w:pStyle w:val="Cmsor2"/>
      </w:pPr>
      <w:bookmarkStart w:id="637" w:name="_Ref228872858"/>
      <w:bookmarkStart w:id="638" w:name="_Toc242889542"/>
      <w:bookmarkEnd w:id="635"/>
      <w:r>
        <w:lastRenderedPageBreak/>
        <w:t>Rectifying anomalous readings</w:t>
      </w:r>
      <w:bookmarkEnd w:id="637"/>
      <w:bookmarkEnd w:id="638"/>
    </w:p>
    <w:p w14:paraId="4F3C8EF8" w14:textId="77777777">
      <w:r>
        <w:rPr>
          <w:lang w:eastAsia="en-US" w:bidi="ar-SA"/>
        </w:rPr>
        <w:t>Rectifying a linguistically anomalous reading means providing an editorial alternative for the anomalous reading, i.e. correcting or normalising it. Rectifying a reading rather than merely flagging it serves useful purposes. On the one hand, it</w:t>
      </w:r>
      <w:r>
        <w:t xml:space="preserve"> helps readers understand the text and makes your interpretation of it explicit. On the other hand, it facilitates searching texts by ensuring that the expected form is present in the XML file and can thus be returned as a match for queries even if the received text differs from the expected.</w:t>
      </w:r>
    </w:p>
    <w:p w14:paraId="6145AFE3" w14:textId="0D0868C7">
      <w:pPr>
        <w:pStyle w:val="Normlbehzs"/>
      </w:pPr>
      <w:r>
        <w:t xml:space="preserve">Anomalous language can be restituted by any combination of three actions, as illustrated in </w:t>
      </w:r>
      <w:r>
        <w:fldChar w:fldCharType="begin"/>
      </w:r>
      <w:r>
        <w:instrText xml:space="preserve"> REF _Ref229056027 \h </w:instrText>
      </w:r>
      <w:r>
        <w:fldChar w:fldCharType="separate"/>
      </w:r>
      <w:r>
        <w:t xml:space="preserve">Exhibit </w:t>
      </w:r>
      <w:r>
        <w:rPr>
          <w:noProof/>
        </w:rPr>
        <w:t>7.5</w:t>
      </w:r>
      <w:r>
        <w:t>.</w:t>
      </w:r>
      <w:r>
        <w:rPr>
          <w:noProof/>
        </w:rPr>
        <w:t>A</w:t>
      </w:r>
      <w:r>
        <w:fldChar w:fldCharType="end"/>
      </w:r>
      <w:r>
        <w:t xml:space="preserve"> — where the received reading </w:t>
      </w:r>
      <w:r>
        <w:rPr>
          <w:rStyle w:val="Foreign"/>
        </w:rPr>
        <w:t>surddha</w:t>
      </w:r>
      <w:r>
        <w:t xml:space="preserve"> is rectified into </w:t>
      </w:r>
      <w:r>
        <w:rPr>
          <w:rStyle w:val="Foreign"/>
        </w:rPr>
        <w:t>śuddhaḥ</w:t>
      </w:r>
      <w:r>
        <w:t xml:space="preserve"> — and detailed in the following subsections. Substitution (§</w:t>
      </w:r>
      <w:r>
        <w:fldChar w:fldCharType="begin"/>
      </w:r>
      <w:r>
        <w:instrText xml:space="preserve"> REF _Ref229057056 \r \h </w:instrText>
      </w:r>
      <w:r>
        <w:fldChar w:fldCharType="separate"/>
      </w:r>
      <w:r>
        <w:t>7.5.1</w:t>
      </w:r>
      <w:r>
        <w:fldChar w:fldCharType="end"/>
      </w:r>
      <w:r>
        <w:t>) is when the received reading is replaced by the editor with a rectified reading. Suppression (§</w:t>
      </w:r>
      <w:r>
        <w:fldChar w:fldCharType="begin"/>
      </w:r>
      <w:r>
        <w:instrText xml:space="preserve"> REF _Ref229056282 \r \h </w:instrText>
      </w:r>
      <w:r>
        <w:fldChar w:fldCharType="separate"/>
      </w:r>
      <w:r>
        <w:t>7.5.2</w:t>
      </w:r>
      <w:r>
        <w:fldChar w:fldCharType="end"/>
      </w:r>
      <w:r>
        <w:t>) is when part of the received reading is deemed superfluous and deleted by the editor. Restitution (§</w:t>
      </w:r>
      <w:r>
        <w:fldChar w:fldCharType="begin"/>
      </w:r>
      <w:r>
        <w:instrText xml:space="preserve"> REF _Ref229056324 \r \h </w:instrText>
      </w:r>
      <w:r>
        <w:fldChar w:fldCharType="separate"/>
      </w:r>
      <w:r>
        <w:t>7.5.3</w:t>
      </w:r>
      <w:r>
        <w:fldChar w:fldCharType="end"/>
      </w:r>
      <w:r>
        <w:t>), also called suppletion, is when the editor adds something to the received reading.</w:t>
      </w:r>
    </w:p>
    <w:p w14:paraId="4979719A" w14:textId="77777777"/>
    <w:tbl>
      <w:tblPr>
        <w:tblStyle w:val="FigureTable"/>
        <w:tblW w:w="0" w:type="auto"/>
        <w:tblLook w:val="04A0" w:firstRow="1" w:lastRow="0" w:firstColumn="1" w:lastColumn="0" w:noHBand="0" w:noVBand="1"/>
      </w:tblPr>
      <w:tblGrid>
        <w:gridCol w:w="1203"/>
        <w:gridCol w:w="1203"/>
        <w:gridCol w:w="1203"/>
        <w:gridCol w:w="1203"/>
        <w:gridCol w:w="1204"/>
        <w:gridCol w:w="1204"/>
        <w:gridCol w:w="1204"/>
        <w:gridCol w:w="1204"/>
      </w:tblGrid>
      <w:tr w14:paraId="7720C0AD" w14:textId="77777777">
        <w:trPr>
          <w:cnfStyle w:val="100000000000" w:firstRow="1" w:lastRow="0" w:firstColumn="0" w:lastColumn="0" w:oddVBand="0" w:evenVBand="0" w:oddHBand="0" w:evenHBand="0" w:firstRowFirstColumn="0" w:firstRowLastColumn="0" w:lastRowFirstColumn="0" w:lastRowLastColumn="0"/>
        </w:trPr>
        <w:tc>
          <w:tcPr>
            <w:tcW w:w="9628" w:type="dxa"/>
            <w:gridSpan w:val="8"/>
            <w:tcBorders>
              <w:bottom w:val="single" w:sz="4" w:space="0" w:color="auto"/>
            </w:tcBorders>
          </w:tcPr>
          <w:p w14:paraId="53080E7D" w14:textId="792ADB8F">
            <w:pPr>
              <w:pStyle w:val="Kpalrs"/>
            </w:pPr>
            <w:bookmarkStart w:id="639" w:name="_Ref229056027"/>
            <w:r>
              <w:t xml:space="preserve">Exhibit </w:t>
            </w:r>
            <w:fldSimple w:instr=" STYLEREF 2 \s ">
              <w:r>
                <w:rPr>
                  <w:noProof/>
                </w:rPr>
                <w:t>7.5</w:t>
              </w:r>
            </w:fldSimple>
            <w:r>
              <w:t>.</w:t>
            </w:r>
            <w:fldSimple w:instr=" SEQ Exhibit \* ALPHABETIC \s 2 ">
              <w:r>
                <w:rPr>
                  <w:noProof/>
                </w:rPr>
                <w:t>A</w:t>
              </w:r>
            </w:fldSimple>
            <w:bookmarkEnd w:id="639"/>
            <w:r>
              <w:t>: editorial rectification of anomalous language</w:t>
            </w:r>
          </w:p>
        </w:tc>
      </w:tr>
      <w:tr w14:paraId="5A0E62F8" w14:textId="77777777">
        <w:tc>
          <w:tcPr>
            <w:tcW w:w="1203" w:type="dxa"/>
            <w:tcBorders>
              <w:bottom w:val="nil"/>
              <w:right w:val="single" w:sz="4" w:space="0" w:color="auto"/>
            </w:tcBorders>
            <w:shd w:val="clear" w:color="auto" w:fill="F0F7D7"/>
          </w:tcPr>
          <w:p w14:paraId="3E8CA2EF" w14:textId="77777777">
            <w:pPr>
              <w:keepNext/>
              <w:keepLines/>
              <w:jc w:val="right"/>
              <w:rPr>
                <w:sz w:val="18"/>
                <w:szCs w:val="18"/>
              </w:rPr>
            </w:pPr>
            <w:r>
              <w:rPr>
                <w:sz w:val="18"/>
                <w:szCs w:val="18"/>
              </w:rPr>
              <w:t>received text:</w:t>
            </w:r>
          </w:p>
        </w:tc>
        <w:tc>
          <w:tcPr>
            <w:tcW w:w="1203" w:type="dxa"/>
            <w:tcBorders>
              <w:left w:val="single" w:sz="4" w:space="0" w:color="auto"/>
              <w:bottom w:val="nil"/>
              <w:right w:val="single" w:sz="4" w:space="0" w:color="auto"/>
            </w:tcBorders>
          </w:tcPr>
          <w:p w14:paraId="34538EDB" w14:textId="77777777">
            <w:pPr>
              <w:keepNext/>
              <w:keepLines/>
              <w:jc w:val="center"/>
              <w:rPr>
                <w:sz w:val="28"/>
                <w:szCs w:val="28"/>
              </w:rPr>
            </w:pPr>
            <w:r>
              <w:rPr>
                <w:sz w:val="28"/>
                <w:szCs w:val="28"/>
              </w:rPr>
              <w:t>s</w:t>
            </w:r>
          </w:p>
        </w:tc>
        <w:tc>
          <w:tcPr>
            <w:tcW w:w="1203" w:type="dxa"/>
            <w:tcBorders>
              <w:left w:val="single" w:sz="4" w:space="0" w:color="auto"/>
              <w:bottom w:val="nil"/>
              <w:right w:val="single" w:sz="4" w:space="0" w:color="auto"/>
            </w:tcBorders>
          </w:tcPr>
          <w:p w14:paraId="049C2DD8" w14:textId="77777777">
            <w:pPr>
              <w:keepNext/>
              <w:keepLines/>
              <w:jc w:val="center"/>
              <w:rPr>
                <w:sz w:val="28"/>
                <w:szCs w:val="28"/>
              </w:rPr>
            </w:pPr>
            <w:r>
              <w:rPr>
                <w:sz w:val="28"/>
                <w:szCs w:val="28"/>
              </w:rPr>
              <w:t>u</w:t>
            </w:r>
          </w:p>
        </w:tc>
        <w:tc>
          <w:tcPr>
            <w:tcW w:w="1203" w:type="dxa"/>
            <w:tcBorders>
              <w:left w:val="single" w:sz="4" w:space="0" w:color="auto"/>
              <w:bottom w:val="nil"/>
              <w:right w:val="single" w:sz="4" w:space="0" w:color="auto"/>
            </w:tcBorders>
          </w:tcPr>
          <w:p w14:paraId="7697797A" w14:textId="77777777">
            <w:pPr>
              <w:keepNext/>
              <w:keepLines/>
              <w:jc w:val="center"/>
              <w:rPr>
                <w:sz w:val="28"/>
                <w:szCs w:val="28"/>
              </w:rPr>
            </w:pPr>
            <w:r>
              <w:rPr>
                <w:sz w:val="28"/>
                <w:szCs w:val="28"/>
              </w:rPr>
              <w:t>r</w:t>
            </w:r>
          </w:p>
        </w:tc>
        <w:tc>
          <w:tcPr>
            <w:tcW w:w="1204" w:type="dxa"/>
            <w:tcBorders>
              <w:left w:val="single" w:sz="4" w:space="0" w:color="auto"/>
              <w:bottom w:val="nil"/>
              <w:right w:val="single" w:sz="4" w:space="0" w:color="auto"/>
            </w:tcBorders>
          </w:tcPr>
          <w:p w14:paraId="2C1C3E80" w14:textId="77777777">
            <w:pPr>
              <w:keepNext/>
              <w:keepLines/>
              <w:jc w:val="center"/>
              <w:rPr>
                <w:sz w:val="28"/>
                <w:szCs w:val="28"/>
              </w:rPr>
            </w:pPr>
            <w:r>
              <w:rPr>
                <w:sz w:val="28"/>
                <w:szCs w:val="28"/>
              </w:rPr>
              <w:t>d</w:t>
            </w:r>
          </w:p>
        </w:tc>
        <w:tc>
          <w:tcPr>
            <w:tcW w:w="1204" w:type="dxa"/>
            <w:tcBorders>
              <w:left w:val="single" w:sz="4" w:space="0" w:color="auto"/>
              <w:bottom w:val="nil"/>
              <w:right w:val="single" w:sz="4" w:space="0" w:color="auto"/>
            </w:tcBorders>
          </w:tcPr>
          <w:p w14:paraId="52966DAB" w14:textId="77777777">
            <w:pPr>
              <w:keepNext/>
              <w:keepLines/>
              <w:jc w:val="center"/>
              <w:rPr>
                <w:sz w:val="28"/>
                <w:szCs w:val="28"/>
              </w:rPr>
            </w:pPr>
            <w:r>
              <w:rPr>
                <w:sz w:val="28"/>
                <w:szCs w:val="28"/>
              </w:rPr>
              <w:t>dh</w:t>
            </w:r>
          </w:p>
        </w:tc>
        <w:tc>
          <w:tcPr>
            <w:tcW w:w="1204" w:type="dxa"/>
            <w:tcBorders>
              <w:left w:val="single" w:sz="4" w:space="0" w:color="auto"/>
              <w:bottom w:val="nil"/>
              <w:right w:val="single" w:sz="4" w:space="0" w:color="auto"/>
            </w:tcBorders>
          </w:tcPr>
          <w:p w14:paraId="6FFA29A9" w14:textId="77777777">
            <w:pPr>
              <w:keepNext/>
              <w:keepLines/>
              <w:jc w:val="center"/>
              <w:rPr>
                <w:sz w:val="28"/>
                <w:szCs w:val="28"/>
              </w:rPr>
            </w:pPr>
            <w:r>
              <w:rPr>
                <w:sz w:val="28"/>
                <w:szCs w:val="28"/>
              </w:rPr>
              <w:t>a</w:t>
            </w:r>
          </w:p>
        </w:tc>
        <w:tc>
          <w:tcPr>
            <w:tcW w:w="1204" w:type="dxa"/>
            <w:tcBorders>
              <w:left w:val="single" w:sz="4" w:space="0" w:color="auto"/>
              <w:bottom w:val="nil"/>
            </w:tcBorders>
          </w:tcPr>
          <w:p w14:paraId="6B1D31DA" w14:textId="77777777">
            <w:pPr>
              <w:keepNext/>
              <w:keepLines/>
              <w:jc w:val="center"/>
              <w:rPr>
                <w:sz w:val="28"/>
                <w:szCs w:val="28"/>
              </w:rPr>
            </w:pPr>
          </w:p>
        </w:tc>
      </w:tr>
      <w:tr w14:paraId="765C244F" w14:textId="77777777">
        <w:tc>
          <w:tcPr>
            <w:tcW w:w="1203" w:type="dxa"/>
            <w:tcBorders>
              <w:top w:val="nil"/>
              <w:bottom w:val="nil"/>
              <w:right w:val="single" w:sz="4" w:space="0" w:color="auto"/>
            </w:tcBorders>
            <w:shd w:val="clear" w:color="auto" w:fill="F0F7D7"/>
          </w:tcPr>
          <w:p w14:paraId="74F797C9" w14:textId="77777777">
            <w:pPr>
              <w:keepNext/>
              <w:keepLines/>
              <w:jc w:val="right"/>
              <w:rPr>
                <w:color w:val="FF0000"/>
                <w:sz w:val="18"/>
                <w:szCs w:val="18"/>
              </w:rPr>
            </w:pPr>
            <w:r>
              <w:rPr>
                <w:color w:val="FF0000"/>
                <w:sz w:val="18"/>
                <w:szCs w:val="18"/>
              </w:rPr>
              <w:t>intervention:</w:t>
            </w:r>
          </w:p>
        </w:tc>
        <w:tc>
          <w:tcPr>
            <w:tcW w:w="1203" w:type="dxa"/>
            <w:tcBorders>
              <w:top w:val="nil"/>
              <w:left w:val="single" w:sz="4" w:space="0" w:color="auto"/>
              <w:bottom w:val="nil"/>
              <w:right w:val="single" w:sz="4" w:space="0" w:color="auto"/>
            </w:tcBorders>
          </w:tcPr>
          <w:p w14:paraId="5986F619" w14:textId="77777777">
            <w:pPr>
              <w:keepNext/>
              <w:keepLines/>
              <w:jc w:val="center"/>
              <w:rPr>
                <w:color w:val="FF0000"/>
                <w:sz w:val="18"/>
                <w:szCs w:val="18"/>
              </w:rPr>
            </w:pPr>
            <w:r>
              <w:rPr>
                <w:color w:val="FF0000"/>
                <w:sz w:val="18"/>
                <w:szCs w:val="18"/>
              </w:rPr>
              <w:t>substitution</w:t>
            </w:r>
          </w:p>
        </w:tc>
        <w:tc>
          <w:tcPr>
            <w:tcW w:w="1203" w:type="dxa"/>
            <w:tcBorders>
              <w:top w:val="nil"/>
              <w:left w:val="single" w:sz="4" w:space="0" w:color="auto"/>
              <w:bottom w:val="nil"/>
              <w:right w:val="single" w:sz="4" w:space="0" w:color="auto"/>
            </w:tcBorders>
          </w:tcPr>
          <w:p w14:paraId="299C157E" w14:textId="77777777">
            <w:pPr>
              <w:keepNext/>
              <w:keepLines/>
              <w:jc w:val="center"/>
              <w:rPr>
                <w:color w:val="FF0000"/>
                <w:sz w:val="18"/>
                <w:szCs w:val="18"/>
              </w:rPr>
            </w:pPr>
          </w:p>
        </w:tc>
        <w:tc>
          <w:tcPr>
            <w:tcW w:w="1203" w:type="dxa"/>
            <w:tcBorders>
              <w:top w:val="nil"/>
              <w:left w:val="single" w:sz="4" w:space="0" w:color="auto"/>
              <w:bottom w:val="nil"/>
              <w:right w:val="single" w:sz="4" w:space="0" w:color="auto"/>
            </w:tcBorders>
          </w:tcPr>
          <w:p w14:paraId="63F158A4" w14:textId="77777777">
            <w:pPr>
              <w:keepNext/>
              <w:keepLines/>
              <w:jc w:val="center"/>
              <w:rPr>
                <w:color w:val="FF0000"/>
                <w:sz w:val="18"/>
                <w:szCs w:val="18"/>
              </w:rPr>
            </w:pPr>
            <w:r>
              <w:rPr>
                <w:color w:val="FF0000"/>
                <w:sz w:val="18"/>
                <w:szCs w:val="18"/>
              </w:rPr>
              <w:t>suppression</w:t>
            </w:r>
          </w:p>
        </w:tc>
        <w:tc>
          <w:tcPr>
            <w:tcW w:w="1204" w:type="dxa"/>
            <w:tcBorders>
              <w:top w:val="nil"/>
              <w:left w:val="single" w:sz="4" w:space="0" w:color="auto"/>
              <w:bottom w:val="nil"/>
              <w:right w:val="single" w:sz="4" w:space="0" w:color="auto"/>
            </w:tcBorders>
          </w:tcPr>
          <w:p w14:paraId="3CE26B90" w14:textId="77777777">
            <w:pPr>
              <w:keepNext/>
              <w:keepLines/>
              <w:jc w:val="center"/>
              <w:rPr>
                <w:color w:val="FF0000"/>
                <w:sz w:val="18"/>
                <w:szCs w:val="18"/>
              </w:rPr>
            </w:pPr>
          </w:p>
        </w:tc>
        <w:tc>
          <w:tcPr>
            <w:tcW w:w="1204" w:type="dxa"/>
            <w:tcBorders>
              <w:top w:val="nil"/>
              <w:left w:val="single" w:sz="4" w:space="0" w:color="auto"/>
              <w:bottom w:val="nil"/>
              <w:right w:val="single" w:sz="4" w:space="0" w:color="auto"/>
            </w:tcBorders>
          </w:tcPr>
          <w:p w14:paraId="554540F0" w14:textId="77777777">
            <w:pPr>
              <w:keepNext/>
              <w:keepLines/>
              <w:jc w:val="center"/>
              <w:rPr>
                <w:color w:val="FF0000"/>
                <w:sz w:val="18"/>
                <w:szCs w:val="18"/>
              </w:rPr>
            </w:pPr>
          </w:p>
        </w:tc>
        <w:tc>
          <w:tcPr>
            <w:tcW w:w="1204" w:type="dxa"/>
            <w:tcBorders>
              <w:top w:val="nil"/>
              <w:left w:val="single" w:sz="4" w:space="0" w:color="auto"/>
              <w:bottom w:val="nil"/>
              <w:right w:val="single" w:sz="4" w:space="0" w:color="auto"/>
            </w:tcBorders>
          </w:tcPr>
          <w:p w14:paraId="5CD917EB" w14:textId="77777777">
            <w:pPr>
              <w:keepNext/>
              <w:keepLines/>
              <w:jc w:val="center"/>
              <w:rPr>
                <w:color w:val="FF0000"/>
                <w:sz w:val="18"/>
                <w:szCs w:val="18"/>
              </w:rPr>
            </w:pPr>
          </w:p>
        </w:tc>
        <w:tc>
          <w:tcPr>
            <w:tcW w:w="1204" w:type="dxa"/>
            <w:tcBorders>
              <w:top w:val="nil"/>
              <w:left w:val="single" w:sz="4" w:space="0" w:color="auto"/>
              <w:bottom w:val="nil"/>
            </w:tcBorders>
          </w:tcPr>
          <w:p w14:paraId="0F777F52" w14:textId="77777777">
            <w:pPr>
              <w:keepNext/>
              <w:keepLines/>
              <w:jc w:val="center"/>
              <w:rPr>
                <w:color w:val="FF0000"/>
                <w:sz w:val="18"/>
                <w:szCs w:val="18"/>
              </w:rPr>
            </w:pPr>
            <w:r>
              <w:rPr>
                <w:color w:val="FF0000"/>
                <w:sz w:val="18"/>
                <w:szCs w:val="18"/>
              </w:rPr>
              <w:t>restitution</w:t>
            </w:r>
          </w:p>
        </w:tc>
      </w:tr>
      <w:tr w14:paraId="07581D5E" w14:textId="77777777">
        <w:tc>
          <w:tcPr>
            <w:tcW w:w="1203" w:type="dxa"/>
            <w:tcBorders>
              <w:top w:val="nil"/>
              <w:right w:val="single" w:sz="4" w:space="0" w:color="auto"/>
            </w:tcBorders>
            <w:shd w:val="clear" w:color="auto" w:fill="F0F7D7"/>
          </w:tcPr>
          <w:p w14:paraId="47E9DB64" w14:textId="77777777">
            <w:pPr>
              <w:jc w:val="right"/>
              <w:rPr>
                <w:sz w:val="18"/>
                <w:szCs w:val="18"/>
              </w:rPr>
            </w:pPr>
            <w:r>
              <w:rPr>
                <w:sz w:val="18"/>
                <w:szCs w:val="18"/>
              </w:rPr>
              <w:t>rectified text:</w:t>
            </w:r>
          </w:p>
        </w:tc>
        <w:tc>
          <w:tcPr>
            <w:tcW w:w="1203" w:type="dxa"/>
            <w:tcBorders>
              <w:top w:val="nil"/>
              <w:left w:val="single" w:sz="4" w:space="0" w:color="auto"/>
              <w:right w:val="single" w:sz="4" w:space="0" w:color="auto"/>
            </w:tcBorders>
          </w:tcPr>
          <w:p w14:paraId="71926C5C" w14:textId="77777777">
            <w:pPr>
              <w:jc w:val="center"/>
              <w:rPr>
                <w:sz w:val="28"/>
                <w:szCs w:val="28"/>
              </w:rPr>
            </w:pPr>
            <w:r>
              <w:rPr>
                <w:sz w:val="28"/>
                <w:szCs w:val="28"/>
              </w:rPr>
              <w:t>ś</w:t>
            </w:r>
          </w:p>
        </w:tc>
        <w:tc>
          <w:tcPr>
            <w:tcW w:w="1203" w:type="dxa"/>
            <w:tcBorders>
              <w:top w:val="nil"/>
              <w:left w:val="single" w:sz="4" w:space="0" w:color="auto"/>
              <w:right w:val="single" w:sz="4" w:space="0" w:color="auto"/>
            </w:tcBorders>
          </w:tcPr>
          <w:p w14:paraId="1953E7E1" w14:textId="77777777">
            <w:pPr>
              <w:jc w:val="center"/>
              <w:rPr>
                <w:sz w:val="28"/>
                <w:szCs w:val="28"/>
              </w:rPr>
            </w:pPr>
            <w:r>
              <w:rPr>
                <w:sz w:val="28"/>
                <w:szCs w:val="28"/>
              </w:rPr>
              <w:t>u</w:t>
            </w:r>
          </w:p>
        </w:tc>
        <w:tc>
          <w:tcPr>
            <w:tcW w:w="1203" w:type="dxa"/>
            <w:tcBorders>
              <w:top w:val="nil"/>
              <w:left w:val="single" w:sz="4" w:space="0" w:color="auto"/>
              <w:right w:val="single" w:sz="4" w:space="0" w:color="auto"/>
            </w:tcBorders>
          </w:tcPr>
          <w:p w14:paraId="42F3704A" w14:textId="77777777">
            <w:pPr>
              <w:jc w:val="center"/>
              <w:rPr>
                <w:sz w:val="28"/>
                <w:szCs w:val="28"/>
              </w:rPr>
            </w:pPr>
          </w:p>
        </w:tc>
        <w:tc>
          <w:tcPr>
            <w:tcW w:w="1204" w:type="dxa"/>
            <w:tcBorders>
              <w:top w:val="nil"/>
              <w:left w:val="single" w:sz="4" w:space="0" w:color="auto"/>
              <w:right w:val="single" w:sz="4" w:space="0" w:color="auto"/>
            </w:tcBorders>
          </w:tcPr>
          <w:p w14:paraId="1027A0A6" w14:textId="77777777">
            <w:pPr>
              <w:jc w:val="center"/>
              <w:rPr>
                <w:sz w:val="28"/>
                <w:szCs w:val="28"/>
              </w:rPr>
            </w:pPr>
            <w:r>
              <w:rPr>
                <w:sz w:val="28"/>
                <w:szCs w:val="28"/>
              </w:rPr>
              <w:t>d</w:t>
            </w:r>
          </w:p>
        </w:tc>
        <w:tc>
          <w:tcPr>
            <w:tcW w:w="1204" w:type="dxa"/>
            <w:tcBorders>
              <w:top w:val="nil"/>
              <w:left w:val="single" w:sz="4" w:space="0" w:color="auto"/>
              <w:right w:val="single" w:sz="4" w:space="0" w:color="auto"/>
            </w:tcBorders>
          </w:tcPr>
          <w:p w14:paraId="5B4ACB02" w14:textId="77777777">
            <w:pPr>
              <w:jc w:val="center"/>
              <w:rPr>
                <w:sz w:val="28"/>
                <w:szCs w:val="28"/>
              </w:rPr>
            </w:pPr>
            <w:r>
              <w:rPr>
                <w:sz w:val="28"/>
                <w:szCs w:val="28"/>
              </w:rPr>
              <w:t>dh</w:t>
            </w:r>
          </w:p>
        </w:tc>
        <w:tc>
          <w:tcPr>
            <w:tcW w:w="1204" w:type="dxa"/>
            <w:tcBorders>
              <w:top w:val="nil"/>
              <w:left w:val="single" w:sz="4" w:space="0" w:color="auto"/>
              <w:right w:val="single" w:sz="4" w:space="0" w:color="auto"/>
            </w:tcBorders>
          </w:tcPr>
          <w:p w14:paraId="5F5AE93C" w14:textId="77777777">
            <w:pPr>
              <w:jc w:val="center"/>
              <w:rPr>
                <w:sz w:val="28"/>
                <w:szCs w:val="28"/>
              </w:rPr>
            </w:pPr>
            <w:r>
              <w:rPr>
                <w:sz w:val="28"/>
                <w:szCs w:val="28"/>
              </w:rPr>
              <w:t>a</w:t>
            </w:r>
          </w:p>
        </w:tc>
        <w:tc>
          <w:tcPr>
            <w:tcW w:w="1204" w:type="dxa"/>
            <w:tcBorders>
              <w:top w:val="nil"/>
              <w:left w:val="single" w:sz="4" w:space="0" w:color="auto"/>
            </w:tcBorders>
          </w:tcPr>
          <w:p w14:paraId="3DB29703" w14:textId="77777777">
            <w:pPr>
              <w:jc w:val="center"/>
              <w:rPr>
                <w:sz w:val="28"/>
                <w:szCs w:val="28"/>
              </w:rPr>
            </w:pPr>
            <w:r>
              <w:rPr>
                <w:sz w:val="28"/>
                <w:szCs w:val="28"/>
              </w:rPr>
              <w:t>ḥ</w:t>
            </w:r>
          </w:p>
        </w:tc>
      </w:tr>
    </w:tbl>
    <w:p w14:paraId="5A6B595E" w14:textId="77777777"/>
    <w:p w14:paraId="63504A28" w14:textId="77777777">
      <w:pPr>
        <w:pStyle w:val="Lista"/>
      </w:pPr>
      <w:r>
        <w:t>rectification is strongly recommended for all erroneous readings unless</w:t>
      </w:r>
    </w:p>
    <w:p w14:paraId="1A39C6A9" w14:textId="77777777">
      <w:pPr>
        <w:pStyle w:val="Lista2"/>
      </w:pPr>
      <w:r>
        <w:t>they are absolutely trivial (in which case they may be ignored or flagged)</w:t>
      </w:r>
    </w:p>
    <w:p w14:paraId="35870AFA" w14:textId="77777777">
      <w:pPr>
        <w:pStyle w:val="Lista2"/>
      </w:pPr>
      <w:r>
        <w:t>you are unable to propose a confident correction (in which case they should be flagged)</w:t>
      </w:r>
    </w:p>
    <w:p w14:paraId="18BCDA89" w14:textId="0EE74746">
      <w:pPr>
        <w:pStyle w:val="Lista"/>
      </w:pPr>
      <w:r>
        <w:t>non-standard orthography and language use (such as the phenomena listed in §</w:t>
      </w:r>
      <w:r>
        <w:fldChar w:fldCharType="begin"/>
      </w:r>
      <w:r>
        <w:instrText xml:space="preserve"> REF _Ref242868067 \r \h </w:instrText>
      </w:r>
      <w:r>
        <w:fldChar w:fldCharType="separate"/>
      </w:r>
      <w:r>
        <w:t>7.1.2</w:t>
      </w:r>
      <w:r>
        <w:fldChar w:fldCharType="end"/>
      </w:r>
      <w:r>
        <w:t xml:space="preserve"> and §</w:t>
      </w:r>
      <w:r>
        <w:fldChar w:fldCharType="begin"/>
      </w:r>
      <w:r>
        <w:instrText xml:space="preserve"> REF _Ref228868281 \r \h </w:instrText>
      </w:r>
      <w:r>
        <w:fldChar w:fldCharType="separate"/>
      </w:r>
      <w:r>
        <w:t>7.4</w:t>
      </w:r>
      <w:r>
        <w:fldChar w:fldCharType="end"/>
      </w:r>
      <w:r>
        <w:t xml:space="preserve"> above) should be preferably rectified if the phenomenon is rare in a given subcorpus or if it leads to ambiguity or hinders understanding in a given case (e.g. </w:t>
      </w:r>
      <w:r>
        <w:rPr>
          <w:rStyle w:val="Foreign"/>
        </w:rPr>
        <w:t>dattvā</w:t>
      </w:r>
      <w:r>
        <w:t xml:space="preserve"> instead of </w:t>
      </w:r>
      <w:r>
        <w:rPr>
          <w:rStyle w:val="Foreign"/>
        </w:rPr>
        <w:t>dattā</w:t>
      </w:r>
      <w:r>
        <w:t xml:space="preserve">; </w:t>
      </w:r>
      <w:r>
        <w:rPr>
          <w:rStyle w:val="Foreign"/>
        </w:rPr>
        <w:t>rakṣya</w:t>
      </w:r>
      <w:r>
        <w:t xml:space="preserve"> instead of </w:t>
      </w:r>
      <w:r>
        <w:rPr>
          <w:rStyle w:val="Foreign"/>
        </w:rPr>
        <w:t>rakṣa</w:t>
      </w:r>
      <w:r>
        <w:t>)</w:t>
      </w:r>
    </w:p>
    <w:p w14:paraId="201878B6" w14:textId="77777777">
      <w:pPr>
        <w:pStyle w:val="Lista"/>
      </w:pPr>
      <w:r>
        <w:t>the degree to which you rectify an anomalous reading need not be absolute: the aim is not to copy-edit the source text to some hypothetical standard of language but to render it more comprehensible and indexable with a minimum of invasiveness</w:t>
      </w:r>
    </w:p>
    <w:p w14:paraId="65DBA7C5" w14:textId="4DE65A29">
      <w:pPr>
        <w:pStyle w:val="Lista2"/>
      </w:pPr>
      <w:r>
        <w:t>when a document contains trivial linguistic anomalies that you ignore (§</w:t>
      </w:r>
      <w:r>
        <w:fldChar w:fldCharType="begin"/>
      </w:r>
      <w:r>
        <w:instrText xml:space="preserve"> REF _Ref228976848 \r \h </w:instrText>
      </w:r>
      <w:r>
        <w:fldChar w:fldCharType="separate"/>
      </w:r>
      <w:r>
        <w:t>7.3</w:t>
      </w:r>
      <w:r>
        <w:fldChar w:fldCharType="end"/>
      </w:r>
      <w:r>
        <w:t xml:space="preserve">), your rectified readings should preferably also contain similar anomalies where applicable; for example if the document normally doubles nasals after </w:t>
      </w:r>
      <w:r>
        <w:rPr>
          <w:rStyle w:val="Foreign"/>
        </w:rPr>
        <w:t>r</w:t>
      </w:r>
      <w:r>
        <w:t>, then</w:t>
      </w:r>
    </w:p>
    <w:p w14:paraId="36C01F9C" w14:textId="77777777">
      <w:pPr>
        <w:pStyle w:val="Lista3"/>
      </w:pPr>
      <w:r>
        <w:t xml:space="preserve">correct </w:t>
      </w:r>
      <w:r>
        <w:rPr>
          <w:rStyle w:val="Foreign"/>
        </w:rPr>
        <w:t>karppa</w:t>
      </w:r>
      <w:r>
        <w:t xml:space="preserve"> to </w:t>
      </w:r>
      <w:r>
        <w:rPr>
          <w:rStyle w:val="Foreign"/>
        </w:rPr>
        <w:t>karmma</w:t>
      </w:r>
      <w:r>
        <w:t xml:space="preserve"> </w:t>
      </w:r>
      <w:r>
        <w:rPr>
          <w:noProof/>
        </w:rPr>
        <w:t>(</w:t>
      </w:r>
      <w:r>
        <w:t xml:space="preserve">rather than </w:t>
      </w:r>
      <w:r>
        <w:rPr>
          <w:rStyle w:val="Foreign"/>
        </w:rPr>
        <w:t>karma</w:t>
      </w:r>
      <w:r>
        <w:t xml:space="preserve">) </w:t>
      </w:r>
    </w:p>
    <w:p w14:paraId="038984DC" w14:textId="77777777">
      <w:pPr>
        <w:pStyle w:val="Lista3"/>
      </w:pPr>
      <w:r>
        <w:t xml:space="preserve">normalise </w:t>
      </w:r>
      <w:r>
        <w:rPr>
          <w:rStyle w:val="Foreign"/>
        </w:rPr>
        <w:t>varnna</w:t>
      </w:r>
      <w:r>
        <w:t xml:space="preserve"> to </w:t>
      </w:r>
      <w:r>
        <w:rPr>
          <w:rStyle w:val="Foreign"/>
        </w:rPr>
        <w:t>varṇṇa</w:t>
      </w:r>
      <w:r>
        <w:t xml:space="preserve"> </w:t>
      </w:r>
      <w:r>
        <w:rPr>
          <w:noProof/>
        </w:rPr>
        <w:t>(</w:t>
      </w:r>
      <w:r>
        <w:t xml:space="preserve">rather than </w:t>
      </w:r>
      <w:r>
        <w:rPr>
          <w:rStyle w:val="Foreign"/>
        </w:rPr>
        <w:t>varṇa</w:t>
      </w:r>
      <w:r>
        <w:t>)</w:t>
      </w:r>
    </w:p>
    <w:p w14:paraId="4DBA8F96" w14:textId="77777777">
      <w:pPr>
        <w:pStyle w:val="Lista2"/>
      </w:pPr>
      <w:r>
        <w:t xml:space="preserve">if a text consistently uses </w:t>
      </w:r>
      <w:r>
        <w:rPr>
          <w:rStyle w:val="Foreign"/>
        </w:rPr>
        <w:t>upadhmānīya</w:t>
      </w:r>
      <w:r>
        <w:t xml:space="preserve"> or </w:t>
      </w:r>
      <w:r>
        <w:rPr>
          <w:rStyle w:val="Foreign"/>
        </w:rPr>
        <w:t>jihvāmūlīya</w:t>
      </w:r>
      <w:r>
        <w:t xml:space="preserve">, and your correction involves the restitution of an omitted </w:t>
      </w:r>
      <w:r>
        <w:rPr>
          <w:rStyle w:val="Foreign"/>
        </w:rPr>
        <w:t>visarga</w:t>
      </w:r>
      <w:r>
        <w:t xml:space="preserve"> in a phonemic context that would call for one of these forms, then supply </w:t>
      </w:r>
      <w:r>
        <w:rPr>
          <w:rStyle w:val="Foreign"/>
        </w:rPr>
        <w:t>upadhmānīya</w:t>
      </w:r>
      <w:r>
        <w:t xml:space="preserve"> or </w:t>
      </w:r>
      <w:r>
        <w:rPr>
          <w:rStyle w:val="Foreign"/>
        </w:rPr>
        <w:t>jihvāmūlīya</w:t>
      </w:r>
      <w:r>
        <w:t xml:space="preserve"> instead of a regular </w:t>
      </w:r>
      <w:r>
        <w:rPr>
          <w:rStyle w:val="Foreign"/>
        </w:rPr>
        <w:t>visarga</w:t>
      </w:r>
      <w:r>
        <w:t>,</w:t>
      </w:r>
    </w:p>
    <w:p w14:paraId="09235905" w14:textId="77777777">
      <w:pPr>
        <w:pStyle w:val="Lista3"/>
      </w:pPr>
      <w:r>
        <w:t xml:space="preserve">e.g. </w:t>
      </w:r>
      <w:r>
        <w:rPr>
          <w:rStyle w:val="Codetext"/>
        </w:rPr>
        <w:t>sarvva-rājocchettu</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ḫ</w:t>
      </w:r>
      <w:r>
        <w:rPr>
          <w:rStyle w:val="Code"/>
        </w:rPr>
        <w:t>&lt;/supplied&gt;</w:t>
      </w:r>
      <w:r>
        <w:rPr>
          <w:rStyle w:val="Codetext"/>
        </w:rPr>
        <w:t xml:space="preserve"> pr̥thivyām apratirathasya</w:t>
      </w:r>
    </w:p>
    <w:p w14:paraId="2C1ABB08" w14:textId="77777777">
      <w:pPr>
        <w:pStyle w:val="Lista2"/>
      </w:pPr>
      <w:r>
        <w:t>as far as possible, presuppose a plausible minimum of scribal error, and thus impose a plausible minimum of editorial rectification to obtain reasonably correct text; for example,</w:t>
      </w:r>
    </w:p>
    <w:p w14:paraId="1885EDD0" w14:textId="77777777">
      <w:pPr>
        <w:pStyle w:val="Lista3"/>
      </w:pPr>
      <w:r>
        <w:t xml:space="preserve">correct </w:t>
      </w:r>
      <w:r>
        <w:rPr>
          <w:rStyle w:val="Foreign"/>
        </w:rPr>
        <w:t>karpa</w:t>
      </w:r>
      <w:r>
        <w:t xml:space="preserve"> to </w:t>
      </w:r>
      <w:r>
        <w:rPr>
          <w:rStyle w:val="Foreign"/>
        </w:rPr>
        <w:t>karma</w:t>
      </w:r>
      <w:r>
        <w:t xml:space="preserve"> </w:t>
      </w:r>
      <w:r>
        <w:rPr>
          <w:noProof/>
        </w:rPr>
        <w:t xml:space="preserve">(even if the </w:t>
      </w:r>
      <w:r>
        <w:rPr>
          <w:rStyle w:val="Foreign"/>
        </w:rPr>
        <w:t>karmma</w:t>
      </w:r>
      <w:r>
        <w:t xml:space="preserve"> would be expected in the document), assuming the simple mistake of inscribing </w:t>
      </w:r>
      <w:r>
        <w:rPr>
          <w:rStyle w:val="Foreign"/>
        </w:rPr>
        <w:t>p</w:t>
      </w:r>
      <w:r>
        <w:t xml:space="preserve"> in place of </w:t>
      </w:r>
      <w:r>
        <w:rPr>
          <w:rStyle w:val="Foreign"/>
        </w:rPr>
        <w:t>m</w:t>
      </w:r>
      <w:r>
        <w:t xml:space="preserve"> rather than the complex mistake of inscribing </w:t>
      </w:r>
      <w:r>
        <w:rPr>
          <w:rStyle w:val="Foreign"/>
        </w:rPr>
        <w:t>p</w:t>
      </w:r>
      <w:r>
        <w:t xml:space="preserve"> for </w:t>
      </w:r>
      <w:r>
        <w:rPr>
          <w:rStyle w:val="Foreign"/>
        </w:rPr>
        <w:t>mm</w:t>
      </w:r>
    </w:p>
    <w:p w14:paraId="6500F81C" w14:textId="77777777">
      <w:pPr>
        <w:pStyle w:val="Lista3"/>
      </w:pPr>
      <w:r>
        <w:t xml:space="preserve">correct </w:t>
      </w:r>
      <w:r>
        <w:rPr>
          <w:rStyle w:val="Foreign"/>
        </w:rPr>
        <w:t>viṅgati</w:t>
      </w:r>
      <w:r>
        <w:t xml:space="preserve"> to </w:t>
      </w:r>
      <w:r>
        <w:rPr>
          <w:rStyle w:val="Foreign"/>
        </w:rPr>
        <w:t>viṅśati</w:t>
      </w:r>
      <w:r>
        <w:t xml:space="preserve"> </w:t>
      </w:r>
      <w:r>
        <w:rPr>
          <w:noProof/>
        </w:rPr>
        <w:t>(</w:t>
      </w:r>
      <w:r>
        <w:t xml:space="preserve">rather than fully standard </w:t>
      </w:r>
      <w:r>
        <w:rPr>
          <w:rStyle w:val="Foreign"/>
        </w:rPr>
        <w:t>viṁśati</w:t>
      </w:r>
      <w:r>
        <w:t xml:space="preserve">), assuming the simple mistake of inscribing </w:t>
      </w:r>
      <w:r>
        <w:rPr>
          <w:rStyle w:val="Foreign"/>
        </w:rPr>
        <w:t>ṅga</w:t>
      </w:r>
      <w:r>
        <w:t xml:space="preserve"> in place of </w:t>
      </w:r>
      <w:r>
        <w:rPr>
          <w:rStyle w:val="Foreign"/>
        </w:rPr>
        <w:t>ṅśa</w:t>
      </w:r>
      <w:r>
        <w:t xml:space="preserve"> rather than the complex mistake of inscribing </w:t>
      </w:r>
      <w:r>
        <w:rPr>
          <w:rStyle w:val="Foreign"/>
        </w:rPr>
        <w:t>ṅga</w:t>
      </w:r>
      <w:r>
        <w:t xml:space="preserve"> in place of </w:t>
      </w:r>
      <w:r>
        <w:rPr>
          <w:rStyle w:val="Foreign"/>
        </w:rPr>
        <w:t>śa</w:t>
      </w:r>
      <w:r>
        <w:t xml:space="preserve"> and simultaneously omitting an </w:t>
      </w:r>
      <w:r>
        <w:rPr>
          <w:rStyle w:val="Foreign"/>
        </w:rPr>
        <w:t>anusvāra</w:t>
      </w:r>
      <w:r>
        <w:t xml:space="preserve"> </w:t>
      </w:r>
    </w:p>
    <w:p w14:paraId="713B492C" w14:textId="77777777">
      <w:pPr>
        <w:pStyle w:val="Lista3"/>
      </w:pPr>
      <w:r>
        <w:t xml:space="preserve">correct </w:t>
      </w:r>
      <w:r>
        <w:rPr>
          <w:rStyle w:val="Foreign"/>
        </w:rPr>
        <w:t>viśati</w:t>
      </w:r>
      <w:r>
        <w:t xml:space="preserve"> to </w:t>
      </w:r>
      <w:r>
        <w:rPr>
          <w:rStyle w:val="Foreign"/>
        </w:rPr>
        <w:t>viṁśati</w:t>
      </w:r>
      <w:r>
        <w:t xml:space="preserve"> </w:t>
      </w:r>
      <w:r>
        <w:rPr>
          <w:noProof/>
        </w:rPr>
        <w:t>(</w:t>
      </w:r>
      <w:r>
        <w:t xml:space="preserve">even if </w:t>
      </w:r>
      <w:r>
        <w:rPr>
          <w:rStyle w:val="Foreign"/>
        </w:rPr>
        <w:t>viṅśati</w:t>
      </w:r>
      <w:r>
        <w:t xml:space="preserve"> would be expected in the document), assuming the simple mistake of omitting an </w:t>
      </w:r>
      <w:r>
        <w:rPr>
          <w:rStyle w:val="Foreign"/>
        </w:rPr>
        <w:t>anusvāra</w:t>
      </w:r>
      <w:r>
        <w:t xml:space="preserve"> rather than the complex mistake of inscribing </w:t>
      </w:r>
      <w:r>
        <w:rPr>
          <w:rStyle w:val="Foreign"/>
        </w:rPr>
        <w:t>śa</w:t>
      </w:r>
      <w:r>
        <w:t xml:space="preserve"> instead of </w:t>
      </w:r>
      <w:r>
        <w:rPr>
          <w:rStyle w:val="Foreign"/>
        </w:rPr>
        <w:t>ṅśa</w:t>
      </w:r>
    </w:p>
    <w:p w14:paraId="0A73189F" w14:textId="268D05E1">
      <w:pPr>
        <w:pStyle w:val="Lista3"/>
      </w:pPr>
      <w:r>
        <w:t xml:space="preserve">should you feel the need, feel free to add normalisation on top of a correction </w:t>
      </w:r>
      <w:r>
        <w:rPr>
          <w:noProof/>
        </w:rPr>
        <w:t>(</w:t>
      </w:r>
      <w:r>
        <w:t>§</w:t>
      </w:r>
      <w:r>
        <w:fldChar w:fldCharType="begin"/>
      </w:r>
      <w:r>
        <w:instrText xml:space="preserve"> REF _Ref43988493 \w \h  \* MERGEFORMAT </w:instrText>
      </w:r>
      <w:r>
        <w:fldChar w:fldCharType="separate"/>
      </w:r>
      <w:r>
        <w:t>7.7.5</w:t>
      </w:r>
      <w:r>
        <w:fldChar w:fldCharType="end"/>
      </w:r>
      <w:r>
        <w:t>)</w:t>
      </w:r>
    </w:p>
    <w:p w14:paraId="7C843425" w14:textId="77777777">
      <w:pPr>
        <w:pStyle w:val="Cmsor3"/>
      </w:pPr>
      <w:bookmarkStart w:id="640" w:name="_Ref229057056"/>
      <w:bookmarkStart w:id="641" w:name="_Toc242889543"/>
      <w:r>
        <w:lastRenderedPageBreak/>
        <w:t>Substitution</w:t>
      </w:r>
      <w:bookmarkEnd w:id="640"/>
      <w:bookmarkEnd w:id="641"/>
    </w:p>
    <w:p w14:paraId="76D16BF8" w14:textId="77777777">
      <w:pPr>
        <w:pStyle w:val="Cmsor4"/>
      </w:pPr>
      <w:bookmarkStart w:id="642" w:name="_Ref229056089"/>
      <w:r>
        <w:t>Correction by substitution</w:t>
      </w:r>
      <w:bookmarkEnd w:id="642"/>
    </w:p>
    <w:p w14:paraId="5B280519" w14:textId="77777777">
      <w:pPr>
        <w:pStyle w:val="Lista"/>
      </w:pPr>
      <w:r>
        <w:t>to correct a reading deemed erroneous,</w:t>
      </w:r>
    </w:p>
    <w:p w14:paraId="2958819A" w14:textId="77777777">
      <w:pPr>
        <w:pStyle w:val="Lista2"/>
      </w:pPr>
      <w:r>
        <w:t xml:space="preserve">flag the original text with </w:t>
      </w:r>
      <w:r>
        <w:rPr>
          <w:rStyle w:val="Code"/>
        </w:rPr>
        <w:t>&lt;sic&gt;</w:t>
      </w:r>
    </w:p>
    <w:p w14:paraId="4370AB8A" w14:textId="77777777">
      <w:pPr>
        <w:pStyle w:val="Lista2"/>
      </w:pPr>
      <w:r>
        <w:t xml:space="preserve">add the corrected alternative directly after this, wrapped in the element </w:t>
      </w:r>
      <w:r>
        <w:rPr>
          <w:rStyle w:val="Code"/>
        </w:rPr>
        <w:t>&lt;corr&gt;</w:t>
      </w:r>
    </w:p>
    <w:p w14:paraId="5471A89F" w14:textId="76A8BF06">
      <w:pPr>
        <w:pStyle w:val="Lista2"/>
      </w:pPr>
      <w:r>
        <w:t xml:space="preserve">and wrap both these elements together in the element </w:t>
      </w:r>
      <w:r>
        <w:rPr>
          <w:rStyle w:val="Code"/>
        </w:rPr>
        <w:t>&lt;choice&gt;</w:t>
      </w:r>
      <w:r>
        <w:t>, indicating that either, but not both, of the two is to be read at the given locus</w:t>
      </w:r>
    </w:p>
    <w:p w14:paraId="275EAD49" w14:textId="77777777">
      <w:pPr>
        <w:pStyle w:val="Lista2"/>
      </w:pPr>
      <w:r>
        <w:t>for the sake of consistency, the received reading shall always precede the editorial reading in DHARMA editions</w:t>
      </w:r>
    </w:p>
    <w:p w14:paraId="762A94F8" w14:textId="77777777">
      <w:pPr>
        <w:pStyle w:val="Lista"/>
      </w:pPr>
      <w:r>
        <w:t xml:space="preserve">for example: </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ja</w:t>
      </w:r>
      <w:r>
        <w:t xml:space="preserve"> </w:t>
      </w:r>
      <w:r>
        <w:rPr>
          <w:noProof/>
        </w:rPr>
        <w:t>(</w:t>
      </w:r>
      <w:r>
        <w:rPr>
          <w:rStyle w:val="Foreign"/>
        </w:rPr>
        <w:t>a</w:t>
      </w:r>
      <w:r>
        <w:t xml:space="preserve"> corrected to </w:t>
      </w:r>
      <w:r>
        <w:rPr>
          <w:rStyle w:val="Foreign"/>
        </w:rPr>
        <w:t>ā</w:t>
      </w:r>
      <w:r>
        <w:t>)</w:t>
      </w:r>
    </w:p>
    <w:p w14:paraId="5AA1EAEC" w14:textId="77777777">
      <w:pPr>
        <w:pStyle w:val="Cmsor4"/>
      </w:pPr>
      <w:bookmarkStart w:id="643" w:name="_26gcps9vrjkt" w:colFirst="0" w:colLast="0"/>
      <w:bookmarkStart w:id="644" w:name="_Ref228885848"/>
      <w:bookmarkStart w:id="645" w:name="_Ref228888134"/>
      <w:bookmarkStart w:id="646" w:name="_Ref43988286"/>
      <w:bookmarkEnd w:id="643"/>
      <w:r>
        <w:t>Normalisation by substitution</w:t>
      </w:r>
      <w:bookmarkEnd w:id="644"/>
      <w:bookmarkEnd w:id="645"/>
    </w:p>
    <w:p w14:paraId="10BE5141" w14:textId="77777777">
      <w:pPr>
        <w:pStyle w:val="Lista"/>
      </w:pPr>
      <w:r>
        <w:t>to normalise a reading deemed non-standard,</w:t>
      </w:r>
    </w:p>
    <w:p w14:paraId="703FE534" w14:textId="77777777">
      <w:pPr>
        <w:pStyle w:val="Lista2"/>
      </w:pPr>
      <w:r>
        <w:t xml:space="preserve">flag the original text with </w:t>
      </w:r>
      <w:r>
        <w:rPr>
          <w:rStyle w:val="Code"/>
        </w:rPr>
        <w:t>&lt;orig&gt;</w:t>
      </w:r>
    </w:p>
    <w:p w14:paraId="5E48FDBD" w14:textId="77777777">
      <w:pPr>
        <w:pStyle w:val="Lista2"/>
      </w:pPr>
      <w:r>
        <w:t xml:space="preserve">add the normalised alternative directly after this, wrapped in the element </w:t>
      </w:r>
      <w:r>
        <w:rPr>
          <w:rStyle w:val="Code"/>
        </w:rPr>
        <w:t>&lt;reg&gt;</w:t>
      </w:r>
    </w:p>
    <w:p w14:paraId="313B339F" w14:textId="5061C7D3">
      <w:pPr>
        <w:pStyle w:val="Lista2"/>
      </w:pPr>
      <w:r>
        <w:t xml:space="preserve">and wrap both these elements </w:t>
      </w:r>
      <w:r>
        <w:t>together</w:t>
      </w:r>
      <w:r>
        <w:t xml:space="preserve"> in the element </w:t>
      </w:r>
      <w:r>
        <w:rPr>
          <w:rStyle w:val="Code"/>
        </w:rPr>
        <w:t>&lt;choice&gt;</w:t>
      </w:r>
      <w:r>
        <w:t>, indicating that either, but not both, of the two is to be read at the given locus</w:t>
      </w:r>
    </w:p>
    <w:p w14:paraId="47382D2F" w14:textId="77777777">
      <w:pPr>
        <w:pStyle w:val="Lista2"/>
      </w:pPr>
      <w:r>
        <w:t>for the sake of consistency, the received reading shall always precede the editorial reading in DHARMA editions</w:t>
      </w:r>
    </w:p>
    <w:p w14:paraId="512A366B" w14:textId="77777777">
      <w:pPr>
        <w:pStyle w:val="Lista"/>
      </w:pPr>
      <w:r>
        <w:t xml:space="preserve">for example: </w:t>
      </w:r>
      <w:r>
        <w:rPr>
          <w:rStyle w:val="Codetext"/>
        </w:rPr>
        <w:t>e</w:t>
      </w:r>
      <w:r>
        <w:rPr>
          <w:rStyle w:val="Code"/>
        </w:rPr>
        <w:t>&lt;choice&gt;&lt;orig&gt;</w:t>
      </w:r>
      <w:r>
        <w:rPr>
          <w:rStyle w:val="Codetext"/>
        </w:rPr>
        <w:t>ś</w:t>
      </w:r>
      <w:r>
        <w:rPr>
          <w:rStyle w:val="Code"/>
        </w:rPr>
        <w:t>&lt;/orig&gt;&lt;reg&gt;</w:t>
      </w:r>
      <w:r>
        <w:rPr>
          <w:rStyle w:val="Codetext"/>
        </w:rPr>
        <w:t>ṣ</w:t>
      </w:r>
      <w:r>
        <w:rPr>
          <w:rStyle w:val="Code"/>
        </w:rPr>
        <w:t>&lt;/reg&gt;&lt;/choice&gt;</w:t>
      </w:r>
      <w:r>
        <w:rPr>
          <w:rStyle w:val="Codetext"/>
        </w:rPr>
        <w:t>a</w:t>
      </w:r>
      <w:r>
        <w:t xml:space="preserve"> </w:t>
      </w:r>
      <w:r>
        <w:rPr>
          <w:noProof/>
        </w:rPr>
        <w:t>(</w:t>
      </w:r>
      <w:r>
        <w:rPr>
          <w:rStyle w:val="Foreign"/>
        </w:rPr>
        <w:t>eśa</w:t>
      </w:r>
      <w:r>
        <w:t xml:space="preserve"> normalised to </w:t>
      </w:r>
      <w:r>
        <w:rPr>
          <w:rStyle w:val="Foreign"/>
        </w:rPr>
        <w:t>eṣa</w:t>
      </w:r>
      <w:r>
        <w:t>)</w:t>
      </w:r>
    </w:p>
    <w:p w14:paraId="5B76989C" w14:textId="77777777">
      <w:pPr>
        <w:pStyle w:val="Cmsor4"/>
      </w:pPr>
      <w:bookmarkStart w:id="647" w:name="_Ref229056247"/>
      <w:r>
        <w:t>Textual integrity in substitution</w:t>
      </w:r>
      <w:bookmarkEnd w:id="647"/>
    </w:p>
    <w:p w14:paraId="6FC98E88" w14:textId="77777777">
      <w:r>
        <w:t xml:space="preserve">When rectifying an anomalous reading by substitution, keep in mind that it must always be possible to produce the pristine received text by ignoring the segment tagged with </w:t>
      </w:r>
      <w:r>
        <w:rPr>
          <w:rStyle w:val="Code"/>
        </w:rPr>
        <w:t>&lt;corr&gt;</w:t>
      </w:r>
      <w:r>
        <w:t xml:space="preserve"> or </w:t>
      </w:r>
      <w:r>
        <w:rPr>
          <w:rStyle w:val="Code"/>
        </w:rPr>
        <w:t>&lt;reg&gt;</w:t>
      </w:r>
      <w:r>
        <w:t xml:space="preserve"> and, vice versa, to produce the pure rectified text by ignoring the segment tagged with </w:t>
      </w:r>
      <w:r>
        <w:rPr>
          <w:rStyle w:val="Code"/>
        </w:rPr>
        <w:t>&lt;sic&gt;</w:t>
      </w:r>
      <w:r>
        <w:t xml:space="preserve"> or </w:t>
      </w:r>
      <w:r>
        <w:rPr>
          <w:rStyle w:val="Code"/>
        </w:rPr>
        <w:t>&lt;orig&gt;</w:t>
      </w:r>
      <w:r>
        <w:t>. In other words, the tag for the received text must contain a segment exactly corresponding to that contained in the tag for the rectified text. Word boundaries, indicated by editorial spacing or hyphenation in our editions, may be separable in only one of the textual alternatives, in which case care must be taken to include the space or hyphen only in the applicable tag, but not in the other tag or outside the encoded intervention.</w:t>
      </w:r>
    </w:p>
    <w:p w14:paraId="226DECE5" w14:textId="7F31AE20">
      <w:pPr>
        <w:pStyle w:val="Lista"/>
      </w:pPr>
      <w:r>
        <w:t>if you choose to include any context in your intervention (§</w:t>
      </w:r>
      <w:r>
        <w:fldChar w:fldCharType="begin"/>
      </w:r>
      <w:r>
        <w:instrText xml:space="preserve"> REF _Ref228973253 \r \h </w:instrText>
      </w:r>
      <w:r>
        <w:fldChar w:fldCharType="separate"/>
      </w:r>
      <w:r>
        <w:t>7.7.2</w:t>
      </w:r>
      <w:r>
        <w:fldChar w:fldCharType="end"/>
      </w:r>
      <w:r>
        <w:t>), then the context must be identically present in both of the tags, while if you exclude context, then care must be taken to exclude context from both tags; for example,</w:t>
      </w:r>
    </w:p>
    <w:p w14:paraId="6E25DFD6" w14:textId="77777777">
      <w:pPr>
        <w:pStyle w:val="Lista2"/>
      </w:pPr>
      <w:r>
        <w:t xml:space="preserve">in encoding a correction of </w:t>
      </w:r>
      <w:r>
        <w:rPr>
          <w:rStyle w:val="Foreign"/>
        </w:rPr>
        <w:t>pautrāḥ</w:t>
      </w:r>
      <w:r>
        <w:t xml:space="preserve"> to </w:t>
      </w:r>
      <w:r>
        <w:rPr>
          <w:rStyle w:val="Foreign"/>
        </w:rPr>
        <w:t>pautraḥ</w:t>
      </w:r>
      <w:r>
        <w:t>, each of the following are correct:</w:t>
      </w:r>
    </w:p>
    <w:p w14:paraId="3E08FBFE" w14:textId="77777777">
      <w:pPr>
        <w:pStyle w:val="Lista3"/>
      </w:pPr>
      <w:r>
        <w:rPr>
          <w:rStyle w:val="Codetext"/>
        </w:rPr>
        <w:t>pautr</w:t>
      </w:r>
      <w:r>
        <w:rPr>
          <w:rStyle w:val="Code"/>
        </w:rPr>
        <w:t>&lt;choice&gt;&lt;sic&gt;</w:t>
      </w:r>
      <w:r>
        <w:rPr>
          <w:rStyle w:val="Codetext"/>
        </w:rPr>
        <w:t>ā</w:t>
      </w:r>
      <w:r>
        <w:rPr>
          <w:rStyle w:val="Code"/>
        </w:rPr>
        <w:t>&lt;/sic&gt;&lt;corr&gt;</w:t>
      </w:r>
      <w:r>
        <w:rPr>
          <w:rStyle w:val="Codetext"/>
        </w:rPr>
        <w:t>a</w:t>
      </w:r>
      <w:r>
        <w:rPr>
          <w:rStyle w:val="Code"/>
        </w:rPr>
        <w:t>&lt;/corr&gt;&lt;/choice&gt;</w:t>
      </w:r>
      <w:r>
        <w:rPr>
          <w:rStyle w:val="Codetext"/>
        </w:rPr>
        <w:t>ḥ</w:t>
      </w:r>
      <w:r>
        <w:t xml:space="preserve"> </w:t>
      </w:r>
      <w:r>
        <w:rPr>
          <w:noProof/>
        </w:rPr>
        <w:t>(</w:t>
      </w:r>
      <w:r>
        <w:t>targeting a single grapheme)</w:t>
      </w:r>
    </w:p>
    <w:p w14:paraId="79B824CC" w14:textId="77777777">
      <w:pPr>
        <w:pStyle w:val="Lista3"/>
      </w:pPr>
      <w:r>
        <w:rPr>
          <w:rStyle w:val="Codetext"/>
        </w:rPr>
        <w:t>pautr</w:t>
      </w:r>
      <w:r>
        <w:rPr>
          <w:rStyle w:val="Code"/>
        </w:rPr>
        <w:t>&lt;choice&gt;&lt;sic&gt;</w:t>
      </w:r>
      <w:r>
        <w:rPr>
          <w:rStyle w:val="Codetext"/>
        </w:rPr>
        <w:t>āḥ</w:t>
      </w:r>
      <w:r>
        <w:rPr>
          <w:rStyle w:val="Code"/>
        </w:rPr>
        <w:t>&lt;/sic&gt;&lt;corr&gt;</w:t>
      </w:r>
      <w:r>
        <w:rPr>
          <w:rStyle w:val="Codetext"/>
        </w:rPr>
        <w:t>aḥ</w:t>
      </w:r>
      <w:r>
        <w:rPr>
          <w:rStyle w:val="Code"/>
        </w:rPr>
        <w:t>&lt;/corr&gt;&lt;/choice&gt;</w:t>
      </w:r>
      <w:r>
        <w:t xml:space="preserve"> </w:t>
      </w:r>
      <w:r>
        <w:rPr>
          <w:noProof/>
        </w:rPr>
        <w:t>(</w:t>
      </w:r>
      <w:r>
        <w:t>including relevant context)</w:t>
      </w:r>
    </w:p>
    <w:p w14:paraId="2868AB09" w14:textId="77777777">
      <w:pPr>
        <w:pStyle w:val="Lista3"/>
      </w:pPr>
      <w:r>
        <w:t>but each of the following are incorrect:</w:t>
      </w:r>
    </w:p>
    <w:p w14:paraId="527634BC" w14:textId="77777777">
      <w:pPr>
        <w:pStyle w:val="Lista4"/>
      </w:pPr>
      <w:r>
        <w:rPr>
          <w:rStyle w:val="Codetext"/>
        </w:rPr>
        <w:t>pautr</w:t>
      </w:r>
      <w:r>
        <w:rPr>
          <w:rStyle w:val="Code"/>
        </w:rPr>
        <w:t>&lt;choice&gt;&lt;sic&gt;</w:t>
      </w:r>
      <w:r>
        <w:rPr>
          <w:rStyle w:val="Codetext"/>
        </w:rPr>
        <w:t>āḥ</w:t>
      </w:r>
      <w:r>
        <w:rPr>
          <w:rStyle w:val="Code"/>
        </w:rPr>
        <w:t>&lt;/sic&gt;&lt;corr&gt;</w:t>
      </w:r>
      <w:r>
        <w:rPr>
          <w:rStyle w:val="Codetext"/>
        </w:rPr>
        <w:t>a</w:t>
      </w:r>
      <w:r>
        <w:rPr>
          <w:rStyle w:val="Code"/>
        </w:rPr>
        <w:t>&lt;/corr&gt;&lt;/choice&gt;</w:t>
      </w:r>
      <w:r>
        <w:rPr>
          <w:rStyle w:val="Codetext"/>
        </w:rPr>
        <w:t>ḥ</w:t>
      </w:r>
      <w:r>
        <w:t xml:space="preserve"> </w:t>
      </w:r>
      <w:r>
        <w:rPr>
          <w:noProof/>
        </w:rPr>
        <w:t>(</w:t>
      </w:r>
      <w:r>
        <w:t xml:space="preserve">this would mean a correction of </w:t>
      </w:r>
      <w:r>
        <w:rPr>
          <w:rStyle w:val="Foreign"/>
        </w:rPr>
        <w:t>pautrāḥḥ</w:t>
      </w:r>
      <w:r>
        <w:t xml:space="preserve"> to </w:t>
      </w:r>
      <w:r>
        <w:rPr>
          <w:rStyle w:val="Foreign"/>
        </w:rPr>
        <w:t>pautraḥ</w:t>
      </w:r>
      <w:r>
        <w:t>)</w:t>
      </w:r>
    </w:p>
    <w:p w14:paraId="1BD2008B" w14:textId="77777777">
      <w:pPr>
        <w:pStyle w:val="Lista4"/>
      </w:pPr>
      <w:r>
        <w:rPr>
          <w:rStyle w:val="Codetext"/>
        </w:rPr>
        <w:t>pautr</w:t>
      </w:r>
      <w:r>
        <w:rPr>
          <w:rStyle w:val="Code"/>
        </w:rPr>
        <w:t>&lt;choice&gt;&lt;sic&gt;</w:t>
      </w:r>
      <w:r>
        <w:rPr>
          <w:rStyle w:val="Codetext"/>
        </w:rPr>
        <w:t>ā</w:t>
      </w:r>
      <w:r>
        <w:rPr>
          <w:rStyle w:val="Code"/>
        </w:rPr>
        <w:t>&lt;/sic&gt;&lt;corr&gt;</w:t>
      </w:r>
      <w:r>
        <w:rPr>
          <w:rStyle w:val="Codetext"/>
        </w:rPr>
        <w:t>ra</w:t>
      </w:r>
      <w:r>
        <w:rPr>
          <w:rStyle w:val="Code"/>
        </w:rPr>
        <w:t>&lt;/corr&gt;&lt;/choice&gt;</w:t>
      </w:r>
      <w:r>
        <w:rPr>
          <w:rStyle w:val="Codetext"/>
        </w:rPr>
        <w:t>ḥ</w:t>
      </w:r>
      <w:r>
        <w:t xml:space="preserve"> </w:t>
      </w:r>
      <w:r>
        <w:rPr>
          <w:noProof/>
        </w:rPr>
        <w:t>(</w:t>
      </w:r>
      <w:r>
        <w:t xml:space="preserve">this would mean a correction of </w:t>
      </w:r>
      <w:r>
        <w:rPr>
          <w:rStyle w:val="Foreign"/>
        </w:rPr>
        <w:t>pautrāḥ</w:t>
      </w:r>
      <w:r>
        <w:t xml:space="preserve"> to </w:t>
      </w:r>
      <w:r>
        <w:rPr>
          <w:rStyle w:val="Foreign"/>
        </w:rPr>
        <w:t>pautrraḥ</w:t>
      </w:r>
      <w:r>
        <w:t>)</w:t>
      </w:r>
    </w:p>
    <w:p w14:paraId="626B8BB7" w14:textId="77777777">
      <w:pPr>
        <w:pStyle w:val="Lista4"/>
      </w:pPr>
      <w:r>
        <w:rPr>
          <w:rStyle w:val="Codetext"/>
        </w:rPr>
        <w:t>paut</w:t>
      </w:r>
      <w:r>
        <w:rPr>
          <w:rStyle w:val="Code"/>
        </w:rPr>
        <w:t>&lt;choice&gt;&lt;sic&gt;</w:t>
      </w:r>
      <w:r>
        <w:rPr>
          <w:rStyle w:val="Codetext"/>
        </w:rPr>
        <w:t>rāḥ</w:t>
      </w:r>
      <w:r>
        <w:rPr>
          <w:rStyle w:val="Code"/>
        </w:rPr>
        <w:t>&lt;/sic&gt;&lt;corr&gt;</w:t>
      </w:r>
      <w:r>
        <w:rPr>
          <w:rStyle w:val="Codetext"/>
        </w:rPr>
        <w:t>aḥ</w:t>
      </w:r>
      <w:r>
        <w:rPr>
          <w:rStyle w:val="Code"/>
        </w:rPr>
        <w:t>&lt;/corr&gt;&lt;/choice&gt;</w:t>
      </w:r>
      <w:r>
        <w:t xml:space="preserve"> </w:t>
      </w:r>
      <w:r>
        <w:rPr>
          <w:noProof/>
        </w:rPr>
        <w:t>(</w:t>
      </w:r>
      <w:r>
        <w:t xml:space="preserve">this encodes a correction of </w:t>
      </w:r>
      <w:r>
        <w:rPr>
          <w:rStyle w:val="Foreign"/>
        </w:rPr>
        <w:t>pautrāḥ</w:t>
      </w:r>
      <w:r>
        <w:t xml:space="preserve"> to </w:t>
      </w:r>
      <w:r>
        <w:rPr>
          <w:rStyle w:val="Foreign"/>
        </w:rPr>
        <w:t>pautaḥ</w:t>
      </w:r>
      <w:r>
        <w:t>)</w:t>
      </w:r>
    </w:p>
    <w:p w14:paraId="52DBE6A9" w14:textId="77777777">
      <w:pPr>
        <w:pStyle w:val="Lista2"/>
      </w:pPr>
      <w:r>
        <w:t xml:space="preserve">in encoding a normalisation of </w:t>
      </w:r>
      <w:r>
        <w:rPr>
          <w:rStyle w:val="Foreign"/>
        </w:rPr>
        <w:t>yathāruha</w:t>
      </w:r>
      <w:r>
        <w:t xml:space="preserve"> to </w:t>
      </w:r>
      <w:r>
        <w:rPr>
          <w:rStyle w:val="Foreign"/>
        </w:rPr>
        <w:t>yathārhaṁ</w:t>
      </w:r>
      <w:r>
        <w:t>, each of the following are correct:</w:t>
      </w:r>
    </w:p>
    <w:p w14:paraId="592CD2E9" w14:textId="77777777">
      <w:pPr>
        <w:pStyle w:val="Lista3"/>
      </w:pPr>
      <w:r>
        <w:rPr>
          <w:rStyle w:val="Code"/>
        </w:rPr>
        <w:t>&lt;choice&gt;&lt;orig&gt;</w:t>
      </w:r>
      <w:r>
        <w:rPr>
          <w:rStyle w:val="Codetext"/>
        </w:rPr>
        <w:t>yathāruhaṁ</w:t>
      </w:r>
      <w:r>
        <w:rPr>
          <w:rStyle w:val="Code"/>
        </w:rPr>
        <w:t>&lt;/orig&gt;&lt;reg&gt;</w:t>
      </w:r>
      <w:r>
        <w:rPr>
          <w:rStyle w:val="Codetext"/>
        </w:rPr>
        <w:t>yathārhaṁ</w:t>
      </w:r>
      <w:r>
        <w:rPr>
          <w:rStyle w:val="Code"/>
        </w:rPr>
        <w:t>&lt;/reg&gt;&lt;/choice&gt;</w:t>
      </w:r>
      <w:r>
        <w:t xml:space="preserve"> </w:t>
      </w:r>
      <w:r>
        <w:rPr>
          <w:noProof/>
        </w:rPr>
        <w:t>(</w:t>
      </w:r>
      <w:r>
        <w:t>targeting a whole word)</w:t>
      </w:r>
    </w:p>
    <w:p w14:paraId="27A4159B" w14:textId="77777777">
      <w:pPr>
        <w:pStyle w:val="Lista3"/>
      </w:pPr>
      <w:r>
        <w:rPr>
          <w:rStyle w:val="Codetext"/>
        </w:rPr>
        <w:t>yathā</w:t>
      </w:r>
      <w:r>
        <w:rPr>
          <w:rStyle w:val="Code"/>
        </w:rPr>
        <w:t>&lt;choice&gt;&lt;orig&gt;r</w:t>
      </w:r>
      <w:r>
        <w:rPr>
          <w:rStyle w:val="Codetext"/>
        </w:rPr>
        <w:t>uha</w:t>
      </w:r>
      <w:r>
        <w:rPr>
          <w:rStyle w:val="Code"/>
        </w:rPr>
        <w:t>&lt;/orig&gt;&lt;reg&gt;</w:t>
      </w:r>
      <w:r>
        <w:rPr>
          <w:rStyle w:val="Codetext"/>
        </w:rPr>
        <w:t>rhaṁ</w:t>
      </w:r>
      <w:r>
        <w:rPr>
          <w:rStyle w:val="Code"/>
        </w:rPr>
        <w:t>&lt;/reg&gt;&lt;/choice&gt;</w:t>
      </w:r>
      <w:r>
        <w:t xml:space="preserve"> </w:t>
      </w:r>
      <w:r>
        <w:rPr>
          <w:noProof/>
        </w:rPr>
        <w:t>(</w:t>
      </w:r>
      <w:r>
        <w:t>including only minimal context)</w:t>
      </w:r>
    </w:p>
    <w:p w14:paraId="5CDD906E" w14:textId="77777777">
      <w:pPr>
        <w:pStyle w:val="Lista3"/>
      </w:pPr>
      <w:r>
        <w:t>but each of the following are incorrect:</w:t>
      </w:r>
    </w:p>
    <w:p w14:paraId="3AFAC3D9" w14:textId="77777777">
      <w:pPr>
        <w:pStyle w:val="Lista3"/>
      </w:pPr>
      <w:r>
        <w:rPr>
          <w:rStyle w:val="Code"/>
        </w:rPr>
        <w:t>&lt;choice&gt;&lt;orig&gt;</w:t>
      </w:r>
      <w:r>
        <w:rPr>
          <w:rStyle w:val="Codetext"/>
        </w:rPr>
        <w:t>yathāruha</w:t>
      </w:r>
      <w:r>
        <w:rPr>
          <w:rStyle w:val="Code"/>
        </w:rPr>
        <w:t>&lt;/orig&gt;&lt;reg&gt;</w:t>
      </w:r>
      <w:r>
        <w:rPr>
          <w:rStyle w:val="Codetext"/>
        </w:rPr>
        <w:t>yathārha</w:t>
      </w:r>
      <w:r>
        <w:rPr>
          <w:rStyle w:val="Code"/>
        </w:rPr>
        <w:t>&lt;/reg&gt;&lt;/choice&gt;</w:t>
      </w:r>
      <w:r>
        <w:rPr>
          <w:rStyle w:val="Codetext"/>
        </w:rPr>
        <w:t>ṁ</w:t>
      </w:r>
      <w:r>
        <w:t xml:space="preserve"> </w:t>
      </w:r>
      <w:r>
        <w:rPr>
          <w:noProof/>
        </w:rPr>
        <w:t>(</w:t>
      </w:r>
      <w:r>
        <w:t xml:space="preserve">this encodes a normalisation of </w:t>
      </w:r>
      <w:r>
        <w:rPr>
          <w:rStyle w:val="Foreign"/>
        </w:rPr>
        <w:t>yathāruhaṁ</w:t>
      </w:r>
      <w:r>
        <w:t xml:space="preserve"> to </w:t>
      </w:r>
      <w:r>
        <w:rPr>
          <w:rStyle w:val="Foreign"/>
        </w:rPr>
        <w:t>yathārhaṁ</w:t>
      </w:r>
      <w:r>
        <w:t>)</w:t>
      </w:r>
    </w:p>
    <w:p w14:paraId="41382749" w14:textId="77777777">
      <w:pPr>
        <w:pStyle w:val="Lista3"/>
      </w:pPr>
      <w:r>
        <w:rPr>
          <w:rStyle w:val="Code"/>
        </w:rPr>
        <w:lastRenderedPageBreak/>
        <w:t>&lt;choice&gt;&lt;orig&gt;</w:t>
      </w:r>
      <w:r>
        <w:rPr>
          <w:rStyle w:val="Codetext"/>
        </w:rPr>
        <w:t>yathāruha</w:t>
      </w:r>
      <w:r>
        <w:rPr>
          <w:rStyle w:val="Code"/>
        </w:rPr>
        <w:t>&lt;/orig&gt;&lt;reg&gt;</w:t>
      </w:r>
      <w:r>
        <w:rPr>
          <w:rStyle w:val="Codetext"/>
        </w:rPr>
        <w:t>rhaṁ</w:t>
      </w:r>
      <w:r>
        <w:rPr>
          <w:rStyle w:val="Code"/>
        </w:rPr>
        <w:t>&lt;/reg&gt;&lt;/choice&gt;</w:t>
      </w:r>
      <w:r>
        <w:t xml:space="preserve"> </w:t>
      </w:r>
      <w:r>
        <w:rPr>
          <w:noProof/>
        </w:rPr>
        <w:t>(</w:t>
      </w:r>
      <w:r>
        <w:t xml:space="preserve">this encodes a normalisation of </w:t>
      </w:r>
      <w:r>
        <w:rPr>
          <w:rStyle w:val="Foreign"/>
        </w:rPr>
        <w:t>yathāruha</w:t>
      </w:r>
      <w:r>
        <w:t xml:space="preserve"> to </w:t>
      </w:r>
      <w:r>
        <w:rPr>
          <w:rStyle w:val="Foreign"/>
        </w:rPr>
        <w:t>rhaṁ</w:t>
      </w:r>
      <w:r>
        <w:t>)</w:t>
      </w:r>
    </w:p>
    <w:p w14:paraId="2247F1FD" w14:textId="77777777">
      <w:pPr>
        <w:pStyle w:val="Lista3"/>
      </w:pPr>
      <w:r>
        <w:rPr>
          <w:rStyle w:val="Codetext"/>
        </w:rPr>
        <w:t>yathār</w:t>
      </w:r>
      <w:r>
        <w:rPr>
          <w:rStyle w:val="Code"/>
        </w:rPr>
        <w:t>&lt;choice&gt;&lt;orig&gt;</w:t>
      </w:r>
      <w:r>
        <w:rPr>
          <w:rStyle w:val="Codetext"/>
        </w:rPr>
        <w:t>uha</w:t>
      </w:r>
      <w:r>
        <w:rPr>
          <w:rStyle w:val="Code"/>
        </w:rPr>
        <w:t>&lt;/orig&gt;&lt;reg&gt;</w:t>
      </w:r>
      <w:r>
        <w:rPr>
          <w:rStyle w:val="Codetext"/>
        </w:rPr>
        <w:t>rhaṁ</w:t>
      </w:r>
      <w:r>
        <w:rPr>
          <w:rStyle w:val="Code"/>
        </w:rPr>
        <w:t>&lt;/reg&gt;&lt;/choice&gt;</w:t>
      </w:r>
      <w:r>
        <w:t xml:space="preserve"> </w:t>
      </w:r>
      <w:r>
        <w:rPr>
          <w:noProof/>
        </w:rPr>
        <w:t>(</w:t>
      </w:r>
      <w:r>
        <w:t xml:space="preserve">this encodes a normalisation of </w:t>
      </w:r>
      <w:r>
        <w:rPr>
          <w:rStyle w:val="Foreign"/>
        </w:rPr>
        <w:t>yathāruha</w:t>
      </w:r>
      <w:r>
        <w:t xml:space="preserve"> to </w:t>
      </w:r>
      <w:r>
        <w:rPr>
          <w:rStyle w:val="Foreign"/>
        </w:rPr>
        <w:t>yathārrhaṁ</w:t>
      </w:r>
      <w:r>
        <w:t>)</w:t>
      </w:r>
    </w:p>
    <w:p w14:paraId="3D1B41EA" w14:textId="77777777">
      <w:pPr>
        <w:pStyle w:val="Lista"/>
      </w:pPr>
      <w:r>
        <w:t>when substitution involves a separable word boundary, take care to maintain the separation (space or hyphen) where, and only where, it is technically possible</w:t>
      </w:r>
    </w:p>
    <w:p w14:paraId="59BC8107" w14:textId="77777777">
      <w:pPr>
        <w:pStyle w:val="Lista2"/>
      </w:pPr>
      <w:r>
        <w:t>if both alternatives are separable, make sure that both are separated</w:t>
      </w:r>
    </w:p>
    <w:p w14:paraId="2FAECD46" w14:textId="77777777">
      <w:pPr>
        <w:pStyle w:val="Lista3"/>
      </w:pPr>
      <w:r>
        <w:t xml:space="preserve">e.g. </w:t>
      </w:r>
      <w:r>
        <w:rPr>
          <w:rStyle w:val="Codetext"/>
        </w:rPr>
        <w:t>dān</w:t>
      </w:r>
      <w:r>
        <w:rPr>
          <w:rStyle w:val="Code"/>
        </w:rPr>
        <w:t>&lt;choice&gt;&lt;orig&gt;</w:t>
      </w:r>
      <w:r>
        <w:rPr>
          <w:rStyle w:val="Codetext"/>
        </w:rPr>
        <w:t>ā ś</w:t>
      </w:r>
      <w:r>
        <w:rPr>
          <w:rStyle w:val="Code"/>
        </w:rPr>
        <w:t>&lt;/orig&gt;&lt;reg&gt;</w:t>
      </w:r>
      <w:r>
        <w:rPr>
          <w:rStyle w:val="Codetext"/>
        </w:rPr>
        <w:t>āc ch</w:t>
      </w:r>
      <w:r>
        <w:rPr>
          <w:rStyle w:val="Code"/>
        </w:rPr>
        <w:t>&lt;/reg&gt;&lt;/choice&gt;</w:t>
      </w:r>
      <w:r>
        <w:rPr>
          <w:rStyle w:val="Codetext"/>
        </w:rPr>
        <w:t>reyo</w:t>
      </w:r>
    </w:p>
    <w:p w14:paraId="6005C733" w14:textId="77777777">
      <w:pPr>
        <w:pStyle w:val="Lista2"/>
      </w:pPr>
      <w:r>
        <w:t>if only the received alternative is separable, make sure the rectified alternative is not separated</w:t>
      </w:r>
    </w:p>
    <w:p w14:paraId="58B7E863" w14:textId="77777777">
      <w:pPr>
        <w:pStyle w:val="Lista3"/>
      </w:pPr>
      <w:r>
        <w:t xml:space="preserve">e.g. </w:t>
      </w:r>
      <w:r>
        <w:rPr>
          <w:rStyle w:val="Code"/>
        </w:rPr>
        <w:t>&lt;choice&gt;&lt;orig&gt;</w:t>
      </w:r>
      <w:r>
        <w:rPr>
          <w:rStyle w:val="Codetext"/>
        </w:rPr>
        <w:t>puṇya-vividuye</w:t>
      </w:r>
      <w:r>
        <w:rPr>
          <w:rStyle w:val="Code"/>
        </w:rPr>
        <w:t>&lt;/orig&gt;&lt;reg&gt;</w:t>
      </w:r>
      <w:r>
        <w:rPr>
          <w:rStyle w:val="Codetext"/>
        </w:rPr>
        <w:t>puṇyābhivr̥ddhaye</w:t>
      </w:r>
      <w:r>
        <w:rPr>
          <w:rStyle w:val="Code"/>
        </w:rPr>
        <w:t>&lt;/reg&gt;&lt;/choice&gt;</w:t>
      </w:r>
    </w:p>
    <w:p w14:paraId="225AF748" w14:textId="77777777">
      <w:pPr>
        <w:pStyle w:val="Lista2"/>
      </w:pPr>
      <w:r>
        <w:t>if only the rectified alternative is separable, make sure the received alternative is not separated</w:t>
      </w:r>
    </w:p>
    <w:p w14:paraId="16CD4C6A" w14:textId="77777777">
      <w:pPr>
        <w:pStyle w:val="Lista3"/>
        <w:rPr>
          <w:rStyle w:val="Codetext"/>
          <w:rFonts w:ascii="Gentium" w:hAnsi="Gentium" w:cs="Tiro Devanagari Sanskrit"/>
          <w:noProof w:val="0"/>
          <w:color w:val="auto"/>
          <w:shd w:val="clear" w:color="auto" w:fill="auto"/>
        </w:rPr>
      </w:pPr>
      <w:r>
        <w:t xml:space="preserve">e.g. </w:t>
      </w:r>
      <w:r>
        <w:rPr>
          <w:rStyle w:val="Codetext"/>
        </w:rPr>
        <w:t>umula</w:t>
      </w:r>
      <w:r>
        <w:rPr>
          <w:rStyle w:val="Code"/>
        </w:rPr>
        <w:t>&lt;choice&gt;&lt;orig&gt;</w:t>
      </w:r>
      <w:r>
        <w:rPr>
          <w:rStyle w:val="Codetext"/>
        </w:rPr>
        <w:t>t</w:t>
      </w:r>
      <w:r>
        <w:rPr>
          <w:rStyle w:val="Code"/>
        </w:rPr>
        <w:t>&lt;/orig&gt;&lt;reg&gt;</w:t>
      </w:r>
      <w:r>
        <w:rPr>
          <w:rStyle w:val="Codetext"/>
        </w:rPr>
        <w:t>t t</w:t>
      </w:r>
      <w:r>
        <w:rPr>
          <w:rStyle w:val="Code"/>
        </w:rPr>
        <w:t>&lt;/reg&gt;&lt;/choice&gt;</w:t>
      </w:r>
      <w:r>
        <w:rPr>
          <w:rStyle w:val="Codetext"/>
        </w:rPr>
        <w:t>a</w:t>
      </w:r>
    </w:p>
    <w:p w14:paraId="5CF94E61" w14:textId="733FA81F">
      <w:pPr>
        <w:pStyle w:val="Lista2"/>
      </w:pPr>
      <w:r>
        <w:t>see also §</w:t>
      </w:r>
      <w:r>
        <w:fldChar w:fldCharType="begin"/>
      </w:r>
      <w:r>
        <w:instrText xml:space="preserve"> REF _Ref232068629 \r \h </w:instrText>
      </w:r>
      <w:r>
        <w:fldChar w:fldCharType="separate"/>
      </w:r>
      <w:r>
        <w:t>7.8.1.1</w:t>
      </w:r>
      <w:r>
        <w:fldChar w:fldCharType="end"/>
      </w:r>
      <w:r>
        <w:t xml:space="preserve"> about the need to avoid spaces at the beginning and end of text-containing elements</w:t>
      </w:r>
    </w:p>
    <w:p w14:paraId="6340D134" w14:textId="77777777">
      <w:pPr>
        <w:pStyle w:val="Cmsor3"/>
      </w:pPr>
      <w:bookmarkStart w:id="648" w:name="_Ref229054665"/>
      <w:bookmarkStart w:id="649" w:name="_Ref229056282"/>
      <w:bookmarkStart w:id="650" w:name="_Toc242889544"/>
      <w:bookmarkEnd w:id="646"/>
      <w:r>
        <w:t>Suppression: editorial deletion of superfluous text</w:t>
      </w:r>
      <w:bookmarkEnd w:id="648"/>
      <w:bookmarkEnd w:id="649"/>
      <w:bookmarkEnd w:id="650"/>
    </w:p>
    <w:p w14:paraId="48A69C4B" w14:textId="37445AFA">
      <w:r>
        <w:t>As noted in §</w:t>
      </w:r>
      <w:r>
        <w:fldChar w:fldCharType="begin"/>
      </w:r>
      <w:r>
        <w:instrText xml:space="preserve"> REF _Ref228885762 \r \h </w:instrText>
      </w:r>
      <w:r>
        <w:fldChar w:fldCharType="separate"/>
      </w:r>
      <w:r>
        <w:t>7.2.1</w:t>
      </w:r>
      <w:r>
        <w:fldChar w:fldCharType="end"/>
      </w:r>
      <w:r>
        <w:t>, editorial suppression is only used in DHARMA practice for superfluous graphemes written by mistake. When non-standard language can be normalised by removing one or more specific graphemes, use the generic encoding for normalisation by substitution (§</w:t>
      </w:r>
      <w:r>
        <w:fldChar w:fldCharType="begin"/>
      </w:r>
      <w:r>
        <w:instrText xml:space="preserve"> REF _Ref228885848 \r \h </w:instrText>
      </w:r>
      <w:r>
        <w:fldChar w:fldCharType="separate"/>
      </w:r>
      <w:r>
        <w:t>7.5.1.2</w:t>
      </w:r>
      <w:r>
        <w:fldChar w:fldCharType="end"/>
      </w:r>
      <w:r>
        <w:t>), with additional guidance on good practice in §</w:t>
      </w:r>
      <w:r>
        <w:fldChar w:fldCharType="begin"/>
      </w:r>
      <w:r>
        <w:instrText xml:space="preserve"> REF _Ref228957347 \r \h </w:instrText>
      </w:r>
      <w:r>
        <w:fldChar w:fldCharType="separate"/>
      </w:r>
      <w:r>
        <w:t>7.7.2.1</w:t>
      </w:r>
      <w:r>
        <w:fldChar w:fldCharType="end"/>
      </w:r>
      <w:r>
        <w:t>.</w:t>
      </w:r>
    </w:p>
    <w:p w14:paraId="3AC6D25F" w14:textId="77777777">
      <w:pPr>
        <w:pStyle w:val="Lista"/>
      </w:pPr>
      <w:r>
        <w:t xml:space="preserve">to suppress superfluous graphemes deemed to be written by mistake, enclose the superfluous text in the element </w:t>
      </w:r>
      <w:r>
        <w:rPr>
          <w:rStyle w:val="Code"/>
        </w:rPr>
        <w:t>&lt;surplus&gt;</w:t>
      </w:r>
    </w:p>
    <w:p w14:paraId="78815A47" w14:textId="721CC516">
      <w:pPr>
        <w:pStyle w:val="Lista2"/>
      </w:pPr>
      <w:r>
        <w:t>before encoding editorial deletion, be sure that you have read and understood §</w:t>
      </w:r>
      <w:r>
        <w:fldChar w:fldCharType="begin"/>
      </w:r>
      <w:r>
        <w:instrText xml:space="preserve"> REF _Ref228952859 \r \h </w:instrText>
      </w:r>
      <w:r>
        <w:fldChar w:fldCharType="separate"/>
      </w:r>
      <w:r>
        <w:t>7.7.1</w:t>
      </w:r>
      <w:r>
        <w:fldChar w:fldCharType="end"/>
      </w:r>
    </w:p>
    <w:p w14:paraId="157158D8" w14:textId="77777777">
      <w:pPr>
        <w:pStyle w:val="Lista"/>
      </w:pPr>
      <w:r>
        <w:t>suppression is normally applicable to instances of dittography (repetition) involving graphically separable chunks of writing, including</w:t>
      </w:r>
    </w:p>
    <w:p w14:paraId="386A2478" w14:textId="77777777">
      <w:pPr>
        <w:pStyle w:val="Lista2"/>
      </w:pPr>
      <w:r>
        <w:t xml:space="preserve">erroneous repetition of words, e.g. </w:t>
      </w:r>
      <w:r>
        <w:rPr>
          <w:rStyle w:val="Codetext"/>
        </w:rPr>
        <w:t xml:space="preserve">veda-vyāsena vyāsena </w:t>
      </w:r>
      <w:r>
        <w:rPr>
          <w:rStyle w:val="Code"/>
        </w:rPr>
        <w:t>&lt;surplus&gt;</w:t>
      </w:r>
      <w:r>
        <w:rPr>
          <w:rStyle w:val="Codetext"/>
        </w:rPr>
        <w:t>vyāsena</w:t>
      </w:r>
      <w:r>
        <w:rPr>
          <w:rStyle w:val="Code"/>
        </w:rPr>
        <w:t>&lt;/surplus&gt;</w:t>
      </w:r>
      <w:r>
        <w:t xml:space="preserve"> </w:t>
      </w:r>
      <w:r>
        <w:rPr>
          <w:noProof/>
        </w:rPr>
        <w:t>(</w:t>
      </w:r>
      <w:r>
        <w:t xml:space="preserve">three iterations of </w:t>
      </w:r>
      <w:r>
        <w:rPr>
          <w:rStyle w:val="Foreign"/>
        </w:rPr>
        <w:t>vyāsena</w:t>
      </w:r>
      <w:r>
        <w:t xml:space="preserve"> where two iterations are correct)</w:t>
      </w:r>
    </w:p>
    <w:p w14:paraId="5B05ECCE" w14:textId="77777777">
      <w:pPr>
        <w:pStyle w:val="Lista2"/>
      </w:pPr>
      <w:r>
        <w:t xml:space="preserve">erroneous repetition of </w:t>
      </w:r>
      <w:r>
        <w:rPr>
          <w:rStyle w:val="Foreign"/>
        </w:rPr>
        <w:t>akṣara</w:t>
      </w:r>
      <w:r>
        <w:rPr>
          <w:rStyle w:val="Foreign"/>
          <w:i w:val="0"/>
          <w:iCs w:val="0"/>
        </w:rPr>
        <w:t>s</w:t>
      </w:r>
      <w:r>
        <w:t xml:space="preserve">, e.g. </w:t>
      </w:r>
      <w:r>
        <w:rPr>
          <w:rStyle w:val="Codetext"/>
        </w:rPr>
        <w:t>naika-samara-śata</w:t>
      </w:r>
      <w:r>
        <w:rPr>
          <w:rStyle w:val="Code"/>
        </w:rPr>
        <w:t>&lt;surplus&gt;</w:t>
      </w:r>
      <w:r>
        <w:rPr>
          <w:rStyle w:val="Codetext"/>
        </w:rPr>
        <w:t>ta</w:t>
      </w:r>
      <w:r>
        <w:rPr>
          <w:rStyle w:val="Code"/>
        </w:rPr>
        <w:t>&lt;/surplus&gt;</w:t>
      </w:r>
      <w:r>
        <w:rPr>
          <w:rStyle w:val="Codetext"/>
        </w:rPr>
        <w:t>vijayinā</w:t>
      </w:r>
      <w:r>
        <w:t xml:space="preserve"> </w:t>
      </w:r>
      <w:r>
        <w:rPr>
          <w:noProof/>
        </w:rPr>
        <w:t>(</w:t>
      </w:r>
      <w:r>
        <w:rPr>
          <w:rStyle w:val="Foreign"/>
        </w:rPr>
        <w:t>śatata</w:t>
      </w:r>
      <w:r>
        <w:t xml:space="preserve"> was inscribed instead of </w:t>
      </w:r>
      <w:r>
        <w:rPr>
          <w:rStyle w:val="Foreign"/>
        </w:rPr>
        <w:t>śata</w:t>
      </w:r>
      <w:r>
        <w:t>)</w:t>
      </w:r>
    </w:p>
    <w:p w14:paraId="0D5A732E" w14:textId="33AD1ADC">
      <w:pPr>
        <w:pStyle w:val="Lista"/>
      </w:pPr>
      <w:r>
        <w:t>when individual and graphically inseparable superfluous graphemes appear for a reason other than erroneous repetition, choose at your discretion whether to treat them as mistakes and suppress them, or to treat them as non-standard usage and flag them (§</w:t>
      </w:r>
      <w:r>
        <w:fldChar w:fldCharType="begin"/>
      </w:r>
      <w:r>
        <w:instrText xml:space="preserve"> REF _Ref228886903 \r \h </w:instrText>
      </w:r>
      <w:r>
        <w:fldChar w:fldCharType="separate"/>
      </w:r>
      <w:r>
        <w:t>7.4.2</w:t>
      </w:r>
      <w:r>
        <w:fldChar w:fldCharType="end"/>
      </w:r>
      <w:r>
        <w:t>) without suppression or rectify them by substitution (§</w:t>
      </w:r>
      <w:r>
        <w:fldChar w:fldCharType="begin"/>
      </w:r>
      <w:r>
        <w:instrText xml:space="preserve"> REF _Ref228888134 \r \h </w:instrText>
      </w:r>
      <w:r>
        <w:fldChar w:fldCharType="separate"/>
      </w:r>
      <w:r>
        <w:t>7.5.1.2</w:t>
      </w:r>
      <w:r>
        <w:fldChar w:fldCharType="end"/>
      </w:r>
      <w:r>
        <w:t>), including cases such as</w:t>
      </w:r>
    </w:p>
    <w:p w14:paraId="72867504" w14:textId="5B4EBFBE">
      <w:pPr>
        <w:pStyle w:val="Lista2"/>
      </w:pPr>
      <w:r>
        <w:t xml:space="preserve">hypercorrection, e.g. </w:t>
      </w:r>
      <w:r>
        <w:rPr>
          <w:rStyle w:val="Foreign"/>
        </w:rPr>
        <w:t>dattaḥs tataḥ</w:t>
      </w:r>
    </w:p>
    <w:p w14:paraId="6201651B" w14:textId="5AF9FA16">
      <w:pPr>
        <w:pStyle w:val="Lista3"/>
        <w:rPr>
          <w:rStyle w:val="Codetext"/>
          <w:rFonts w:ascii="Gentium" w:hAnsi="Gentium" w:cs="Tiro Devanagari Sanskrit"/>
          <w:noProof w:val="0"/>
          <w:color w:val="auto"/>
          <w:shd w:val="clear" w:color="auto" w:fill="auto"/>
        </w:rPr>
      </w:pPr>
      <w:r>
        <w:t xml:space="preserve">suppressed as error: </w:t>
      </w:r>
      <w:r>
        <w:rPr>
          <w:rStyle w:val="Codetext"/>
        </w:rPr>
        <w:t>datta</w:t>
      </w:r>
      <w:r>
        <w:rPr>
          <w:rStyle w:val="Code"/>
        </w:rPr>
        <w:t>&lt;surplus&gt;</w:t>
      </w:r>
      <w:r>
        <w:rPr>
          <w:rStyle w:val="Codetext"/>
        </w:rPr>
        <w:t>ḥ</w:t>
      </w:r>
      <w:r>
        <w:rPr>
          <w:rStyle w:val="Code"/>
        </w:rPr>
        <w:t>&lt;/surplus&gt;</w:t>
      </w:r>
      <w:r>
        <w:rPr>
          <w:rStyle w:val="Codetext"/>
        </w:rPr>
        <w:t>s tataḥ</w:t>
      </w:r>
    </w:p>
    <w:p w14:paraId="01F72100" w14:textId="4EC9499D">
      <w:pPr>
        <w:pStyle w:val="Lista3"/>
      </w:pPr>
      <w:r>
        <w:t xml:space="preserve">flagged as non-standard: </w:t>
      </w:r>
      <w:r>
        <w:rPr>
          <w:rStyle w:val="Codetext"/>
        </w:rPr>
        <w:t>datta</w:t>
      </w:r>
      <w:r>
        <w:rPr>
          <w:rStyle w:val="Code"/>
        </w:rPr>
        <w:t>&lt;</w:t>
      </w:r>
      <w:r>
        <w:rPr>
          <w:rStyle w:val="Code"/>
        </w:rPr>
        <w:t>orig</w:t>
      </w:r>
      <w:r>
        <w:rPr>
          <w:rStyle w:val="Code"/>
        </w:rPr>
        <w:t>&gt;</w:t>
      </w:r>
      <w:r>
        <w:rPr>
          <w:rStyle w:val="Codetext"/>
        </w:rPr>
        <w:t>ḥ</w:t>
      </w:r>
      <w:r>
        <w:rPr>
          <w:rStyle w:val="Code"/>
        </w:rPr>
        <w:t>&lt;/</w:t>
      </w:r>
      <w:r>
        <w:rPr>
          <w:rStyle w:val="Code"/>
        </w:rPr>
        <w:t>orig</w:t>
      </w:r>
      <w:r>
        <w:rPr>
          <w:rStyle w:val="Code"/>
        </w:rPr>
        <w:t>&gt;</w:t>
      </w:r>
      <w:r>
        <w:rPr>
          <w:rStyle w:val="Codetext"/>
        </w:rPr>
        <w:t>s tataḥ</w:t>
      </w:r>
    </w:p>
    <w:p w14:paraId="5BBBB3F1" w14:textId="27D7196D">
      <w:pPr>
        <w:pStyle w:val="Lista3"/>
      </w:pPr>
      <w:r>
        <w:t xml:space="preserve">normalised: </w:t>
      </w:r>
      <w:r>
        <w:rPr>
          <w:rStyle w:val="Codetext"/>
        </w:rPr>
        <w:t>datta</w:t>
      </w:r>
      <w:r>
        <w:rPr>
          <w:rStyle w:val="Code"/>
        </w:rPr>
        <w:t>&lt;choice&gt;&lt;orig&gt;</w:t>
      </w:r>
      <w:r>
        <w:rPr>
          <w:rStyle w:val="Codetext"/>
        </w:rPr>
        <w:t>ḥs</w:t>
      </w:r>
      <w:r>
        <w:rPr>
          <w:rStyle w:val="Code"/>
        </w:rPr>
        <w:t>&lt;/orig&gt;&lt;reg&gt;</w:t>
      </w:r>
      <w:r>
        <w:rPr>
          <w:rStyle w:val="Codetext"/>
        </w:rPr>
        <w:t>s</w:t>
      </w:r>
      <w:r>
        <w:rPr>
          <w:rStyle w:val="Code"/>
        </w:rPr>
        <w:t>&lt;/reg&gt;&lt;/choice&gt;</w:t>
      </w:r>
      <w:r>
        <w:rPr>
          <w:rStyle w:val="Codetext"/>
        </w:rPr>
        <w:t xml:space="preserve"> </w:t>
      </w:r>
      <w:r>
        <w:rPr>
          <w:rStyle w:val="Codetext"/>
        </w:rPr>
        <w:t>tataḥ</w:t>
      </w:r>
    </w:p>
    <w:p w14:paraId="7435E2C9" w14:textId="44181B47">
      <w:pPr>
        <w:pStyle w:val="Lista2"/>
      </w:pPr>
      <w:r>
        <w:t xml:space="preserve">pre-nasalisation, e.g. </w:t>
      </w:r>
      <w:r>
        <w:rPr>
          <w:rStyle w:val="Foreign"/>
        </w:rPr>
        <w:t>putrāṇāṁm api</w:t>
      </w:r>
    </w:p>
    <w:p w14:paraId="6A909BE4" w14:textId="7D75C7E7">
      <w:pPr>
        <w:pStyle w:val="Lista3"/>
        <w:rPr>
          <w:rStyle w:val="Code"/>
          <w:rFonts w:ascii="Gentium" w:hAnsi="Gentium" w:cs="Tiro Devanagari Sanskrit"/>
          <w:noProof w:val="0"/>
          <w:color w:val="auto"/>
          <w:shd w:val="clear" w:color="auto" w:fill="auto"/>
        </w:rPr>
      </w:pPr>
      <w:r>
        <w:t xml:space="preserve">suppressed as error: </w:t>
      </w:r>
      <w:r>
        <w:rPr>
          <w:rStyle w:val="Codetext"/>
        </w:rPr>
        <w:t>putrāṇā</w:t>
      </w:r>
      <w:r>
        <w:rPr>
          <w:rStyle w:val="Code"/>
        </w:rPr>
        <w:t>&lt;surplus&gt;</w:t>
      </w:r>
      <w:r>
        <w:rPr>
          <w:rStyle w:val="Codetext"/>
        </w:rPr>
        <w:t>ṁ</w:t>
      </w:r>
      <w:r>
        <w:rPr>
          <w:rStyle w:val="Code"/>
        </w:rPr>
        <w:t>&lt;/surplus&gt;m api</w:t>
      </w:r>
    </w:p>
    <w:p w14:paraId="72539CF0" w14:textId="3C205B0B">
      <w:pPr>
        <w:pStyle w:val="Lista3"/>
      </w:pPr>
      <w:r>
        <w:t xml:space="preserve">flagged as non-standard: </w:t>
      </w:r>
      <w:r>
        <w:rPr>
          <w:rStyle w:val="Codetext"/>
        </w:rPr>
        <w:t>putrāṇā</w:t>
      </w:r>
      <w:r>
        <w:rPr>
          <w:rStyle w:val="Code"/>
        </w:rPr>
        <w:t>&lt;</w:t>
      </w:r>
      <w:r>
        <w:rPr>
          <w:rStyle w:val="Code"/>
        </w:rPr>
        <w:t>orig</w:t>
      </w:r>
      <w:r>
        <w:rPr>
          <w:rStyle w:val="Code"/>
        </w:rPr>
        <w:t>&gt;</w:t>
      </w:r>
      <w:r>
        <w:rPr>
          <w:rStyle w:val="Codetext"/>
        </w:rPr>
        <w:t>ṁ</w:t>
      </w:r>
      <w:r>
        <w:rPr>
          <w:rStyle w:val="Code"/>
        </w:rPr>
        <w:t>&lt;/</w:t>
      </w:r>
      <w:r>
        <w:rPr>
          <w:rStyle w:val="Code"/>
        </w:rPr>
        <w:t>orig</w:t>
      </w:r>
      <w:r>
        <w:rPr>
          <w:rStyle w:val="Code"/>
        </w:rPr>
        <w:t>&gt;m api</w:t>
      </w:r>
    </w:p>
    <w:p w14:paraId="46072C46" w14:textId="4BE02E0E">
      <w:pPr>
        <w:pStyle w:val="Lista3"/>
      </w:pPr>
      <w:r>
        <w:t>normalised</w:t>
      </w:r>
      <w:r>
        <w:t xml:space="preserve">: </w:t>
      </w:r>
      <w:r>
        <w:rPr>
          <w:rStyle w:val="Codetext"/>
        </w:rPr>
        <w:t>putrāṇā</w:t>
      </w:r>
      <w:r>
        <w:rPr>
          <w:rStyle w:val="Code"/>
        </w:rPr>
        <w:t>&lt;choice&gt;&lt;orig&gt;</w:t>
      </w:r>
      <w:r>
        <w:rPr>
          <w:rStyle w:val="Codetext"/>
        </w:rPr>
        <w:t>ṁm</w:t>
      </w:r>
      <w:r>
        <w:rPr>
          <w:rStyle w:val="Code"/>
        </w:rPr>
        <w:t>&lt;/orig&gt;&lt;reg&gt;</w:t>
      </w:r>
      <w:r>
        <w:rPr>
          <w:rStyle w:val="Codetext"/>
        </w:rPr>
        <w:t>m</w:t>
      </w:r>
      <w:r>
        <w:rPr>
          <w:rStyle w:val="Code"/>
        </w:rPr>
        <w:t>&lt;/reg&gt;&lt;/choice&gt;</w:t>
      </w:r>
      <w:r>
        <w:rPr>
          <w:rStyle w:val="Codetext"/>
        </w:rPr>
        <w:t xml:space="preserve"> </w:t>
      </w:r>
      <w:r>
        <w:rPr>
          <w:rStyle w:val="Codetext"/>
        </w:rPr>
        <w:t>api</w:t>
      </w:r>
    </w:p>
    <w:p w14:paraId="48B966EC" w14:textId="77777777">
      <w:pPr>
        <w:pStyle w:val="Cmsor3"/>
      </w:pPr>
      <w:bookmarkStart w:id="651" w:name="_mhw0d0be1rtp" w:colFirst="0" w:colLast="0"/>
      <w:bookmarkStart w:id="652" w:name="_Ref228873746"/>
      <w:bookmarkStart w:id="653" w:name="_Ref229056324"/>
      <w:bookmarkStart w:id="654" w:name="_Toc242889545"/>
      <w:bookmarkEnd w:id="651"/>
      <w:r>
        <w:t>Restitution</w:t>
      </w:r>
      <w:bookmarkEnd w:id="652"/>
      <w:r>
        <w:t>: editorial addition of omitted text</w:t>
      </w:r>
      <w:bookmarkEnd w:id="653"/>
      <w:bookmarkEnd w:id="654"/>
    </w:p>
    <w:p w14:paraId="0BAE578F" w14:textId="7C3C334B">
      <w:r>
        <w:t>As noted in §</w:t>
      </w:r>
      <w:r>
        <w:fldChar w:fldCharType="begin"/>
      </w:r>
      <w:r>
        <w:instrText xml:space="preserve"> REF _Ref228885762 \r \h </w:instrText>
      </w:r>
      <w:r>
        <w:fldChar w:fldCharType="separate"/>
      </w:r>
      <w:r>
        <w:t>7.2.1</w:t>
      </w:r>
      <w:r>
        <w:fldChar w:fldCharType="end"/>
      </w:r>
      <w:r>
        <w:t>, editorial restitution is only used in DHARMA practice for supplying text omitted by mistake. When non-standard text can be normalised by adding one or more specific graphemes, use the generic encoding for normalisation by substitution (§</w:t>
      </w:r>
      <w:r>
        <w:fldChar w:fldCharType="begin"/>
      </w:r>
      <w:r>
        <w:instrText xml:space="preserve"> REF _Ref228885848 \r \h </w:instrText>
      </w:r>
      <w:r>
        <w:fldChar w:fldCharType="separate"/>
      </w:r>
      <w:r>
        <w:t>7.5.1.2</w:t>
      </w:r>
      <w:r>
        <w:fldChar w:fldCharType="end"/>
      </w:r>
      <w:r>
        <w:t>), with additional guidance on good practice in §</w:t>
      </w:r>
      <w:r>
        <w:fldChar w:fldCharType="begin"/>
      </w:r>
      <w:r>
        <w:instrText xml:space="preserve"> REF _Ref228957347 \r \h </w:instrText>
      </w:r>
      <w:r>
        <w:fldChar w:fldCharType="separate"/>
      </w:r>
      <w:r>
        <w:t>7.7.2.1</w:t>
      </w:r>
      <w:r>
        <w:fldChar w:fldCharType="end"/>
      </w:r>
      <w:r>
        <w:t>.</w:t>
      </w:r>
    </w:p>
    <w:p w14:paraId="3A61CB09" w14:textId="16A1BB37">
      <w:pPr>
        <w:pStyle w:val="Normlbehzs"/>
      </w:pPr>
      <w:r>
        <w:t>Scribal omissions that you do not correct are to be encoded as per §</w:t>
      </w:r>
      <w:r>
        <w:fldChar w:fldCharType="begin"/>
      </w:r>
      <w:r>
        <w:instrText xml:space="preserve"> REF _Ref228887612 \r \h </w:instrText>
      </w:r>
      <w:r>
        <w:fldChar w:fldCharType="separate"/>
      </w:r>
      <w:r>
        <w:t>7.6</w:t>
      </w:r>
      <w:r>
        <w:fldChar w:fldCharType="end"/>
      </w:r>
      <w:r>
        <w:t>, while omissions corrected by a premodern editor on the original support are covered under §</w:t>
      </w:r>
      <w:r>
        <w:fldChar w:fldCharType="begin"/>
      </w:r>
      <w:r>
        <w:instrText xml:space="preserve"> REF _Ref43978471 \r \h </w:instrText>
      </w:r>
      <w:r>
        <w:fldChar w:fldCharType="separate"/>
      </w:r>
      <w:r>
        <w:t>5.6.2</w:t>
      </w:r>
      <w:r>
        <w:fldChar w:fldCharType="end"/>
      </w:r>
      <w:r>
        <w:t>.</w:t>
      </w:r>
    </w:p>
    <w:p w14:paraId="54B6FA0D" w14:textId="387B0088">
      <w:pPr>
        <w:pStyle w:val="Normlbehzs"/>
      </w:pPr>
      <w:r>
        <w:t>Neither punctuation nor numbering must be supplied at the ends of stanzas or verse lines in DHARMA editions, because the encoding of verse containers (§</w:t>
      </w:r>
      <w:r>
        <w:fldChar w:fldCharType="begin"/>
      </w:r>
      <w:r>
        <w:instrText xml:space="preserve"> REF _Ref224740501 \r \h </w:instrText>
      </w:r>
      <w:r>
        <w:fldChar w:fldCharType="separate"/>
      </w:r>
      <w:r>
        <w:t>3.2.2</w:t>
      </w:r>
      <w:r>
        <w:fldChar w:fldCharType="end"/>
      </w:r>
      <w:r>
        <w:t>) takes care of the segmentation and numeration of metrical units. Guidance for adding editorial punctuation in other situations is given in §</w:t>
      </w:r>
      <w:r>
        <w:fldChar w:fldCharType="begin"/>
      </w:r>
      <w:r>
        <w:instrText xml:space="preserve"> REF _Ref229060537 \r \h </w:instrText>
      </w:r>
      <w:r>
        <w:fldChar w:fldCharType="separate"/>
      </w:r>
      <w:r>
        <w:t>7.8.3</w:t>
      </w:r>
      <w:r>
        <w:fldChar w:fldCharType="end"/>
      </w:r>
      <w:r>
        <w:t xml:space="preserve">, and editorial </w:t>
      </w:r>
      <w:r>
        <w:rPr>
          <w:rStyle w:val="Foreign"/>
        </w:rPr>
        <w:t>avagraha</w:t>
      </w:r>
      <w:r>
        <w:t xml:space="preserve"> is addressed in §</w:t>
      </w:r>
      <w:r>
        <w:fldChar w:fldCharType="begin"/>
      </w:r>
      <w:r>
        <w:instrText xml:space="preserve"> REF _Ref229062653 \r \h </w:instrText>
      </w:r>
      <w:r>
        <w:fldChar w:fldCharType="separate"/>
      </w:r>
      <w:r>
        <w:t>7.8.3</w:t>
      </w:r>
      <w:r>
        <w:fldChar w:fldCharType="end"/>
      </w:r>
      <w:r>
        <w:t>.</w:t>
      </w:r>
    </w:p>
    <w:p w14:paraId="0AA3A024" w14:textId="09531608">
      <w:pPr>
        <w:pStyle w:val="Lista"/>
      </w:pPr>
      <w:r>
        <w:lastRenderedPageBreak/>
        <w:t xml:space="preserve">to restitute graphemes deemed to be omitted by mistake, enclose the added text in the element </w:t>
      </w:r>
      <w:r>
        <w:rPr>
          <w:rStyle w:val="Code"/>
        </w:rPr>
        <w:t>&lt;supplied&gt;</w:t>
      </w:r>
      <w:r>
        <w:t xml:space="preserve"> using the mandatory attribute </w:t>
      </w:r>
      <w:r>
        <w:rPr>
          <w:rStyle w:val="Codeattribute"/>
        </w:rPr>
        <w:t>@reason</w:t>
      </w:r>
      <w:r>
        <w:t xml:space="preserve"> with the value </w:t>
      </w:r>
      <w:r>
        <w:rPr>
          <w:rStyle w:val="Codevalue"/>
        </w:rPr>
        <w:t>"omitted"</w:t>
      </w:r>
      <w:r>
        <w:t xml:space="preserve"> to distinguish this from a restoration of a lacuna </w:t>
      </w:r>
      <w:r>
        <w:rPr>
          <w:noProof/>
        </w:rPr>
        <w:t>(</w:t>
      </w:r>
      <w:r>
        <w:t>§</w:t>
      </w:r>
      <w:r>
        <w:fldChar w:fldCharType="begin"/>
      </w:r>
      <w:r>
        <w:instrText xml:space="preserve"> REF _Ref43979611 \r \h </w:instrText>
      </w:r>
      <w:r>
        <w:fldChar w:fldCharType="separate"/>
      </w:r>
      <w:r>
        <w:t>6.4</w:t>
      </w:r>
      <w:r>
        <w:fldChar w:fldCharType="end"/>
      </w:r>
      <w:r>
        <w:t>)</w:t>
      </w:r>
    </w:p>
    <w:p w14:paraId="42432945" w14:textId="146442A7">
      <w:pPr>
        <w:pStyle w:val="Lista2"/>
      </w:pPr>
      <w:r>
        <w:t>before encoding editorial addition, be sure that you have read and understood §</w:t>
      </w:r>
      <w:r>
        <w:fldChar w:fldCharType="begin"/>
      </w:r>
      <w:r>
        <w:instrText xml:space="preserve"> REF _Ref228952859 \r \h </w:instrText>
      </w:r>
      <w:r>
        <w:fldChar w:fldCharType="separate"/>
      </w:r>
      <w:r>
        <w:t>7.7.1</w:t>
      </w:r>
      <w:r>
        <w:fldChar w:fldCharType="end"/>
      </w:r>
    </w:p>
    <w:p w14:paraId="25930BA4" w14:textId="77777777">
      <w:pPr>
        <w:pStyle w:val="Lista"/>
      </w:pPr>
      <w:r>
        <w:t>restitution is normally applicable to the omission of graphically separable chunks of writing, including</w:t>
      </w:r>
    </w:p>
    <w:p w14:paraId="153268AC" w14:textId="77777777">
      <w:pPr>
        <w:pStyle w:val="Lista2"/>
      </w:pPr>
      <w:r>
        <w:t xml:space="preserve">omitted </w:t>
      </w:r>
      <w:r>
        <w:rPr>
          <w:rStyle w:val="Foreign"/>
        </w:rPr>
        <w:t>akṣara</w:t>
      </w:r>
      <w:r>
        <w:rPr>
          <w:rStyle w:val="Foreign"/>
          <w:i w:val="0"/>
          <w:iCs w:val="0"/>
        </w:rPr>
        <w:t>s</w:t>
      </w:r>
      <w:r>
        <w:t xml:space="preserve">, e.g. </w:t>
      </w:r>
      <w:r>
        <w:rPr>
          <w:rStyle w:val="Codetext"/>
        </w:rPr>
        <w:t>dhanada-varuṇendrānta</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ka</w:t>
      </w:r>
      <w:r>
        <w:rPr>
          <w:rStyle w:val="Code"/>
        </w:rPr>
        <w:t>&lt;/supplied&gt;</w:t>
      </w:r>
      <w:r>
        <w:rPr>
          <w:rStyle w:val="Codetext"/>
        </w:rPr>
        <w:t>-samasya</w:t>
      </w:r>
    </w:p>
    <w:p w14:paraId="49E65D02" w14:textId="77777777">
      <w:pPr>
        <w:pStyle w:val="Lista2"/>
        <w:rPr>
          <w:rStyle w:val="Codetext"/>
          <w:rFonts w:ascii="Gentium" w:hAnsi="Gentium" w:cs="Tiro Devanagari Sanskrit"/>
          <w:noProof w:val="0"/>
          <w:color w:val="auto"/>
          <w:shd w:val="clear" w:color="auto" w:fill="auto"/>
        </w:rPr>
      </w:pPr>
      <w:r>
        <w:t xml:space="preserve">omitted words, e.g. </w:t>
      </w:r>
      <w:r>
        <w:rPr>
          <w:rStyle w:val="Codetext"/>
        </w:rPr>
        <w:t xml:space="preserve">tasya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tasya</w:t>
      </w:r>
      <w:r>
        <w:rPr>
          <w:rStyle w:val="Code"/>
        </w:rPr>
        <w:t>&lt;/supplied&gt;</w:t>
      </w:r>
      <w:r>
        <w:rPr>
          <w:rStyle w:val="Codetext"/>
        </w:rPr>
        <w:t xml:space="preserve"> tadā phalaM</w:t>
      </w:r>
    </w:p>
    <w:p w14:paraId="258AFD5B" w14:textId="77777777">
      <w:pPr>
        <w:pStyle w:val="Lista2"/>
      </w:pPr>
      <w:r>
        <w:t>longer omitted strings of glyphs, when they can be supplied on the basis of sound conjecture or parallel texts</w:t>
      </w:r>
    </w:p>
    <w:p w14:paraId="6026478D" w14:textId="2988FE43">
      <w:pPr>
        <w:pStyle w:val="Lista"/>
      </w:pPr>
      <w:r>
        <w:t>when individual and graphically inseparable graphemes are missing, choose at your discretion whether to treat their absence as a mistake and supply them, or to treat this as non-standard usage and flag their context (§</w:t>
      </w:r>
      <w:r>
        <w:fldChar w:fldCharType="begin"/>
      </w:r>
      <w:r>
        <w:instrText xml:space="preserve"> REF _Ref228886903 \r \h </w:instrText>
      </w:r>
      <w:r>
        <w:fldChar w:fldCharType="separate"/>
      </w:r>
      <w:r>
        <w:t>7.4.2</w:t>
      </w:r>
      <w:r>
        <w:fldChar w:fldCharType="end"/>
      </w:r>
      <w:r>
        <w:t>) without supplying the missing graphemes or rectify them by substitution (§</w:t>
      </w:r>
      <w:r>
        <w:fldChar w:fldCharType="begin"/>
      </w:r>
      <w:r>
        <w:instrText xml:space="preserve"> REF _Ref228888134 \r \h </w:instrText>
      </w:r>
      <w:r>
        <w:fldChar w:fldCharType="separate"/>
      </w:r>
      <w:r>
        <w:t>7.5.1.2</w:t>
      </w:r>
      <w:r>
        <w:fldChar w:fldCharType="end"/>
      </w:r>
      <w:r>
        <w:t xml:space="preserve">), including cases such as </w:t>
      </w:r>
    </w:p>
    <w:p w14:paraId="2D1F9EFE" w14:textId="5C9C449B">
      <w:pPr>
        <w:pStyle w:val="Lista2"/>
      </w:pPr>
      <w:r>
        <w:t xml:space="preserve">potential non-standard language, e.g. </w:t>
      </w:r>
      <w:r>
        <w:rPr>
          <w:rStyle w:val="Foreign"/>
        </w:rPr>
        <w:t>dhamma</w:t>
      </w:r>
    </w:p>
    <w:p w14:paraId="3793CE9B" w14:textId="7B1768A7">
      <w:pPr>
        <w:pStyle w:val="Lista3"/>
      </w:pPr>
      <w:r>
        <w:t xml:space="preserve">restituted: </w:t>
      </w:r>
      <w:r>
        <w:rPr>
          <w:rStyle w:val="Codetext"/>
        </w:rPr>
        <w:t>dha</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r</w:t>
      </w:r>
      <w:r>
        <w:rPr>
          <w:rStyle w:val="Code"/>
        </w:rPr>
        <w:t>&lt;/supplied&gt;</w:t>
      </w:r>
      <w:r>
        <w:rPr>
          <w:rStyle w:val="Codetext"/>
        </w:rPr>
        <w:t>mma</w:t>
      </w:r>
    </w:p>
    <w:p w14:paraId="3D2DDF57" w14:textId="40517FC6">
      <w:pPr>
        <w:pStyle w:val="Lista3"/>
      </w:pPr>
      <w:r>
        <w:t xml:space="preserve">flagged as non-standard: </w:t>
      </w:r>
      <w:r>
        <w:rPr>
          <w:rStyle w:val="Codetext"/>
        </w:rPr>
        <w:t>dha</w:t>
      </w:r>
      <w:r>
        <w:rPr>
          <w:rStyle w:val="Code"/>
        </w:rPr>
        <w:t>&lt;orig&gt;</w:t>
      </w:r>
      <w:r>
        <w:rPr>
          <w:rStyle w:val="Codetext"/>
        </w:rPr>
        <w:t>mma</w:t>
      </w:r>
      <w:r>
        <w:rPr>
          <w:rStyle w:val="Code"/>
        </w:rPr>
        <w:t>&lt;/</w:t>
      </w:r>
      <w:r>
        <w:rPr>
          <w:rStyle w:val="Code"/>
        </w:rPr>
        <w:t>orig</w:t>
      </w:r>
      <w:r>
        <w:rPr>
          <w:rStyle w:val="Code"/>
        </w:rPr>
        <w:t>&gt;</w:t>
      </w:r>
    </w:p>
    <w:p w14:paraId="23DDEC24" w14:textId="1A1A291B">
      <w:pPr>
        <w:pStyle w:val="Lista3"/>
      </w:pPr>
      <w:r>
        <w:t xml:space="preserve">normalised: </w:t>
      </w:r>
      <w:r>
        <w:rPr>
          <w:rStyle w:val="Codetext"/>
        </w:rPr>
        <w:t>dha</w:t>
      </w:r>
      <w:r>
        <w:rPr>
          <w:rStyle w:val="Code"/>
        </w:rPr>
        <w:t>&lt;choice&gt;&lt;orig&gt;</w:t>
      </w:r>
      <w:r>
        <w:rPr>
          <w:rStyle w:val="Codetext"/>
        </w:rPr>
        <w:t>mma</w:t>
      </w:r>
      <w:r>
        <w:rPr>
          <w:rStyle w:val="Code"/>
        </w:rPr>
        <w:t>&lt;/orig&gt;&lt;reg&gt;</w:t>
      </w:r>
      <w:r>
        <w:rPr>
          <w:rStyle w:val="Codetext"/>
        </w:rPr>
        <w:t>rmma</w:t>
      </w:r>
      <w:r>
        <w:rPr>
          <w:rStyle w:val="Code"/>
        </w:rPr>
        <w:t>&lt;/reg&gt;&lt;/choice&gt;</w:t>
      </w:r>
    </w:p>
    <w:p w14:paraId="2842746F" w14:textId="62D5DC39">
      <w:pPr>
        <w:pStyle w:val="Lista2"/>
      </w:pPr>
      <w:r>
        <w:t xml:space="preserve">probable accidental omission, e.g. </w:t>
      </w:r>
      <w:r>
        <w:rPr>
          <w:rStyle w:val="Foreign"/>
        </w:rPr>
        <w:t>datā</w:t>
      </w:r>
    </w:p>
    <w:p w14:paraId="3C69D6BE" w14:textId="416E5B7C">
      <w:pPr>
        <w:pStyle w:val="Lista3"/>
      </w:pPr>
      <w:r>
        <w:t xml:space="preserve">restituted: </w:t>
      </w:r>
      <w:r>
        <w:rPr>
          <w:rStyle w:val="Codetext"/>
        </w:rPr>
        <w:t>dat</w:t>
      </w:r>
      <w:r>
        <w:rPr>
          <w:rStyle w:val="Code"/>
        </w:rPr>
        <w:t xml:space="preserve">&lt;supplied </w:t>
      </w:r>
      <w:r>
        <w:rPr>
          <w:rStyle w:val="Codeattribute"/>
        </w:rPr>
        <w:t>reason</w:t>
      </w:r>
      <w:r>
        <w:rPr>
          <w:rStyle w:val="Code"/>
        </w:rPr>
        <w:t>=</w:t>
      </w:r>
      <w:r>
        <w:rPr>
          <w:rStyle w:val="Codevalue"/>
        </w:rPr>
        <w:t>"omitted"</w:t>
      </w:r>
      <w:r>
        <w:rPr>
          <w:rStyle w:val="Code"/>
        </w:rPr>
        <w:t>&gt;t&lt;/supplied&gt;</w:t>
      </w:r>
      <w:r>
        <w:rPr>
          <w:rStyle w:val="Codetext"/>
        </w:rPr>
        <w:t>ā</w:t>
      </w:r>
    </w:p>
    <w:p w14:paraId="13B8EB43" w14:textId="41B889A6">
      <w:pPr>
        <w:pStyle w:val="Lista3"/>
      </w:pPr>
      <w:r>
        <w:t xml:space="preserve">flagged as non-standard: </w:t>
      </w:r>
      <w:r>
        <w:rPr>
          <w:rStyle w:val="Codetext"/>
        </w:rPr>
        <w:t>da</w:t>
      </w:r>
      <w:r>
        <w:rPr>
          <w:rStyle w:val="Code"/>
        </w:rPr>
        <w:t>&lt;orig&gt;</w:t>
      </w:r>
      <w:r>
        <w:rPr>
          <w:rStyle w:val="Codetext"/>
        </w:rPr>
        <w:t>t</w:t>
      </w:r>
      <w:r>
        <w:rPr>
          <w:rStyle w:val="Code"/>
        </w:rPr>
        <w:t>&lt;/surplus&gt;</w:t>
      </w:r>
      <w:r>
        <w:rPr>
          <w:rStyle w:val="Codetext"/>
        </w:rPr>
        <w:t>ā</w:t>
      </w:r>
    </w:p>
    <w:p w14:paraId="38261613" w14:textId="1F2D6673">
      <w:pPr>
        <w:pStyle w:val="Lista3"/>
      </w:pPr>
      <w:r>
        <w:t xml:space="preserve">normalised: </w:t>
      </w:r>
      <w:r>
        <w:rPr>
          <w:rStyle w:val="Codetext"/>
        </w:rPr>
        <w:t>da</w:t>
      </w:r>
      <w:r>
        <w:rPr>
          <w:rStyle w:val="Code"/>
        </w:rPr>
        <w:t>&lt;choice&gt;&lt;orig&gt;</w:t>
      </w:r>
      <w:r>
        <w:rPr>
          <w:rStyle w:val="Codetext"/>
        </w:rPr>
        <w:t>t</w:t>
      </w:r>
      <w:r>
        <w:rPr>
          <w:rStyle w:val="Code"/>
        </w:rPr>
        <w:t>&lt;/orig&gt;&lt;reg&gt;</w:t>
      </w:r>
      <w:r>
        <w:rPr>
          <w:rStyle w:val="Codetext"/>
        </w:rPr>
        <w:t>tt</w:t>
      </w:r>
      <w:r>
        <w:rPr>
          <w:rStyle w:val="Code"/>
        </w:rPr>
        <w:t>&lt;/reg&gt;&lt;/choice&gt;</w:t>
      </w:r>
      <w:r>
        <w:rPr>
          <w:rStyle w:val="Codetext"/>
        </w:rPr>
        <w:t>ā</w:t>
      </w:r>
    </w:p>
    <w:p w14:paraId="436006F9" w14:textId="15CE6C60">
      <w:pPr>
        <w:pStyle w:val="Lista2"/>
      </w:pPr>
      <w:r>
        <w:t xml:space="preserve">when an expected small component </w:t>
      </w:r>
      <w:r>
        <w:rPr>
          <w:noProof/>
        </w:rPr>
        <w:t>(</w:t>
      </w:r>
      <w:r>
        <w:t xml:space="preserve">such as a superscript </w:t>
      </w:r>
      <w:r>
        <w:rPr>
          <w:rStyle w:val="Foreign"/>
        </w:rPr>
        <w:t>r</w:t>
      </w:r>
      <w:r>
        <w:t xml:space="preserve"> or an </w:t>
      </w:r>
      <w:r>
        <w:rPr>
          <w:rStyle w:val="Foreign"/>
        </w:rPr>
        <w:t>anusvāra</w:t>
      </w:r>
      <w:r>
        <w:t xml:space="preserve">) cannot be made out in the original or the facsimile you are working from, consider the state of the support and preferably encode as lost and restored </w:t>
      </w:r>
      <w:r>
        <w:rPr>
          <w:noProof/>
        </w:rPr>
        <w:t>(</w:t>
      </w:r>
      <w:r>
        <w:t>as per §</w:t>
      </w:r>
      <w:r>
        <w:fldChar w:fldCharType="begin"/>
      </w:r>
      <w:r>
        <w:instrText xml:space="preserve"> REF _Ref228459751 \r \h </w:instrText>
      </w:r>
      <w:r>
        <w:fldChar w:fldCharType="separate"/>
      </w:r>
      <w:r>
        <w:t>6.4</w:t>
      </w:r>
      <w:r>
        <w:fldChar w:fldCharType="end"/>
      </w:r>
      <w:r>
        <w:t>) unless you are certain that the cause is scribal omission, not damage to the support</w:t>
      </w:r>
    </w:p>
    <w:p w14:paraId="55F85107" w14:textId="77777777">
      <w:pPr>
        <w:pStyle w:val="Cmsor2"/>
      </w:pPr>
      <w:bookmarkStart w:id="655" w:name="_Ref228887612"/>
      <w:bookmarkStart w:id="656" w:name="_Toc242889546"/>
      <w:r>
        <w:t>Encoding scribal omission without editorial restoration</w:t>
      </w:r>
      <w:bookmarkEnd w:id="655"/>
      <w:bookmarkEnd w:id="656"/>
    </w:p>
    <w:p w14:paraId="324959D4" w14:textId="717EAB35">
      <w:pPr>
        <w:rPr>
          <w:lang w:eastAsia="en-US" w:bidi="ar-SA"/>
        </w:rPr>
      </w:pPr>
      <w:r>
        <w:rPr>
          <w:lang w:eastAsia="en-US" w:bidi="ar-SA"/>
        </w:rPr>
        <w:t>Occasionally, you may feel certain that something has been omitted from the source (for example because a metrical segment or part of a word is missing), but are unable to restore the omission with any confidence.</w:t>
      </w:r>
    </w:p>
    <w:p w14:paraId="4307DD27" w14:textId="13010CFD">
      <w:pPr>
        <w:pStyle w:val="Lista"/>
      </w:pPr>
      <w:r>
        <w:t>the encoding of such omissions, like that of lacunae (§</w:t>
      </w:r>
      <w:r>
        <w:fldChar w:fldCharType="begin"/>
      </w:r>
      <w:r>
        <w:instrText xml:space="preserve"> REF _Ref228888638 \r \h </w:instrText>
      </w:r>
      <w:r>
        <w:fldChar w:fldCharType="separate"/>
      </w:r>
      <w:r>
        <w:t>6.5.1</w:t>
      </w:r>
      <w:r>
        <w:fldChar w:fldCharType="end"/>
      </w:r>
      <w:r>
        <w:t xml:space="preserve">), involves the </w:t>
      </w:r>
      <w:r>
        <w:rPr>
          <w:rStyle w:val="Code"/>
        </w:rPr>
        <w:t>&lt;gap/&gt;</w:t>
      </w:r>
      <w:r>
        <w:t xml:space="preserve"> element, with the following attributes</w:t>
      </w:r>
    </w:p>
    <w:p w14:paraId="1FBBF16B" w14:textId="77777777">
      <w:pPr>
        <w:pStyle w:val="Lista2"/>
      </w:pPr>
      <w:r>
        <w:t xml:space="preserve">mandatorily </w:t>
      </w:r>
      <w:r>
        <w:rPr>
          <w:rStyle w:val="Codeattribute"/>
        </w:rPr>
        <w:t>@reason</w:t>
      </w:r>
      <w:r>
        <w:rPr>
          <w:rStyle w:val="Code"/>
        </w:rPr>
        <w:t>=</w:t>
      </w:r>
      <w:r>
        <w:rPr>
          <w:rStyle w:val="Codevalue"/>
        </w:rPr>
        <w:t>"omitted"</w:t>
      </w:r>
    </w:p>
    <w:p w14:paraId="08295DF5" w14:textId="77777777">
      <w:pPr>
        <w:pStyle w:val="Lista2"/>
      </w:pPr>
      <w:r>
        <w:t xml:space="preserve">mandatorily </w:t>
      </w:r>
      <w:r>
        <w:rPr>
          <w:rStyle w:val="Codeattribute"/>
        </w:rPr>
        <w:t>@unit</w:t>
      </w:r>
      <w:r>
        <w:rPr>
          <w:rStyle w:val="Code"/>
        </w:rPr>
        <w:t>=</w:t>
      </w:r>
      <w:r>
        <w:rPr>
          <w:rStyle w:val="Codevalue"/>
        </w:rPr>
        <w:t>"character"</w:t>
      </w:r>
    </w:p>
    <w:p w14:paraId="36062971" w14:textId="288EB934">
      <w:pPr>
        <w:pStyle w:val="Lista2"/>
      </w:pPr>
      <w:r>
        <w:t xml:space="preserve">mandatorily, either </w:t>
      </w:r>
      <w:r>
        <w:rPr>
          <w:rStyle w:val="Codeattribute"/>
        </w:rPr>
        <w:t>@extent</w:t>
      </w:r>
      <w:r>
        <w:t xml:space="preserve"> or </w:t>
      </w:r>
      <w:r>
        <w:rPr>
          <w:rStyle w:val="Codeattribute"/>
        </w:rPr>
        <w:t>@quantity</w:t>
      </w:r>
      <w:r>
        <w:t>, as explained under §</w:t>
      </w:r>
      <w:r>
        <w:fldChar w:fldCharType="begin"/>
      </w:r>
      <w:r>
        <w:instrText xml:space="preserve"> REF _Ref228262228 \r \h </w:instrText>
      </w:r>
      <w:r>
        <w:fldChar w:fldCharType="separate"/>
      </w:r>
      <w:r>
        <w:t>6.5.1.2</w:t>
      </w:r>
      <w:r>
        <w:fldChar w:fldCharType="end"/>
      </w:r>
    </w:p>
    <w:p w14:paraId="257098B0" w14:textId="3D154A18">
      <w:pPr>
        <w:pStyle w:val="Lista"/>
      </w:pPr>
      <w:r>
        <w:t xml:space="preserve">if such an omission occurs in metrical verse, then encode the prosody of the omitted text by wrapping the </w:t>
      </w:r>
      <w:r>
        <w:rPr>
          <w:rStyle w:val="Code"/>
        </w:rPr>
        <w:t>&lt;gap/&gt;</w:t>
      </w:r>
      <w:r>
        <w:t xml:space="preserve"> element in </w:t>
      </w:r>
      <w:r>
        <w:rPr>
          <w:rStyle w:val="Code"/>
        </w:rPr>
        <w:t>&lt;seg&gt;</w:t>
      </w:r>
      <w:r>
        <w:t xml:space="preserve"> and adding </w:t>
      </w:r>
      <w:r>
        <w:rPr>
          <w:rStyle w:val="Codeattribute"/>
        </w:rPr>
        <w:t>@met</w:t>
      </w:r>
      <w:r>
        <w:t xml:space="preserve"> to the latter, with values as per §</w:t>
      </w:r>
      <w:r>
        <w:fldChar w:fldCharType="begin"/>
      </w:r>
      <w:r>
        <w:instrText xml:space="preserve"> REF _Ref228275301 \r \h </w:instrText>
      </w:r>
      <w:r>
        <w:fldChar w:fldCharType="separate"/>
      </w:r>
      <w:r>
        <w:t>6.5.2.3</w:t>
      </w:r>
      <w:r>
        <w:fldChar w:fldCharType="end"/>
      </w:r>
    </w:p>
    <w:p w14:paraId="0F916C67" w14:textId="5B927F20">
      <w:pPr>
        <w:pStyle w:val="Lista2"/>
      </w:pPr>
      <w:r>
        <w:t xml:space="preserve">e.g. in a </w:t>
      </w:r>
      <w:r>
        <w:rPr>
          <w:rStyle w:val="Foreign"/>
        </w:rPr>
        <w:t>śārdūlavikrīḍita</w:t>
      </w:r>
      <w:r>
        <w:t xml:space="preserve"> stanza: </w:t>
      </w:r>
      <w:r>
        <w:rPr>
          <w:rStyle w:val="Codetext"/>
        </w:rPr>
        <w:t>vr̥ttaḥ stutya-ya</w:t>
      </w:r>
      <w:r>
        <w:rPr>
          <w:rStyle w:val="Code"/>
        </w:rPr>
        <w:t xml:space="preserve">&lt;seg </w:t>
      </w:r>
      <w:r>
        <w:rPr>
          <w:rStyle w:val="Codeattribute"/>
        </w:rPr>
        <w:t>met=</w:t>
      </w:r>
      <w:r>
        <w:rPr>
          <w:rStyle w:val="Codevalue"/>
        </w:rPr>
        <w:t>"+-+--"</w:t>
      </w:r>
      <w:r>
        <w:rPr>
          <w:rStyle w:val="Code"/>
        </w:rPr>
        <w:t xml:space="preserve">&gt;&lt;gap </w:t>
      </w:r>
      <w:r>
        <w:rPr>
          <w:rStyle w:val="Codeattribute"/>
        </w:rPr>
        <w:t>reason=</w:t>
      </w:r>
      <w:r>
        <w:rPr>
          <w:rStyle w:val="Codevalue"/>
        </w:rPr>
        <w:t>"omitted"</w:t>
      </w:r>
      <w:r>
        <w:rPr>
          <w:rStyle w:val="Code"/>
        </w:rPr>
        <w:t xml:space="preserve"> </w:t>
      </w:r>
      <w:r>
        <w:rPr>
          <w:rStyle w:val="Codeattribute"/>
        </w:rPr>
        <w:t>quantity=</w:t>
      </w:r>
      <w:r>
        <w:rPr>
          <w:rStyle w:val="Codevalue"/>
        </w:rPr>
        <w:t>"5"</w:t>
      </w:r>
      <w:r>
        <w:rPr>
          <w:rStyle w:val="Code"/>
        </w:rPr>
        <w:t xml:space="preserve"> </w:t>
      </w:r>
      <w:r>
        <w:rPr>
          <w:rStyle w:val="Codeattribute"/>
        </w:rPr>
        <w:t>unit=</w:t>
      </w:r>
      <w:r>
        <w:rPr>
          <w:rStyle w:val="Codevalue"/>
        </w:rPr>
        <w:t>"character"</w:t>
      </w:r>
      <w:r>
        <w:rPr>
          <w:rStyle w:val="Code"/>
        </w:rPr>
        <w:t>/&gt;&lt;/seg&gt;</w:t>
      </w:r>
      <w:r>
        <w:rPr>
          <w:rStyle w:val="Codetext"/>
        </w:rPr>
        <w:t>-matir nnityodayas satyavāK</w:t>
      </w:r>
    </w:p>
    <w:p w14:paraId="6B9E5A19" w14:textId="41642606">
      <w:pPr>
        <w:pStyle w:val="Lista"/>
      </w:pPr>
      <w:r>
        <w:t>tentative or alternative restorations for an unrestored lacuna may be discussed in an apparatus note (§</w:t>
      </w:r>
      <w:r>
        <w:fldChar w:fldCharType="begin"/>
      </w:r>
      <w:r>
        <w:instrText xml:space="preserve"> REF _Ref43988104 \w \h  \* MERGEFORMAT </w:instrText>
      </w:r>
      <w:r>
        <w:fldChar w:fldCharType="separate"/>
      </w:r>
      <w:r>
        <w:t>10.7</w:t>
      </w:r>
      <w:r>
        <w:fldChar w:fldCharType="end"/>
      </w:r>
      <w:r>
        <w:t>)</w:t>
      </w:r>
    </w:p>
    <w:p w14:paraId="34F359D5" w14:textId="77777777">
      <w:pPr>
        <w:pStyle w:val="Cmsor2"/>
      </w:pPr>
      <w:bookmarkStart w:id="657" w:name="_1tyn3helxkp0" w:colFirst="0" w:colLast="0"/>
      <w:bookmarkStart w:id="658" w:name="_Ref43991017"/>
      <w:bookmarkStart w:id="659" w:name="_Ref63674857"/>
      <w:bookmarkStart w:id="660" w:name="_Ref43978756"/>
      <w:bookmarkStart w:id="661" w:name="_Toc242889547"/>
      <w:bookmarkEnd w:id="657"/>
      <w:r>
        <w:t>Good practice in editorial intervention</w:t>
      </w:r>
      <w:bookmarkEnd w:id="658"/>
      <w:bookmarkEnd w:id="661"/>
    </w:p>
    <w:p w14:paraId="76CA17D1" w14:textId="77777777">
      <w:pPr>
        <w:pStyle w:val="Cmsor3"/>
      </w:pPr>
      <w:bookmarkStart w:id="662" w:name="_28dwy480zoal" w:colFirst="0" w:colLast="0"/>
      <w:bookmarkStart w:id="663" w:name="_Ref228952859"/>
      <w:bookmarkStart w:id="664" w:name="_Ref43981233"/>
      <w:bookmarkStart w:id="665" w:name="_Toc242889548"/>
      <w:bookmarkEnd w:id="662"/>
      <w:r>
        <w:t>Manipulating graphemes</w:t>
      </w:r>
      <w:bookmarkEnd w:id="663"/>
      <w:bookmarkEnd w:id="665"/>
    </w:p>
    <w:p w14:paraId="4200AC27" w14:textId="482F23A8">
      <w:r>
        <w:t>Since the units to which all our encoding applies are the source graphemes (for which see also §</w:t>
      </w:r>
      <w:r>
        <w:fldChar w:fldCharType="begin"/>
      </w:r>
      <w:r>
        <w:instrText xml:space="preserve"> REF _Ref227844670 \r \h </w:instrText>
      </w:r>
      <w:r>
        <w:fldChar w:fldCharType="separate"/>
      </w:r>
      <w:r>
        <w:t>16.3</w:t>
      </w:r>
      <w:r>
        <w:fldChar w:fldCharType="end"/>
      </w:r>
      <w:r>
        <w:t xml:space="preserve">), editorial intervention can only be, and must always be, represented in our editions in terms of source graphemes, </w:t>
      </w:r>
      <w:r>
        <w:lastRenderedPageBreak/>
        <w:t xml:space="preserve">and not in terms of </w:t>
      </w:r>
      <w:r>
        <w:rPr>
          <w:rStyle w:val="Foreign"/>
        </w:rPr>
        <w:t>akṣara</w:t>
      </w:r>
      <w:r>
        <w:rPr>
          <w:rStyle w:val="Foreign"/>
          <w:i w:val="0"/>
          <w:iCs w:val="0"/>
        </w:rPr>
        <w:t>s</w:t>
      </w:r>
      <w:r>
        <w:t>, target graphemes, phonemes or any other unit. This has the following important implications.</w:t>
      </w:r>
    </w:p>
    <w:p w14:paraId="2ED93E7E" w14:textId="77777777">
      <w:pPr>
        <w:pStyle w:val="Lista"/>
        <w:rPr>
          <w:lang w:eastAsia="en-US" w:bidi="ar-SA"/>
        </w:rPr>
      </w:pPr>
      <w:r>
        <w:rPr>
          <w:lang w:eastAsia="en-US" w:bidi="ar-SA"/>
        </w:rPr>
        <w:t xml:space="preserve">editorial intervention </w:t>
      </w:r>
      <w:r>
        <w:rPr>
          <w:i/>
          <w:iCs/>
          <w:lang w:eastAsia="en-US" w:bidi="ar-SA"/>
        </w:rPr>
        <w:t>can</w:t>
      </w:r>
      <w:r>
        <w:t xml:space="preserve"> apply to a unit smaller than the </w:t>
      </w:r>
      <w:r>
        <w:rPr>
          <w:rStyle w:val="Foreign"/>
        </w:rPr>
        <w:t>akṣara</w:t>
      </w:r>
      <w:r>
        <w:t xml:space="preserve">, so if not all components of a complex </w:t>
      </w:r>
      <w:r>
        <w:rPr>
          <w:rStyle w:val="Foreign"/>
        </w:rPr>
        <w:t>akṣara</w:t>
      </w:r>
      <w:r>
        <w:t xml:space="preserve"> require intervention, then only the specific intervention is to be encoded, and not a substitution of the entire </w:t>
      </w:r>
      <w:r>
        <w:rPr>
          <w:rStyle w:val="Foreign"/>
        </w:rPr>
        <w:t>akṣara</w:t>
      </w:r>
      <w:r>
        <w:t xml:space="preserve"> (as it would usually be shown in an edition printed in an Indic script), for example</w:t>
      </w:r>
    </w:p>
    <w:p w14:paraId="5F3F37F2" w14:textId="77777777">
      <w:pPr>
        <w:pStyle w:val="Lista3"/>
      </w:pPr>
      <w:r>
        <w:t xml:space="preserve">in suppression, </w:t>
      </w:r>
      <w:r>
        <w:rPr>
          <w:rStyle w:val="Codetext"/>
        </w:rPr>
        <w:t>ś</w:t>
      </w:r>
      <w:r>
        <w:rPr>
          <w:rStyle w:val="Code"/>
        </w:rPr>
        <w:t>&lt;surplus&gt;</w:t>
      </w:r>
      <w:r>
        <w:rPr>
          <w:rStyle w:val="Codetext"/>
        </w:rPr>
        <w:t>r</w:t>
      </w:r>
      <w:r>
        <w:rPr>
          <w:rStyle w:val="Code"/>
        </w:rPr>
        <w:t>&lt;/surplus&gt;</w:t>
      </w:r>
      <w:r>
        <w:rPr>
          <w:rStyle w:val="Codetext"/>
        </w:rPr>
        <w:t>āpa</w:t>
      </w:r>
    </w:p>
    <w:p w14:paraId="17522665" w14:textId="77777777">
      <w:pPr>
        <w:pStyle w:val="Lista4"/>
      </w:pPr>
      <w:r>
        <w:rPr>
          <w:b/>
          <w:bCs/>
        </w:rPr>
        <w:t>not</w:t>
      </w:r>
      <w:r>
        <w:t xml:space="preserve"> </w:t>
      </w:r>
      <w:r>
        <w:rPr>
          <w:rStyle w:val="Code"/>
        </w:rPr>
        <w:t>&lt;choice&gt;&lt;sic&gt;</w:t>
      </w:r>
      <w:r>
        <w:rPr>
          <w:rStyle w:val="Codetext"/>
        </w:rPr>
        <w:t>śrā</w:t>
      </w:r>
      <w:r>
        <w:rPr>
          <w:rStyle w:val="Code"/>
        </w:rPr>
        <w:t>&lt;/sic&gt;&lt;corr&gt;</w:t>
      </w:r>
      <w:r>
        <w:rPr>
          <w:rStyle w:val="Codetext"/>
        </w:rPr>
        <w:t>śā</w:t>
      </w:r>
      <w:r>
        <w:rPr>
          <w:rStyle w:val="Code"/>
        </w:rPr>
        <w:t>&lt;/corr&gt;&lt;/subst&gt;</w:t>
      </w:r>
      <w:r>
        <w:rPr>
          <w:rStyle w:val="Codetext"/>
        </w:rPr>
        <w:t>pa</w:t>
      </w:r>
    </w:p>
    <w:p w14:paraId="45979E3F" w14:textId="77777777">
      <w:pPr>
        <w:pStyle w:val="Lista3"/>
        <w:rPr>
          <w:rStyle w:val="Codetext"/>
          <w:rFonts w:ascii="Gentium" w:hAnsi="Gentium" w:cs="Tiro Devanagari Sanskrit"/>
          <w:noProof w:val="0"/>
          <w:color w:val="auto"/>
          <w:shd w:val="clear" w:color="auto" w:fill="auto"/>
        </w:rPr>
      </w:pPr>
      <w:r>
        <w:t xml:space="preserve">in restitution, </w:t>
      </w:r>
      <w:r>
        <w:rPr>
          <w:rStyle w:val="Codetext"/>
        </w:rPr>
        <w:t>tārkṣ</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y</w:t>
      </w:r>
      <w:r>
        <w:rPr>
          <w:rStyle w:val="Code"/>
        </w:rPr>
        <w:t>&lt;/supplied&gt;</w:t>
      </w:r>
      <w:r>
        <w:rPr>
          <w:rStyle w:val="Codetext"/>
        </w:rPr>
        <w:t>a</w:t>
      </w:r>
    </w:p>
    <w:p w14:paraId="649EC182" w14:textId="77777777">
      <w:pPr>
        <w:pStyle w:val="Lista4"/>
        <w:rPr>
          <w:rStyle w:val="Code"/>
          <w:rFonts w:ascii="Gentium" w:hAnsi="Gentium" w:cs="Tiro Devanagari Sanskrit"/>
          <w:noProof w:val="0"/>
          <w:color w:val="auto"/>
          <w:shd w:val="clear" w:color="auto" w:fill="auto"/>
        </w:rPr>
      </w:pPr>
      <w:r>
        <w:rPr>
          <w:b/>
          <w:bCs/>
        </w:rPr>
        <w:t>not</w:t>
      </w:r>
      <w:r>
        <w:t xml:space="preserve"> </w:t>
      </w:r>
      <w:r>
        <w:rPr>
          <w:rStyle w:val="Codetext"/>
        </w:rPr>
        <w:t>tā</w:t>
      </w:r>
      <w:r>
        <w:rPr>
          <w:rStyle w:val="Code"/>
        </w:rPr>
        <w:t>&lt;choice&gt;&lt;sic&gt;</w:t>
      </w:r>
      <w:r>
        <w:rPr>
          <w:rStyle w:val="Codetext"/>
        </w:rPr>
        <w:t>rkṣa</w:t>
      </w:r>
      <w:r>
        <w:rPr>
          <w:rStyle w:val="Code"/>
        </w:rPr>
        <w:t>&lt;/sic&gt;&lt;corr&gt;</w:t>
      </w:r>
      <w:r>
        <w:rPr>
          <w:rStyle w:val="Codetext"/>
        </w:rPr>
        <w:t>rkṣya</w:t>
      </w:r>
      <w:r>
        <w:rPr>
          <w:rStyle w:val="Code"/>
        </w:rPr>
        <w:t>&lt;/corr&gt;&lt;/subst&gt;</w:t>
      </w:r>
    </w:p>
    <w:p w14:paraId="39728446" w14:textId="77777777">
      <w:pPr>
        <w:pStyle w:val="Lista3"/>
        <w:rPr>
          <w:rStyle w:val="Codetext"/>
          <w:rFonts w:ascii="Gentium" w:hAnsi="Gentium" w:cs="Tiro Devanagari Sanskrit"/>
          <w:noProof w:val="0"/>
          <w:color w:val="auto"/>
          <w:shd w:val="clear" w:color="auto" w:fill="auto"/>
        </w:rPr>
      </w:pPr>
      <w:r>
        <w:t xml:space="preserve">in substitution, </w:t>
      </w:r>
      <w:r>
        <w:rPr>
          <w:rStyle w:val="Codetext"/>
        </w:rPr>
        <w:t>pa</w:t>
      </w:r>
      <w:r>
        <w:rPr>
          <w:rStyle w:val="Code"/>
        </w:rPr>
        <w:t>&lt;choice&gt;&lt;sic&gt;</w:t>
      </w:r>
      <w:r>
        <w:rPr>
          <w:rStyle w:val="Codetext"/>
        </w:rPr>
        <w:t>t</w:t>
      </w:r>
      <w:r>
        <w:rPr>
          <w:rStyle w:val="Code"/>
        </w:rPr>
        <w:t>&lt;/sic&gt;&lt;corr&gt;</w:t>
      </w:r>
      <w:r>
        <w:rPr>
          <w:rStyle w:val="Codetext"/>
        </w:rPr>
        <w:t>d</w:t>
      </w:r>
      <w:r>
        <w:rPr>
          <w:rStyle w:val="Code"/>
        </w:rPr>
        <w:t>&lt;/corr&gt;&lt;/subst&gt;</w:t>
      </w:r>
      <w:r>
        <w:rPr>
          <w:rStyle w:val="Codetext"/>
        </w:rPr>
        <w:t>ma</w:t>
      </w:r>
    </w:p>
    <w:p w14:paraId="7949486B" w14:textId="77777777">
      <w:pPr>
        <w:pStyle w:val="Lista4"/>
      </w:pPr>
      <w:r>
        <w:rPr>
          <w:b/>
          <w:bCs/>
        </w:rPr>
        <w:t>not</w:t>
      </w:r>
      <w:r>
        <w:t xml:space="preserve"> </w:t>
      </w:r>
      <w:r>
        <w:rPr>
          <w:rStyle w:val="Codetext"/>
        </w:rPr>
        <w:t>pa</w:t>
      </w:r>
      <w:r>
        <w:rPr>
          <w:rStyle w:val="Code"/>
        </w:rPr>
        <w:t>&lt;choice&gt;&lt;sic&gt;</w:t>
      </w:r>
      <w:r>
        <w:rPr>
          <w:rStyle w:val="Codetext"/>
        </w:rPr>
        <w:t>tma</w:t>
      </w:r>
      <w:r>
        <w:rPr>
          <w:rStyle w:val="Code"/>
        </w:rPr>
        <w:t>&lt;/sic&gt;&lt;corr&gt;</w:t>
      </w:r>
      <w:r>
        <w:rPr>
          <w:rStyle w:val="Codetext"/>
        </w:rPr>
        <w:t>dma</w:t>
      </w:r>
      <w:r>
        <w:rPr>
          <w:rStyle w:val="Code"/>
        </w:rPr>
        <w:t>&lt;/corr&gt;&lt;/subst&gt;</w:t>
      </w:r>
    </w:p>
    <w:p w14:paraId="0B6C2CA8" w14:textId="77777777">
      <w:pPr>
        <w:pStyle w:val="Lista"/>
      </w:pPr>
      <w:r>
        <w:t xml:space="preserve">editorial intervention </w:t>
      </w:r>
      <w:r>
        <w:rPr>
          <w:i/>
          <w:iCs/>
        </w:rPr>
        <w:t>cannot</w:t>
      </w:r>
      <w:r>
        <w:t xml:space="preserve"> apply to a unit smaller than the grapheme, so even if the engraver had merely omitted an element or added a superfluous stroke, editorial correction cannot be encoded at this level; instead</w:t>
      </w:r>
    </w:p>
    <w:p w14:paraId="4FF9DF34" w14:textId="3396875E">
      <w:pPr>
        <w:pStyle w:val="Lista2"/>
      </w:pPr>
      <w:r>
        <w:t>the absence or superfluous presence of a non-distinctive element can be annotated if desired, but not represented in markup except by encoding eccentric ductus (§</w:t>
      </w:r>
      <w:r>
        <w:fldChar w:fldCharType="begin"/>
      </w:r>
      <w:r>
        <w:instrText xml:space="preserve"> REF _Ref227942295 \r \h </w:instrText>
      </w:r>
      <w:r>
        <w:fldChar w:fldCharType="separate"/>
      </w:r>
      <w:r>
        <w:t>6.3.1.2</w:t>
      </w:r>
      <w:r>
        <w:fldChar w:fldCharType="end"/>
      </w:r>
      <w:r>
        <w:t>)</w:t>
      </w:r>
    </w:p>
    <w:p w14:paraId="3FF4B43E" w14:textId="77777777">
      <w:pPr>
        <w:pStyle w:val="Lista2"/>
      </w:pPr>
      <w:r>
        <w:t>the absence or superfluous presence of a distinctive element must be encoded as a correction of one grapheme to another, for example</w:t>
      </w:r>
    </w:p>
    <w:p w14:paraId="29B38D02" w14:textId="77777777">
      <w:pPr>
        <w:pStyle w:val="Lista3"/>
      </w:pPr>
      <w:r>
        <w:t xml:space="preserve">in a script where </w:t>
      </w:r>
      <w:r>
        <w:rPr>
          <w:rStyle w:val="Foreign"/>
        </w:rPr>
        <w:t>ka</w:t>
      </w:r>
      <w:r>
        <w:t xml:space="preserve"> differs from </w:t>
      </w:r>
      <w:r>
        <w:rPr>
          <w:rStyle w:val="Foreign"/>
        </w:rPr>
        <w:t>ra</w:t>
      </w:r>
      <w:r>
        <w:t xml:space="preserve"> only in the presence of a cross-stroke in the former, and the scribe erroneously engraved </w:t>
      </w:r>
      <w:r>
        <w:rPr>
          <w:rStyle w:val="Foreign"/>
        </w:rPr>
        <w:t>lora</w:t>
      </w:r>
      <w:r>
        <w:t xml:space="preserve"> instead of </w:t>
      </w:r>
      <w:r>
        <w:rPr>
          <w:rStyle w:val="Foreign"/>
        </w:rPr>
        <w:t>loka</w:t>
      </w:r>
      <w:r>
        <w:t xml:space="preserve">, your rectification of that error is a correction of </w:t>
      </w:r>
      <w:r>
        <w:rPr>
          <w:rStyle w:val="Foreign"/>
        </w:rPr>
        <w:t>r</w:t>
      </w:r>
      <w:r>
        <w:t xml:space="preserve"> to </w:t>
      </w:r>
      <w:r>
        <w:rPr>
          <w:rStyle w:val="Foreign"/>
        </w:rPr>
        <w:t>k</w:t>
      </w:r>
      <w:r>
        <w:t xml:space="preserve">: </w:t>
      </w:r>
      <w:r>
        <w:rPr>
          <w:rStyle w:val="Codetext"/>
        </w:rPr>
        <w:t>lo</w:t>
      </w:r>
      <w:r>
        <w:rPr>
          <w:rStyle w:val="Code"/>
        </w:rPr>
        <w:t>&lt;choice&gt;&lt;sic&gt;</w:t>
      </w:r>
      <w:r>
        <w:rPr>
          <w:rStyle w:val="Codetext"/>
        </w:rPr>
        <w:t>r</w:t>
      </w:r>
      <w:r>
        <w:rPr>
          <w:rStyle w:val="Code"/>
        </w:rPr>
        <w:t>&lt;/sic&gt;&lt;corr&gt;</w:t>
      </w:r>
      <w:r>
        <w:rPr>
          <w:rStyle w:val="Codetext"/>
        </w:rPr>
        <w:t>k</w:t>
      </w:r>
      <w:r>
        <w:rPr>
          <w:rStyle w:val="Code"/>
        </w:rPr>
        <w:t>&lt;/corr&gt;&lt;/choice&gt;</w:t>
      </w:r>
      <w:r>
        <w:rPr>
          <w:rStyle w:val="Codetext"/>
        </w:rPr>
        <w:t>a</w:t>
      </w:r>
    </w:p>
    <w:p w14:paraId="68356170" w14:textId="77777777">
      <w:pPr>
        <w:pStyle w:val="Lista4"/>
      </w:pPr>
      <w:r>
        <w:t xml:space="preserve">and not an editorial restitution </w:t>
      </w:r>
      <w:r>
        <w:rPr>
          <w:noProof/>
        </w:rPr>
        <w:t>(</w:t>
      </w:r>
      <w:r>
        <w:t>of the cross-stroke), even though the scribe’s physical error was the omission of a graphic element</w:t>
      </w:r>
    </w:p>
    <w:p w14:paraId="62E7EC1D" w14:textId="77777777">
      <w:pPr>
        <w:pStyle w:val="Lista3"/>
      </w:pPr>
      <w:r>
        <w:t xml:space="preserve">in a script where </w:t>
      </w:r>
      <w:r>
        <w:rPr>
          <w:rStyle w:val="Foreign"/>
        </w:rPr>
        <w:t>śa</w:t>
      </w:r>
      <w:r>
        <w:t xml:space="preserve"> differs from </w:t>
      </w:r>
      <w:r>
        <w:rPr>
          <w:rStyle w:val="Foreign"/>
        </w:rPr>
        <w:t>ga</w:t>
      </w:r>
      <w:r>
        <w:t xml:space="preserve"> only in that the former has a cross-stroke, and the scribe erroneously engraved </w:t>
      </w:r>
      <w:r>
        <w:rPr>
          <w:rStyle w:val="Foreign"/>
        </w:rPr>
        <w:t>śuṇa</w:t>
      </w:r>
      <w:r>
        <w:t xml:space="preserve"> instead of </w:t>
      </w:r>
      <w:r>
        <w:rPr>
          <w:rStyle w:val="Foreign"/>
        </w:rPr>
        <w:t>guṇa</w:t>
      </w:r>
      <w:r>
        <w:t xml:space="preserve">, your rectification of that error is a correction of </w:t>
      </w:r>
      <w:r>
        <w:rPr>
          <w:rStyle w:val="Foreign"/>
        </w:rPr>
        <w:t>ś</w:t>
      </w:r>
      <w:r>
        <w:t xml:space="preserve"> to </w:t>
      </w:r>
      <w:r>
        <w:rPr>
          <w:rStyle w:val="Foreign"/>
        </w:rPr>
        <w:t>g</w:t>
      </w:r>
      <w:r>
        <w:t xml:space="preserve">: </w:t>
      </w:r>
      <w:r>
        <w:rPr>
          <w:rStyle w:val="Code"/>
        </w:rPr>
        <w:t>&lt;choice&gt;&lt;sic&gt;</w:t>
      </w:r>
      <w:r>
        <w:rPr>
          <w:rStyle w:val="Codetext"/>
        </w:rPr>
        <w:t>ś</w:t>
      </w:r>
      <w:r>
        <w:rPr>
          <w:rStyle w:val="Code"/>
        </w:rPr>
        <w:t>&lt;/sic&gt;&lt;corr&gt;</w:t>
      </w:r>
      <w:r>
        <w:rPr>
          <w:rStyle w:val="Codetext"/>
        </w:rPr>
        <w:t>g</w:t>
      </w:r>
      <w:r>
        <w:rPr>
          <w:rStyle w:val="Code"/>
        </w:rPr>
        <w:t>&lt;/corr&gt;&lt;/choice&gt;</w:t>
      </w:r>
      <w:r>
        <w:rPr>
          <w:rStyle w:val="Codetext"/>
        </w:rPr>
        <w:t>u</w:t>
      </w:r>
      <w:r>
        <w:rPr>
          <w:rStyle w:val="Code"/>
        </w:rPr>
        <w:t>ṇ</w:t>
      </w:r>
      <w:r>
        <w:rPr>
          <w:rStyle w:val="Codetext"/>
        </w:rPr>
        <w:t>a</w:t>
      </w:r>
    </w:p>
    <w:p w14:paraId="7659F9FC" w14:textId="77777777">
      <w:pPr>
        <w:pStyle w:val="Lista4"/>
      </w:pPr>
      <w:r>
        <w:t xml:space="preserve">and not an editorial suppression </w:t>
      </w:r>
      <w:r>
        <w:rPr>
          <w:noProof/>
        </w:rPr>
        <w:t>(</w:t>
      </w:r>
      <w:r>
        <w:t>of the cross-stroke), even though the scribe’s physical error was the engraving of a superfluous glyph component</w:t>
      </w:r>
    </w:p>
    <w:p w14:paraId="74D83680" w14:textId="77777777">
      <w:pPr>
        <w:pStyle w:val="Lista"/>
      </w:pPr>
      <w:r>
        <w:t xml:space="preserve">due to the nature of aksharic writing, the suppression or restitution of certain graphs (namely of a vowel marker or </w:t>
      </w:r>
      <w:r>
        <w:rPr>
          <w:rStyle w:val="Foreign"/>
        </w:rPr>
        <w:t>virāma</w:t>
      </w:r>
      <w:r>
        <w:t xml:space="preserve">) may result in the </w:t>
      </w:r>
      <w:r>
        <w:rPr>
          <w:i/>
          <w:iCs/>
        </w:rPr>
        <w:t>substitution</w:t>
      </w:r>
      <w:r>
        <w:t xml:space="preserve"> of one grapheme by another (viz. of the marked vowel or </w:t>
      </w:r>
      <w:r>
        <w:rPr>
          <w:rStyle w:val="Foreign"/>
        </w:rPr>
        <w:t>virāma</w:t>
      </w:r>
      <w:r>
        <w:t xml:space="preserve"> by the default vowel, or vice versa), which must be encoded as substitution rather than suppression or restitution; for example</w:t>
      </w:r>
    </w:p>
    <w:p w14:paraId="25AFB361" w14:textId="77777777">
      <w:pPr>
        <w:pStyle w:val="Lista2"/>
      </w:pPr>
      <w:r>
        <w:t xml:space="preserve">if the scribe engraved </w:t>
      </w:r>
      <w:r>
        <w:rPr>
          <w:rStyle w:val="Foreign"/>
        </w:rPr>
        <w:t>mahāraja</w:t>
      </w:r>
      <w:r>
        <w:t xml:space="preserve"> and you correct this to </w:t>
      </w:r>
      <w:r>
        <w:rPr>
          <w:rStyle w:val="Foreign"/>
        </w:rPr>
        <w:t>mahārāja</w:t>
      </w:r>
      <w:r>
        <w:t xml:space="preserve">, your rectification of that error is a correction of </w:t>
      </w:r>
      <w:r>
        <w:rPr>
          <w:rStyle w:val="Foreign"/>
        </w:rPr>
        <w:t>a</w:t>
      </w:r>
      <w:r>
        <w:t xml:space="preserve"> to </w:t>
      </w:r>
      <w:r>
        <w:rPr>
          <w:rStyle w:val="Foreign"/>
        </w:rPr>
        <w:t>ā</w:t>
      </w:r>
      <w:r>
        <w:t xml:space="preserve">: </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ja</w:t>
      </w:r>
    </w:p>
    <w:p w14:paraId="608152D9" w14:textId="77777777">
      <w:pPr>
        <w:pStyle w:val="Lista3"/>
      </w:pPr>
      <w:r>
        <w:t xml:space="preserve">and not an editorial restitution </w:t>
      </w:r>
      <w:r>
        <w:rPr>
          <w:noProof/>
        </w:rPr>
        <w:t>(</w:t>
      </w:r>
      <w:r>
        <w:t>of the vowel marker), even though the scribe’s physical error was the omission of a glyph component</w:t>
      </w:r>
    </w:p>
    <w:p w14:paraId="5C543B07" w14:textId="77777777">
      <w:pPr>
        <w:pStyle w:val="Lista3"/>
      </w:pPr>
      <w:r>
        <w:t xml:space="preserve">while </w:t>
      </w:r>
      <w:r>
        <w:rPr>
          <w:rStyle w:val="Codetext"/>
        </w:rPr>
        <w:t>mahār</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ā</w:t>
      </w:r>
      <w:r>
        <w:rPr>
          <w:rStyle w:val="Code"/>
        </w:rPr>
        <w:t>&lt;/supplied&gt;</w:t>
      </w:r>
      <w:r>
        <w:rPr>
          <w:rStyle w:val="Codetext"/>
        </w:rPr>
        <w:t>ja</w:t>
      </w:r>
      <w:r>
        <w:t xml:space="preserve"> would mean that the received reading is </w:t>
      </w:r>
      <w:r>
        <w:rPr>
          <w:rStyle w:val="Foreign"/>
        </w:rPr>
        <w:t>mahārja</w:t>
      </w:r>
      <w:r>
        <w:t xml:space="preserve">, which you correct to </w:t>
      </w:r>
      <w:r>
        <w:rPr>
          <w:rStyle w:val="Foreign"/>
        </w:rPr>
        <w:t>mahārāja</w:t>
      </w:r>
    </w:p>
    <w:p w14:paraId="26696079" w14:textId="77777777">
      <w:pPr>
        <w:pStyle w:val="Lista2"/>
      </w:pPr>
      <w:r>
        <w:t xml:space="preserve">if the scribe engraved </w:t>
      </w:r>
      <w:r>
        <w:rPr>
          <w:rStyle w:val="Foreign"/>
        </w:rPr>
        <w:t>viditim</w:t>
      </w:r>
      <w:r>
        <w:t xml:space="preserve"> and you correct this to </w:t>
      </w:r>
      <w:r>
        <w:rPr>
          <w:rStyle w:val="Foreign"/>
        </w:rPr>
        <w:t>viditam</w:t>
      </w:r>
      <w:r>
        <w:t xml:space="preserve">, your rectification of that error is a correction of </w:t>
      </w:r>
      <w:r>
        <w:rPr>
          <w:rStyle w:val="Foreign"/>
        </w:rPr>
        <w:t>i</w:t>
      </w:r>
      <w:r>
        <w:t xml:space="preserve"> to </w:t>
      </w:r>
      <w:r>
        <w:rPr>
          <w:rStyle w:val="Foreign"/>
        </w:rPr>
        <w:t>a</w:t>
      </w:r>
      <w:r>
        <w:t xml:space="preserve">: </w:t>
      </w:r>
      <w:r>
        <w:rPr>
          <w:rStyle w:val="Codetext"/>
        </w:rPr>
        <w:t>vidit</w:t>
      </w:r>
      <w:r>
        <w:rPr>
          <w:rStyle w:val="Code"/>
        </w:rPr>
        <w:t>&lt;choice&gt;&lt;sic&gt;</w:t>
      </w:r>
      <w:r>
        <w:rPr>
          <w:rStyle w:val="Codetext"/>
        </w:rPr>
        <w:t>i</w:t>
      </w:r>
      <w:r>
        <w:rPr>
          <w:rStyle w:val="Code"/>
        </w:rPr>
        <w:t>&lt;/sic&gt;&lt;corr&gt;</w:t>
      </w:r>
      <w:r>
        <w:rPr>
          <w:rStyle w:val="Codetext"/>
        </w:rPr>
        <w:t>a</w:t>
      </w:r>
      <w:r>
        <w:rPr>
          <w:rStyle w:val="Code"/>
        </w:rPr>
        <w:t>&lt;/corr&gt;&lt;/choice&gt;</w:t>
      </w:r>
      <w:r>
        <w:rPr>
          <w:rStyle w:val="Codetext"/>
        </w:rPr>
        <w:t>m</w:t>
      </w:r>
    </w:p>
    <w:p w14:paraId="33A6CF22" w14:textId="77777777">
      <w:pPr>
        <w:pStyle w:val="Lista3"/>
      </w:pPr>
      <w:r>
        <w:t xml:space="preserve">and not an editorial suppression </w:t>
      </w:r>
      <w:r>
        <w:rPr>
          <w:noProof/>
        </w:rPr>
        <w:t>(</w:t>
      </w:r>
      <w:r>
        <w:t>of the vowel marker), even though the scribe’s physical error was the engraving of a superfluous glyph component</w:t>
      </w:r>
    </w:p>
    <w:p w14:paraId="216528A4" w14:textId="77777777">
      <w:pPr>
        <w:pStyle w:val="Lista3"/>
        <w:rPr>
          <w:rStyle w:val="Foreign"/>
          <w:i w:val="0"/>
          <w:noProof w:val="0"/>
        </w:rPr>
      </w:pPr>
      <w:r>
        <w:t xml:space="preserve">while </w:t>
      </w:r>
      <w:r>
        <w:rPr>
          <w:rStyle w:val="Codetext"/>
        </w:rPr>
        <w:t>vidit</w:t>
      </w:r>
      <w:r>
        <w:rPr>
          <w:rStyle w:val="Code"/>
        </w:rPr>
        <w:t>&lt;surplus&gt;</w:t>
      </w:r>
      <w:r>
        <w:rPr>
          <w:rStyle w:val="Codetext"/>
        </w:rPr>
        <w:t>i</w:t>
      </w:r>
      <w:r>
        <w:rPr>
          <w:rStyle w:val="Code"/>
        </w:rPr>
        <w:t>&lt;/surplus&gt;</w:t>
      </w:r>
      <w:r>
        <w:rPr>
          <w:rStyle w:val="Codetext"/>
        </w:rPr>
        <w:t>m</w:t>
      </w:r>
      <w:r>
        <w:t xml:space="preserve"> would mean that your intended correction is </w:t>
      </w:r>
      <w:r>
        <w:rPr>
          <w:rStyle w:val="Foreign"/>
        </w:rPr>
        <w:t>viditm</w:t>
      </w:r>
    </w:p>
    <w:p w14:paraId="40D4D486" w14:textId="77777777">
      <w:pPr>
        <w:pStyle w:val="Lista2"/>
      </w:pPr>
      <w:r>
        <w:t xml:space="preserve">if the scribe engraved </w:t>
      </w:r>
      <w:r>
        <w:rPr>
          <w:rStyle w:val="Foreign"/>
        </w:rPr>
        <w:t>śrīmāna</w:t>
      </w:r>
      <w:r>
        <w:t xml:space="preserve"> and you correct this to </w:t>
      </w:r>
      <w:r>
        <w:rPr>
          <w:rStyle w:val="Foreign"/>
        </w:rPr>
        <w:t>śrīmān·</w:t>
      </w:r>
      <w:r>
        <w:t xml:space="preserve">, your rectification of that error is a correction of </w:t>
      </w:r>
      <w:r>
        <w:rPr>
          <w:rStyle w:val="Foreign"/>
        </w:rPr>
        <w:t>a</w:t>
      </w:r>
      <w:r>
        <w:t xml:space="preserve"> to </w:t>
      </w:r>
      <w:r>
        <w:rPr>
          <w:rStyle w:val="Foreign"/>
        </w:rPr>
        <w:t>virāma</w:t>
      </w:r>
      <w:r>
        <w:t xml:space="preserve">: </w:t>
      </w:r>
      <w:r>
        <w:rPr>
          <w:rStyle w:val="Codetext"/>
        </w:rPr>
        <w:t>śrīmān</w:t>
      </w:r>
      <w:r>
        <w:rPr>
          <w:rStyle w:val="Code"/>
        </w:rPr>
        <w:t>&lt;choice&gt;&lt;sic&gt;</w:t>
      </w:r>
      <w:r>
        <w:rPr>
          <w:rStyle w:val="Codetext"/>
        </w:rPr>
        <w:t>a</w:t>
      </w:r>
      <w:r>
        <w:rPr>
          <w:rStyle w:val="Code"/>
        </w:rPr>
        <w:t>&lt;/sic&gt;&lt;corr&gt;</w:t>
      </w:r>
      <w:r>
        <w:rPr>
          <w:rStyle w:val="Codetext"/>
        </w:rPr>
        <w:t>·</w:t>
      </w:r>
      <w:r>
        <w:rPr>
          <w:rStyle w:val="Code"/>
        </w:rPr>
        <w:t>&lt;/corr&gt;&lt;/choice&gt;</w:t>
      </w:r>
    </w:p>
    <w:p w14:paraId="3FE9F451" w14:textId="77777777">
      <w:pPr>
        <w:pStyle w:val="Lista3"/>
      </w:pPr>
      <w:r>
        <w:t xml:space="preserve">instead of restituting a </w:t>
      </w:r>
      <w:r>
        <w:rPr>
          <w:rStyle w:val="Foreign"/>
        </w:rPr>
        <w:t>virāma</w:t>
      </w:r>
      <w:r>
        <w:t>, you may choose simply to suppress the inherent vowel</w:t>
      </w:r>
    </w:p>
    <w:p w14:paraId="0D4EA6E3" w14:textId="77777777">
      <w:pPr>
        <w:pStyle w:val="Lista4"/>
      </w:pPr>
      <w:r>
        <w:t xml:space="preserve">this will assert that your correct text, had it been present in the original, would have been written with a ligature (conjoining the final </w:t>
      </w:r>
      <w:r>
        <w:rPr>
          <w:rStyle w:val="Foreign"/>
        </w:rPr>
        <w:t>n</w:t>
      </w:r>
      <w:r>
        <w:t xml:space="preserve"> to the next </w:t>
      </w:r>
      <w:r>
        <w:rPr>
          <w:rStyle w:val="Foreign"/>
        </w:rPr>
        <w:t>akṣara</w:t>
      </w:r>
      <w:r>
        <w:t>) rather than in hiatus</w:t>
      </w:r>
    </w:p>
    <w:p w14:paraId="1D6515AE" w14:textId="77777777">
      <w:pPr>
        <w:pStyle w:val="Lista4"/>
        <w:rPr>
          <w:rStyle w:val="Foreign"/>
          <w:i w:val="0"/>
          <w:iCs w:val="0"/>
          <w:noProof w:val="0"/>
        </w:rPr>
      </w:pPr>
      <w:r>
        <w:t xml:space="preserve">e.g. </w:t>
      </w:r>
      <w:r>
        <w:rPr>
          <w:rStyle w:val="Codetext"/>
        </w:rPr>
        <w:t>śrīmān</w:t>
      </w:r>
      <w:r>
        <w:rPr>
          <w:rStyle w:val="Code"/>
        </w:rPr>
        <w:t>&lt;surplus&gt;</w:t>
      </w:r>
      <w:r>
        <w:rPr>
          <w:rStyle w:val="Codetext"/>
        </w:rPr>
        <w:t>a</w:t>
      </w:r>
      <w:r>
        <w:rPr>
          <w:rStyle w:val="Code"/>
        </w:rPr>
        <w:t>&lt;/surplus&gt;</w:t>
      </w:r>
      <w:r>
        <w:rPr>
          <w:rStyle w:val="Codetext"/>
        </w:rPr>
        <w:t xml:space="preserve"> mahārājaḥ</w:t>
      </w:r>
      <w:r>
        <w:t xml:space="preserve">, where the text corrected by you and written in the original writing system would have involved the ligature </w:t>
      </w:r>
      <w:r>
        <w:rPr>
          <w:rStyle w:val="Foreign"/>
        </w:rPr>
        <w:t>nma</w:t>
      </w:r>
    </w:p>
    <w:p w14:paraId="49FD6510" w14:textId="77777777">
      <w:pPr>
        <w:pStyle w:val="Lista3"/>
      </w:pPr>
      <w:r>
        <w:t>if the original document employs special final forms of consonants, then the editorial correction is different again, as illustrated in the next point</w:t>
      </w:r>
    </w:p>
    <w:p w14:paraId="191B0123" w14:textId="77777777">
      <w:pPr>
        <w:pStyle w:val="Lista"/>
      </w:pPr>
      <w:r>
        <w:lastRenderedPageBreak/>
        <w:t>also due to the nature of aksharic writing, the suppression or restitution of certain graphemes may entail the changing of an adjacent grapheme; for example</w:t>
      </w:r>
    </w:p>
    <w:p w14:paraId="3C076BE4" w14:textId="77777777">
      <w:pPr>
        <w:pStyle w:val="Lista2"/>
      </w:pPr>
      <w:r>
        <w:t>supplying a consonant before an initial vowel form requires the transformation of that initial vowel into a dependent vowel</w:t>
      </w:r>
    </w:p>
    <w:p w14:paraId="03C2CAF2" w14:textId="77777777">
      <w:pPr>
        <w:pStyle w:val="Lista3"/>
      </w:pPr>
      <w:r>
        <w:t xml:space="preserve">e.g. correcting </w:t>
      </w:r>
      <w:r>
        <w:rPr>
          <w:rStyle w:val="Foreign"/>
        </w:rPr>
        <w:t>Adharma</w:t>
      </w:r>
      <w:r>
        <w:t xml:space="preserve"> to </w:t>
      </w:r>
      <w:r>
        <w:rPr>
          <w:rStyle w:val="Foreign"/>
        </w:rPr>
        <w:t>sadharma</w:t>
      </w:r>
      <w:r>
        <w:t xml:space="preserve"> is not simply a restitution of </w:t>
      </w:r>
      <w:r>
        <w:rPr>
          <w:rStyle w:val="Foreign"/>
        </w:rPr>
        <w:t>s</w:t>
      </w:r>
      <w:r>
        <w:t xml:space="preserve">, but a correction of </w:t>
      </w:r>
      <w:r>
        <w:rPr>
          <w:rStyle w:val="Foreign"/>
        </w:rPr>
        <w:t>A</w:t>
      </w:r>
      <w:r>
        <w:t xml:space="preserve"> to </w:t>
      </w:r>
      <w:r>
        <w:rPr>
          <w:rStyle w:val="Foreign"/>
        </w:rPr>
        <w:t>sa</w:t>
      </w:r>
      <w:r>
        <w:t xml:space="preserve">: </w:t>
      </w:r>
      <w:r>
        <w:rPr>
          <w:rStyle w:val="Code"/>
        </w:rPr>
        <w:t>&lt;choice&gt;&lt;sic&gt;</w:t>
      </w:r>
      <w:r>
        <w:rPr>
          <w:rStyle w:val="Codetext"/>
        </w:rPr>
        <w:t>A</w:t>
      </w:r>
      <w:r>
        <w:rPr>
          <w:rStyle w:val="Code"/>
        </w:rPr>
        <w:t>&lt;/sic&gt;&lt;corr&gt;</w:t>
      </w:r>
      <w:r>
        <w:rPr>
          <w:rStyle w:val="Codetext"/>
        </w:rPr>
        <w:t>sa</w:t>
      </w:r>
      <w:r>
        <w:rPr>
          <w:rStyle w:val="Code"/>
        </w:rPr>
        <w:t>&lt;/corr&gt;&lt;/choice&gt;</w:t>
      </w:r>
      <w:r>
        <w:rPr>
          <w:rStyle w:val="Codetext"/>
        </w:rPr>
        <w:t>dharma</w:t>
      </w:r>
    </w:p>
    <w:p w14:paraId="62F05378" w14:textId="77777777">
      <w:pPr>
        <w:pStyle w:val="Lista2"/>
      </w:pPr>
      <w:r>
        <w:t>suppressing a vowel in a final position may require the transformation of the preceding consonant into a final form (if the writing system in question employs final consonant forms and one is applicable in the context)</w:t>
      </w:r>
    </w:p>
    <w:p w14:paraId="38BF0D38" w14:textId="77777777">
      <w:pPr>
        <w:pStyle w:val="Lista3"/>
      </w:pPr>
      <w:r>
        <w:t xml:space="preserve">e.g. correcting </w:t>
      </w:r>
      <w:r>
        <w:rPr>
          <w:rStyle w:val="Foreign"/>
        </w:rPr>
        <w:t>śrīmāna</w:t>
      </w:r>
      <w:r>
        <w:t xml:space="preserve"> to </w:t>
      </w:r>
      <w:r>
        <w:rPr>
          <w:rStyle w:val="Foreign"/>
        </w:rPr>
        <w:t>śrīmāN</w:t>
      </w:r>
      <w:r>
        <w:t xml:space="preserve"> is not simply the suppression of </w:t>
      </w:r>
      <w:r>
        <w:rPr>
          <w:rStyle w:val="Foreign"/>
        </w:rPr>
        <w:t>a</w:t>
      </w:r>
      <w:r>
        <w:t xml:space="preserve">, but a correction of </w:t>
      </w:r>
      <w:r>
        <w:rPr>
          <w:rStyle w:val="Foreign"/>
        </w:rPr>
        <w:t>na</w:t>
      </w:r>
      <w:r>
        <w:t xml:space="preserve"> to </w:t>
      </w:r>
      <w:r>
        <w:rPr>
          <w:rStyle w:val="Foreign"/>
        </w:rPr>
        <w:t>N</w:t>
      </w:r>
      <w:r>
        <w:t xml:space="preserve">: </w:t>
      </w:r>
      <w:r>
        <w:rPr>
          <w:rStyle w:val="Codetext"/>
        </w:rPr>
        <w:t>śrīmā</w:t>
      </w:r>
      <w:r>
        <w:rPr>
          <w:rStyle w:val="Code"/>
        </w:rPr>
        <w:t>&lt;choice&gt;&lt;sic&gt;</w:t>
      </w:r>
      <w:r>
        <w:rPr>
          <w:rStyle w:val="Codetext"/>
        </w:rPr>
        <w:t>na</w:t>
      </w:r>
      <w:r>
        <w:rPr>
          <w:rStyle w:val="Code"/>
        </w:rPr>
        <w:t>&lt;/sic&gt;&lt;corr&gt;</w:t>
      </w:r>
      <w:r>
        <w:rPr>
          <w:rStyle w:val="Codetext"/>
        </w:rPr>
        <w:t>N</w:t>
      </w:r>
      <w:r>
        <w:rPr>
          <w:rStyle w:val="Code"/>
        </w:rPr>
        <w:t>&lt;/corr&gt;&lt;/choice&gt;</w:t>
      </w:r>
    </w:p>
    <w:p w14:paraId="146AE308" w14:textId="77777777">
      <w:pPr>
        <w:pStyle w:val="Lista"/>
      </w:pPr>
      <w:r>
        <w:t>due to the nature of our transliteration scheme, some source graphemes are represented by digraphs in our editions, but an editorial change that apparently affects only part of a digraph (a single target grapheme) in fact affects a complete source grapheme (represented by two target graphemes); for example</w:t>
      </w:r>
    </w:p>
    <w:p w14:paraId="63945A88" w14:textId="77777777">
      <w:pPr>
        <w:pStyle w:val="Lista2"/>
      </w:pPr>
      <w:r>
        <w:t xml:space="preserve">if the scribe engraved </w:t>
      </w:r>
      <w:r>
        <w:rPr>
          <w:rStyle w:val="Foreign"/>
        </w:rPr>
        <w:t>sukhya</w:t>
      </w:r>
      <w:r>
        <w:t xml:space="preserve"> and you correct this to </w:t>
      </w:r>
      <w:r>
        <w:rPr>
          <w:rStyle w:val="Foreign"/>
        </w:rPr>
        <w:t>saukhya</w:t>
      </w:r>
      <w:r>
        <w:t xml:space="preserve">, your rectification of that error is a correction of </w:t>
      </w:r>
      <w:r>
        <w:rPr>
          <w:rStyle w:val="Foreign"/>
        </w:rPr>
        <w:t>u</w:t>
      </w:r>
      <w:r>
        <w:t xml:space="preserve"> to </w:t>
      </w:r>
      <w:r>
        <w:rPr>
          <w:rStyle w:val="Foreign"/>
        </w:rPr>
        <w:t>au</w:t>
      </w:r>
      <w:r>
        <w:t xml:space="preserve">: </w:t>
      </w:r>
      <w:r>
        <w:rPr>
          <w:rStyle w:val="Codetext"/>
        </w:rPr>
        <w:t>s</w:t>
      </w:r>
      <w:r>
        <w:rPr>
          <w:rStyle w:val="Code"/>
        </w:rPr>
        <w:t>&lt;choice&gt;&lt;sic&gt;</w:t>
      </w:r>
      <w:r>
        <w:rPr>
          <w:rStyle w:val="Codetext"/>
        </w:rPr>
        <w:t>u</w:t>
      </w:r>
      <w:r>
        <w:rPr>
          <w:rStyle w:val="Code"/>
        </w:rPr>
        <w:t>&lt;/sic&gt;&lt;corr&gt;</w:t>
      </w:r>
      <w:r>
        <w:rPr>
          <w:rStyle w:val="Codetext"/>
        </w:rPr>
        <w:t>au</w:t>
      </w:r>
      <w:r>
        <w:rPr>
          <w:rStyle w:val="Code"/>
        </w:rPr>
        <w:t>&lt;/corr&gt;&lt;/choice&gt;</w:t>
      </w:r>
      <w:r>
        <w:rPr>
          <w:rStyle w:val="Codetext"/>
        </w:rPr>
        <w:t>khya</w:t>
      </w:r>
    </w:p>
    <w:p w14:paraId="4D620F30" w14:textId="77777777">
      <w:pPr>
        <w:pStyle w:val="Lista3"/>
      </w:pPr>
      <w:r>
        <w:t xml:space="preserve">not restitution of </w:t>
      </w:r>
      <w:r>
        <w:rPr>
          <w:rStyle w:val="Foreign"/>
        </w:rPr>
        <w:t>a</w:t>
      </w:r>
      <w:r>
        <w:t>, even though in transliteration you are only adding a single target grapheme</w:t>
      </w:r>
    </w:p>
    <w:p w14:paraId="45ED80F9" w14:textId="77777777">
      <w:pPr>
        <w:pStyle w:val="Lista2"/>
      </w:pPr>
      <w:r>
        <w:t xml:space="preserve">if the scribe engraved </w:t>
      </w:r>
      <w:r>
        <w:rPr>
          <w:rStyle w:val="Foreign"/>
        </w:rPr>
        <w:t>utphannasya</w:t>
      </w:r>
      <w:r>
        <w:t xml:space="preserve"> and you correct this to </w:t>
      </w:r>
      <w:r>
        <w:rPr>
          <w:rStyle w:val="Foreign"/>
        </w:rPr>
        <w:t>utpannasya</w:t>
      </w:r>
      <w:r>
        <w:t xml:space="preserve">, your rectification of that error is a correction of </w:t>
      </w:r>
      <w:r>
        <w:rPr>
          <w:rStyle w:val="Foreign"/>
        </w:rPr>
        <w:t>ph</w:t>
      </w:r>
      <w:r>
        <w:t xml:space="preserve"> to </w:t>
      </w:r>
      <w:r>
        <w:rPr>
          <w:rStyle w:val="Foreign"/>
        </w:rPr>
        <w:t>p</w:t>
      </w:r>
      <w:r>
        <w:t xml:space="preserve">: </w:t>
      </w:r>
      <w:r>
        <w:rPr>
          <w:rStyle w:val="Codetext"/>
        </w:rPr>
        <w:t>ut</w:t>
      </w:r>
      <w:r>
        <w:rPr>
          <w:rStyle w:val="Code"/>
        </w:rPr>
        <w:t>&lt;choice&gt;&lt;sic&gt;</w:t>
      </w:r>
      <w:r>
        <w:rPr>
          <w:rStyle w:val="Codetext"/>
        </w:rPr>
        <w:t>ph</w:t>
      </w:r>
      <w:r>
        <w:rPr>
          <w:rStyle w:val="Code"/>
        </w:rPr>
        <w:t>&lt;/sic&gt;&lt;corr&gt;</w:t>
      </w:r>
      <w:r>
        <w:rPr>
          <w:rStyle w:val="Codetext"/>
        </w:rPr>
        <w:t>p</w:t>
      </w:r>
      <w:r>
        <w:rPr>
          <w:rStyle w:val="Code"/>
        </w:rPr>
        <w:t>&lt;/corr&gt;&lt;/choice&gt;</w:t>
      </w:r>
      <w:r>
        <w:rPr>
          <w:rStyle w:val="Codetext"/>
        </w:rPr>
        <w:t>annasya</w:t>
      </w:r>
    </w:p>
    <w:p w14:paraId="4379B6CF" w14:textId="77777777">
      <w:pPr>
        <w:pStyle w:val="Lista3"/>
      </w:pPr>
      <w:r>
        <w:t xml:space="preserve">not suppression of </w:t>
      </w:r>
      <w:r>
        <w:rPr>
          <w:rStyle w:val="Foreign"/>
        </w:rPr>
        <w:t>h</w:t>
      </w:r>
      <w:r>
        <w:t>, even though in transliteration you are only removing a single target grapheme</w:t>
      </w:r>
    </w:p>
    <w:p w14:paraId="2F6701AF" w14:textId="77777777">
      <w:pPr>
        <w:pStyle w:val="Lista2"/>
      </w:pPr>
      <w:r>
        <w:t xml:space="preserve">if the scribe engraved </w:t>
      </w:r>
      <w:r>
        <w:rPr>
          <w:rStyle w:val="Foreign"/>
        </w:rPr>
        <w:t>nikhāya</w:t>
      </w:r>
      <w:r>
        <w:t xml:space="preserve"> and you correct this to </w:t>
      </w:r>
      <w:r>
        <w:rPr>
          <w:rStyle w:val="Foreign"/>
        </w:rPr>
        <w:t>nidhāya</w:t>
      </w:r>
      <w:r>
        <w:t xml:space="preserve">, your rectification of that error is a correction of </w:t>
      </w:r>
      <w:r>
        <w:rPr>
          <w:rStyle w:val="Foreign"/>
        </w:rPr>
        <w:t>kh</w:t>
      </w:r>
      <w:r>
        <w:t xml:space="preserve"> to </w:t>
      </w:r>
      <w:r>
        <w:rPr>
          <w:rStyle w:val="Foreign"/>
        </w:rPr>
        <w:t>dh</w:t>
      </w:r>
      <w:r>
        <w:t xml:space="preserve">: </w:t>
      </w:r>
      <w:r>
        <w:rPr>
          <w:rStyle w:val="Codetext"/>
        </w:rPr>
        <w:t>ni</w:t>
      </w:r>
      <w:r>
        <w:rPr>
          <w:rStyle w:val="Code"/>
        </w:rPr>
        <w:t>&lt;choice&gt;&lt;sic&gt;</w:t>
      </w:r>
      <w:r>
        <w:rPr>
          <w:rStyle w:val="Codetext"/>
        </w:rPr>
        <w:t>kh</w:t>
      </w:r>
      <w:r>
        <w:rPr>
          <w:rStyle w:val="Code"/>
        </w:rPr>
        <w:t>&lt;/sic&gt;&lt;corr&gt;</w:t>
      </w:r>
      <w:r>
        <w:rPr>
          <w:rStyle w:val="Codetext"/>
        </w:rPr>
        <w:t>dh</w:t>
      </w:r>
      <w:r>
        <w:rPr>
          <w:rStyle w:val="Code"/>
        </w:rPr>
        <w:t>&lt;/corr&gt;&lt;/choice&gt;</w:t>
      </w:r>
      <w:r>
        <w:rPr>
          <w:rStyle w:val="Codetext"/>
        </w:rPr>
        <w:t>āya</w:t>
      </w:r>
    </w:p>
    <w:p w14:paraId="1DB8724A" w14:textId="77777777">
      <w:pPr>
        <w:pStyle w:val="Lista3"/>
      </w:pPr>
      <w:r>
        <w:t xml:space="preserve">not correction of </w:t>
      </w:r>
      <w:r>
        <w:rPr>
          <w:rStyle w:val="Foreign"/>
        </w:rPr>
        <w:t>k</w:t>
      </w:r>
      <w:r>
        <w:t xml:space="preserve"> to </w:t>
      </w:r>
      <w:r>
        <w:rPr>
          <w:rStyle w:val="Foreign"/>
        </w:rPr>
        <w:t>d</w:t>
      </w:r>
      <w:r>
        <w:t>, even though in transliteration you are only changing that target grapheme</w:t>
      </w:r>
    </w:p>
    <w:p w14:paraId="480540F2" w14:textId="77777777">
      <w:pPr>
        <w:pStyle w:val="Cmsor3"/>
      </w:pPr>
      <w:bookmarkStart w:id="666" w:name="_Ref228973253"/>
      <w:bookmarkStart w:id="667" w:name="_Toc242889549"/>
      <w:r>
        <w:t>The scope of editorial intervention</w:t>
      </w:r>
      <w:bookmarkEnd w:id="666"/>
      <w:bookmarkEnd w:id="667"/>
    </w:p>
    <w:p w14:paraId="0C99695F" w14:textId="12071AAC">
      <w:r>
        <w:rPr>
          <w:lang w:eastAsia="en-US" w:bidi="ar-SA"/>
        </w:rPr>
        <w:t xml:space="preserve">When you flag or rectify anomalous language, the </w:t>
      </w:r>
      <w:r>
        <w:t>size of segments included in your tags should generally be whatever you deem to be a reasonable minimum to which the anomaly can be localised. Instead of placing only the absolute minimum within your tags, you may choose to include relevant context. In this connection, relevant context means any adjacent graphemes (or, for higher-level intervention, adjacent morphemes) which in your opinion may have played a role in generating the anomaly (as phonetic context engendering the use of an unexpected phoneme; as graphetic context engendering the use of an unexpected graph; or as grammatical or semantic context engendering the use of an unexpected word or morpheme), or are useful for highlighting the nature of the anomaly by suggesting what the expected reading should have been. Whether or not to include context is not a wholly subjective decision, and the choice has very little ultimate effect on our corpus so long as the received text is faithfully reproduced and any editorial intervention accurately reflects the rectified text. See also §</w:t>
      </w:r>
      <w:r>
        <w:fldChar w:fldCharType="begin"/>
      </w:r>
      <w:r>
        <w:instrText xml:space="preserve"> REF _Ref228956991 \r \h </w:instrText>
      </w:r>
      <w:r>
        <w:fldChar w:fldCharType="separate"/>
      </w:r>
      <w:r>
        <w:t>7.7.3</w:t>
      </w:r>
      <w:r>
        <w:fldChar w:fldCharType="end"/>
      </w:r>
      <w:r>
        <w:t xml:space="preserve"> on the option to encode several editorial changes as a single intervention. Additional considerations are provided for the normalisation and flagging of non-standard readings (§</w:t>
      </w:r>
      <w:r>
        <w:fldChar w:fldCharType="begin"/>
      </w:r>
      <w:r>
        <w:instrText xml:space="preserve"> REF _Ref228957347 \r \h </w:instrText>
      </w:r>
      <w:r>
        <w:fldChar w:fldCharType="separate"/>
      </w:r>
      <w:r>
        <w:t>7.7.2.1</w:t>
      </w:r>
      <w:r>
        <w:fldChar w:fldCharType="end"/>
      </w:r>
      <w:r>
        <w:t xml:space="preserve">). </w:t>
      </w:r>
    </w:p>
    <w:p w14:paraId="746C12BD" w14:textId="77777777">
      <w:pPr>
        <w:pStyle w:val="Lista"/>
      </w:pPr>
      <w:r>
        <w:t>the rectification of orthography should target only the specific graphemes involved</w:t>
      </w:r>
    </w:p>
    <w:p w14:paraId="7117C376" w14:textId="77777777">
      <w:pPr>
        <w:pStyle w:val="Lista2"/>
      </w:pPr>
      <w:r>
        <w:t>when anomalous orthography is flagged but not corrected, you may choose to include relevant context</w:t>
      </w:r>
    </w:p>
    <w:p w14:paraId="37B267CD" w14:textId="77777777">
      <w:pPr>
        <w:pStyle w:val="Lista3"/>
      </w:pPr>
      <w:r>
        <w:t xml:space="preserve">e.g. </w:t>
      </w:r>
      <w:r>
        <w:rPr>
          <w:rStyle w:val="Codetext"/>
        </w:rPr>
        <w:t>sahas</w:t>
      </w:r>
      <w:r>
        <w:rPr>
          <w:rStyle w:val="Code"/>
        </w:rPr>
        <w:t>&lt;orig&gt;</w:t>
      </w:r>
      <w:r>
        <w:rPr>
          <w:rStyle w:val="Codetext"/>
        </w:rPr>
        <w:t>rān</w:t>
      </w:r>
      <w:r>
        <w:rPr>
          <w:rStyle w:val="Code"/>
        </w:rPr>
        <w:t>&lt;/orig&gt;</w:t>
      </w:r>
      <w:r>
        <w:rPr>
          <w:rStyle w:val="Codetext"/>
        </w:rPr>
        <w:t>i</w:t>
      </w:r>
      <w:r>
        <w:t xml:space="preserve"> </w:t>
      </w:r>
      <w:r>
        <w:rPr>
          <w:noProof/>
        </w:rPr>
        <w:t>(</w:t>
      </w:r>
      <w:r>
        <w:rPr>
          <w:rStyle w:val="Foreign"/>
        </w:rPr>
        <w:t>sahasrāṇi</w:t>
      </w:r>
      <w:r>
        <w:t xml:space="preserve"> is expected, and it is the vicinity of </w:t>
      </w:r>
      <w:r>
        <w:rPr>
          <w:rStyle w:val="Foreign"/>
        </w:rPr>
        <w:t>r</w:t>
      </w:r>
      <w:r>
        <w:t xml:space="preserve"> that drives the retroflexion of </w:t>
      </w:r>
      <w:r>
        <w:rPr>
          <w:rStyle w:val="Foreign"/>
        </w:rPr>
        <w:t>n</w:t>
      </w:r>
      <w:r>
        <w:t>)</w:t>
      </w:r>
    </w:p>
    <w:p w14:paraId="5244E688" w14:textId="77777777">
      <w:pPr>
        <w:pStyle w:val="Lista"/>
      </w:pPr>
      <w:r>
        <w:t>the rectification of grammar may target</w:t>
      </w:r>
    </w:p>
    <w:p w14:paraId="384CDF0D" w14:textId="77777777">
      <w:pPr>
        <w:pStyle w:val="Lista2"/>
      </w:pPr>
      <w:r>
        <w:t>a specific grapheme or a small cluster of adjacent graphemes, when this is sufficient to clarify the correction</w:t>
      </w:r>
    </w:p>
    <w:p w14:paraId="7815C1EC" w14:textId="77777777">
      <w:pPr>
        <w:pStyle w:val="Lista3"/>
      </w:pPr>
      <w:r>
        <w:t xml:space="preserve">e.g. </w:t>
      </w:r>
      <w:r>
        <w:rPr>
          <w:rStyle w:val="Codetext"/>
        </w:rPr>
        <w:t>yuṣmābh</w:t>
      </w:r>
      <w:r>
        <w:rPr>
          <w:rStyle w:val="Code"/>
        </w:rPr>
        <w:t>&lt;choice&gt;&lt;sic&gt;ya&lt;/sic&gt;&lt;corr&gt;</w:t>
      </w:r>
      <w:r>
        <w:rPr>
          <w:rStyle w:val="Codetext"/>
        </w:rPr>
        <w:t>i</w:t>
      </w:r>
      <w:r>
        <w:rPr>
          <w:rStyle w:val="Code"/>
        </w:rPr>
        <w:t>&lt;/corr&gt;&lt;/choice&gt;</w:t>
      </w:r>
      <w:r>
        <w:rPr>
          <w:rStyle w:val="Codetext"/>
        </w:rPr>
        <w:t>ḥ</w:t>
      </w:r>
    </w:p>
    <w:p w14:paraId="75BD7085" w14:textId="263CCA68">
      <w:pPr>
        <w:pStyle w:val="Lista2"/>
      </w:pPr>
      <w:r>
        <w:t>the whole of a morpheme (word, stem, prefix, suffix, ending) when you feel that this improves clarity or when several non-adjacent graphemes would otherwise need to be modified</w:t>
      </w:r>
    </w:p>
    <w:p w14:paraId="7F928CD5" w14:textId="77777777">
      <w:pPr>
        <w:pStyle w:val="Lista3"/>
      </w:pPr>
      <w:r>
        <w:t xml:space="preserve">e.g. </w:t>
      </w:r>
      <w:r>
        <w:rPr>
          <w:rStyle w:val="Codetext"/>
        </w:rPr>
        <w:t>mahārāj</w:t>
      </w:r>
      <w:r>
        <w:rPr>
          <w:rStyle w:val="Code"/>
        </w:rPr>
        <w:t>&lt;choice&gt;&lt;sic&gt;</w:t>
      </w:r>
      <w:r>
        <w:rPr>
          <w:rStyle w:val="Codetext"/>
        </w:rPr>
        <w:t>asya</w:t>
      </w:r>
      <w:r>
        <w:rPr>
          <w:rStyle w:val="Code"/>
        </w:rPr>
        <w:t>&lt;/sic&gt;&lt;corr&gt;</w:t>
      </w:r>
      <w:r>
        <w:rPr>
          <w:rStyle w:val="Codetext"/>
        </w:rPr>
        <w:t>ena</w:t>
      </w:r>
      <w:r>
        <w:rPr>
          <w:rStyle w:val="Code"/>
        </w:rPr>
        <w:t>&lt;/corr&gt;&lt;/choice&gt;</w:t>
      </w:r>
    </w:p>
    <w:p w14:paraId="3431C496" w14:textId="188E43AA">
      <w:pPr>
        <w:pStyle w:val="Lista2"/>
      </w:pPr>
      <w:r>
        <w:lastRenderedPageBreak/>
        <w:t>when anomalous grammar is flagged but not corrected, you may choose to include context beyond the affected word</w:t>
      </w:r>
    </w:p>
    <w:p w14:paraId="744F760C" w14:textId="77777777">
      <w:pPr>
        <w:pStyle w:val="Lista3"/>
      </w:pPr>
      <w:r>
        <w:t xml:space="preserve">e.g. </w:t>
      </w:r>
      <w:r>
        <w:rPr>
          <w:rStyle w:val="Code"/>
        </w:rPr>
        <w:t>&lt;orig&gt;</w:t>
      </w:r>
      <w:r>
        <w:rPr>
          <w:rStyle w:val="Codetext"/>
        </w:rPr>
        <w:t>tasmai viprasya</w:t>
      </w:r>
      <w:r>
        <w:rPr>
          <w:rStyle w:val="Code"/>
        </w:rPr>
        <w:t>&lt;/orig&gt;</w:t>
      </w:r>
      <w:r>
        <w:t xml:space="preserve"> (where either </w:t>
      </w:r>
      <w:r>
        <w:rPr>
          <w:rStyle w:val="Foreign"/>
        </w:rPr>
        <w:t>tasya viprasya</w:t>
      </w:r>
      <w:r>
        <w:t xml:space="preserve"> or </w:t>
      </w:r>
      <w:r>
        <w:rPr>
          <w:rStyle w:val="Foreign"/>
        </w:rPr>
        <w:t>tasmai viprāya</w:t>
      </w:r>
      <w:r>
        <w:t xml:space="preserve"> would be expected)</w:t>
      </w:r>
    </w:p>
    <w:p w14:paraId="2770961C" w14:textId="77777777">
      <w:pPr>
        <w:pStyle w:val="Lista"/>
      </w:pPr>
      <w:r>
        <w:t>the rectification (in particular, normalisation) of non-standard lexicon should normally target whole words</w:t>
      </w:r>
    </w:p>
    <w:p w14:paraId="253B6B71" w14:textId="77777777">
      <w:pPr>
        <w:pStyle w:val="Lista2"/>
      </w:pPr>
      <w:r>
        <w:t>but you may choose to target smaller units if this seems more expedient, for instance in a word that mixes Sanskritic and Middle Indic characteristics</w:t>
      </w:r>
    </w:p>
    <w:p w14:paraId="73959B86" w14:textId="7D0EC9B2">
      <w:pPr>
        <w:pStyle w:val="Lista"/>
      </w:pPr>
      <w:r>
        <w:t>editorial intervention at a larger scale, involving entire phrases or the transposition of words, should preferably not be made in the edition but only suggested in an apparatus note (§</w:t>
      </w:r>
      <w:r>
        <w:fldChar w:fldCharType="begin"/>
      </w:r>
      <w:r>
        <w:instrText xml:space="preserve"> REF _Ref43988104 \w \h  \* MERGEFORMAT </w:instrText>
      </w:r>
      <w:r>
        <w:fldChar w:fldCharType="separate"/>
      </w:r>
      <w:r>
        <w:t>10.7</w:t>
      </w:r>
      <w:r>
        <w:fldChar w:fldCharType="end"/>
      </w:r>
      <w:r>
        <w:t>)</w:t>
      </w:r>
    </w:p>
    <w:p w14:paraId="4D7C5CD7" w14:textId="77777777">
      <w:pPr>
        <w:pStyle w:val="Lista2"/>
      </w:pPr>
      <w:r>
        <w:t>but exceptions may be made for well-understood text with numerous anomalies</w:t>
      </w:r>
    </w:p>
    <w:p w14:paraId="37027301" w14:textId="77777777">
      <w:pPr>
        <w:pStyle w:val="Lista2"/>
      </w:pPr>
      <w:r>
        <w:t xml:space="preserve">in particular, feel free to include the contents of an entire </w:t>
      </w:r>
      <w:r>
        <w:rPr>
          <w:rStyle w:val="Code"/>
        </w:rPr>
        <w:t>&lt;l&gt;</w:t>
      </w:r>
      <w:r>
        <w:t xml:space="preserve"> element in a single substitution in the stock admonitory stanzas cited in land grants, whose error-rate is often much higher than in the remainder of an inscription</w:t>
      </w:r>
    </w:p>
    <w:p w14:paraId="7402D177" w14:textId="77777777">
      <w:pPr>
        <w:pStyle w:val="Lista3"/>
      </w:pPr>
      <w:r>
        <w:t xml:space="preserve">e.g. </w:t>
      </w:r>
      <w:r>
        <w:rPr>
          <w:rStyle w:val="Code"/>
        </w:rPr>
        <w:t>&lt;l&gt;&lt;choice&gt;&lt;orig&gt;</w:t>
      </w:r>
      <w:r>
        <w:rPr>
          <w:rStyle w:val="Codetext"/>
        </w:rPr>
        <w:t>sva-datnā para-datnā vvā</w:t>
      </w:r>
      <w:r>
        <w:rPr>
          <w:rStyle w:val="Code"/>
        </w:rPr>
        <w:t>&lt;/orig&gt;&lt;reg&gt;</w:t>
      </w:r>
      <w:r>
        <w:rPr>
          <w:rStyle w:val="Codetext"/>
        </w:rPr>
        <w:t>sva-dattāṁ para-dattāṁ vā</w:t>
      </w:r>
      <w:r>
        <w:rPr>
          <w:rStyle w:val="Code"/>
        </w:rPr>
        <w:t>&lt;/reg&gt;&lt;/choice&gt;&lt;/l&gt;</w:t>
      </w:r>
    </w:p>
    <w:p w14:paraId="2B2AB5D9" w14:textId="77777777">
      <w:pPr>
        <w:pStyle w:val="Cmsor4"/>
      </w:pPr>
      <w:bookmarkStart w:id="668" w:name="_Ref228957347"/>
      <w:r>
        <w:t>The minimum scope of intervention for non-standard readings</w:t>
      </w:r>
      <w:bookmarkEnd w:id="668"/>
    </w:p>
    <w:p w14:paraId="208F03CD" w14:textId="6CFE1088">
      <w:r>
        <w:t>As indicated in §</w:t>
      </w:r>
      <w:r>
        <w:fldChar w:fldCharType="begin"/>
      </w:r>
      <w:r>
        <w:instrText xml:space="preserve"> REF _Ref228885762 \r \h </w:instrText>
      </w:r>
      <w:r>
        <w:fldChar w:fldCharType="separate"/>
      </w:r>
      <w:r>
        <w:t>7.2.1</w:t>
      </w:r>
      <w:r>
        <w:fldChar w:fldCharType="end"/>
      </w:r>
      <w:r>
        <w:t xml:space="preserve"> above, there is no encoding method dedicated to the suppression or restitution of individual graphemes in the framework of normalisation, so normalisation must always be encoded as substitution, even if the normalised reading can be obtained simply by adding or removing specific graphemes to or from the received text. Although it is theoretically permissible to leave empty either of the children of </w:t>
      </w:r>
      <w:r>
        <w:rPr>
          <w:rStyle w:val="Code"/>
        </w:rPr>
        <w:t>&lt;choice&gt;</w:t>
      </w:r>
      <w:r>
        <w:t xml:space="preserve"> </w:t>
      </w:r>
      <w:r>
        <w:rPr>
          <w:noProof/>
        </w:rPr>
        <w:t>(</w:t>
      </w:r>
      <w:r>
        <w:t xml:space="preserve">i.e. </w:t>
      </w:r>
      <w:r>
        <w:rPr>
          <w:rStyle w:val="Code"/>
        </w:rPr>
        <w:t>&lt;orig&gt;</w:t>
      </w:r>
      <w:r>
        <w:t xml:space="preserve"> or </w:t>
      </w:r>
      <w:r>
        <w:rPr>
          <w:rStyle w:val="Code"/>
        </w:rPr>
        <w:t>&lt;reg&gt;</w:t>
      </w:r>
      <w:r>
        <w:t xml:space="preserve">), and thus simulate suppletion or suppression, we avoid doing this in DHARMA practice because it is conceptually complicated and may be difficult to interpret when rendered for display. Moreover, doing so would still leave us without a method for merely flagging a locus that could be normalised by adding a specific grapheme. Therefore, when flagging or normalising non-standard usage, at least one adjacent grapheme must be included in your markup in the following situations. </w:t>
      </w:r>
    </w:p>
    <w:p w14:paraId="29918B44" w14:textId="77777777">
      <w:pPr>
        <w:pStyle w:val="Lista"/>
      </w:pPr>
      <w:r>
        <w:t>when non-standard orthography manifests as the absence of an expected grapheme, then relevant context must be included in the markup</w:t>
      </w:r>
    </w:p>
    <w:p w14:paraId="4F988798" w14:textId="77777777">
      <w:pPr>
        <w:pStyle w:val="Lista2"/>
      </w:pPr>
      <w:r>
        <w:t>in flagging (because nothing else is there to flag), e.g.</w:t>
      </w:r>
    </w:p>
    <w:p w14:paraId="2996AE88" w14:textId="77777777">
      <w:pPr>
        <w:pStyle w:val="Lista3"/>
      </w:pPr>
      <w:r>
        <w:rPr>
          <w:rStyle w:val="Codetext"/>
        </w:rPr>
        <w:t>sa</w:t>
      </w:r>
      <w:r>
        <w:rPr>
          <w:rStyle w:val="Code"/>
        </w:rPr>
        <w:t>&lt;orig&gt;</w:t>
      </w:r>
      <w:r>
        <w:rPr>
          <w:rStyle w:val="Codetext"/>
        </w:rPr>
        <w:t>t</w:t>
      </w:r>
      <w:r>
        <w:rPr>
          <w:rStyle w:val="Code"/>
        </w:rPr>
        <w:t>&lt;/orig&gt;v</w:t>
      </w:r>
      <w:r>
        <w:rPr>
          <w:rStyle w:val="Codetext"/>
        </w:rPr>
        <w:t>a</w:t>
      </w:r>
    </w:p>
    <w:p w14:paraId="14B268DB" w14:textId="77777777">
      <w:pPr>
        <w:pStyle w:val="Lista3"/>
      </w:pPr>
      <w:r>
        <w:rPr>
          <w:rStyle w:val="Codetext"/>
        </w:rPr>
        <w:t>qə</w:t>
      </w:r>
      <w:r>
        <w:rPr>
          <w:rStyle w:val="Code"/>
        </w:rPr>
        <w:t>&lt;orig&gt;</w:t>
      </w:r>
      <w:r>
        <w:rPr>
          <w:rStyle w:val="Codetext"/>
        </w:rPr>
        <w:t>c</w:t>
      </w:r>
      <w:r>
        <w:rPr>
          <w:rStyle w:val="Code"/>
        </w:rPr>
        <w:t>&lt;/orig&gt;</w:t>
      </w:r>
      <w:r>
        <w:rPr>
          <w:rStyle w:val="Codetext"/>
        </w:rPr>
        <w:t>u</w:t>
      </w:r>
    </w:p>
    <w:p w14:paraId="1B6D5E0C" w14:textId="77777777">
      <w:pPr>
        <w:pStyle w:val="Lista3"/>
      </w:pPr>
      <w:r>
        <w:rPr>
          <w:rStyle w:val="Codetext"/>
        </w:rPr>
        <w:t>sakuli</w:t>
      </w:r>
      <w:r>
        <w:rPr>
          <w:rStyle w:val="Code"/>
        </w:rPr>
        <w:t>&lt;orig&gt;</w:t>
      </w:r>
      <w:r>
        <w:rPr>
          <w:rStyle w:val="Codetext"/>
        </w:rPr>
        <w:t>li</w:t>
      </w:r>
      <w:r>
        <w:rPr>
          <w:rStyle w:val="Code"/>
        </w:rPr>
        <w:t>&lt;/orig&gt;</w:t>
      </w:r>
      <w:r>
        <w:rPr>
          <w:rStyle w:val="Codetext"/>
        </w:rPr>
        <w:t xml:space="preserve"> ḍayəḥ</w:t>
      </w:r>
    </w:p>
    <w:p w14:paraId="4DBDA695" w14:textId="77777777">
      <w:pPr>
        <w:pStyle w:val="Lista2"/>
      </w:pPr>
      <w:r>
        <w:t xml:space="preserve">as well as in normalisation (to avoid using an empty </w:t>
      </w:r>
      <w:r>
        <w:rPr>
          <w:rStyle w:val="Code"/>
        </w:rPr>
        <w:t>&lt;orig&gt;</w:t>
      </w:r>
      <w:r>
        <w:t xml:space="preserve"> element), e.g.</w:t>
      </w:r>
    </w:p>
    <w:p w14:paraId="7FAC931E" w14:textId="77777777">
      <w:pPr>
        <w:pStyle w:val="Lista3"/>
      </w:pPr>
      <w:r>
        <w:rPr>
          <w:rStyle w:val="Codetext"/>
        </w:rPr>
        <w:t>sa</w:t>
      </w:r>
      <w:r>
        <w:rPr>
          <w:rStyle w:val="Code"/>
        </w:rPr>
        <w:t>&lt;choice&gt;&lt;orig&gt;</w:t>
      </w:r>
      <w:r>
        <w:rPr>
          <w:rStyle w:val="Codetext"/>
        </w:rPr>
        <w:t>t</w:t>
      </w:r>
      <w:r>
        <w:rPr>
          <w:rStyle w:val="Code"/>
        </w:rPr>
        <w:t>&lt;/orig&gt;&lt;reg&gt;</w:t>
      </w:r>
      <w:r>
        <w:rPr>
          <w:rStyle w:val="Codetext"/>
        </w:rPr>
        <w:t>tt</w:t>
      </w:r>
      <w:r>
        <w:rPr>
          <w:rStyle w:val="Code"/>
        </w:rPr>
        <w:t>&lt;/reg&gt;&lt;/choice&gt;v</w:t>
      </w:r>
      <w:r>
        <w:rPr>
          <w:rStyle w:val="Codetext"/>
        </w:rPr>
        <w:t>a</w:t>
      </w:r>
    </w:p>
    <w:p w14:paraId="1A94E2CE" w14:textId="77777777">
      <w:pPr>
        <w:pStyle w:val="Lista3"/>
      </w:pPr>
      <w:r>
        <w:rPr>
          <w:rStyle w:val="Codetext"/>
        </w:rPr>
        <w:t>qə</w:t>
      </w:r>
      <w:r>
        <w:rPr>
          <w:rStyle w:val="Code"/>
        </w:rPr>
        <w:t>&lt;choice&gt;&lt;orig&gt;</w:t>
      </w:r>
      <w:r>
        <w:rPr>
          <w:rStyle w:val="Codetext"/>
        </w:rPr>
        <w:t>c</w:t>
      </w:r>
      <w:r>
        <w:rPr>
          <w:rStyle w:val="Code"/>
        </w:rPr>
        <w:t>&lt;/orig&gt;&lt;reg&gt;</w:t>
      </w:r>
      <w:r>
        <w:rPr>
          <w:rStyle w:val="Codetext"/>
        </w:rPr>
        <w:t>ñc</w:t>
      </w:r>
      <w:r>
        <w:rPr>
          <w:rStyle w:val="Code"/>
        </w:rPr>
        <w:t>&lt;/reg&gt;&lt;/choice&gt;</w:t>
      </w:r>
      <w:r>
        <w:rPr>
          <w:rStyle w:val="Codetext"/>
        </w:rPr>
        <w:t>u</w:t>
      </w:r>
    </w:p>
    <w:p w14:paraId="5CCDCAE2" w14:textId="77777777">
      <w:pPr>
        <w:pStyle w:val="Lista3"/>
      </w:pPr>
      <w:r>
        <w:rPr>
          <w:rStyle w:val="Codetext"/>
        </w:rPr>
        <w:t>sakuli</w:t>
      </w:r>
      <w:r>
        <w:rPr>
          <w:rStyle w:val="Code"/>
        </w:rPr>
        <w:t>&lt;choice&gt;&lt;orig&gt;</w:t>
      </w:r>
      <w:r>
        <w:rPr>
          <w:rStyle w:val="Codetext"/>
        </w:rPr>
        <w:t>li</w:t>
      </w:r>
      <w:r>
        <w:rPr>
          <w:rStyle w:val="Code"/>
        </w:rPr>
        <w:t>&lt;/orig&gt;&lt;reg&gt;</w:t>
      </w:r>
      <w:r>
        <w:rPr>
          <w:rStyle w:val="Codetext"/>
        </w:rPr>
        <w:t>liṁ</w:t>
      </w:r>
      <w:r>
        <w:rPr>
          <w:rStyle w:val="Code"/>
        </w:rPr>
        <w:t>&lt;/reg&gt;&lt;/choice&gt;</w:t>
      </w:r>
      <w:r>
        <w:rPr>
          <w:rStyle w:val="Codetext"/>
        </w:rPr>
        <w:t xml:space="preserve"> ḍayəḥ</w:t>
      </w:r>
    </w:p>
    <w:p w14:paraId="5DED15F8" w14:textId="77777777">
      <w:pPr>
        <w:pStyle w:val="Lista"/>
      </w:pPr>
      <w:r>
        <w:t>when non-standard orthography manifests as the presence of a superfluous grapheme, then</w:t>
      </w:r>
    </w:p>
    <w:p w14:paraId="6B70AB13" w14:textId="77777777">
      <w:pPr>
        <w:pStyle w:val="Lista3"/>
      </w:pPr>
      <w:r>
        <w:t>choose at your discretion whether to flag only the superfluous grapheme or include relevant context, e.g.</w:t>
      </w:r>
    </w:p>
    <w:p w14:paraId="5C5FEBE4" w14:textId="77777777">
      <w:pPr>
        <w:pStyle w:val="Lista4"/>
      </w:pPr>
      <w:r>
        <w:rPr>
          <w:rStyle w:val="Codetext"/>
        </w:rPr>
        <w:t>e</w:t>
      </w:r>
      <w:r>
        <w:rPr>
          <w:rStyle w:val="Code"/>
        </w:rPr>
        <w:t>&lt;orig&gt;</w:t>
      </w:r>
      <w:r>
        <w:rPr>
          <w:rStyle w:val="Codetext"/>
        </w:rPr>
        <w:t>ṉ</w:t>
      </w:r>
      <w:r>
        <w:rPr>
          <w:rStyle w:val="Code"/>
        </w:rPr>
        <w:t>&lt;/orig&gt;</w:t>
      </w:r>
      <w:r>
        <w:rPr>
          <w:rStyle w:val="Codetext"/>
        </w:rPr>
        <w:t>ṉ eḻuttu</w:t>
      </w:r>
      <w:r>
        <w:t xml:space="preserve"> or </w:t>
      </w:r>
      <w:r>
        <w:rPr>
          <w:rStyle w:val="Codetext"/>
        </w:rPr>
        <w:t>e</w:t>
      </w:r>
      <w:r>
        <w:rPr>
          <w:rStyle w:val="Code"/>
        </w:rPr>
        <w:t>&lt;orig&gt;</w:t>
      </w:r>
      <w:r>
        <w:rPr>
          <w:rStyle w:val="Codetext"/>
        </w:rPr>
        <w:t>ṉṉ</w:t>
      </w:r>
      <w:r>
        <w:rPr>
          <w:rStyle w:val="Code"/>
        </w:rPr>
        <w:t>&lt;/orig&gt;</w:t>
      </w:r>
      <w:r>
        <w:rPr>
          <w:rStyle w:val="Codetext"/>
        </w:rPr>
        <w:t xml:space="preserve"> eḻuttu</w:t>
      </w:r>
    </w:p>
    <w:p w14:paraId="66E96A8F" w14:textId="77777777">
      <w:pPr>
        <w:pStyle w:val="Lista4"/>
      </w:pPr>
      <w:r>
        <w:rPr>
          <w:rStyle w:val="Codetext"/>
        </w:rPr>
        <w:t>sa</w:t>
      </w:r>
      <w:r>
        <w:rPr>
          <w:rStyle w:val="Code"/>
        </w:rPr>
        <w:t>&lt;orig&gt;</w:t>
      </w:r>
      <w:r>
        <w:rPr>
          <w:rStyle w:val="Codetext"/>
        </w:rPr>
        <w:t>ṁ</w:t>
      </w:r>
      <w:r>
        <w:rPr>
          <w:rStyle w:val="Code"/>
        </w:rPr>
        <w:t>&lt;/orig&gt;</w:t>
      </w:r>
      <w:r>
        <w:rPr>
          <w:rStyle w:val="Codetext"/>
        </w:rPr>
        <w:t>mvat</w:t>
      </w:r>
      <w:r>
        <w:t xml:space="preserve"> or </w:t>
      </w:r>
      <w:r>
        <w:rPr>
          <w:rStyle w:val="Codetext"/>
        </w:rPr>
        <w:t>sa</w:t>
      </w:r>
      <w:r>
        <w:rPr>
          <w:rStyle w:val="Code"/>
        </w:rPr>
        <w:t>&lt;orig&gt;</w:t>
      </w:r>
      <w:r>
        <w:rPr>
          <w:rStyle w:val="Codetext"/>
        </w:rPr>
        <w:t>ṁm</w:t>
      </w:r>
      <w:r>
        <w:rPr>
          <w:rStyle w:val="Code"/>
        </w:rPr>
        <w:t>&lt;/orig&gt;</w:t>
      </w:r>
      <w:r>
        <w:rPr>
          <w:rStyle w:val="Codetext"/>
        </w:rPr>
        <w:t>vat</w:t>
      </w:r>
    </w:p>
    <w:p w14:paraId="23A9DCE6" w14:textId="77777777">
      <w:pPr>
        <w:pStyle w:val="Lista3"/>
      </w:pPr>
      <w:r>
        <w:t xml:space="preserve">while relevant context must be included in normalisation (to avoid the creation of an empty </w:t>
      </w:r>
      <w:r>
        <w:rPr>
          <w:rStyle w:val="Code"/>
        </w:rPr>
        <w:t>&lt;reg&gt;</w:t>
      </w:r>
      <w:r>
        <w:t xml:space="preserve"> element), e.g.</w:t>
      </w:r>
    </w:p>
    <w:p w14:paraId="468C1B14" w14:textId="77777777">
      <w:pPr>
        <w:pStyle w:val="Lista4"/>
      </w:pPr>
      <w:r>
        <w:rPr>
          <w:rStyle w:val="Codetext"/>
        </w:rPr>
        <w:t>e</w:t>
      </w:r>
      <w:r>
        <w:rPr>
          <w:rStyle w:val="Code"/>
        </w:rPr>
        <w:t>&lt;choice&gt;&lt;orig&gt;</w:t>
      </w:r>
      <w:r>
        <w:rPr>
          <w:rStyle w:val="Codetext"/>
        </w:rPr>
        <w:t>ṉṉ</w:t>
      </w:r>
      <w:r>
        <w:rPr>
          <w:rStyle w:val="Code"/>
        </w:rPr>
        <w:t>&lt;/orig&gt;&lt;reg&gt;</w:t>
      </w:r>
      <w:r>
        <w:rPr>
          <w:rStyle w:val="Codetext"/>
        </w:rPr>
        <w:t>ṉ</w:t>
      </w:r>
      <w:r>
        <w:rPr>
          <w:rStyle w:val="Code"/>
        </w:rPr>
        <w:t>&lt;/reg&gt;&lt;/choice&gt;</w:t>
      </w:r>
      <w:r>
        <w:rPr>
          <w:rStyle w:val="Codetext"/>
        </w:rPr>
        <w:t xml:space="preserve"> eḻuttu</w:t>
      </w:r>
    </w:p>
    <w:p w14:paraId="07F79899" w14:textId="77777777">
      <w:pPr>
        <w:pStyle w:val="Lista4"/>
      </w:pPr>
      <w:r>
        <w:rPr>
          <w:rStyle w:val="Codetext"/>
        </w:rPr>
        <w:t>sa</w:t>
      </w:r>
      <w:r>
        <w:rPr>
          <w:rStyle w:val="Code"/>
        </w:rPr>
        <w:t>&lt;choice&gt;&lt;orig&gt;</w:t>
      </w:r>
      <w:r>
        <w:rPr>
          <w:rStyle w:val="Codetext"/>
        </w:rPr>
        <w:t>ṁm</w:t>
      </w:r>
      <w:r>
        <w:rPr>
          <w:rStyle w:val="Code"/>
        </w:rPr>
        <w:t>&lt;/orig&gt;&lt;reg&gt;</w:t>
      </w:r>
      <w:r>
        <w:rPr>
          <w:rStyle w:val="Codetext"/>
        </w:rPr>
        <w:t>m</w:t>
      </w:r>
      <w:r>
        <w:rPr>
          <w:rStyle w:val="Code"/>
        </w:rPr>
        <w:t>&lt;/reg&gt;&lt;/choice&gt;</w:t>
      </w:r>
      <w:r>
        <w:rPr>
          <w:rStyle w:val="Codetext"/>
        </w:rPr>
        <w:t>vat</w:t>
      </w:r>
    </w:p>
    <w:p w14:paraId="40A5E040" w14:textId="77777777">
      <w:pPr>
        <w:pStyle w:val="Cmsor3"/>
      </w:pPr>
      <w:bookmarkStart w:id="669" w:name="_Ref228956991"/>
      <w:bookmarkStart w:id="670" w:name="_Toc242889550"/>
      <w:r>
        <w:t>The precision of editorial intervention</w:t>
      </w:r>
      <w:bookmarkEnd w:id="669"/>
      <w:bookmarkEnd w:id="670"/>
    </w:p>
    <w:p w14:paraId="3698D9B5" w14:textId="7B5D5462">
      <w:pPr>
        <w:rPr>
          <w:lang w:eastAsia="en-US" w:bidi="ar-SA"/>
        </w:rPr>
      </w:pPr>
      <w:r>
        <w:rPr>
          <w:lang w:eastAsia="en-US" w:bidi="ar-SA"/>
        </w:rPr>
        <w:t>The tools at our disposal allow us to encode editorial intervention at the level of individual graphemes (§</w:t>
      </w:r>
      <w:r>
        <w:rPr>
          <w:lang w:eastAsia="en-US" w:bidi="ar-SA"/>
        </w:rPr>
        <w:fldChar w:fldCharType="begin"/>
      </w:r>
      <w:r>
        <w:rPr>
          <w:lang w:eastAsia="en-US" w:bidi="ar-SA"/>
        </w:rPr>
        <w:instrText xml:space="preserve"> REF _Ref228952859 \r \h </w:instrText>
      </w:r>
      <w:r>
        <w:rPr>
          <w:lang w:eastAsia="en-US" w:bidi="ar-SA"/>
        </w:rPr>
      </w:r>
      <w:r>
        <w:rPr>
          <w:lang w:eastAsia="en-US" w:bidi="ar-SA"/>
        </w:rPr>
        <w:fldChar w:fldCharType="separate"/>
      </w:r>
      <w:r>
        <w:rPr>
          <w:lang w:eastAsia="en-US" w:bidi="ar-SA"/>
        </w:rPr>
        <w:t>7.7.1</w:t>
      </w:r>
      <w:r>
        <w:rPr>
          <w:lang w:eastAsia="en-US" w:bidi="ar-SA"/>
        </w:rPr>
        <w:fldChar w:fldCharType="end"/>
      </w:r>
      <w:r>
        <w:rPr>
          <w:lang w:eastAsia="en-US" w:bidi="ar-SA"/>
        </w:rPr>
        <w:t xml:space="preserve">). This level of precision is, in an ideal situation, applicable to and desirable in all editorial intervention. However, many source documents call for a large number of editorial corrections and, as the case may </w:t>
      </w:r>
      <w:r>
        <w:rPr>
          <w:lang w:eastAsia="en-US" w:bidi="ar-SA"/>
        </w:rPr>
        <w:lastRenderedPageBreak/>
        <w:t xml:space="preserve">be, normalisations. Encoding several separate editorial interventions in a small space creates clutter which makes it difficult to work with (and easy to make mistakes in) our encoded files and can also hinder the legibility of the edition as displayed to the end user. The purpose of editorial intervention is to reveal to the scholarly reader where the editor sees a problem with the received text, how the editor identifies that problem, and how she rectifies it. This can be likewise achieved by bundling several alterations into a single act of intervention. </w:t>
      </w:r>
      <w:r>
        <w:t xml:space="preserve">So long as the received text is faithfully reproduced </w:t>
      </w:r>
      <w:r>
        <w:rPr>
          <w:noProof/>
        </w:rPr>
        <w:t>(</w:t>
      </w:r>
      <w:r>
        <w:t>and if an editorial rectification is present, then that too is accurate and fits the context), the tagging of a short segment and the tagging of a longer segment that includes graphemes not directly involved in the anomaly are functionally equivalent.</w:t>
      </w:r>
      <w:r>
        <w:rPr>
          <w:lang w:eastAsia="en-US" w:bidi="ar-SA"/>
        </w:rPr>
        <w:t xml:space="preserve"> Therefore, at your discretion, feel free to encode a single editorial substitution on a string of graphemes that would, in principle, call for several separate interventions on smaller units. </w:t>
      </w:r>
    </w:p>
    <w:p w14:paraId="20E4C228" w14:textId="77777777">
      <w:pPr>
        <w:pStyle w:val="Lista"/>
      </w:pPr>
      <w:r>
        <w:t>for example</w:t>
      </w:r>
    </w:p>
    <w:p w14:paraId="02F9445D" w14:textId="77777777">
      <w:pPr>
        <w:pStyle w:val="Lista2"/>
      </w:pPr>
      <w:r>
        <w:t xml:space="preserve">a single correction </w:t>
      </w:r>
      <w:r>
        <w:rPr>
          <w:rStyle w:val="Codetext"/>
        </w:rPr>
        <w:t>mahārāj</w:t>
      </w:r>
      <w:r>
        <w:rPr>
          <w:rStyle w:val="Code"/>
        </w:rPr>
        <w:t>&lt;choice&gt;&lt;sic&gt;</w:t>
      </w:r>
      <w:r>
        <w:rPr>
          <w:rStyle w:val="Codetext"/>
        </w:rPr>
        <w:t>adhijājā</w:t>
      </w:r>
      <w:r>
        <w:rPr>
          <w:rStyle w:val="Code"/>
        </w:rPr>
        <w:t>&lt;/sic&gt;&lt;corr&gt;</w:t>
      </w:r>
      <w:r>
        <w:rPr>
          <w:rStyle w:val="Codetext"/>
        </w:rPr>
        <w:t>ādhirāja</w:t>
      </w:r>
      <w:r>
        <w:rPr>
          <w:rStyle w:val="Code"/>
        </w:rPr>
        <w:t>&lt;/corr&gt;&lt;/choice&gt;</w:t>
      </w:r>
    </w:p>
    <w:p w14:paraId="2FC0505E" w14:textId="77777777">
      <w:pPr>
        <w:pStyle w:val="Lista2"/>
      </w:pPr>
      <w:r>
        <w:t xml:space="preserve">may replace meticulous detail: </w:t>
      </w:r>
      <w:r>
        <w:rPr>
          <w:rStyle w:val="Codetext"/>
        </w:rPr>
        <w:t>mahārāj</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dhi</w:t>
      </w:r>
      <w:r>
        <w:rPr>
          <w:rStyle w:val="Code"/>
        </w:rPr>
        <w:t>&lt;choice&gt;&lt;sic&gt;</w:t>
      </w:r>
      <w:r>
        <w:rPr>
          <w:rStyle w:val="Codetext"/>
        </w:rPr>
        <w:t>j</w:t>
      </w:r>
      <w:r>
        <w:rPr>
          <w:rStyle w:val="Code"/>
        </w:rPr>
        <w:t>&lt;/sic&gt;&lt;corr&gt;</w:t>
      </w:r>
      <w:r>
        <w:rPr>
          <w:rStyle w:val="Codetext"/>
        </w:rPr>
        <w:t>r</w:t>
      </w:r>
      <w:r>
        <w:rPr>
          <w:rStyle w:val="Code"/>
        </w:rPr>
        <w:t>&lt;/corr&gt;&lt;/choice&gt;</w:t>
      </w:r>
      <w:r>
        <w:rPr>
          <w:rStyle w:val="Codetext"/>
        </w:rPr>
        <w:t>āj</w:t>
      </w:r>
      <w:r>
        <w:rPr>
          <w:rStyle w:val="Code"/>
        </w:rPr>
        <w:t>&lt;choice&gt;&lt;sic&gt;</w:t>
      </w:r>
      <w:r>
        <w:rPr>
          <w:rStyle w:val="Codetext"/>
        </w:rPr>
        <w:t>ā</w:t>
      </w:r>
      <w:r>
        <w:rPr>
          <w:rStyle w:val="Code"/>
        </w:rPr>
        <w:t>&lt;/sic&gt;&lt;corr&gt;</w:t>
      </w:r>
      <w:r>
        <w:rPr>
          <w:rStyle w:val="Codetext"/>
        </w:rPr>
        <w:t>a</w:t>
      </w:r>
      <w:r>
        <w:rPr>
          <w:rStyle w:val="Code"/>
        </w:rPr>
        <w:t>&lt;/corr&gt;&lt;/choice&gt;</w:t>
      </w:r>
    </w:p>
    <w:p w14:paraId="7FD802E9" w14:textId="77777777">
      <w:pPr>
        <w:pStyle w:val="Cmsor3"/>
      </w:pPr>
      <w:bookmarkStart w:id="671" w:name="_Ref232089210"/>
      <w:bookmarkStart w:id="672" w:name="_Toc242889551"/>
      <w:r>
        <w:t>Editorial intervention in metrical verse</w:t>
      </w:r>
      <w:bookmarkEnd w:id="664"/>
      <w:bookmarkEnd w:id="671"/>
      <w:bookmarkEnd w:id="672"/>
    </w:p>
    <w:p w14:paraId="1CF4908B" w14:textId="77777777">
      <w:r>
        <w:t>Scribal mistakes, non-standard language, and the correction or normalisation thereof, can interfere with prosody, therefore editorial intervention in metrical verse must be executed with extra care. The leading principles are the following:</w:t>
      </w:r>
    </w:p>
    <w:p w14:paraId="6D59ED8C" w14:textId="77777777">
      <w:pPr>
        <w:pStyle w:val="Lista"/>
      </w:pPr>
      <w:r>
        <w:t>if a correction or normalisation is encoded in verse, then the prosody of the locus is to be understood as the prosody of the rectified (and not the received) reading; therefore</w:t>
      </w:r>
    </w:p>
    <w:p w14:paraId="2DFB17E2" w14:textId="77777777">
      <w:pPr>
        <w:pStyle w:val="Lista2"/>
      </w:pPr>
      <w:r>
        <w:t xml:space="preserve">if the prosody is deviant in the received text but appropriate in the rectified text, then the line containing the anomaly does not need encoding for a metrical deviation </w:t>
      </w:r>
    </w:p>
    <w:p w14:paraId="14D0150B" w14:textId="0125C4A7">
      <w:pPr>
        <w:pStyle w:val="Lista2"/>
      </w:pPr>
      <w:r>
        <w:t xml:space="preserve">if the prosody is deviant in the rectified text, then the line containing the anomaly must be encoded as metrically deviant </w:t>
      </w:r>
      <w:r>
        <w:rPr>
          <w:noProof/>
        </w:rPr>
        <w:t>(</w:t>
      </w:r>
      <w:r>
        <w:t xml:space="preserve">with the attribute </w:t>
      </w:r>
      <w:r>
        <w:rPr>
          <w:rStyle w:val="Codeattribute"/>
        </w:rPr>
        <w:t>@real</w:t>
      </w:r>
      <w:r>
        <w:t>, as per §</w:t>
      </w:r>
      <w:r>
        <w:fldChar w:fldCharType="begin"/>
      </w:r>
      <w:r>
        <w:instrText xml:space="preserve"> REF _Ref43980303 \r \h  \* MERGEFORMAT </w:instrText>
      </w:r>
      <w:r>
        <w:fldChar w:fldCharType="separate"/>
      </w:r>
      <w:r>
        <w:t>3.3.4.1</w:t>
      </w:r>
      <w:r>
        <w:fldChar w:fldCharType="end"/>
      </w:r>
      <w:r>
        <w:t>)</w:t>
      </w:r>
    </w:p>
    <w:p w14:paraId="0DC3F59B" w14:textId="77777777">
      <w:pPr>
        <w:pStyle w:val="Lista"/>
      </w:pPr>
      <w:r>
        <w:t>in rectifying anomalies in verse, correct prosody should be prioritised over linguistic neatness; therefore</w:t>
      </w:r>
    </w:p>
    <w:p w14:paraId="31B1EE09" w14:textId="77777777">
      <w:pPr>
        <w:pStyle w:val="Lista2"/>
      </w:pPr>
      <w:r>
        <w:t>always correct scribal mistakes and standardise non-standard usage where such an intervention can restore faulty prosody to the expected</w:t>
      </w:r>
    </w:p>
    <w:p w14:paraId="1205A7FD" w14:textId="77777777">
      <w:pPr>
        <w:pStyle w:val="Lista2"/>
      </w:pPr>
      <w:r>
        <w:t>abstain from encoding either a correction or a normalisation (and instead, merely flag the spot) if doing so would disrupt otherwise correct metre</w:t>
      </w:r>
    </w:p>
    <w:p w14:paraId="7E0A4AC8" w14:textId="77777777">
      <w:pPr>
        <w:pStyle w:val="Lista2"/>
      </w:pPr>
      <w:r>
        <w:t>but keep in mind that non-standard prosody has a right to exist, and do not “correct” non-standard prosody in reasonably correct language just to put the metre right</w:t>
      </w:r>
    </w:p>
    <w:p w14:paraId="6BE3CB7F" w14:textId="77777777">
      <w:pPr>
        <w:pStyle w:val="Lista"/>
      </w:pPr>
      <w:r>
        <w:t>“correct prosody” in this context is defined according to the basic textbook rules (</w:t>
      </w:r>
      <w:r>
        <w:rPr>
          <w:highlight w:val="yellow"/>
        </w:rPr>
        <w:t>Prosody Guide</w:t>
      </w:r>
      <w:r>
        <w:t>)</w:t>
      </w:r>
    </w:p>
    <w:p w14:paraId="1D02B642" w14:textId="77777777">
      <w:pPr>
        <w:pStyle w:val="Lista2"/>
      </w:pPr>
      <w:r>
        <w:t xml:space="preserve">in order to facilitate research on prosody, all deviations from the standard rules shall be encoded with </w:t>
      </w:r>
      <w:r>
        <w:rPr>
          <w:rStyle w:val="Codeattribute"/>
        </w:rPr>
        <w:t>@real</w:t>
      </w:r>
      <w:r>
        <w:t xml:space="preserve"> including</w:t>
      </w:r>
    </w:p>
    <w:p w14:paraId="0C16C3D8" w14:textId="13371037">
      <w:pPr>
        <w:pStyle w:val="Lista3"/>
      </w:pPr>
      <w:r>
        <w:rPr>
          <w:rStyle w:val="Foreign"/>
        </w:rPr>
        <w:t>vipulā anuṣṭubh</w:t>
      </w:r>
      <w:r>
        <w:t xml:space="preserve"> (§</w:t>
      </w:r>
      <w:r>
        <w:fldChar w:fldCharType="begin"/>
      </w:r>
      <w:r>
        <w:instrText xml:space="preserve"> REF _Ref224725166 \r \h </w:instrText>
      </w:r>
      <w:r>
        <w:fldChar w:fldCharType="separate"/>
      </w:r>
      <w:r>
        <w:t>3.3.4.1</w:t>
      </w:r>
      <w:r>
        <w:fldChar w:fldCharType="end"/>
      </w:r>
      <w:r>
        <w:t>)</w:t>
      </w:r>
    </w:p>
    <w:p w14:paraId="6063DBFB" w14:textId="77777777">
      <w:pPr>
        <w:pStyle w:val="Lista3"/>
      </w:pPr>
      <w:r>
        <w:t>the presumed use of poetic licence</w:t>
      </w:r>
    </w:p>
    <w:p w14:paraId="71FB13F5" w14:textId="77777777">
      <w:pPr>
        <w:pStyle w:val="Lista"/>
      </w:pPr>
      <w:r>
        <w:t>detailed instructions for possible scenarios are given in the subsections below</w:t>
      </w:r>
    </w:p>
    <w:p w14:paraId="48398DCC" w14:textId="77777777">
      <w:pPr>
        <w:pStyle w:val="Cmsor4"/>
      </w:pPr>
      <w:r>
        <w:t>If the prosody is incorrect, but the language is not anomalous</w:t>
      </w:r>
    </w:p>
    <w:p w14:paraId="6301A53F" w14:textId="5675525E">
      <w:r>
        <w:t>If the received text has deviant metre, but is otherwise linguistically standard, correct and meaningful, then editorial intervention is usually not warranted. Incorrect or non-standard metre does not in itself constitute grounds for correction or normalisation. Instead, encode the metrical deviation as per §</w:t>
      </w:r>
      <w:r>
        <w:fldChar w:fldCharType="begin"/>
      </w:r>
      <w:r>
        <w:instrText xml:space="preserve"> REF _Ref224726481 \r \h </w:instrText>
      </w:r>
      <w:r>
        <w:fldChar w:fldCharType="separate"/>
      </w:r>
      <w:r>
        <w:t>3.3.4.2</w:t>
      </w:r>
      <w:r>
        <w:fldChar w:fldCharType="end"/>
      </w:r>
      <w:r>
        <w:t>. Editorial intervention is, however, permitted if you can thereby restore the expected metre and believe that your intervention is in line with the composer’s intent, i.e. that the metrical deviation is a result of scribal mistake. In this case proceed as in §</w:t>
      </w:r>
      <w:r>
        <w:fldChar w:fldCharType="begin"/>
      </w:r>
      <w:r>
        <w:instrText xml:space="preserve"> REF _Ref229047302 \r \h </w:instrText>
      </w:r>
      <w:r>
        <w:fldChar w:fldCharType="separate"/>
      </w:r>
      <w:r>
        <w:t>7.7.4.2</w:t>
      </w:r>
      <w:r>
        <w:fldChar w:fldCharType="end"/>
      </w:r>
      <w:r>
        <w:t>.</w:t>
      </w:r>
    </w:p>
    <w:p w14:paraId="512D4F6E" w14:textId="77777777">
      <w:pPr>
        <w:pStyle w:val="Normlbehzs"/>
      </w:pPr>
      <w:r>
        <w:lastRenderedPageBreak/>
        <w:t>As a special case, a prosodic deviation in linguistically standard text can sometimes be corrected by the application of a straightforward “de-normalisation” where the composer presumably had a metrically appropriate non-standard form in mind, but the scribe has replaced this with the metrically inappropriate standard form.</w:t>
      </w:r>
    </w:p>
    <w:p w14:paraId="524D1E3B" w14:textId="41DE0ECC">
      <w:pPr>
        <w:pStyle w:val="Lista"/>
      </w:pPr>
      <w:r>
        <w:t xml:space="preserve">de-normalisation should not be encoded in your edition: instead, add </w:t>
      </w:r>
      <w:r>
        <w:rPr>
          <w:rStyle w:val="Codeattribute"/>
        </w:rPr>
        <w:t>@real</w:t>
      </w:r>
      <w:r>
        <w:t xml:space="preserve"> to the </w:t>
      </w:r>
      <w:r>
        <w:rPr>
          <w:rStyle w:val="Code"/>
        </w:rPr>
        <w:t>&lt;l&gt;</w:t>
      </w:r>
      <w:r>
        <w:t xml:space="preserve"> element affected </w:t>
      </w:r>
      <w:r>
        <w:rPr>
          <w:noProof/>
        </w:rPr>
        <w:t>(</w:t>
      </w:r>
      <w:r>
        <w:t>§</w:t>
      </w:r>
      <w:r>
        <w:fldChar w:fldCharType="begin"/>
      </w:r>
      <w:r>
        <w:instrText xml:space="preserve"> REF _Ref43980303 \r \h  \* MERGEFORMAT </w:instrText>
      </w:r>
      <w:r>
        <w:fldChar w:fldCharType="separate"/>
      </w:r>
      <w:r>
        <w:t>3.3.4.1</w:t>
      </w:r>
      <w:r>
        <w:fldChar w:fldCharType="end"/>
      </w:r>
      <w:r>
        <w:t xml:space="preserve">), and explain the situation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738D8D28" w14:textId="77777777">
      <w:pPr>
        <w:pStyle w:val="Lista"/>
      </w:pPr>
      <w:r>
        <w:t xml:space="preserve">for example, in an even </w:t>
      </w:r>
      <w:r>
        <w:rPr>
          <w:rStyle w:val="Foreign"/>
        </w:rPr>
        <w:t>pāda</w:t>
      </w:r>
      <w:r>
        <w:t xml:space="preserve"> of an </w:t>
      </w:r>
      <w:r>
        <w:rPr>
          <w:rStyle w:val="Foreign"/>
        </w:rPr>
        <w:t>anuṣṭubh</w:t>
      </w:r>
      <w:r>
        <w:t xml:space="preserve"> stanza: </w:t>
      </w:r>
    </w:p>
    <w:p w14:paraId="186D1B90" w14:textId="77777777">
      <w:pPr>
        <w:pStyle w:val="Lista2"/>
      </w:pPr>
      <w:r>
        <w:rPr>
          <w:rStyle w:val="Code"/>
        </w:rPr>
        <w:t xml:space="preserve">&lt;l </w:t>
      </w:r>
      <w:r>
        <w:rPr>
          <w:rStyle w:val="Codeattribute"/>
        </w:rPr>
        <w:t>n</w:t>
      </w:r>
      <w:r>
        <w:rPr>
          <w:rStyle w:val="Code"/>
        </w:rPr>
        <w:t>=</w:t>
      </w:r>
      <w:r>
        <w:rPr>
          <w:rStyle w:val="Codevalue"/>
        </w:rPr>
        <w:t>"a"</w:t>
      </w:r>
      <w:r>
        <w:rPr>
          <w:rStyle w:val="Code"/>
        </w:rPr>
        <w:t xml:space="preserve"> </w:t>
      </w:r>
      <w:r>
        <w:rPr>
          <w:rStyle w:val="Codeattribute"/>
        </w:rPr>
        <w:t>real</w:t>
      </w:r>
      <w:r>
        <w:rPr>
          <w:rStyle w:val="Code"/>
        </w:rPr>
        <w:t>=</w:t>
      </w:r>
      <w:r>
        <w:rPr>
          <w:rStyle w:val="Codevalue"/>
        </w:rPr>
        <w:t>"-+-+-+-+"</w:t>
      </w:r>
      <w:r>
        <w:rPr>
          <w:rStyle w:val="Code"/>
        </w:rPr>
        <w:t>&gt;</w:t>
      </w:r>
      <w:r>
        <w:rPr>
          <w:rStyle w:val="Codetext"/>
        </w:rPr>
        <w:t>kṣitīśa-siṅhavarmmaṇas</w:t>
      </w:r>
      <w:r>
        <w:rPr>
          <w:rStyle w:val="Code"/>
        </w:rPr>
        <w:t>&lt;/l&gt;</w:t>
      </w:r>
      <w:r>
        <w:t xml:space="preserve"> </w:t>
      </w:r>
    </w:p>
    <w:p w14:paraId="2CC729AC" w14:textId="0D8756C6">
      <w:pPr>
        <w:pStyle w:val="Lista2"/>
      </w:pPr>
      <w:r>
        <w:t xml:space="preserve">accompanied by a note explaining that the non-standard form </w:t>
      </w:r>
      <w:r>
        <w:rPr>
          <w:rStyle w:val="Foreign"/>
        </w:rPr>
        <w:t>siṅhavarmmasya</w:t>
      </w:r>
      <w:r>
        <w:t>, for which parallels are known to occur in related texts, would be metrically correct</w:t>
      </w:r>
    </w:p>
    <w:p w14:paraId="6F967476" w14:textId="77777777">
      <w:pPr>
        <w:pStyle w:val="Cmsor4"/>
      </w:pPr>
      <w:bookmarkStart w:id="673" w:name="_Ref229047302"/>
      <w:r>
        <w:t>If rectifying an anomaly can achieve correct prosody</w:t>
      </w:r>
      <w:bookmarkEnd w:id="673"/>
    </w:p>
    <w:p w14:paraId="79FECFEB" w14:textId="77777777">
      <w:r>
        <w:t>If the prosody is deviant, but the correction of an error or the normalisation of non-standard orthography or morphology can restore the prosody to the expected pattern, proceed as follows.</w:t>
      </w:r>
    </w:p>
    <w:p w14:paraId="3F7B70B8" w14:textId="77777777">
      <w:pPr>
        <w:pStyle w:val="Lista"/>
      </w:pPr>
      <w:r>
        <w:t>rectify the anomaly even if you would ignore or merely flag the same anomaly in other circumstances</w:t>
      </w:r>
    </w:p>
    <w:p w14:paraId="7DA0108A" w14:textId="02ED36F5">
      <w:pPr>
        <w:pStyle w:val="Lista2"/>
      </w:pPr>
      <w:r>
        <w:t>unless you feel that doing so would be contrary to the composer’s intent, in which case proceed as in §</w:t>
      </w:r>
      <w:r>
        <w:fldChar w:fldCharType="begin"/>
      </w:r>
      <w:r>
        <w:instrText xml:space="preserve"> REF _Ref229048033 \r \h </w:instrText>
      </w:r>
      <w:r>
        <w:fldChar w:fldCharType="separate"/>
      </w:r>
      <w:r>
        <w:t>7.7.4.3</w:t>
      </w:r>
      <w:r>
        <w:fldChar w:fldCharType="end"/>
      </w:r>
    </w:p>
    <w:p w14:paraId="00A78C33" w14:textId="77777777">
      <w:pPr>
        <w:pStyle w:val="Lista"/>
      </w:pPr>
      <w:r>
        <w:t>encode this intervention as a correction, even if in other circumstances you would encode the same intervention as normalisation</w:t>
      </w:r>
    </w:p>
    <w:p w14:paraId="36BA42FD" w14:textId="27FBCA57">
      <w:pPr>
        <w:pStyle w:val="Lista2"/>
      </w:pPr>
      <w:r>
        <w:t>the underlying assumption in this case is that the composer had the correct or standard form in mind, but that form has been replaced by an incorrect or non-standard form in the process of the creation of the document</w:t>
      </w:r>
    </w:p>
    <w:p w14:paraId="22A8C22C" w14:textId="77777777">
      <w:pPr>
        <w:pStyle w:val="Lista"/>
      </w:pPr>
      <w:r>
        <w:t xml:space="preserve">do not add </w:t>
      </w:r>
      <w:r>
        <w:rPr>
          <w:rStyle w:val="Codeattribute"/>
        </w:rPr>
        <w:t>@real</w:t>
      </w:r>
      <w:r>
        <w:t xml:space="preserve"> to the </w:t>
      </w:r>
      <w:r>
        <w:rPr>
          <w:rStyle w:val="Code"/>
        </w:rPr>
        <w:t>&lt;l&gt;</w:t>
      </w:r>
      <w:r>
        <w:t xml:space="preserve"> element affected</w:t>
      </w:r>
      <w:r>
        <w:rPr>
          <w:noProof/>
        </w:rPr>
        <w:t>, since the prosody has been restored</w:t>
      </w:r>
    </w:p>
    <w:p w14:paraId="3F2DE442" w14:textId="77777777">
      <w:pPr>
        <w:pStyle w:val="Lista"/>
      </w:pPr>
      <w:r>
        <w:t xml:space="preserve">for example, in an odd </w:t>
      </w:r>
      <w:r>
        <w:rPr>
          <w:rStyle w:val="Foreign"/>
        </w:rPr>
        <w:t>pāda</w:t>
      </w:r>
      <w:r>
        <w:t xml:space="preserve"> of an </w:t>
      </w:r>
      <w:r>
        <w:rPr>
          <w:rStyle w:val="Foreign"/>
        </w:rPr>
        <w:t>anuṣṭubh</w:t>
      </w:r>
      <w:r>
        <w:t xml:space="preserve"> stanza:</w:t>
      </w:r>
    </w:p>
    <w:p w14:paraId="5E9A7C62" w14:textId="77777777">
      <w:pPr>
        <w:pStyle w:val="Lista2"/>
      </w:pPr>
      <w:r>
        <w:rPr>
          <w:rStyle w:val="Code"/>
        </w:rPr>
        <w:t xml:space="preserve">&lt;l </w:t>
      </w:r>
      <w:r>
        <w:rPr>
          <w:rStyle w:val="Codeattribute"/>
        </w:rPr>
        <w:t>n</w:t>
      </w:r>
      <w:r>
        <w:rPr>
          <w:rStyle w:val="Code"/>
        </w:rPr>
        <w:t>=</w:t>
      </w:r>
      <w:r>
        <w:rPr>
          <w:rStyle w:val="Codevalue"/>
        </w:rPr>
        <w:t>"c"</w:t>
      </w:r>
      <w:r>
        <w:rPr>
          <w:rStyle w:val="Code"/>
        </w:rPr>
        <w:t>&gt;</w:t>
      </w:r>
      <w:r>
        <w:rPr>
          <w:rStyle w:val="Codetext"/>
        </w:rPr>
        <w:t xml:space="preserve">ṣaṣṭi </w:t>
      </w:r>
      <w:r>
        <w:rPr>
          <w:rStyle w:val="Code"/>
        </w:rPr>
        <w:t>&lt;choice&gt;&lt;sic&gt;</w:t>
      </w:r>
      <w:r>
        <w:rPr>
          <w:rStyle w:val="Codetext"/>
        </w:rPr>
        <w:t>varuṣa</w:t>
      </w:r>
      <w:r>
        <w:rPr>
          <w:rStyle w:val="Code"/>
        </w:rPr>
        <w:t>&lt;/sic&gt;&lt;corr&gt;</w:t>
      </w:r>
      <w:r>
        <w:rPr>
          <w:rStyle w:val="Codetext"/>
        </w:rPr>
        <w:t>varṣa</w:t>
      </w:r>
      <w:r>
        <w:rPr>
          <w:rStyle w:val="Code"/>
        </w:rPr>
        <w:t>&lt;/corr&gt;&lt;/choice&gt;</w:t>
      </w:r>
      <w:r>
        <w:rPr>
          <w:rStyle w:val="Codetext"/>
        </w:rPr>
        <w:t>-sahasrāṇi</w:t>
      </w:r>
      <w:r>
        <w:rPr>
          <w:rStyle w:val="Code"/>
        </w:rPr>
        <w:t>&lt;/l&gt;</w:t>
      </w:r>
    </w:p>
    <w:p w14:paraId="67A2B595" w14:textId="77777777">
      <w:pPr>
        <w:pStyle w:val="Lista2"/>
      </w:pPr>
      <w:r>
        <w:t xml:space="preserve">where </w:t>
      </w:r>
      <w:r>
        <w:rPr>
          <w:rStyle w:val="Foreign"/>
        </w:rPr>
        <w:t>varuṣa</w:t>
      </w:r>
      <w:r>
        <w:t xml:space="preserve"> is a vernacularised spelling of </w:t>
      </w:r>
      <w:r>
        <w:rPr>
          <w:rStyle w:val="Foreign"/>
        </w:rPr>
        <w:t>varṣa</w:t>
      </w:r>
      <w:r>
        <w:t xml:space="preserve"> that is hypermetrical here</w:t>
      </w:r>
    </w:p>
    <w:p w14:paraId="681D0A3D" w14:textId="77777777">
      <w:pPr>
        <w:pStyle w:val="Lista2"/>
      </w:pPr>
      <w:r>
        <w:t xml:space="preserve">the alteration to </w:t>
      </w:r>
      <w:r>
        <w:rPr>
          <w:rStyle w:val="Foreign"/>
        </w:rPr>
        <w:t>varṣa</w:t>
      </w:r>
      <w:r>
        <w:t xml:space="preserve"> is encoded as a correction</w:t>
      </w:r>
    </w:p>
    <w:p w14:paraId="3D1EC2B1" w14:textId="77777777">
      <w:pPr>
        <w:pStyle w:val="Lista2"/>
      </w:pPr>
      <w:r>
        <w:t xml:space="preserve">since the intervention restores the expected metre, </w:t>
      </w:r>
      <w:r>
        <w:rPr>
          <w:rStyle w:val="Codeattribute"/>
        </w:rPr>
        <w:t>@real</w:t>
      </w:r>
      <w:r>
        <w:t xml:space="preserve"> is not encoded on the line</w:t>
      </w:r>
    </w:p>
    <w:p w14:paraId="601FD5CB" w14:textId="77777777">
      <w:pPr>
        <w:pStyle w:val="Cmsor4"/>
      </w:pPr>
      <w:bookmarkStart w:id="674" w:name="_Ref229048033"/>
      <w:r>
        <w:t>If correct prosody cannot be achieved</w:t>
      </w:r>
      <w:bookmarkEnd w:id="674"/>
    </w:p>
    <w:p w14:paraId="4059B040" w14:textId="3BDDC7D7">
      <w:r>
        <w:t>If the received text has both anomalous language and deviant prosody, but you see no straightforward way to restore the prosody to the expected pattern by correcting or normalising the language, or feel that doing so would change the intended meaning or be otherwise incompatible with the composer’s intent, proceed as follows.</w:t>
      </w:r>
    </w:p>
    <w:p w14:paraId="4BCB697B" w14:textId="086DAE0D">
      <w:pPr>
        <w:pStyle w:val="Lista"/>
      </w:pPr>
      <w:r>
        <w:t xml:space="preserve">preferably, merely flag the anomaly and add </w:t>
      </w:r>
      <w:r>
        <w:rPr>
          <w:rStyle w:val="Codeattribute"/>
        </w:rPr>
        <w:t>@real</w:t>
      </w:r>
      <w:r>
        <w:t xml:space="preserve"> to the </w:t>
      </w:r>
      <w:r>
        <w:rPr>
          <w:rStyle w:val="Code"/>
        </w:rPr>
        <w:t>&lt;l&gt;</w:t>
      </w:r>
      <w:r>
        <w:t xml:space="preserve"> element affected </w:t>
      </w:r>
      <w:r>
        <w:rPr>
          <w:noProof/>
        </w:rPr>
        <w:t>(</w:t>
      </w:r>
      <w:r>
        <w:t>§</w:t>
      </w:r>
      <w:r>
        <w:fldChar w:fldCharType="begin"/>
      </w:r>
      <w:r>
        <w:instrText xml:space="preserve"> REF _Ref43980303 \r \h  \* MERGEFORMAT </w:instrText>
      </w:r>
      <w:r>
        <w:fldChar w:fldCharType="separate"/>
      </w:r>
      <w:r>
        <w:t>3.3.4.1</w:t>
      </w:r>
      <w:r>
        <w:fldChar w:fldCharType="end"/>
      </w:r>
      <w:r>
        <w:t>)</w:t>
      </w:r>
    </w:p>
    <w:p w14:paraId="559A728B" w14:textId="076D2D62">
      <w:pPr>
        <w:pStyle w:val="Lista2"/>
      </w:pPr>
      <w:r>
        <w:t xml:space="preserve">the proposed rectification of the anomaly may be mentioned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212916B0" w14:textId="77777777">
      <w:pPr>
        <w:pStyle w:val="Lista2"/>
      </w:pPr>
      <w:r>
        <w:t xml:space="preserve">for example, in an even </w:t>
      </w:r>
      <w:r>
        <w:rPr>
          <w:rStyle w:val="Foreign"/>
        </w:rPr>
        <w:t>pāda</w:t>
      </w:r>
      <w:r>
        <w:t xml:space="preserve"> of an </w:t>
      </w:r>
      <w:r>
        <w:rPr>
          <w:rStyle w:val="Foreign"/>
        </w:rPr>
        <w:t>anuṣṭubh</w:t>
      </w:r>
      <w:r>
        <w:t xml:space="preserve"> stanza: </w:t>
      </w:r>
    </w:p>
    <w:p w14:paraId="40582FC2" w14:textId="77777777">
      <w:pPr>
        <w:pStyle w:val="Lista3"/>
      </w:pPr>
      <w:r>
        <w:rPr>
          <w:rStyle w:val="Code"/>
        </w:rPr>
        <w:t xml:space="preserve">&lt;l </w:t>
      </w:r>
      <w:r>
        <w:rPr>
          <w:rStyle w:val="Codeattribute"/>
        </w:rPr>
        <w:t>n</w:t>
      </w:r>
      <w:r>
        <w:rPr>
          <w:rStyle w:val="Code"/>
        </w:rPr>
        <w:t>=</w:t>
      </w:r>
      <w:r>
        <w:rPr>
          <w:rStyle w:val="Codevalue"/>
        </w:rPr>
        <w:t>"a"</w:t>
      </w:r>
      <w:r>
        <w:rPr>
          <w:rStyle w:val="Code"/>
        </w:rPr>
        <w:t xml:space="preserve"> </w:t>
      </w:r>
      <w:r>
        <w:rPr>
          <w:rStyle w:val="Codeattribute"/>
        </w:rPr>
        <w:t>real</w:t>
      </w:r>
      <w:r>
        <w:rPr>
          <w:rStyle w:val="Code"/>
        </w:rPr>
        <w:t>=</w:t>
      </w:r>
      <w:r>
        <w:rPr>
          <w:rStyle w:val="Codevalue"/>
        </w:rPr>
        <w:t>"-++--+++-"</w:t>
      </w:r>
      <w:r>
        <w:rPr>
          <w:rStyle w:val="Code"/>
        </w:rPr>
        <w:t>&gt;</w:t>
      </w:r>
      <w:r>
        <w:rPr>
          <w:rStyle w:val="Codetext"/>
        </w:rPr>
        <w:t>sva-dattāṁ para</w:t>
      </w:r>
      <w:r>
        <w:rPr>
          <w:rStyle w:val="Code"/>
        </w:rPr>
        <w:t xml:space="preserve">&lt;lb </w:t>
      </w:r>
      <w:r>
        <w:rPr>
          <w:rStyle w:val="Codeattribute"/>
        </w:rPr>
        <w:t>break</w:t>
      </w:r>
      <w:r>
        <w:rPr>
          <w:rStyle w:val="Code"/>
        </w:rPr>
        <w:t>=</w:t>
      </w:r>
      <w:r>
        <w:rPr>
          <w:rStyle w:val="Codevalue"/>
        </w:rPr>
        <w:t>"no"</w:t>
      </w:r>
      <w:r>
        <w:rPr>
          <w:rStyle w:val="Code"/>
        </w:rPr>
        <w:t xml:space="preserve"> </w:t>
      </w:r>
      <w:r>
        <w:rPr>
          <w:rStyle w:val="Codeattribute"/>
        </w:rPr>
        <w:t>n</w:t>
      </w:r>
      <w:r>
        <w:rPr>
          <w:rStyle w:val="Code"/>
        </w:rPr>
        <w:t>=</w:t>
      </w:r>
      <w:r>
        <w:rPr>
          <w:rStyle w:val="Codevalue"/>
        </w:rPr>
        <w:t>"20"</w:t>
      </w:r>
      <w:r>
        <w:rPr>
          <w:rStyle w:val="Code"/>
        </w:rPr>
        <w:t>/&gt;-</w:t>
      </w:r>
      <w:r>
        <w:rPr>
          <w:rStyle w:val="Codetext"/>
        </w:rPr>
        <w:t xml:space="preserve">dattām </w:t>
      </w:r>
      <w:r>
        <w:rPr>
          <w:rStyle w:val="Code"/>
        </w:rPr>
        <w:t>&lt;orig&gt;</w:t>
      </w:r>
      <w:r>
        <w:rPr>
          <w:rStyle w:val="Codetext"/>
        </w:rPr>
        <w:t>vāpi</w:t>
      </w:r>
      <w:r>
        <w:rPr>
          <w:rStyle w:val="Code"/>
        </w:rPr>
        <w:t>&lt;/orig&gt;&lt;/l&gt;</w:t>
      </w:r>
    </w:p>
    <w:p w14:paraId="122D0CCE" w14:textId="77777777">
      <w:pPr>
        <w:pStyle w:val="Lista3"/>
      </w:pPr>
      <w:r>
        <w:t xml:space="preserve">instead of </w:t>
      </w:r>
      <w:r>
        <w:rPr>
          <w:rStyle w:val="Foreign"/>
        </w:rPr>
        <w:t>vāpi</w:t>
      </w:r>
      <w:r>
        <w:t xml:space="preserve">, the standard version of this common stanza has </w:t>
      </w:r>
      <w:r>
        <w:rPr>
          <w:rStyle w:val="Foreign"/>
        </w:rPr>
        <w:t>vā</w:t>
      </w:r>
      <w:r>
        <w:t>, which is metrically appropriate</w:t>
      </w:r>
    </w:p>
    <w:p w14:paraId="655100D1" w14:textId="77777777">
      <w:pPr>
        <w:pStyle w:val="Lista3"/>
        <w:rPr>
          <w:rStyle w:val="Foreign"/>
          <w:i w:val="0"/>
          <w:iCs w:val="0"/>
          <w:noProof w:val="0"/>
        </w:rPr>
      </w:pPr>
      <w:r>
        <w:t xml:space="preserve">but since </w:t>
      </w:r>
      <w:r>
        <w:rPr>
          <w:rStyle w:val="Foreign"/>
        </w:rPr>
        <w:t>vāpi</w:t>
      </w:r>
      <w:r>
        <w:t xml:space="preserve"> is morphologically and orthographically correct, fully standard, and meaningful in the context, it is assumed to be deliberate and only flagged as original and not corrected to </w:t>
      </w:r>
      <w:r>
        <w:rPr>
          <w:rStyle w:val="Foreign"/>
        </w:rPr>
        <w:t>vā</w:t>
      </w:r>
    </w:p>
    <w:p w14:paraId="6F9944CA" w14:textId="30619633">
      <w:pPr>
        <w:pStyle w:val="Lista"/>
      </w:pPr>
      <w:r>
        <w:t>however, if you feel confident that a particular correction or normalisation is warranted, you may choose to implement it at your discretion even if doing so still leaves the prosody deviant</w:t>
      </w:r>
    </w:p>
    <w:p w14:paraId="65F0E4AE" w14:textId="77777777">
      <w:pPr>
        <w:pStyle w:val="Lista2"/>
      </w:pPr>
      <w:r>
        <w:t xml:space="preserve">the pattern encoded in </w:t>
      </w:r>
      <w:r>
        <w:rPr>
          <w:rStyle w:val="Codeattribute"/>
        </w:rPr>
        <w:t>@real</w:t>
      </w:r>
      <w:r>
        <w:t xml:space="preserve"> must in this case correspond to the prosody of the rectified text, not that of the received text</w:t>
      </w:r>
    </w:p>
    <w:p w14:paraId="6581C53E" w14:textId="77777777">
      <w:pPr>
        <w:pStyle w:val="Cmsor4"/>
      </w:pPr>
      <w:r>
        <w:t>If rectification would disrupt correct prosody</w:t>
      </w:r>
    </w:p>
    <w:p w14:paraId="3E78DA27" w14:textId="77777777">
      <w:pPr>
        <w:rPr>
          <w:lang w:eastAsia="en-US" w:bidi="ar-SA"/>
        </w:rPr>
      </w:pPr>
      <w:r>
        <w:rPr>
          <w:lang w:eastAsia="en-US" w:bidi="ar-SA"/>
        </w:rPr>
        <w:t>If the received text is anomalous in language but metrically appropriate, and rectifying the anomaly would render the prosody inappropriate, proceed as follows.</w:t>
      </w:r>
    </w:p>
    <w:p w14:paraId="3D55E2F5" w14:textId="77777777">
      <w:pPr>
        <w:pStyle w:val="Lista"/>
      </w:pPr>
      <w:r>
        <w:lastRenderedPageBreak/>
        <w:t>preferably, abstain from implementing the correction or normalisation</w:t>
      </w:r>
    </w:p>
    <w:p w14:paraId="22F0B436" w14:textId="77777777">
      <w:pPr>
        <w:pStyle w:val="Lista2"/>
      </w:pPr>
      <w:r>
        <w:t>instead, simply flag the spot as erroneous or non-standard</w:t>
      </w:r>
    </w:p>
    <w:p w14:paraId="073E41FB" w14:textId="04E5B11E">
      <w:pPr>
        <w:pStyle w:val="Lista3"/>
      </w:pPr>
      <w:r>
        <w:t xml:space="preserve">the correct or standard form may be mentioned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7A75DCCC" w14:textId="77777777">
      <w:pPr>
        <w:pStyle w:val="Lista2"/>
      </w:pPr>
      <w:r>
        <w:t xml:space="preserve">for example, in a </w:t>
      </w:r>
      <w:r>
        <w:rPr>
          <w:rStyle w:val="Foreign"/>
        </w:rPr>
        <w:t>vasantatilakā</w:t>
      </w:r>
      <w:r>
        <w:t xml:space="preserve"> stanza, </w:t>
      </w:r>
      <w:r>
        <w:rPr>
          <w:rStyle w:val="Code"/>
        </w:rPr>
        <w:t xml:space="preserve">&lt;l </w:t>
      </w:r>
      <w:r>
        <w:rPr>
          <w:rStyle w:val="Codeattribute"/>
        </w:rPr>
        <w:t>n</w:t>
      </w:r>
      <w:r>
        <w:rPr>
          <w:rStyle w:val="Code"/>
        </w:rPr>
        <w:t>=</w:t>
      </w:r>
      <w:r>
        <w:rPr>
          <w:rStyle w:val="Codevalue"/>
        </w:rPr>
        <w:t>"a"</w:t>
      </w:r>
      <w:r>
        <w:rPr>
          <w:rStyle w:val="Code"/>
        </w:rPr>
        <w:t>&gt;</w:t>
      </w:r>
      <w:r>
        <w:rPr>
          <w:rStyle w:val="Codetext"/>
        </w:rPr>
        <w:t>saḥ sarvva-satva-satat</w:t>
      </w:r>
      <w:r>
        <w:rPr>
          <w:rStyle w:val="Code"/>
        </w:rPr>
        <w:t>&lt;orig&gt;</w:t>
      </w:r>
      <w:r>
        <w:rPr>
          <w:rStyle w:val="Codetext"/>
        </w:rPr>
        <w:t>ārtthibhi</w:t>
      </w:r>
      <w:r>
        <w:rPr>
          <w:rStyle w:val="Code"/>
        </w:rPr>
        <w:t>&lt;/orig&gt;</w:t>
      </w:r>
      <w:r>
        <w:rPr>
          <w:rStyle w:val="Codetext"/>
        </w:rPr>
        <w:t xml:space="preserve"> nitya-dātā</w:t>
      </w:r>
      <w:r>
        <w:rPr>
          <w:rStyle w:val="Code"/>
        </w:rPr>
        <w:t>&lt;/l&gt;</w:t>
      </w:r>
    </w:p>
    <w:p w14:paraId="16A47B2B" w14:textId="77777777">
      <w:pPr>
        <w:pStyle w:val="Lista3"/>
      </w:pPr>
      <w:r>
        <w:t xml:space="preserve">the metre is correct, but the form </w:t>
      </w:r>
      <w:r>
        <w:rPr>
          <w:rStyle w:val="Foreign"/>
        </w:rPr>
        <w:t>°ārtthibhi</w:t>
      </w:r>
      <w:r>
        <w:t xml:space="preserve"> is a solecism for expected </w:t>
      </w:r>
      <w:r>
        <w:rPr>
          <w:rStyle w:val="Foreign"/>
        </w:rPr>
        <w:t>°ārtthibhyo</w:t>
      </w:r>
      <w:r>
        <w:t>, which in turn would be metrically incorrect, so the locus has been merely flagged as non-standard</w:t>
      </w:r>
    </w:p>
    <w:p w14:paraId="3F15DA3E" w14:textId="77777777">
      <w:pPr>
        <w:pStyle w:val="Lista"/>
      </w:pPr>
      <w:r>
        <w:t>however, if you deem that correction or normalisation within the edition is essential, then you may encode it</w:t>
      </w:r>
    </w:p>
    <w:p w14:paraId="44624A26" w14:textId="7755BF5A">
      <w:pPr>
        <w:pStyle w:val="Lista2"/>
      </w:pPr>
      <w:r>
        <w:t xml:space="preserve">in this case, </w:t>
      </w:r>
      <w:r>
        <w:rPr>
          <w:rStyle w:val="Codeattribute"/>
        </w:rPr>
        <w:t>@real</w:t>
      </w:r>
      <w:r>
        <w:t xml:space="preserve"> must be added to the </w:t>
      </w:r>
      <w:r>
        <w:rPr>
          <w:rStyle w:val="Code"/>
        </w:rPr>
        <w:t>&lt;l&gt;</w:t>
      </w:r>
      <w:r>
        <w:t xml:space="preserve"> element affected </w:t>
      </w:r>
      <w:r>
        <w:rPr>
          <w:noProof/>
        </w:rPr>
        <w:t>(</w:t>
      </w:r>
      <w:r>
        <w:t>§</w:t>
      </w:r>
      <w:r>
        <w:fldChar w:fldCharType="begin"/>
      </w:r>
      <w:r>
        <w:instrText xml:space="preserve"> REF _Ref43980303 \r \h  \* MERGEFORMAT </w:instrText>
      </w:r>
      <w:r>
        <w:fldChar w:fldCharType="separate"/>
      </w:r>
      <w:r>
        <w:t>3.3.4.1</w:t>
      </w:r>
      <w:r>
        <w:fldChar w:fldCharType="end"/>
      </w:r>
      <w:r>
        <w:t>), with a value corresponding to the prosody of the rectified text</w:t>
      </w:r>
    </w:p>
    <w:p w14:paraId="09C3748A" w14:textId="77777777">
      <w:pPr>
        <w:pStyle w:val="Lista2"/>
      </w:pPr>
      <w:r>
        <w:t xml:space="preserve">for example, normalising the above excerpt: </w:t>
      </w:r>
      <w:r>
        <w:rPr>
          <w:rStyle w:val="Code"/>
        </w:rPr>
        <w:t xml:space="preserve">&lt;l </w:t>
      </w:r>
      <w:r>
        <w:rPr>
          <w:rStyle w:val="Codeattribute"/>
        </w:rPr>
        <w:t>n</w:t>
      </w:r>
      <w:r>
        <w:rPr>
          <w:rStyle w:val="Code"/>
        </w:rPr>
        <w:t>=</w:t>
      </w:r>
      <w:r>
        <w:rPr>
          <w:rStyle w:val="Codevalue"/>
        </w:rPr>
        <w:t>"a"</w:t>
      </w:r>
      <w:r>
        <w:rPr>
          <w:rStyle w:val="Code"/>
        </w:rPr>
        <w:t xml:space="preserve"> </w:t>
      </w:r>
      <w:r>
        <w:rPr>
          <w:rStyle w:val="Codeattribute"/>
        </w:rPr>
        <w:t>real</w:t>
      </w:r>
      <w:r>
        <w:rPr>
          <w:rStyle w:val="Code"/>
        </w:rPr>
        <w:t>=</w:t>
      </w:r>
      <w:r>
        <w:rPr>
          <w:rStyle w:val="Codevalue"/>
        </w:rPr>
        <w:t>"++-+---++++-++"</w:t>
      </w:r>
      <w:r>
        <w:rPr>
          <w:rStyle w:val="Code"/>
        </w:rPr>
        <w:t>&gt;</w:t>
      </w:r>
      <w:r>
        <w:rPr>
          <w:rStyle w:val="Codetext"/>
        </w:rPr>
        <w:t>saḥ sarvva-satva-satat</w:t>
      </w:r>
      <w:r>
        <w:rPr>
          <w:rStyle w:val="Code"/>
        </w:rPr>
        <w:t>&lt;choice&gt;&lt;orig&gt;</w:t>
      </w:r>
      <w:r>
        <w:rPr>
          <w:rStyle w:val="Codetext"/>
        </w:rPr>
        <w:t>ārtthibhi</w:t>
      </w:r>
      <w:r>
        <w:rPr>
          <w:rStyle w:val="Code"/>
        </w:rPr>
        <w:t>&lt;/orig&gt;&lt;reg&gt;</w:t>
      </w:r>
      <w:r>
        <w:rPr>
          <w:rStyle w:val="Codetext"/>
        </w:rPr>
        <w:t>ārtthibhyo</w:t>
      </w:r>
      <w:r>
        <w:rPr>
          <w:rStyle w:val="Code"/>
        </w:rPr>
        <w:t>&lt;/reg&gt;&lt;/choice&gt;</w:t>
      </w:r>
      <w:r>
        <w:rPr>
          <w:rStyle w:val="Codetext"/>
        </w:rPr>
        <w:t xml:space="preserve"> nitya-dātā</w:t>
      </w:r>
      <w:r>
        <w:rPr>
          <w:rStyle w:val="Code"/>
        </w:rPr>
        <w:t>&lt;/l&gt;</w:t>
      </w:r>
    </w:p>
    <w:p w14:paraId="2A5A98B8" w14:textId="77777777">
      <w:pPr>
        <w:pStyle w:val="Cmsor3"/>
      </w:pPr>
      <w:bookmarkStart w:id="675" w:name="_Ref43988493"/>
      <w:bookmarkStart w:id="676" w:name="_Toc242889552"/>
      <w:r>
        <w:t>Nesting correction and normalisation</w:t>
      </w:r>
      <w:bookmarkEnd w:id="676"/>
      <w:r>
        <w:t xml:space="preserve"> </w:t>
      </w:r>
      <w:bookmarkEnd w:id="675"/>
    </w:p>
    <w:p w14:paraId="70A1825D" w14:textId="68FAEF6E">
      <w:r>
        <w:t xml:space="preserve">Should you find it necessary to do so, it is technically possible acceptable to use error encoding </w:t>
      </w:r>
      <w:r>
        <w:rPr>
          <w:noProof/>
        </w:rPr>
        <w:t>(</w:t>
      </w:r>
      <w:r>
        <w:t xml:space="preserve">including flagging, correction, suppression and suppletion) within the markup for non-standard usage </w:t>
      </w:r>
      <w:r>
        <w:rPr>
          <w:noProof/>
        </w:rPr>
        <w:t>(</w:t>
      </w:r>
      <w:r>
        <w:t xml:space="preserve">including flagging and normalisation). This corresponds to the editorial opinion that a non-standard reading (corresponding to the composer’s intent) was written </w:t>
      </w:r>
      <w:r>
        <w:t xml:space="preserve">erroneously </w:t>
      </w:r>
      <w:r>
        <w:t>by the scribe. In such a case, the recommendation is to include an entire word as relevant context in the markup for non-standard usage, to separate it more clearly for the specific locus of the error. Because of the complexity involved, it is recommended that you use this method (especially its most complex variant, correction within normalisation) sparingly and instead try encoding the two interventions on separate chunks of text or, when this is not possible, resort to annotation.</w:t>
      </w:r>
    </w:p>
    <w:p w14:paraId="7F131A79" w14:textId="77777777">
      <w:pPr>
        <w:pStyle w:val="Lista"/>
        <w:rPr>
          <w:rStyle w:val="Code"/>
          <w:rFonts w:ascii="Gentium" w:hAnsi="Gentium" w:cs="Tiro Devanagari Sanskrit"/>
          <w:noProof w:val="0"/>
          <w:color w:val="auto"/>
          <w:shd w:val="clear" w:color="auto" w:fill="auto"/>
        </w:rPr>
      </w:pPr>
      <w:r>
        <w:t xml:space="preserve">for example, the word </w:t>
      </w:r>
      <w:r>
        <w:rPr>
          <w:rStyle w:val="Foreign"/>
        </w:rPr>
        <w:t>mahārajñaḥ</w:t>
      </w:r>
      <w:r>
        <w:t xml:space="preserve"> is non-standard (the standard genitive being </w:t>
      </w:r>
      <w:r>
        <w:rPr>
          <w:rStyle w:val="Foreign"/>
        </w:rPr>
        <w:t>mahārājasya</w:t>
      </w:r>
      <w:r>
        <w:t xml:space="preserve">) and also contains a likely scribal mistake (as the correct non-standard form would be </w:t>
      </w:r>
      <w:r>
        <w:rPr>
          <w:rStyle w:val="Foreign"/>
        </w:rPr>
        <w:t>mahārājñaḥ</w:t>
      </w:r>
      <w:r>
        <w:t>)</w:t>
      </w:r>
    </w:p>
    <w:p w14:paraId="1AEB9B5B" w14:textId="77777777">
      <w:pPr>
        <w:pStyle w:val="Lista2"/>
      </w:pPr>
      <w:r>
        <w:t xml:space="preserve">flagged for both anomalies: </w:t>
      </w:r>
      <w:r>
        <w:rPr>
          <w:rStyle w:val="Code"/>
        </w:rPr>
        <w:t>&lt;orig&gt;</w:t>
      </w:r>
      <w:r>
        <w:rPr>
          <w:rStyle w:val="Codetext"/>
        </w:rPr>
        <w:t>mahār</w:t>
      </w:r>
      <w:r>
        <w:rPr>
          <w:rStyle w:val="Code"/>
        </w:rPr>
        <w:t>&lt;sic&gt;</w:t>
      </w:r>
      <w:r>
        <w:rPr>
          <w:rStyle w:val="Codetext"/>
        </w:rPr>
        <w:t>a</w:t>
      </w:r>
      <w:r>
        <w:rPr>
          <w:rStyle w:val="Code"/>
        </w:rPr>
        <w:t>&lt;/sic&gt;</w:t>
      </w:r>
      <w:r>
        <w:rPr>
          <w:rStyle w:val="Codetext"/>
        </w:rPr>
        <w:t>jñaḥ</w:t>
      </w:r>
      <w:r>
        <w:rPr>
          <w:rStyle w:val="Code"/>
        </w:rPr>
        <w:t>&lt;/orig&gt;</w:t>
      </w:r>
    </w:p>
    <w:p w14:paraId="5BB3AE3A" w14:textId="77777777">
      <w:pPr>
        <w:pStyle w:val="Lista2"/>
        <w:rPr>
          <w:rStyle w:val="Code"/>
          <w:rFonts w:ascii="Gentium Plus" w:hAnsi="Gentium Plus" w:cs="Arial Unicode MS"/>
          <w:noProof w:val="0"/>
          <w:color w:val="auto"/>
          <w:shd w:val="clear" w:color="auto" w:fill="auto"/>
        </w:rPr>
      </w:pPr>
      <w:r>
        <w:t xml:space="preserve">corrected and flagged for non-standard usage: </w:t>
      </w:r>
      <w:r>
        <w:rPr>
          <w:rStyle w:val="Code"/>
        </w:rPr>
        <w:t>&lt;orig&gt;</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jñaḥ</w:t>
      </w:r>
      <w:r>
        <w:rPr>
          <w:rStyle w:val="Code"/>
        </w:rPr>
        <w:t>&lt;/orig&gt;</w:t>
      </w:r>
    </w:p>
    <w:p w14:paraId="172FBB71" w14:textId="77777777">
      <w:pPr>
        <w:pStyle w:val="Lista3"/>
      </w:pPr>
      <w:r>
        <w:t>as in the above example, but the scribal mistake is corrected rather than only flagged</w:t>
      </w:r>
    </w:p>
    <w:p w14:paraId="1D36A5C2" w14:textId="77777777">
      <w:pPr>
        <w:pStyle w:val="Lista2"/>
        <w:rPr>
          <w:rStyle w:val="Code"/>
          <w:rFonts w:ascii="Gentium Plus" w:hAnsi="Gentium Plus" w:cs="Arial Unicode MS"/>
          <w:noProof w:val="0"/>
          <w:color w:val="auto"/>
          <w:shd w:val="clear" w:color="auto" w:fill="auto"/>
        </w:rPr>
      </w:pPr>
      <w:r>
        <w:t xml:space="preserve">corrected and normalised: </w:t>
      </w:r>
      <w:r>
        <w:rPr>
          <w:rStyle w:val="Code"/>
        </w:rPr>
        <w:t>&lt;choice&gt;&lt;orig&gt;</w:t>
      </w:r>
      <w:r>
        <w:rPr>
          <w:rStyle w:val="Codetext"/>
        </w:rPr>
        <w:t>mahār</w:t>
      </w:r>
      <w:r>
        <w:rPr>
          <w:rStyle w:val="Code"/>
        </w:rPr>
        <w:t xml:space="preserve"> &lt;choice&gt;&lt;sic&gt;</w:t>
      </w:r>
      <w:r>
        <w:rPr>
          <w:rStyle w:val="Codetext"/>
        </w:rPr>
        <w:t>a</w:t>
      </w:r>
      <w:r>
        <w:rPr>
          <w:rStyle w:val="Code"/>
        </w:rPr>
        <w:t>&lt;/sic&gt;&lt;corr&gt;</w:t>
      </w:r>
      <w:r>
        <w:rPr>
          <w:rStyle w:val="Codetext"/>
        </w:rPr>
        <w:t>ā</w:t>
      </w:r>
      <w:r>
        <w:rPr>
          <w:rStyle w:val="Code"/>
        </w:rPr>
        <w:t>&lt;/corr&gt;&lt;/choice&gt;</w:t>
      </w:r>
      <w:r>
        <w:rPr>
          <w:rStyle w:val="Codetext"/>
        </w:rPr>
        <w:t>jñaḥ</w:t>
      </w:r>
      <w:r>
        <w:rPr>
          <w:rStyle w:val="Code"/>
        </w:rPr>
        <w:t>&lt;/orig&gt;&lt;reg&gt;</w:t>
      </w:r>
      <w:r>
        <w:rPr>
          <w:rStyle w:val="Codetext"/>
        </w:rPr>
        <w:t>mahārājasya</w:t>
      </w:r>
      <w:r>
        <w:rPr>
          <w:rStyle w:val="Code"/>
        </w:rPr>
        <w:t>&lt;/reg&gt;&lt;/choice&gt;</w:t>
      </w:r>
    </w:p>
    <w:p w14:paraId="5481D6CC" w14:textId="77777777">
      <w:pPr>
        <w:pStyle w:val="Lista2"/>
        <w:rPr>
          <w:rStyle w:val="Code"/>
          <w:rFonts w:ascii="Gentium Plus" w:hAnsi="Gentium Plus" w:cs="Arial Unicode MS"/>
          <w:noProof w:val="0"/>
          <w:color w:val="auto"/>
          <w:shd w:val="clear" w:color="auto" w:fill="auto"/>
        </w:rPr>
      </w:pPr>
      <w:r>
        <w:t xml:space="preserve">corrected and normalised as separate interventions without nesting: </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w:t>
      </w:r>
      <w:r>
        <w:rPr>
          <w:rStyle w:val="Code"/>
        </w:rPr>
        <w:t>&lt;choice&gt;&lt;orig&gt;</w:t>
      </w:r>
      <w:r>
        <w:rPr>
          <w:rStyle w:val="Codetext"/>
        </w:rPr>
        <w:t>ñaḥ</w:t>
      </w:r>
      <w:r>
        <w:rPr>
          <w:rStyle w:val="Code"/>
        </w:rPr>
        <w:t>&lt;/orig&gt;&lt;reg&gt;</w:t>
      </w:r>
      <w:r>
        <w:rPr>
          <w:rStyle w:val="Codetext"/>
        </w:rPr>
        <w:t>asya</w:t>
      </w:r>
      <w:r>
        <w:rPr>
          <w:rStyle w:val="Code"/>
        </w:rPr>
        <w:t>&lt;/reg&gt;&lt;/choice&gt;</w:t>
      </w:r>
    </w:p>
    <w:p w14:paraId="141A295A" w14:textId="77777777">
      <w:pPr>
        <w:pStyle w:val="Lista"/>
      </w:pPr>
      <w:r>
        <w:t>nesting editorial intervention in any other combination must be avoided; thus</w:t>
      </w:r>
    </w:p>
    <w:p w14:paraId="4AB121FC" w14:textId="77777777">
      <w:pPr>
        <w:pStyle w:val="Lista2"/>
      </w:pPr>
      <w:r>
        <w:t>do not nest a normalisation within a correction</w:t>
      </w:r>
    </w:p>
    <w:p w14:paraId="0871948C" w14:textId="77777777">
      <w:pPr>
        <w:pStyle w:val="Lista2"/>
      </w:pPr>
      <w:r>
        <w:t>do not nest a correction within another correction</w:t>
      </w:r>
    </w:p>
    <w:p w14:paraId="085C63BA" w14:textId="77777777">
      <w:pPr>
        <w:pStyle w:val="Lista2"/>
      </w:pPr>
      <w:r>
        <w:t>do not nest a normalisation within another normalisation</w:t>
      </w:r>
    </w:p>
    <w:p w14:paraId="5B6A9822" w14:textId="77777777">
      <w:pPr>
        <w:pStyle w:val="Lista"/>
      </w:pPr>
      <w:r>
        <w:t xml:space="preserve">in situations where you feel that a received non-standard form is the result of two successive stages of non-standard alteration </w:t>
      </w:r>
      <w:r>
        <w:rPr>
          <w:noProof/>
        </w:rPr>
        <w:t>(</w:t>
      </w:r>
      <w:r>
        <w:t>e.g. non-standard morphology written with non-standard orthography), we recommend one of the following strategies</w:t>
      </w:r>
    </w:p>
    <w:p w14:paraId="235B27B8" w14:textId="5FA3F94E">
      <w:pPr>
        <w:pStyle w:val="Lista2"/>
      </w:pPr>
      <w:r>
        <w:t xml:space="preserve">encode only the received reading </w:t>
      </w:r>
      <w:r>
        <w:rPr>
          <w:noProof/>
        </w:rPr>
        <w:t>(</w:t>
      </w:r>
      <w:r>
        <w:t xml:space="preserve">as </w:t>
      </w:r>
      <w:r>
        <w:rPr>
          <w:rStyle w:val="Code"/>
        </w:rPr>
        <w:t>&lt;orig&gt;</w:t>
      </w:r>
      <w:r>
        <w:t xml:space="preserve">) and the ultimate normalisation </w:t>
      </w:r>
      <w:r>
        <w:rPr>
          <w:noProof/>
        </w:rPr>
        <w:t>(</w:t>
      </w:r>
      <w:r>
        <w:t xml:space="preserve">as </w:t>
      </w:r>
      <w:r>
        <w:rPr>
          <w:rStyle w:val="Code"/>
        </w:rPr>
        <w:t>&lt;reg&gt;</w:t>
      </w:r>
      <w:r>
        <w:t xml:space="preserve">), and record your ideas about an intermediate stage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7B0F8FBD" w14:textId="77777777">
      <w:pPr>
        <w:pStyle w:val="Lista2"/>
      </w:pPr>
      <w:r>
        <w:t>or encode the intermediate stage as the correction of a scribal mistake in the received text and, as permitted above, encode a normalisation with that correction nested inside it, e.g.</w:t>
      </w:r>
    </w:p>
    <w:p w14:paraId="1F0A33F5" w14:textId="77777777">
      <w:pPr>
        <w:pStyle w:val="Lista3"/>
      </w:pPr>
      <w:r>
        <w:t xml:space="preserve">for example, the word </w:t>
      </w:r>
      <w:r>
        <w:rPr>
          <w:rStyle w:val="Foreign"/>
        </w:rPr>
        <w:t>pāñcavarṣaIkā</w:t>
      </w:r>
      <w:r>
        <w:t xml:space="preserve"> is assumed to be a non-standard spelling of </w:t>
      </w:r>
      <w:r>
        <w:rPr>
          <w:rStyle w:val="Foreign"/>
        </w:rPr>
        <w:t>*pāñcavarṣayikā</w:t>
      </w:r>
      <w:r>
        <w:t xml:space="preserve">, which itself is a non-standard derivation whose expected form would be </w:t>
      </w:r>
      <w:r>
        <w:rPr>
          <w:rStyle w:val="Foreign"/>
        </w:rPr>
        <w:t>pāñcavarṣikā</w:t>
      </w:r>
    </w:p>
    <w:p w14:paraId="6577FFDD" w14:textId="77777777">
      <w:pPr>
        <w:pStyle w:val="Lista3"/>
      </w:pPr>
      <w:r>
        <w:lastRenderedPageBreak/>
        <w:t xml:space="preserve">encoded with the received reading and the fully rectified reading: </w:t>
      </w:r>
      <w:r>
        <w:rPr>
          <w:rStyle w:val="Codetext"/>
        </w:rPr>
        <w:t>pāñcavarṣ</w:t>
      </w:r>
      <w:r>
        <w:rPr>
          <w:rStyle w:val="Code"/>
        </w:rPr>
        <w:t>&lt;choice&gt;&lt;orig&gt;</w:t>
      </w:r>
      <w:r>
        <w:rPr>
          <w:rStyle w:val="Codetext"/>
        </w:rPr>
        <w:t>aI</w:t>
      </w:r>
      <w:r>
        <w:rPr>
          <w:rStyle w:val="Code"/>
        </w:rPr>
        <w:t>&lt;/orig&gt;&lt;reg&gt;</w:t>
      </w:r>
      <w:r>
        <w:rPr>
          <w:rStyle w:val="Codetext"/>
        </w:rPr>
        <w:t>i</w:t>
      </w:r>
      <w:r>
        <w:rPr>
          <w:rStyle w:val="Code"/>
        </w:rPr>
        <w:t>&lt;/reg&gt;&lt;/choice&gt;</w:t>
      </w:r>
      <w:r>
        <w:rPr>
          <w:rStyle w:val="Codetext"/>
        </w:rPr>
        <w:t>kā</w:t>
      </w:r>
    </w:p>
    <w:p w14:paraId="479FB486" w14:textId="77777777">
      <w:pPr>
        <w:pStyle w:val="Lista3"/>
      </w:pPr>
      <w:r>
        <w:t xml:space="preserve">encoded as correction nested in normalisation: </w:t>
      </w:r>
      <w:r>
        <w:rPr>
          <w:rStyle w:val="Codetext"/>
        </w:rPr>
        <w:t>pāñcavarṣ</w:t>
      </w:r>
      <w:r>
        <w:rPr>
          <w:rStyle w:val="Code"/>
        </w:rPr>
        <w:t>&lt;choice&gt;&lt;orig&gt;</w:t>
      </w:r>
      <w:r>
        <w:rPr>
          <w:rStyle w:val="Codetext"/>
        </w:rPr>
        <w:t>a</w:t>
      </w:r>
      <w:r>
        <w:rPr>
          <w:rStyle w:val="Code"/>
        </w:rPr>
        <w:t>&lt;choice&gt;&lt;sic&gt;</w:t>
      </w:r>
      <w:r>
        <w:rPr>
          <w:rStyle w:val="Codetext"/>
        </w:rPr>
        <w:t>I</w:t>
      </w:r>
      <w:r>
        <w:rPr>
          <w:rStyle w:val="Code"/>
        </w:rPr>
        <w:t>&lt;/sic&gt;&lt;corr&gt;</w:t>
      </w:r>
      <w:r>
        <w:rPr>
          <w:rStyle w:val="Codetext"/>
        </w:rPr>
        <w:t>yi</w:t>
      </w:r>
      <w:r>
        <w:rPr>
          <w:rStyle w:val="Code"/>
        </w:rPr>
        <w:t>&lt;/corr&gt;&lt;/choice&gt;&lt;/orig&gt;&lt;reg&gt;</w:t>
      </w:r>
      <w:r>
        <w:rPr>
          <w:rStyle w:val="Codetext"/>
        </w:rPr>
        <w:t>i</w:t>
      </w:r>
      <w:r>
        <w:rPr>
          <w:rStyle w:val="Code"/>
        </w:rPr>
        <w:t>&lt;/reg&gt;&lt;/choice&gt;</w:t>
      </w:r>
      <w:r>
        <w:rPr>
          <w:rStyle w:val="Codetext"/>
        </w:rPr>
        <w:t>kā</w:t>
      </w:r>
    </w:p>
    <w:p w14:paraId="54DD6074" w14:textId="77777777">
      <w:pPr>
        <w:pStyle w:val="Cmsor2"/>
      </w:pPr>
      <w:bookmarkStart w:id="677" w:name="_Ref229056523"/>
      <w:bookmarkStart w:id="678" w:name="_Ref181352167"/>
      <w:bookmarkStart w:id="679" w:name="_Toc242889553"/>
      <w:bookmarkEnd w:id="659"/>
      <w:r>
        <w:t>Editorial curation</w:t>
      </w:r>
      <w:bookmarkEnd w:id="677"/>
      <w:bookmarkEnd w:id="679"/>
    </w:p>
    <w:p w14:paraId="4BCA31EF" w14:textId="77777777">
      <w:bookmarkStart w:id="680" w:name="_9w2cv2tff5ws" w:colFirst="0" w:colLast="0"/>
      <w:bookmarkStart w:id="681" w:name="_xk5v4l7lzr6g" w:colFirst="0" w:colLast="0"/>
      <w:bookmarkStart w:id="682" w:name="_s3fp2wg6e0tr" w:colFirst="0" w:colLast="0"/>
      <w:bookmarkStart w:id="683" w:name="_4q8co2w6em7s" w:colFirst="0" w:colLast="0"/>
      <w:bookmarkStart w:id="684" w:name="_gfq2483l08s8" w:colFirst="0" w:colLast="0"/>
      <w:bookmarkStart w:id="685" w:name="_17phg3rwszds" w:colFirst="0" w:colLast="0"/>
      <w:bookmarkStart w:id="686" w:name="_ed4evxx65471" w:colFirst="0" w:colLast="0"/>
      <w:bookmarkStart w:id="687" w:name="_ucm4r081jfln" w:colFirst="0" w:colLast="0"/>
      <w:bookmarkStart w:id="688" w:name="_65k0k8n31en0" w:colFirst="0" w:colLast="0"/>
      <w:bookmarkStart w:id="689" w:name="_Ref43987541"/>
      <w:bookmarkEnd w:id="680"/>
      <w:bookmarkEnd w:id="681"/>
      <w:bookmarkEnd w:id="682"/>
      <w:bookmarkEnd w:id="683"/>
      <w:bookmarkEnd w:id="684"/>
      <w:bookmarkEnd w:id="685"/>
      <w:bookmarkEnd w:id="686"/>
      <w:bookmarkEnd w:id="687"/>
      <w:bookmarkEnd w:id="688"/>
      <w:r>
        <w:rPr>
          <w:lang w:eastAsia="en-US" w:bidi="ar-SA"/>
        </w:rPr>
        <w:t xml:space="preserve">As discussed in TG §3.3, our editions can include some basic text-based markup that we call </w:t>
      </w:r>
      <w:r>
        <w:rPr>
          <w:i/>
          <w:iCs/>
          <w:lang w:eastAsia="en-US" w:bidi="ar-SA"/>
        </w:rPr>
        <w:t>shorthand</w:t>
      </w:r>
      <w:r>
        <w:t>, which we employ in order to reduce clutter in our encoding. Essential shorthand (TG §3.3.1) is notation that could in principle be replaced by XML encoding, but we choose never to do so. When shorthand is present in a DHARMA digital edition, it will always be implicitly understood as editorial, even though it is not explicitly encoded as such.</w:t>
      </w:r>
    </w:p>
    <w:p w14:paraId="26EA77F7" w14:textId="18B84476">
      <w:pPr>
        <w:pStyle w:val="Normlbehzs"/>
      </w:pPr>
      <w:r>
        <w:t>Essential shorthand includes the disambiguation colon (TG §3.3.1.1), the placeholders for orphaned graphic elements (§</w:t>
      </w:r>
      <w:r>
        <w:fldChar w:fldCharType="begin"/>
      </w:r>
      <w:r>
        <w:instrText xml:space="preserve"> REF _Ref43987165 \r \h </w:instrText>
      </w:r>
      <w:r>
        <w:fldChar w:fldCharType="separate"/>
      </w:r>
      <w:r>
        <w:t>5.2.4</w:t>
      </w:r>
      <w:r>
        <w:fldChar w:fldCharType="end"/>
      </w:r>
      <w:r>
        <w:t xml:space="preserve"> and TG§3.3.1.2), the spaces and hyphens for editorial segmentation (TG §7.3) and the hyphens used for sandhi analysis (TG §7.2).</w:t>
      </w:r>
    </w:p>
    <w:p w14:paraId="0C0905EA" w14:textId="70AD9097">
      <w:pPr>
        <w:pStyle w:val="Normlbehzs"/>
      </w:pPr>
      <w:r>
        <w:t>Optional shorthand is notation for which an equivalent or functionally similar encoding alternative exists in DHARMA practice, but which is nonetheless permitted (with different degrees of endorsement) in our XML editions when their simplicity is preferred to the potentially complex encoding alternative. Optional shorthand includes the character joiner sign = (§</w:t>
      </w:r>
      <w:r>
        <w:fldChar w:fldCharType="begin"/>
      </w:r>
      <w:r>
        <w:instrText xml:space="preserve"> REF _Ref43987221 \r \h </w:instrText>
      </w:r>
      <w:r>
        <w:fldChar w:fldCharType="separate"/>
      </w:r>
      <w:r>
        <w:t>5.2.1</w:t>
      </w:r>
      <w:r>
        <w:fldChar w:fldCharType="end"/>
      </w:r>
      <w:r>
        <w:t xml:space="preserve"> and TG§3.3.2.1) and the wildcards V and C for generic vowels and consonants (§</w:t>
      </w:r>
      <w:r>
        <w:fldChar w:fldCharType="begin"/>
      </w:r>
      <w:r>
        <w:instrText xml:space="preserve"> REF _Ref228202081 \r \h </w:instrText>
      </w:r>
      <w:r>
        <w:fldChar w:fldCharType="separate"/>
      </w:r>
      <w:r>
        <w:t>5.2.2</w:t>
      </w:r>
      <w:r>
        <w:fldChar w:fldCharType="end"/>
      </w:r>
      <w:r>
        <w:t xml:space="preserve"> and TG §3.3.2.2) as well as some forms of notation which are essentially a kind of editorial normalisation. The following subsections discuss editorial punctuation (which is not shorthand and must always be accompanied by encoding), along with these latter optional shorthand solutions and their encoding alternatives.</w:t>
      </w:r>
    </w:p>
    <w:p w14:paraId="5134AAEA" w14:textId="77777777">
      <w:pPr>
        <w:pStyle w:val="Cmsor3"/>
      </w:pPr>
      <w:bookmarkStart w:id="690" w:name="_Ref43984944"/>
      <w:bookmarkStart w:id="691" w:name="_Toc242889554"/>
      <w:r>
        <w:t>Editorial spac</w:t>
      </w:r>
      <w:bookmarkEnd w:id="690"/>
      <w:r>
        <w:t>ing</w:t>
      </w:r>
      <w:bookmarkEnd w:id="691"/>
    </w:p>
    <w:p w14:paraId="6C8DA2BB" w14:textId="4827101E">
      <w:r>
        <w:t xml:space="preserve">See TG §7.3.4 for general guidance about where and how editorial spaces </w:t>
      </w:r>
      <w:r>
        <w:rPr>
          <w:noProof/>
        </w:rPr>
        <w:t>(</w:t>
      </w:r>
      <w:r>
        <w:t>for word separation) should be employed, and §</w:t>
      </w:r>
      <w:r>
        <w:fldChar w:fldCharType="begin"/>
      </w:r>
      <w:r>
        <w:instrText xml:space="preserve"> REF _Ref43989206 \w \h  \* MERGEFORMAT </w:instrText>
      </w:r>
      <w:r>
        <w:fldChar w:fldCharType="separate"/>
      </w:r>
      <w:r>
        <w:t>16.1</w:t>
      </w:r>
      <w:r>
        <w:fldChar w:fldCharType="end"/>
      </w:r>
      <w:r>
        <w:t xml:space="preserve"> about how spaces in your XML document will be processed. That summary of white space in the processing of XML documents will not necessarily apply to the processing of our encoded files, chiefly because not all processing algorithms behave identically in complex situations while treating white space and the attribute </w:t>
      </w:r>
      <w:r>
        <w:rPr>
          <w:rStyle w:val="Codeattribute"/>
        </w:rPr>
        <w:t>@xml:space</w:t>
      </w:r>
      <w:r>
        <w:rPr>
          <w:rStyle w:val="Codetext"/>
        </w:rPr>
        <w:t>=</w:t>
      </w:r>
      <w:r>
        <w:rPr>
          <w:rStyle w:val="Codevalue"/>
        </w:rPr>
        <w:t>"preserve"</w:t>
      </w:r>
      <w:r>
        <w:t xml:space="preserve"> on the </w:t>
      </w:r>
      <w:r>
        <w:rPr>
          <w:rStyle w:val="Code"/>
        </w:rPr>
        <w:t>&lt;text&gt;</w:t>
      </w:r>
      <w:r>
        <w:t xml:space="preserve"> element of our documents. Therefore, do not bother memorising the subtleties of whitespace handling theory; instead, adhere to the following rules of thumb.</w:t>
      </w:r>
    </w:p>
    <w:p w14:paraId="10A8C3F7" w14:textId="77777777">
      <w:pPr>
        <w:pStyle w:val="Lista"/>
      </w:pPr>
      <w:r>
        <w:t>avoid adding spaces to your text except where an editorial space is required</w:t>
      </w:r>
    </w:p>
    <w:p w14:paraId="3572A117" w14:textId="77777777">
      <w:pPr>
        <w:pStyle w:val="Lista"/>
      </w:pPr>
      <w:r>
        <w:t>make sure to add all required editorial spaces even if an XML element is also present at the same point</w:t>
      </w:r>
    </w:p>
    <w:p w14:paraId="099AB857" w14:textId="6EE82483">
      <w:pPr>
        <w:pStyle w:val="Lista2"/>
      </w:pPr>
      <w:r>
        <w:t>as far as possible, avoid editorial spaces at the beginning and end of the content of a container element, especially in the situations addressed in §</w:t>
      </w:r>
      <w:r>
        <w:fldChar w:fldCharType="begin"/>
      </w:r>
      <w:r>
        <w:instrText xml:space="preserve"> REF _Ref232068629 \r \h </w:instrText>
      </w:r>
      <w:r>
        <w:fldChar w:fldCharType="separate"/>
      </w:r>
      <w:r>
        <w:t>7.8.1.1</w:t>
      </w:r>
      <w:r>
        <w:fldChar w:fldCharType="end"/>
      </w:r>
      <w:r>
        <w:t xml:space="preserve"> below</w:t>
      </w:r>
    </w:p>
    <w:p w14:paraId="0F9E91F0" w14:textId="77777777">
      <w:pPr>
        <w:pStyle w:val="Lista"/>
      </w:pPr>
      <w:r>
        <w:t>with block-level containers, feel free to enter their contents in a new line after the start tag and/or to put the end tag in a new line if that makes your work easier for you</w:t>
      </w:r>
    </w:p>
    <w:p w14:paraId="51515DBB" w14:textId="77777777">
      <w:pPr>
        <w:pStyle w:val="Cmsor4"/>
      </w:pPr>
      <w:bookmarkStart w:id="692" w:name="_Ref232068629"/>
      <w:r>
        <w:t>Spacing phrase-level elements</w:t>
      </w:r>
      <w:bookmarkEnd w:id="692"/>
    </w:p>
    <w:p w14:paraId="3985BBF4" w14:textId="0BBC350B">
      <w:r>
        <w:t>Phrase-level elements enclosing text (e.g. those representing legibility issues, editorial intervention and restoration) are text containers, therefore</w:t>
      </w:r>
    </w:p>
    <w:p w14:paraId="5A88647E" w14:textId="77777777">
      <w:pPr>
        <w:pStyle w:val="Lista"/>
      </w:pPr>
      <w:r>
        <w:t>spaces outside such elements should be used wherever necessary, i.e. wherever the text within a phrase-level container belongs to a word separate from its neighbour outside the container, e.g.</w:t>
      </w:r>
    </w:p>
    <w:p w14:paraId="3D842258" w14:textId="77777777">
      <w:pPr>
        <w:pStyle w:val="Lista2"/>
      </w:pPr>
      <w:r>
        <w:rPr>
          <w:rStyle w:val="Codetext"/>
        </w:rPr>
        <w:t xml:space="preserve">evam </w:t>
      </w:r>
      <w:r>
        <w:rPr>
          <w:rStyle w:val="Code"/>
        </w:rPr>
        <w:t>&lt;unclear&gt;</w:t>
      </w:r>
      <w:r>
        <w:rPr>
          <w:rStyle w:val="Codetext"/>
        </w:rPr>
        <w:t>etaT</w:t>
      </w:r>
      <w:r>
        <w:rPr>
          <w:rStyle w:val="Code"/>
        </w:rPr>
        <w:t>&lt;/unclear&gt;</w:t>
      </w:r>
      <w:r>
        <w:t xml:space="preserve"> must have a space before the container</w:t>
      </w:r>
    </w:p>
    <w:p w14:paraId="11266B61" w14:textId="77777777">
      <w:pPr>
        <w:pStyle w:val="Lista2"/>
      </w:pPr>
      <w:r>
        <w:rPr>
          <w:rStyle w:val="Codetext"/>
        </w:rPr>
        <w:t>evam e</w:t>
      </w:r>
      <w:r>
        <w:rPr>
          <w:rStyle w:val="Code"/>
        </w:rPr>
        <w:t>&lt;unclear&gt;</w:t>
      </w:r>
      <w:r>
        <w:rPr>
          <w:rStyle w:val="Codetext"/>
        </w:rPr>
        <w:t>taT</w:t>
      </w:r>
      <w:r>
        <w:rPr>
          <w:rStyle w:val="Code"/>
        </w:rPr>
        <w:t>&lt;/unclear&gt;</w:t>
      </w:r>
      <w:r>
        <w:t xml:space="preserve"> must not have a space before the container</w:t>
      </w:r>
    </w:p>
    <w:p w14:paraId="09F220D0" w14:textId="442163B4">
      <w:pPr>
        <w:pStyle w:val="Lista"/>
      </w:pPr>
      <w:r>
        <w:t>white space at the inner edges of such containers may be trimmed from their content in processing</w:t>
      </w:r>
    </w:p>
    <w:p w14:paraId="28E1845C" w14:textId="77777777">
      <w:pPr>
        <w:pStyle w:val="Lista2"/>
      </w:pPr>
      <w:r>
        <w:t>therefore any necessary spaces must be placed outside these containers, e.g.</w:t>
      </w:r>
    </w:p>
    <w:p w14:paraId="6E9F8B1F" w14:textId="77777777">
      <w:pPr>
        <w:pStyle w:val="Lista3"/>
      </w:pPr>
      <w:r>
        <w:rPr>
          <w:rStyle w:val="Codetext"/>
        </w:rPr>
        <w:t>evam</w:t>
      </w:r>
      <w:r>
        <w:rPr>
          <w:rStyle w:val="Code"/>
        </w:rPr>
        <w:t xml:space="preserve">&lt;unclear&gt; </w:t>
      </w:r>
      <w:r>
        <w:rPr>
          <w:rStyle w:val="Codetext"/>
        </w:rPr>
        <w:t>etaT</w:t>
      </w:r>
      <w:r>
        <w:rPr>
          <w:rStyle w:val="Code"/>
        </w:rPr>
        <w:t>&lt;/unclear&gt;</w:t>
      </w:r>
      <w:r>
        <w:t xml:space="preserve"> is incorrectly spaced</w:t>
      </w:r>
    </w:p>
    <w:p w14:paraId="79A90BF6" w14:textId="52A6BB4E">
      <w:pPr>
        <w:pStyle w:val="Lista3"/>
      </w:pPr>
      <w:r>
        <w:lastRenderedPageBreak/>
        <w:t xml:space="preserve">while </w:t>
      </w:r>
      <w:r>
        <w:rPr>
          <w:rStyle w:val="Codetext"/>
        </w:rPr>
        <w:t xml:space="preserve">evam </w:t>
      </w:r>
      <w:r>
        <w:rPr>
          <w:rStyle w:val="Code"/>
        </w:rPr>
        <w:t xml:space="preserve">&lt;unclear&gt; </w:t>
      </w:r>
      <w:r>
        <w:rPr>
          <w:rStyle w:val="Codetext"/>
        </w:rPr>
        <w:t>etaT</w:t>
      </w:r>
      <w:r>
        <w:rPr>
          <w:rStyle w:val="Code"/>
        </w:rPr>
        <w:t>&lt;/unclear&gt;</w:t>
      </w:r>
      <w:r>
        <w:t xml:space="preserve"> is technically correct, though it contains a superfluous space within the </w:t>
      </w:r>
      <w:r>
        <w:rPr>
          <w:rStyle w:val="Code"/>
        </w:rPr>
        <w:t>&lt;unclear&gt;</w:t>
      </w:r>
      <w:r>
        <w:t xml:space="preserve"> tag</w:t>
      </w:r>
    </w:p>
    <w:p w14:paraId="653CC531" w14:textId="77777777">
      <w:pPr>
        <w:pStyle w:val="Lista"/>
      </w:pPr>
      <w:r>
        <w:t xml:space="preserve">in elements that encode two </w:t>
      </w:r>
      <w:r>
        <w:rPr>
          <w:noProof/>
        </w:rPr>
        <w:t>(</w:t>
      </w:r>
      <w:r>
        <w:t>or more) alternative readings for a stretch of text, it may be necessary to add a space at the beginning or end of only one of these alternatives</w:t>
      </w:r>
    </w:p>
    <w:p w14:paraId="6765C722" w14:textId="77777777">
      <w:pPr>
        <w:pStyle w:val="Lista2"/>
      </w:pPr>
      <w:r>
        <w:t>to avoid anomalies in processing, in such cases you should increase the scope of the elements so that the space is not at the edge of the content, e.g.</w:t>
      </w:r>
    </w:p>
    <w:p w14:paraId="4695577E" w14:textId="77777777">
      <w:pPr>
        <w:pStyle w:val="Lista3"/>
      </w:pPr>
      <w:r>
        <w:t xml:space="preserve">in an ambivalent reading that may be read as </w:t>
      </w:r>
      <w:r>
        <w:rPr>
          <w:rStyle w:val="Foreign"/>
        </w:rPr>
        <w:t>tathāpi</w:t>
      </w:r>
      <w:r>
        <w:t xml:space="preserve"> (</w:t>
      </w:r>
      <w:r>
        <w:rPr>
          <w:rStyle w:val="Foreign"/>
        </w:rPr>
        <w:t>tathā*api</w:t>
      </w:r>
      <w:r>
        <w:t xml:space="preserve"> in inseparable sandhi) or </w:t>
      </w:r>
      <w:r>
        <w:rPr>
          <w:rStyle w:val="Foreign"/>
        </w:rPr>
        <w:t>tathā hi</w:t>
      </w:r>
      <w:r>
        <w:t xml:space="preserve"> (two separable words)</w:t>
      </w:r>
    </w:p>
    <w:p w14:paraId="6A4A4514" w14:textId="77777777">
      <w:pPr>
        <w:pStyle w:val="Lista4"/>
      </w:pPr>
      <w:r>
        <w:rPr>
          <w:rStyle w:val="Codetext"/>
        </w:rPr>
        <w:t>tathā</w:t>
      </w:r>
      <w:r>
        <w:rPr>
          <w:rStyle w:val="Code"/>
        </w:rPr>
        <w:t>&lt;choice&gt;&lt;unclear&gt;</w:t>
      </w:r>
      <w:r>
        <w:rPr>
          <w:rStyle w:val="Codetext"/>
        </w:rPr>
        <w:t>p</w:t>
      </w:r>
      <w:r>
        <w:rPr>
          <w:rStyle w:val="Code"/>
        </w:rPr>
        <w:t xml:space="preserve">&lt;/unclear&gt;&lt;unclear&gt; </w:t>
      </w:r>
      <w:r>
        <w:rPr>
          <w:rStyle w:val="Codetext"/>
        </w:rPr>
        <w:t>h</w:t>
      </w:r>
      <w:r>
        <w:rPr>
          <w:rStyle w:val="Code"/>
        </w:rPr>
        <w:t>&lt;/unclear&gt;&lt;/choice&gt;</w:t>
      </w:r>
      <w:r>
        <w:rPr>
          <w:rStyle w:val="Codetext"/>
        </w:rPr>
        <w:t>i</w:t>
      </w:r>
      <w:r>
        <w:t xml:space="preserve"> is incorrectly spaced </w:t>
      </w:r>
      <w:r>
        <w:rPr>
          <w:noProof/>
        </w:rPr>
        <w:t>(</w:t>
      </w:r>
      <w:r>
        <w:t xml:space="preserve">since the space before </w:t>
      </w:r>
      <w:r>
        <w:rPr>
          <w:rStyle w:val="Foreign"/>
        </w:rPr>
        <w:t>h</w:t>
      </w:r>
      <w:r>
        <w:t xml:space="preserve"> may be trimmed)</w:t>
      </w:r>
    </w:p>
    <w:p w14:paraId="179D3B08" w14:textId="77777777">
      <w:pPr>
        <w:pStyle w:val="Lista4"/>
      </w:pPr>
      <w:r>
        <w:t xml:space="preserve">to eliminate the problem, use </w:t>
      </w:r>
    </w:p>
    <w:p w14:paraId="3B1E57A6" w14:textId="77777777">
      <w:pPr>
        <w:pStyle w:val="Lista5"/>
      </w:pPr>
      <w:r>
        <w:t xml:space="preserve">either </w:t>
      </w:r>
      <w:r>
        <w:rPr>
          <w:rStyle w:val="Code"/>
        </w:rPr>
        <w:t>&lt;choice&gt;&lt;unclear&gt;</w:t>
      </w:r>
      <w:r>
        <w:rPr>
          <w:rStyle w:val="Codetext"/>
        </w:rPr>
        <w:t>tathāpi</w:t>
      </w:r>
      <w:r>
        <w:rPr>
          <w:rStyle w:val="Code"/>
        </w:rPr>
        <w:t>&lt;/unclear&gt;&lt;unclear&gt;</w:t>
      </w:r>
      <w:r>
        <w:rPr>
          <w:rStyle w:val="Codetext"/>
        </w:rPr>
        <w:t>tathā hi</w:t>
      </w:r>
      <w:r>
        <w:rPr>
          <w:rStyle w:val="Code"/>
        </w:rPr>
        <w:t>&lt;/unclear&gt;&lt;/choice&gt;</w:t>
      </w:r>
      <w:r>
        <w:t xml:space="preserve"> </w:t>
      </w:r>
    </w:p>
    <w:p w14:paraId="3E48F4F8" w14:textId="540ABDC0">
      <w:pPr>
        <w:pStyle w:val="Lista5"/>
      </w:pPr>
      <w:r>
        <w:t xml:space="preserve">or </w:t>
      </w:r>
      <w:r>
        <w:rPr>
          <w:rStyle w:val="Codetext"/>
        </w:rPr>
        <w:t>tath</w:t>
      </w:r>
      <w:r>
        <w:rPr>
          <w:rStyle w:val="Code"/>
        </w:rPr>
        <w:t>&lt;choice&gt;&lt;unclear&gt;</w:t>
      </w:r>
      <w:r>
        <w:rPr>
          <w:rStyle w:val="Codetext"/>
        </w:rPr>
        <w:t>āp</w:t>
      </w:r>
      <w:r>
        <w:rPr>
          <w:rStyle w:val="Code"/>
        </w:rPr>
        <w:t>&lt;/unclear&gt;&lt;unclear&gt;</w:t>
      </w:r>
      <w:r>
        <w:rPr>
          <w:rStyle w:val="Codetext"/>
        </w:rPr>
        <w:t>ā h</w:t>
      </w:r>
      <w:r>
        <w:rPr>
          <w:rStyle w:val="Code"/>
        </w:rPr>
        <w:t>&lt;/unclear&gt;&lt;/choice&gt;</w:t>
      </w:r>
      <w:r>
        <w:rPr>
          <w:rStyle w:val="Codetext"/>
        </w:rPr>
        <w:t>i</w:t>
      </w:r>
    </w:p>
    <w:p w14:paraId="0FEAACBB" w14:textId="77777777">
      <w:pPr>
        <w:pStyle w:val="Lista3"/>
      </w:pPr>
      <w:r>
        <w:t xml:space="preserve">in an editorial correction of </w:t>
      </w:r>
      <w:r>
        <w:rPr>
          <w:rStyle w:val="Foreign"/>
        </w:rPr>
        <w:t>gata-kāle</w:t>
      </w:r>
      <w:r>
        <w:t xml:space="preserve"> to </w:t>
      </w:r>
      <w:r>
        <w:rPr>
          <w:rStyle w:val="Foreign"/>
        </w:rPr>
        <w:t>gate kāle</w:t>
      </w:r>
    </w:p>
    <w:p w14:paraId="38F14538" w14:textId="77777777">
      <w:pPr>
        <w:pStyle w:val="Lista4"/>
      </w:pPr>
      <w:r>
        <w:rPr>
          <w:rStyle w:val="Codetext"/>
        </w:rPr>
        <w:t>gat</w:t>
      </w:r>
      <w:r>
        <w:rPr>
          <w:rStyle w:val="Code"/>
        </w:rPr>
        <w:t>&lt;choice&gt;&lt;sic&gt;</w:t>
      </w:r>
      <w:r>
        <w:rPr>
          <w:rStyle w:val="Codetext"/>
        </w:rPr>
        <w:t>a-</w:t>
      </w:r>
      <w:r>
        <w:rPr>
          <w:rStyle w:val="Code"/>
        </w:rPr>
        <w:t>&lt;/sic&gt;&lt;corr&gt;</w:t>
      </w:r>
      <w:r>
        <w:rPr>
          <w:rStyle w:val="Codetext"/>
        </w:rPr>
        <w:t xml:space="preserve">e </w:t>
      </w:r>
      <w:r>
        <w:rPr>
          <w:rStyle w:val="Code"/>
        </w:rPr>
        <w:t>&lt;/corr&gt;&lt;/choice&gt;</w:t>
      </w:r>
      <w:r>
        <w:rPr>
          <w:rStyle w:val="Codetext"/>
        </w:rPr>
        <w:t>kāle</w:t>
      </w:r>
      <w:r>
        <w:t xml:space="preserve"> is incorrectly spaced </w:t>
      </w:r>
      <w:r>
        <w:rPr>
          <w:noProof/>
        </w:rPr>
        <w:t>(</w:t>
      </w:r>
      <w:r>
        <w:t xml:space="preserve">since the space after </w:t>
      </w:r>
      <w:r>
        <w:rPr>
          <w:rStyle w:val="Foreign"/>
        </w:rPr>
        <w:t>e</w:t>
      </w:r>
      <w:r>
        <w:t xml:space="preserve"> may be trimmed)</w:t>
      </w:r>
    </w:p>
    <w:p w14:paraId="0B9814FD" w14:textId="77777777">
      <w:pPr>
        <w:pStyle w:val="Lista4"/>
      </w:pPr>
      <w:r>
        <w:t xml:space="preserve">to eliminate the problem, use </w:t>
      </w:r>
    </w:p>
    <w:p w14:paraId="78241702" w14:textId="77777777">
      <w:pPr>
        <w:pStyle w:val="Lista5"/>
      </w:pPr>
      <w:r>
        <w:t xml:space="preserve">either </w:t>
      </w:r>
      <w:r>
        <w:rPr>
          <w:rStyle w:val="Code"/>
        </w:rPr>
        <w:t>&lt;choice&gt;&lt;sic&gt;</w:t>
      </w:r>
      <w:r>
        <w:rPr>
          <w:rStyle w:val="Codetext"/>
        </w:rPr>
        <w:t>gata-kāle</w:t>
      </w:r>
      <w:r>
        <w:rPr>
          <w:rStyle w:val="Code"/>
        </w:rPr>
        <w:t>&lt;/sic&gt;&lt;corr&gt;</w:t>
      </w:r>
      <w:r>
        <w:rPr>
          <w:rStyle w:val="Codetext"/>
        </w:rPr>
        <w:t>gate kāle</w:t>
      </w:r>
      <w:r>
        <w:rPr>
          <w:rStyle w:val="Code"/>
        </w:rPr>
        <w:t>&lt;/corr&gt;&lt;/choice&gt;</w:t>
      </w:r>
      <w:r>
        <w:t xml:space="preserve"> </w:t>
      </w:r>
    </w:p>
    <w:p w14:paraId="1AF95388" w14:textId="19D76AAC">
      <w:pPr>
        <w:pStyle w:val="Lista5"/>
      </w:pPr>
      <w:r>
        <w:t xml:space="preserve">or </w:t>
      </w:r>
      <w:r>
        <w:rPr>
          <w:rStyle w:val="Codetext"/>
        </w:rPr>
        <w:t>gat</w:t>
      </w:r>
      <w:r>
        <w:rPr>
          <w:rStyle w:val="Code"/>
        </w:rPr>
        <w:t>&lt;choice&gt;&lt;sic&gt;</w:t>
      </w:r>
      <w:r>
        <w:rPr>
          <w:rStyle w:val="Codetext"/>
        </w:rPr>
        <w:t>a-k</w:t>
      </w:r>
      <w:r>
        <w:rPr>
          <w:rStyle w:val="Code"/>
        </w:rPr>
        <w:t>&lt;/sic&gt;&lt;corr&gt;</w:t>
      </w:r>
      <w:r>
        <w:rPr>
          <w:rStyle w:val="Codetext"/>
        </w:rPr>
        <w:t>e k</w:t>
      </w:r>
      <w:r>
        <w:rPr>
          <w:rStyle w:val="Code"/>
        </w:rPr>
        <w:t>&lt;/corr&gt;&lt;/choice&gt;</w:t>
      </w:r>
      <w:r>
        <w:rPr>
          <w:rStyle w:val="Codetext"/>
        </w:rPr>
        <w:t>āle</w:t>
      </w:r>
    </w:p>
    <w:p w14:paraId="6A06483E" w14:textId="77777777">
      <w:pPr>
        <w:pStyle w:val="Cmsor3"/>
      </w:pPr>
      <w:bookmarkStart w:id="693" w:name="_xg74xrj1ejbr" w:colFirst="0" w:colLast="0"/>
      <w:bookmarkStart w:id="694" w:name="_Ref232156818"/>
      <w:bookmarkStart w:id="695" w:name="_Toc242889555"/>
      <w:bookmarkEnd w:id="693"/>
      <w:r>
        <w:t>Editorial hyphenation</w:t>
      </w:r>
      <w:bookmarkEnd w:id="694"/>
      <w:bookmarkEnd w:id="695"/>
    </w:p>
    <w:p w14:paraId="0E0E6970" w14:textId="77777777">
      <w:r>
        <w:t xml:space="preserve">See TG §7.3.5 for general guidance about where and how editorial hyphens </w:t>
      </w:r>
      <w:r>
        <w:rPr>
          <w:noProof/>
        </w:rPr>
        <w:t>(</w:t>
      </w:r>
      <w:r>
        <w:t xml:space="preserve">for compound segmentation and some cases of sandhi analysis) should be employed. </w:t>
      </w:r>
    </w:p>
    <w:p w14:paraId="59EFAB47" w14:textId="77777777">
      <w:pPr>
        <w:pStyle w:val="Lista"/>
      </w:pPr>
      <w:r>
        <w:t>hyphens must never be added at the ends of epigraphic lines</w:t>
      </w:r>
    </w:p>
    <w:p w14:paraId="5A8AA878" w14:textId="77777777">
      <w:pPr>
        <w:pStyle w:val="Lista2"/>
      </w:pPr>
      <w:r>
        <w:t xml:space="preserve">if a line beginning interrupts a word, the element encoding the new line must take the attribute </w:t>
      </w:r>
      <w:r>
        <w:rPr>
          <w:rStyle w:val="Codeattribute"/>
        </w:rPr>
        <w:t>@break</w:t>
      </w:r>
      <w:r>
        <w:rPr>
          <w:rStyle w:val="Code"/>
        </w:rPr>
        <w:t>=</w:t>
      </w:r>
      <w:r>
        <w:rPr>
          <w:rStyle w:val="Codevalue"/>
        </w:rPr>
        <w:t>"no"</w:t>
      </w:r>
    </w:p>
    <w:p w14:paraId="146DF018" w14:textId="77777777">
      <w:pPr>
        <w:pStyle w:val="Lista2"/>
      </w:pPr>
      <w:r>
        <w:t xml:space="preserve">the same applies to </w:t>
      </w:r>
      <w:r>
        <w:rPr>
          <w:rStyle w:val="Code"/>
        </w:rPr>
        <w:t>&lt;pb/&gt;</w:t>
      </w:r>
      <w:r>
        <w:t xml:space="preserve"> and </w:t>
      </w:r>
      <w:r>
        <w:rPr>
          <w:rStyle w:val="Code"/>
        </w:rPr>
        <w:t>&lt;milestone/&gt;</w:t>
      </w:r>
      <w:r>
        <w:t xml:space="preserve"> elements</w:t>
      </w:r>
    </w:p>
    <w:p w14:paraId="58A07CCB" w14:textId="77777777">
      <w:pPr>
        <w:pStyle w:val="Lista2"/>
      </w:pPr>
      <w:r>
        <w:t>this encoding replaces the word-breaking hyphen used at the ends of printed lines</w:t>
      </w:r>
    </w:p>
    <w:p w14:paraId="1FE05ACE" w14:textId="77777777">
      <w:pPr>
        <w:pStyle w:val="Lista"/>
      </w:pPr>
      <w:r>
        <w:t xml:space="preserve">when an editorial hyphen </w:t>
      </w:r>
      <w:r>
        <w:rPr>
          <w:noProof/>
        </w:rPr>
        <w:t>(</w:t>
      </w:r>
      <w:r>
        <w:t xml:space="preserve">marking an in-compound word boundary) coincides with one of the above elements or with an encoded </w:t>
      </w:r>
      <w:r>
        <w:rPr>
          <w:rStyle w:val="Code"/>
        </w:rPr>
        <w:t>&lt;space/&gt;</w:t>
      </w:r>
      <w:r>
        <w:t>, the hyphen shall be placed at the beginning of the text after the intervening element</w:t>
      </w:r>
      <w:r>
        <w:rPr>
          <w:noProof/>
        </w:rPr>
        <w:t>(</w:t>
      </w:r>
      <w:r>
        <w:t>s)</w:t>
      </w:r>
    </w:p>
    <w:p w14:paraId="7D084941" w14:textId="77777777">
      <w:pPr>
        <w:pStyle w:val="Lista2"/>
      </w:pPr>
      <w:r>
        <w:t xml:space="preserve">e.g. </w:t>
      </w:r>
      <w:r>
        <w:rPr>
          <w:rStyle w:val="Codetext"/>
        </w:rPr>
        <w:t>nr̥pati</w:t>
      </w:r>
      <w:r>
        <w:rPr>
          <w:rStyle w:val="Code"/>
        </w:rPr>
        <w:t xml:space="preserve">&lt;lb </w:t>
      </w:r>
      <w:r>
        <w:rPr>
          <w:rStyle w:val="Codeattribute"/>
        </w:rPr>
        <w:t>n=</w:t>
      </w:r>
      <w:r>
        <w:rPr>
          <w:rStyle w:val="Codevalue"/>
        </w:rPr>
        <w:t>"12"</w:t>
      </w:r>
      <w:r>
        <w:rPr>
          <w:rStyle w:val="Code"/>
        </w:rPr>
        <w:t xml:space="preserve"> </w:t>
      </w:r>
      <w:r>
        <w:rPr>
          <w:rStyle w:val="Codeattribute"/>
        </w:rPr>
        <w:t>break=</w:t>
      </w:r>
      <w:r>
        <w:rPr>
          <w:rStyle w:val="Codevalue"/>
        </w:rPr>
        <w:t>"no"</w:t>
      </w:r>
      <w:r>
        <w:rPr>
          <w:rStyle w:val="Code"/>
        </w:rPr>
        <w:t>/&gt;</w:t>
      </w:r>
      <w:r>
        <w:rPr>
          <w:rStyle w:val="Codetext"/>
        </w:rPr>
        <w:t>-makuṭa</w:t>
      </w:r>
    </w:p>
    <w:p w14:paraId="41EF3A33" w14:textId="77777777">
      <w:pPr>
        <w:pStyle w:val="Lista"/>
      </w:pPr>
      <w:r>
        <w:t>unlike space, hyphens may be used without technical worries at the beginning or end of text-containing elements</w:t>
      </w:r>
    </w:p>
    <w:p w14:paraId="11988C79" w14:textId="77777777">
      <w:pPr>
        <w:pStyle w:val="Lista"/>
      </w:pPr>
      <w:r>
        <w:t>as far as feasible, avoid including editorial hyphens within markup describing the received text, e.g.</w:t>
      </w:r>
    </w:p>
    <w:p w14:paraId="2451BE8C" w14:textId="77777777">
      <w:pPr>
        <w:pStyle w:val="Lista3"/>
      </w:pPr>
      <w:r>
        <w:rPr>
          <w:rStyle w:val="Codetext"/>
        </w:rPr>
        <w:t>sarva-</w:t>
      </w:r>
      <w:r>
        <w:rPr>
          <w:rStyle w:val="Code"/>
        </w:rPr>
        <w:t>&lt;unclear&gt;</w:t>
      </w:r>
      <w:r>
        <w:rPr>
          <w:rStyle w:val="Codetext"/>
        </w:rPr>
        <w:t>lokā</w:t>
      </w:r>
      <w:r>
        <w:rPr>
          <w:rStyle w:val="Code"/>
        </w:rPr>
        <w:t>&lt;/unclear&gt;</w:t>
      </w:r>
      <w:r>
        <w:rPr>
          <w:rStyle w:val="Codetext"/>
        </w:rPr>
        <w:t>nām</w:t>
      </w:r>
      <w:r>
        <w:t xml:space="preserve"> is preferable to </w:t>
      </w:r>
      <w:r>
        <w:rPr>
          <w:rStyle w:val="Codetext"/>
        </w:rPr>
        <w:t>sarva</w:t>
      </w:r>
      <w:r>
        <w:rPr>
          <w:rStyle w:val="Code"/>
        </w:rPr>
        <w:t>&lt;unclear&gt;</w:t>
      </w:r>
      <w:r>
        <w:rPr>
          <w:rStyle w:val="Codetext"/>
        </w:rPr>
        <w:t>-lokā</w:t>
      </w:r>
      <w:r>
        <w:rPr>
          <w:rStyle w:val="Code"/>
        </w:rPr>
        <w:t>&lt;/unclear&gt;</w:t>
      </w:r>
      <w:r>
        <w:rPr>
          <w:rStyle w:val="Codetext"/>
        </w:rPr>
        <w:t>nām</w:t>
      </w:r>
      <w:r>
        <w:t>, since the hyphen is not actually present in the text and thus not unclear</w:t>
      </w:r>
    </w:p>
    <w:p w14:paraId="6F07CA5D" w14:textId="77777777">
      <w:pPr>
        <w:pStyle w:val="Lista3"/>
      </w:pPr>
      <w:r>
        <w:rPr>
          <w:rStyle w:val="Codetext"/>
        </w:rPr>
        <w:t>viṣaya-</w:t>
      </w:r>
      <w:r>
        <w:rPr>
          <w:rStyle w:val="Code"/>
        </w:rPr>
        <w:t>&lt;abbr&gt;</w:t>
      </w:r>
      <w:r>
        <w:rPr>
          <w:rStyle w:val="Codetext"/>
        </w:rPr>
        <w:t>saṁ</w:t>
      </w:r>
      <w:r>
        <w:rPr>
          <w:rStyle w:val="Code"/>
        </w:rPr>
        <w:t>&lt;/abbr&gt;</w:t>
      </w:r>
      <w:r>
        <w:t xml:space="preserve"> (where </w:t>
      </w:r>
      <w:r>
        <w:rPr>
          <w:rStyle w:val="Foreign"/>
        </w:rPr>
        <w:t>saṁ</w:t>
      </w:r>
      <w:r>
        <w:t xml:space="preserve"> is understood to stand for </w:t>
      </w:r>
      <w:r>
        <w:rPr>
          <w:rStyle w:val="Foreign"/>
        </w:rPr>
        <w:t>saṁbaddha</w:t>
      </w:r>
      <w:r>
        <w:t xml:space="preserve">) is preferable to </w:t>
      </w:r>
      <w:r>
        <w:rPr>
          <w:rStyle w:val="Codetext"/>
        </w:rPr>
        <w:t>viṣaya</w:t>
      </w:r>
      <w:r>
        <w:rPr>
          <w:rStyle w:val="Code"/>
        </w:rPr>
        <w:t>&lt;abbr&gt;</w:t>
      </w:r>
      <w:r>
        <w:rPr>
          <w:rStyle w:val="Codetext"/>
        </w:rPr>
        <w:t>-saṁ</w:t>
      </w:r>
      <w:r>
        <w:rPr>
          <w:rStyle w:val="Code"/>
        </w:rPr>
        <w:t>&lt;/abbr&gt;</w:t>
      </w:r>
      <w:r>
        <w:t xml:space="preserve">, since the hyphen, not being actually present, is not part of the abbreviation </w:t>
      </w:r>
    </w:p>
    <w:p w14:paraId="18EB32E5" w14:textId="77777777">
      <w:pPr>
        <w:pStyle w:val="Lista2"/>
      </w:pPr>
      <w:r>
        <w:t>however, there is no need to split phrase-level elements around an editorial hyphen even if, strictly speaking, the editorial hyphen is not qualified by the element, e.g.</w:t>
      </w:r>
    </w:p>
    <w:p w14:paraId="120C3E41" w14:textId="77777777">
      <w:pPr>
        <w:pStyle w:val="Lista3"/>
      </w:pPr>
      <w:r>
        <w:rPr>
          <w:rStyle w:val="Codetext"/>
        </w:rPr>
        <w:t>sar</w:t>
      </w:r>
      <w:r>
        <w:rPr>
          <w:rStyle w:val="Code"/>
        </w:rPr>
        <w:t>&lt;unclear&gt;</w:t>
      </w:r>
      <w:r>
        <w:rPr>
          <w:rStyle w:val="Codetext"/>
        </w:rPr>
        <w:t>va-lokā</w:t>
      </w:r>
      <w:r>
        <w:rPr>
          <w:rStyle w:val="Code"/>
        </w:rPr>
        <w:t>&lt;/unclear&gt;</w:t>
      </w:r>
      <w:r>
        <w:rPr>
          <w:rStyle w:val="Codetext"/>
        </w:rPr>
        <w:t>nām</w:t>
      </w:r>
      <w:r>
        <w:t xml:space="preserve"> is the preferred encoding, though the hyphen, not being present in the text, is not unclear, so a more accurate but less practicable encoding would be </w:t>
      </w:r>
      <w:r>
        <w:rPr>
          <w:rStyle w:val="Codetext"/>
        </w:rPr>
        <w:t>sar</w:t>
      </w:r>
      <w:r>
        <w:rPr>
          <w:rStyle w:val="Code"/>
        </w:rPr>
        <w:t>&lt;unclear&gt;</w:t>
      </w:r>
      <w:r>
        <w:rPr>
          <w:rStyle w:val="Codetext"/>
        </w:rPr>
        <w:t>va</w:t>
      </w:r>
      <w:r>
        <w:rPr>
          <w:rStyle w:val="Code"/>
        </w:rPr>
        <w:t>&lt;/unclear&gt;-&lt;unclear&gt;</w:t>
      </w:r>
      <w:r>
        <w:rPr>
          <w:rStyle w:val="Codetext"/>
        </w:rPr>
        <w:t>lokā</w:t>
      </w:r>
      <w:r>
        <w:rPr>
          <w:rStyle w:val="Code"/>
        </w:rPr>
        <w:t>&lt;/unclear&gt;</w:t>
      </w:r>
      <w:r>
        <w:rPr>
          <w:rStyle w:val="Codetext"/>
        </w:rPr>
        <w:t>nām</w:t>
      </w:r>
    </w:p>
    <w:p w14:paraId="7ABD0CE4" w14:textId="77777777">
      <w:pPr>
        <w:pStyle w:val="Cmsor3"/>
      </w:pPr>
      <w:bookmarkStart w:id="696" w:name="_Ref229060537"/>
      <w:bookmarkStart w:id="697" w:name="_Ref229062653"/>
      <w:bookmarkStart w:id="698" w:name="_Toc242889556"/>
      <w:r>
        <w:t>Supplied punctuation</w:t>
      </w:r>
      <w:bookmarkEnd w:id="696"/>
      <w:bookmarkEnd w:id="698"/>
    </w:p>
    <w:p w14:paraId="41A47965" w14:textId="5F621B42">
      <w:r>
        <w:t>Original punctuation marks present in the text must always be transliterated and encoded as per §</w:t>
      </w:r>
      <w:r>
        <w:fldChar w:fldCharType="begin"/>
      </w:r>
      <w:r>
        <w:instrText xml:space="preserve"> REF _Ref226033363 \r \h </w:instrText>
      </w:r>
      <w:r>
        <w:fldChar w:fldCharType="separate"/>
      </w:r>
      <w:r>
        <w:t>5.4</w:t>
      </w:r>
      <w:r>
        <w:fldChar w:fldCharType="end"/>
      </w:r>
      <w:r>
        <w:t xml:space="preserve">. Editorial punctuation marks must never be added silently to an XML edition, but editorial punctuation can, and </w:t>
      </w:r>
      <w:r>
        <w:lastRenderedPageBreak/>
        <w:t>by our recommendation should, be used to render the semantic structure of a text clearer, so long as it is clearly marked up as editorial.</w:t>
      </w:r>
    </w:p>
    <w:p w14:paraId="775787CA" w14:textId="472F347F">
      <w:pPr>
        <w:pStyle w:val="Cmsor4"/>
      </w:pPr>
      <w:r>
        <w:t>Encoding editorial  punctuation</w:t>
      </w:r>
    </w:p>
    <w:p w14:paraId="5DD1E730" w14:textId="77777777">
      <w:pPr>
        <w:pStyle w:val="Lista"/>
      </w:pPr>
      <w:r>
        <w:t>editorial punctuation is recommended in the following circumstances:</w:t>
      </w:r>
    </w:p>
    <w:p w14:paraId="589F11ED" w14:textId="3353BF45">
      <w:pPr>
        <w:pStyle w:val="Lista2"/>
      </w:pPr>
      <w:r>
        <w:t xml:space="preserve">for semantic segmentation of long paragraphs into sentences or other semantic units, when no original punctuation is present, as in </w:t>
      </w:r>
      <w:r>
        <w:fldChar w:fldCharType="begin"/>
      </w:r>
      <w:r>
        <w:instrText xml:space="preserve"> REF _Ref229059150 \h </w:instrText>
      </w:r>
      <w:r>
        <w:fldChar w:fldCharType="separate"/>
      </w:r>
      <w:r>
        <w:t xml:space="preserve">Exhibit </w:t>
      </w:r>
      <w:r>
        <w:rPr>
          <w:noProof/>
        </w:rPr>
        <w:t>7.8</w:t>
      </w:r>
      <w:r>
        <w:t>.</w:t>
      </w:r>
      <w:r>
        <w:rPr>
          <w:noProof/>
        </w:rPr>
        <w:t>A</w:t>
      </w:r>
      <w:r>
        <w:fldChar w:fldCharType="end"/>
      </w:r>
    </w:p>
    <w:p w14:paraId="697F83BE" w14:textId="560570F8">
      <w:pPr>
        <w:pStyle w:val="Lista2"/>
      </w:pPr>
      <w:r>
        <w:t xml:space="preserve">in lists </w:t>
      </w:r>
      <w:r>
        <w:rPr>
          <w:noProof/>
        </w:rPr>
        <w:t>(</w:t>
      </w:r>
      <w:r>
        <w:t xml:space="preserve">e.g. lists of donees), to mark the end of each list item when list encoding is not used, as in </w:t>
      </w:r>
      <w:r>
        <w:fldChar w:fldCharType="begin"/>
      </w:r>
      <w:r>
        <w:instrText xml:space="preserve"> REF _Ref229059156 \h </w:instrText>
      </w:r>
      <w:r>
        <w:fldChar w:fldCharType="separate"/>
      </w:r>
      <w:r>
        <w:t xml:space="preserve">Exhibit </w:t>
      </w:r>
      <w:r>
        <w:rPr>
          <w:noProof/>
        </w:rPr>
        <w:t>7.8</w:t>
      </w:r>
      <w:r>
        <w:t>.</w:t>
      </w:r>
      <w:r>
        <w:rPr>
          <w:noProof/>
        </w:rPr>
        <w:t>B</w:t>
      </w:r>
      <w:r>
        <w:fldChar w:fldCharType="end"/>
      </w:r>
    </w:p>
    <w:p w14:paraId="5BEDF746" w14:textId="77777777">
      <w:pPr>
        <w:pStyle w:val="Lista2"/>
      </w:pPr>
      <w:r>
        <w:t xml:space="preserve">especially if in either of the above cases the original does use punctuation marks, but does so inconsistently </w:t>
      </w:r>
      <w:r>
        <w:rPr>
          <w:noProof/>
        </w:rPr>
        <w:t>(</w:t>
      </w:r>
      <w:r>
        <w:t>i.e. only after some sentences or list items), because in this case the most logical assumption is that the lack of punctuation marks after certain items is a scribal omission</w:t>
      </w:r>
    </w:p>
    <w:p w14:paraId="00EB1AA3" w14:textId="0A7CFE90">
      <w:pPr>
        <w:pStyle w:val="Lista"/>
      </w:pPr>
      <w:r>
        <w:t>editorial punctuation need not and must not be added at the end of any encoded block-level container (§</w:t>
      </w:r>
      <w:r>
        <w:fldChar w:fldCharType="begin"/>
      </w:r>
      <w:r>
        <w:instrText xml:space="preserve"> REF _Ref225500627 \w \h </w:instrText>
      </w:r>
      <w:r>
        <w:fldChar w:fldCharType="separate"/>
      </w:r>
      <w:r>
        <w:t>3.2</w:t>
      </w:r>
      <w:r>
        <w:fldChar w:fldCharType="end"/>
      </w:r>
      <w:r>
        <w:t>), because the encoding already takes care of segmentation in these cases</w:t>
      </w:r>
    </w:p>
    <w:p w14:paraId="53341DCF" w14:textId="261B507A">
      <w:pPr>
        <w:pStyle w:val="Lista2"/>
      </w:pPr>
      <w:r>
        <w:t>including</w:t>
      </w:r>
    </w:p>
    <w:p w14:paraId="11685ED3" w14:textId="14AF7A97">
      <w:pPr>
        <w:pStyle w:val="Lista3"/>
      </w:pPr>
      <w:r>
        <w:t>paragraphs and anonymous blocks containing prose (§</w:t>
      </w:r>
      <w:r>
        <w:fldChar w:fldCharType="begin"/>
      </w:r>
      <w:r>
        <w:instrText xml:space="preserve"> REF _Ref229058843 \w \h </w:instrText>
      </w:r>
      <w:r>
        <w:fldChar w:fldCharType="separate"/>
      </w:r>
      <w:r>
        <w:t>3.2.1</w:t>
      </w:r>
      <w:r>
        <w:fldChar w:fldCharType="end"/>
      </w:r>
      <w:r>
        <w:t>)</w:t>
      </w:r>
    </w:p>
    <w:p w14:paraId="6C0A8936" w14:textId="0725D235">
      <w:pPr>
        <w:pStyle w:val="Lista3"/>
      </w:pPr>
      <w:r>
        <w:t>stanzas and verse lines (§</w:t>
      </w:r>
      <w:r>
        <w:fldChar w:fldCharType="begin"/>
      </w:r>
      <w:r>
        <w:instrText xml:space="preserve"> REF _Ref224740501 \w \h </w:instrText>
      </w:r>
      <w:r>
        <w:fldChar w:fldCharType="separate"/>
      </w:r>
      <w:r>
        <w:t>3.2.2</w:t>
      </w:r>
      <w:r>
        <w:fldChar w:fldCharType="end"/>
      </w:r>
      <w:r>
        <w:t>)</w:t>
      </w:r>
    </w:p>
    <w:p w14:paraId="6B3EBE2C" w14:textId="3B00F37B">
      <w:pPr>
        <w:pStyle w:val="Lista3"/>
      </w:pPr>
      <w:r>
        <w:t>lists and list items (§</w:t>
      </w:r>
      <w:r>
        <w:fldChar w:fldCharType="begin"/>
      </w:r>
      <w:r>
        <w:instrText xml:space="preserve"> REF _Ref168563127 \w \h </w:instrText>
      </w:r>
      <w:r>
        <w:fldChar w:fldCharType="separate"/>
      </w:r>
      <w:r>
        <w:t>3.2.1.3</w:t>
      </w:r>
      <w:r>
        <w:fldChar w:fldCharType="end"/>
      </w:r>
      <w:r>
        <w:t>)</w:t>
      </w:r>
    </w:p>
    <w:p w14:paraId="61128B01" w14:textId="77777777">
      <w:pPr>
        <w:pStyle w:val="Lista"/>
      </w:pPr>
      <w:r>
        <w:t>to encode supplied punctuation,</w:t>
      </w:r>
    </w:p>
    <w:p w14:paraId="1F6B8A4B" w14:textId="6FFD4635">
      <w:pPr>
        <w:pStyle w:val="Lista2"/>
      </w:pPr>
      <w:r>
        <w:t xml:space="preserve">use the default transliteration placeholder . </w:t>
      </w:r>
      <w:r>
        <w:rPr>
          <w:noProof/>
        </w:rPr>
        <w:t>(</w:t>
      </w:r>
      <w:r>
        <w:t>period, full stop) as per §</w:t>
      </w:r>
      <w:r>
        <w:fldChar w:fldCharType="begin"/>
      </w:r>
      <w:r>
        <w:instrText xml:space="preserve"> REF _Ref226036268 \w \h </w:instrText>
      </w:r>
      <w:r>
        <w:fldChar w:fldCharType="separate"/>
      </w:r>
      <w:r>
        <w:t>5.4.3.1</w:t>
      </w:r>
      <w:r>
        <w:fldChar w:fldCharType="end"/>
      </w:r>
      <w:r>
        <w:t xml:space="preserve"> and TG §5.3</w:t>
      </w:r>
    </w:p>
    <w:p w14:paraId="7BA52C6B" w14:textId="328E174E">
      <w:pPr>
        <w:pStyle w:val="Lista2"/>
      </w:pPr>
      <w:r>
        <w:t xml:space="preserve">do not add a </w:t>
      </w:r>
      <w:r>
        <w:rPr>
          <w:rStyle w:val="Code"/>
        </w:rPr>
        <w:t>&lt;g&gt;</w:t>
      </w:r>
      <w:r>
        <w:t xml:space="preserve"> tag around this placeholder as you would for original punctuation </w:t>
      </w:r>
      <w:r>
        <w:rPr>
          <w:noProof/>
        </w:rPr>
        <w:t>(</w:t>
      </w:r>
      <w:r>
        <w:t>§</w:t>
      </w:r>
      <w:r>
        <w:fldChar w:fldCharType="begin"/>
      </w:r>
      <w:r>
        <w:instrText xml:space="preserve"> REF _Ref225955927 \w \h </w:instrText>
      </w:r>
      <w:r>
        <w:fldChar w:fldCharType="separate"/>
      </w:r>
      <w:r>
        <w:t>5.4.4</w:t>
      </w:r>
      <w:r>
        <w:fldChar w:fldCharType="end"/>
      </w:r>
      <w:r>
        <w:t>)</w:t>
      </w:r>
    </w:p>
    <w:p w14:paraId="0AA60886" w14:textId="77777777">
      <w:pPr>
        <w:pStyle w:val="Lista3"/>
      </w:pPr>
      <w:r>
        <w:t>this is to express the fact that this punctuation character is an abstract one, without any assertion of its physical appearance</w:t>
      </w:r>
    </w:p>
    <w:p w14:paraId="1EA1B5B4" w14:textId="77777777">
      <w:pPr>
        <w:pStyle w:val="Lista2"/>
        <w:rPr>
          <w:rFonts w:ascii="Gentium Plus" w:hAnsi="Gentium Plus" w:cs="Arial Unicode MS"/>
        </w:rPr>
      </w:pPr>
      <w:r>
        <w:t xml:space="preserve">wrap the placeholder in </w:t>
      </w:r>
      <w:r>
        <w:rPr>
          <w:rStyle w:val="Code"/>
        </w:rPr>
        <w:t xml:space="preserve">&lt;supplied </w:t>
      </w:r>
      <w:r>
        <w:rPr>
          <w:rStyle w:val="Codeattribute"/>
        </w:rPr>
        <w:t>reason</w:t>
      </w:r>
      <w:r>
        <w:rPr>
          <w:rStyle w:val="Code"/>
        </w:rPr>
        <w:t>=</w:t>
      </w:r>
      <w:r>
        <w:rPr>
          <w:rStyle w:val="Codevalue"/>
        </w:rPr>
        <w:t>"subaudible"</w:t>
      </w:r>
      <w:r>
        <w:rPr>
          <w:rStyle w:val="Code"/>
        </w:rPr>
        <w:t>&gt;</w:t>
      </w:r>
      <w:r>
        <w:t xml:space="preserve"> to mark it up as editorial</w:t>
      </w:r>
    </w:p>
    <w:p w14:paraId="3CC476A2" w14:textId="77777777">
      <w:pPr>
        <w:pStyle w:val="Lista3"/>
        <w:rPr>
          <w:rStyle w:val="Code"/>
          <w:rFonts w:ascii="Gentium Plus" w:hAnsi="Gentium Plus" w:cs="Arial Unicode MS"/>
          <w:noProof w:val="0"/>
          <w:color w:val="auto"/>
          <w:shd w:val="clear" w:color="auto" w:fill="auto"/>
        </w:rPr>
      </w:pPr>
      <w:r>
        <w:t>the rationale behind the choice of this attribute value is that punctuation is implied by the semantic context, so in a way, a punctuation mark is “subaudible” to the native or informed reader, whereas alternative encoding as editorial intervention would imply that the scribe made an error or used non-standard language, which is not the case</w:t>
      </w:r>
    </w:p>
    <w:p w14:paraId="58080030" w14:textId="43341D63">
      <w:pPr>
        <w:pStyle w:val="Lista"/>
      </w:pPr>
      <w:r>
        <w:t>when you supply punctuation within or adjacent to text that you have supplied because it had been omitted (§</w:t>
      </w:r>
      <w:r>
        <w:fldChar w:fldCharType="begin"/>
      </w:r>
      <w:r>
        <w:instrText xml:space="preserve"> REF _Ref229056324 \r \h </w:instrText>
      </w:r>
      <w:r>
        <w:fldChar w:fldCharType="separate"/>
      </w:r>
      <w:r>
        <w:t>7.5.3</w:t>
      </w:r>
      <w:r>
        <w:fldChar w:fldCharType="end"/>
      </w:r>
      <w:r>
        <w:t>) or lost (§</w:t>
      </w:r>
      <w:r>
        <w:fldChar w:fldCharType="begin"/>
      </w:r>
      <w:r>
        <w:instrText xml:space="preserve"> REF _Ref228459751 \r \h </w:instrText>
      </w:r>
      <w:r>
        <w:fldChar w:fldCharType="separate"/>
      </w:r>
      <w:r>
        <w:t>6.4</w:t>
      </w:r>
      <w:r>
        <w:fldChar w:fldCharType="end"/>
      </w:r>
      <w:r>
        <w:t xml:space="preserve">) in the original, a separate </w:t>
      </w:r>
      <w:r>
        <w:rPr>
          <w:rStyle w:val="Code"/>
        </w:rPr>
        <w:t>&lt;supplied&gt;</w:t>
      </w:r>
      <w:r>
        <w:t xml:space="preserve"> element must be created to wrap the editorial punctuation</w:t>
      </w:r>
    </w:p>
    <w:p w14:paraId="45FC1B63" w14:textId="77777777">
      <w:pPr>
        <w:pStyle w:val="Lista2"/>
      </w:pPr>
      <w:r>
        <w:t xml:space="preserve">e.g. </w:t>
      </w:r>
      <w:r>
        <w:rPr>
          <w:rStyle w:val="Codetext"/>
        </w:rPr>
        <w:t>ājñāpaya</w:t>
      </w:r>
      <w:r>
        <w:rPr>
          <w:rStyle w:val="Code"/>
        </w:rPr>
        <w:t xml:space="preserve">&lt;supplied </w:t>
      </w:r>
      <w:r>
        <w:rPr>
          <w:rStyle w:val="Codeattribute"/>
        </w:rPr>
        <w:t>reason</w:t>
      </w:r>
      <w:r>
        <w:rPr>
          <w:rStyle w:val="Codetext"/>
        </w:rPr>
        <w:t>=</w:t>
      </w:r>
      <w:r>
        <w:rPr>
          <w:rStyle w:val="Codevalue"/>
        </w:rPr>
        <w:t>"omitted"</w:t>
      </w:r>
      <w:r>
        <w:rPr>
          <w:rStyle w:val="Code"/>
        </w:rPr>
        <w:t>&gt;</w:t>
      </w:r>
      <w:r>
        <w:rPr>
          <w:rStyle w:val="Codetext"/>
        </w:rPr>
        <w:t>ti</w:t>
      </w:r>
      <w:r>
        <w:rPr>
          <w:rStyle w:val="Code"/>
        </w:rPr>
        <w:t xml:space="preserve">&lt;/supplied&gt;&lt;supplied </w:t>
      </w:r>
      <w:r>
        <w:rPr>
          <w:rStyle w:val="Codeattribute"/>
        </w:rPr>
        <w:t>reason</w:t>
      </w:r>
      <w:r>
        <w:rPr>
          <w:rStyle w:val="Codetext"/>
        </w:rPr>
        <w:t>=</w:t>
      </w:r>
      <w:r>
        <w:rPr>
          <w:rStyle w:val="Codevalue"/>
        </w:rPr>
        <w:t>"subaudible"</w:t>
      </w:r>
      <w:r>
        <w:rPr>
          <w:rStyle w:val="Code"/>
        </w:rPr>
        <w:t>&gt;</w:t>
      </w:r>
      <w:r>
        <w:rPr>
          <w:rStyle w:val="Codetext"/>
        </w:rPr>
        <w:t>.</w:t>
      </w:r>
      <w:r>
        <w:rPr>
          <w:rStyle w:val="Code"/>
        </w:rPr>
        <w:t>&lt;/supplied&gt;</w:t>
      </w:r>
    </w:p>
    <w:p w14:paraId="73B378A8" w14:textId="77777777">
      <w:pPr>
        <w:pStyle w:val="Lista"/>
      </w:pPr>
      <w:r>
        <w:t>editorial punctuation in DHARMA editions will be of this single kind, without differentiation on any basis</w:t>
      </w:r>
    </w:p>
    <w:p w14:paraId="4728C11D" w14:textId="77777777">
      <w:pPr>
        <w:pStyle w:val="Lista2"/>
      </w:pPr>
      <w:r>
        <w:t>although many earlier editors supply two levels of punctuation (daṇḍa and double daṇḍa), the higher punctuation level is only useful at the end of stanzas and paragraphs, where we demarcate block-level containers instead of supplying punctuations</w:t>
      </w:r>
    </w:p>
    <w:p w14:paraId="6D7FC9A6" w14:textId="77777777"/>
    <w:tbl>
      <w:tblPr>
        <w:tblStyle w:val="CodeSampleTable"/>
        <w:tblW w:w="5000" w:type="pct"/>
        <w:tblLook w:val="04A0" w:firstRow="1" w:lastRow="0" w:firstColumn="1" w:lastColumn="0" w:noHBand="0" w:noVBand="1"/>
      </w:tblPr>
      <w:tblGrid>
        <w:gridCol w:w="9628"/>
      </w:tblGrid>
      <w:tr w14:paraId="5DFC480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A67DFA9" w14:textId="67CAD745">
            <w:pPr>
              <w:pStyle w:val="Kpalrs"/>
            </w:pPr>
            <w:bookmarkStart w:id="699" w:name="_Ref229059150"/>
            <w:r>
              <w:t xml:space="preserve">Exhibit </w:t>
            </w:r>
            <w:fldSimple w:instr=" STYLEREF 2 \s ">
              <w:r>
                <w:rPr>
                  <w:noProof/>
                </w:rPr>
                <w:t>7.8</w:t>
              </w:r>
            </w:fldSimple>
            <w:r>
              <w:t>.</w:t>
            </w:r>
            <w:fldSimple w:instr=" SEQ Exhibit \* ALPHABETIC \s 2 ">
              <w:r>
                <w:rPr>
                  <w:noProof/>
                </w:rPr>
                <w:t>A</w:t>
              </w:r>
            </w:fldSimple>
            <w:bookmarkEnd w:id="699"/>
            <w:r>
              <w:t>: supplied punctuation at the end of a sentence</w:t>
            </w:r>
          </w:p>
        </w:tc>
      </w:tr>
      <w:tr w14:paraId="74AE4136" w14:textId="77777777">
        <w:tc>
          <w:tcPr>
            <w:tcW w:w="5000" w:type="pct"/>
          </w:tcPr>
          <w:p w14:paraId="32655658" w14:textId="77777777">
            <w:pPr>
              <w:pStyle w:val="CodeParagraph"/>
            </w:pPr>
            <w:r>
              <w:rPr>
                <w:rStyle w:val="Code"/>
              </w:rPr>
              <w:t>&lt;p&gt;</w:t>
            </w:r>
            <w:r>
              <w:rPr>
                <w:rStyle w:val="Codetext"/>
              </w:rPr>
              <w:t xml:space="preserve"> ... anumantavyo varddhanīyaś ca</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yo vājñānād ... </w:t>
            </w:r>
            <w:r>
              <w:rPr>
                <w:rStyle w:val="Code"/>
              </w:rPr>
              <w:t>&lt;/p&gt;</w:t>
            </w:r>
          </w:p>
        </w:tc>
      </w:tr>
    </w:tbl>
    <w:p w14:paraId="5C08AD40" w14:textId="77777777"/>
    <w:tbl>
      <w:tblPr>
        <w:tblStyle w:val="CodeSampleTable"/>
        <w:tblW w:w="5000" w:type="pct"/>
        <w:tblLook w:val="04A0" w:firstRow="1" w:lastRow="0" w:firstColumn="1" w:lastColumn="0" w:noHBand="0" w:noVBand="1"/>
      </w:tblPr>
      <w:tblGrid>
        <w:gridCol w:w="9628"/>
      </w:tblGrid>
      <w:tr w14:paraId="0715888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3EB5B2C" w14:textId="23F6086D">
            <w:pPr>
              <w:pStyle w:val="Kpalrs"/>
            </w:pPr>
            <w:bookmarkStart w:id="700" w:name="_Ref229059156"/>
            <w:r>
              <w:t xml:space="preserve">Exhibit </w:t>
            </w:r>
            <w:fldSimple w:instr=" STYLEREF 2 \s ">
              <w:r>
                <w:rPr>
                  <w:noProof/>
                </w:rPr>
                <w:t>7.8</w:t>
              </w:r>
            </w:fldSimple>
            <w:r>
              <w:t>.</w:t>
            </w:r>
            <w:fldSimple w:instr=" SEQ Exhibit \* ALPHABETIC \s 2 ">
              <w:r>
                <w:rPr>
                  <w:noProof/>
                </w:rPr>
                <w:t>B</w:t>
              </w:r>
            </w:fldSimple>
            <w:bookmarkEnd w:id="700"/>
            <w:r>
              <w:t>: supplied punctuation in a list with sporadic original punctuation</w:t>
            </w:r>
          </w:p>
        </w:tc>
      </w:tr>
      <w:tr w14:paraId="60941447" w14:textId="77777777">
        <w:tc>
          <w:tcPr>
            <w:tcW w:w="5000" w:type="pct"/>
          </w:tcPr>
          <w:p w14:paraId="60240301" w14:textId="77777777">
            <w:pPr>
              <w:pStyle w:val="CodeParagraph"/>
              <w:keepNext/>
            </w:pPr>
            <w:r>
              <w:rPr>
                <w:rStyle w:val="Code"/>
              </w:rPr>
              <w:t>&lt;p&gt;</w:t>
            </w:r>
            <w:r>
              <w:rPr>
                <w:rStyle w:val="Codetext"/>
              </w:rPr>
              <w:t xml:space="preserve"> ... Āruvaśarmmaṇa Ekkaṁśaḥ</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puna vedaśarmmaṇa Ekkaṁśaḥ</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 jakkiśarmmaṇa Ekkaṁśaḥ</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 vebaśarmmaṇa Ekkaṁśaḥ</w:t>
            </w:r>
            <w:r>
              <w:rPr>
                <w:rStyle w:val="Code"/>
              </w:rPr>
              <w:t xml:space="preserve">&lt;g </w:t>
            </w:r>
            <w:r>
              <w:rPr>
                <w:rStyle w:val="Codeattribute"/>
              </w:rPr>
              <w:t>type</w:t>
            </w:r>
            <w:r>
              <w:rPr>
                <w:rStyle w:val="Code"/>
              </w:rPr>
              <w:t>=</w:t>
            </w:r>
            <w:r>
              <w:rPr>
                <w:rStyle w:val="Codevalue"/>
              </w:rPr>
              <w:t xml:space="preserve">"punctuation" </w:t>
            </w:r>
            <w:r>
              <w:rPr>
                <w:rStyle w:val="Codeattribute"/>
              </w:rPr>
              <w:t>ref</w:t>
            </w:r>
            <w:r>
              <w:rPr>
                <w:rStyle w:val="Code"/>
              </w:rPr>
              <w:t>=</w:t>
            </w:r>
            <w:r>
              <w:rPr>
                <w:rStyle w:val="Codevalue"/>
              </w:rPr>
              <w:t>"sym:bar"</w:t>
            </w:r>
            <w:r>
              <w:rPr>
                <w:rStyle w:val="Code"/>
              </w:rPr>
              <w:t>&gt;</w:t>
            </w:r>
            <w:r>
              <w:rPr>
                <w:rStyle w:val="Codetext"/>
              </w:rPr>
              <w:t>.</w:t>
            </w:r>
            <w:r>
              <w:rPr>
                <w:rStyle w:val="Code"/>
              </w:rPr>
              <w:t>&lt;/g&gt;</w:t>
            </w:r>
            <w:r>
              <w:rPr>
                <w:rStyle w:val="Codetext"/>
              </w:rPr>
              <w:t xml:space="preserve"> ... sarvvaśarmmaṇa ... </w:t>
            </w:r>
            <w:r>
              <w:rPr>
                <w:rStyle w:val="Code"/>
              </w:rPr>
              <w:t>&lt;/p&gt;</w:t>
            </w:r>
          </w:p>
        </w:tc>
      </w:tr>
      <w:tr w14:paraId="064E06F8" w14:textId="77777777">
        <w:tc>
          <w:tcPr>
            <w:tcW w:w="5000" w:type="pct"/>
          </w:tcPr>
          <w:p w14:paraId="2BDADC9C" w14:textId="77777777">
            <w:pPr>
              <w:pStyle w:val="TableNote"/>
              <w:rPr>
                <w:rStyle w:val="Code"/>
              </w:rPr>
            </w:pPr>
            <w:r>
              <w:t xml:space="preserve">the original punctuation mark in the excerpt is tagged with </w:t>
            </w:r>
            <w:r>
              <w:rPr>
                <w:rStyle w:val="Code"/>
              </w:rPr>
              <w:t>&lt;g&gt;</w:t>
            </w:r>
          </w:p>
        </w:tc>
      </w:tr>
    </w:tbl>
    <w:p w14:paraId="2C53B3CE" w14:textId="0AD8DB8F">
      <w:pPr>
        <w:pStyle w:val="Cmsor4"/>
      </w:pPr>
      <w:r>
        <w:lastRenderedPageBreak/>
        <w:t>Supplying omitted punctuation</w:t>
      </w:r>
    </w:p>
    <w:p w14:paraId="41784715" w14:textId="0FB0AC63">
      <w:r>
        <w:t>I</w:t>
      </w:r>
      <w:r>
        <w:t>f you are fully confident that the absence of a punctuation mark at a certain point is the result of actual scribal omission (rather than of the fact that the creator of the document did not feel the need for a punctuation mark there), then you may at your discretion choose to restitute it like any other omission instead of encoding it as subaudible</w:t>
      </w:r>
      <w:r>
        <w:t>.</w:t>
      </w:r>
    </w:p>
    <w:p w14:paraId="3E4BC3A6" w14:textId="6FECCF7D">
      <w:pPr>
        <w:pStyle w:val="Lista"/>
      </w:pPr>
      <w:r>
        <w:t xml:space="preserve">use the same placeholder and  </w:t>
      </w:r>
      <w:r>
        <w:rPr>
          <w:rStyle w:val="Code"/>
        </w:rPr>
        <w:t>&lt;g&gt;</w:t>
      </w:r>
      <w:r>
        <w:t xml:space="preserve"> encoding </w:t>
      </w:r>
      <w:r>
        <w:rPr>
          <w:noProof/>
        </w:rPr>
        <w:t>(</w:t>
      </w:r>
      <w:r>
        <w:t>§</w:t>
      </w:r>
      <w:r>
        <w:fldChar w:fldCharType="begin"/>
      </w:r>
      <w:r>
        <w:instrText xml:space="preserve"> REF _Ref225955927 \w \h </w:instrText>
      </w:r>
      <w:r>
        <w:fldChar w:fldCharType="separate"/>
      </w:r>
      <w:r>
        <w:t>5.4.4</w:t>
      </w:r>
      <w:r>
        <w:fldChar w:fldCharType="end"/>
      </w:r>
      <w:r>
        <w:t>) as for other comparable punctuation marks in the same document</w:t>
      </w:r>
    </w:p>
    <w:p w14:paraId="7B9D9B08" w14:textId="50F85CC0">
      <w:pPr>
        <w:pStyle w:val="Lista"/>
      </w:pPr>
      <w:r>
        <w:t xml:space="preserve">wrap the </w:t>
      </w:r>
      <w:r>
        <w:rPr>
          <w:rStyle w:val="Code"/>
        </w:rPr>
        <w:t>&lt;g&gt;</w:t>
      </w:r>
      <w:r>
        <w:t xml:space="preserve"> element in </w:t>
      </w:r>
      <w:r>
        <w:rPr>
          <w:rStyle w:val="Code"/>
        </w:rPr>
        <w:t xml:space="preserve">&lt;supplied </w:t>
      </w:r>
      <w:r>
        <w:rPr>
          <w:rStyle w:val="Codeattribute"/>
        </w:rPr>
        <w:t>reason</w:t>
      </w:r>
      <w:r>
        <w:rPr>
          <w:rStyle w:val="Code"/>
        </w:rPr>
        <w:t>=</w:t>
      </w:r>
      <w:r>
        <w:rPr>
          <w:rStyle w:val="Codevalue"/>
        </w:rPr>
        <w:t>"omitted"</w:t>
      </w:r>
      <w:r>
        <w:rPr>
          <w:rStyle w:val="Code"/>
        </w:rPr>
        <w:t>&gt;</w:t>
      </w:r>
      <w:r>
        <w:t xml:space="preserve"> as per §</w:t>
      </w:r>
      <w:r>
        <w:fldChar w:fldCharType="begin"/>
      </w:r>
      <w:r>
        <w:instrText xml:space="preserve"> REF _Ref229056324 \r \h </w:instrText>
      </w:r>
      <w:r>
        <w:fldChar w:fldCharType="separate"/>
      </w:r>
      <w:r>
        <w:t>7.5.3</w:t>
      </w:r>
      <w:r>
        <w:fldChar w:fldCharType="end"/>
      </w:r>
    </w:p>
    <w:p w14:paraId="6851790A" w14:textId="77777777">
      <w:pPr>
        <w:pStyle w:val="Lista2"/>
      </w:pPr>
      <w:r>
        <w:t xml:space="preserve">in this case, there is no need for a separate </w:t>
      </w:r>
      <w:r>
        <w:rPr>
          <w:rStyle w:val="Code"/>
        </w:rPr>
        <w:t>&lt;supplied&gt;</w:t>
      </w:r>
      <w:r>
        <w:t xml:space="preserve"> tag when the restored punctuation is within or adjacent to other restored text</w:t>
      </w:r>
    </w:p>
    <w:p w14:paraId="7A6E17B4" w14:textId="77777777">
      <w:pPr>
        <w:pStyle w:val="Cmsor3"/>
      </w:pPr>
      <w:bookmarkStart w:id="701" w:name="_Toc242889557"/>
      <w:r>
        <w:t xml:space="preserve">Supplied </w:t>
      </w:r>
      <w:r>
        <w:rPr>
          <w:rStyle w:val="Foreign"/>
        </w:rPr>
        <w:t>avagraha</w:t>
      </w:r>
      <w:bookmarkEnd w:id="697"/>
      <w:bookmarkEnd w:id="701"/>
    </w:p>
    <w:p w14:paraId="6C905CC2" w14:textId="77777777">
      <w:r>
        <w:t xml:space="preserve">As per TG §4.3.1.1, editors may supply </w:t>
      </w:r>
      <w:r>
        <w:rPr>
          <w:rStyle w:val="Foreign"/>
        </w:rPr>
        <w:t>avagraha</w:t>
      </w:r>
      <w:r>
        <w:t xml:space="preserve"> without explicitly marking it up as editorial, because the texts in our scope hardly ever contain an original </w:t>
      </w:r>
      <w:r>
        <w:rPr>
          <w:rStyle w:val="Foreign"/>
        </w:rPr>
        <w:t>avagraha</w:t>
      </w:r>
      <w:r>
        <w:t xml:space="preserve">. Nonetheless, adding encoding to editorial </w:t>
      </w:r>
      <w:r>
        <w:rPr>
          <w:rStyle w:val="Foreign"/>
        </w:rPr>
        <w:t>avagraha</w:t>
      </w:r>
      <w:r>
        <w:t xml:space="preserve">s is strongly recommended in all XML editions and mandatory in editions which contain original </w:t>
      </w:r>
      <w:r>
        <w:rPr>
          <w:rStyle w:val="Foreign"/>
        </w:rPr>
        <w:t>avagraha</w:t>
      </w:r>
      <w:r>
        <w:t>.</w:t>
      </w:r>
    </w:p>
    <w:p w14:paraId="79436ECA" w14:textId="77777777">
      <w:pPr>
        <w:pStyle w:val="Lista"/>
      </w:pPr>
      <w:r>
        <w:t xml:space="preserve">to mark up </w:t>
      </w:r>
      <w:r>
        <w:rPr>
          <w:rStyle w:val="Foreign"/>
        </w:rPr>
        <w:t>avagraha</w:t>
      </w:r>
      <w:r>
        <w:t xml:space="preserve"> as editorial, wrap the </w:t>
      </w:r>
      <w:r>
        <w:rPr>
          <w:rStyle w:val="Foreign"/>
        </w:rPr>
        <w:t>avagraha</w:t>
      </w:r>
      <w:r>
        <w:t xml:space="preserve"> (transliterated as ’ [right single quote]) in </w:t>
      </w:r>
      <w:r>
        <w:rPr>
          <w:rStyle w:val="Code"/>
        </w:rPr>
        <w:t xml:space="preserve">&lt;supplied </w:t>
      </w:r>
      <w:r>
        <w:rPr>
          <w:rStyle w:val="Codeattribute"/>
        </w:rPr>
        <w:t>reason</w:t>
      </w:r>
      <w:r>
        <w:rPr>
          <w:rStyle w:val="Code"/>
        </w:rPr>
        <w:t>=</w:t>
      </w:r>
      <w:r>
        <w:rPr>
          <w:rStyle w:val="Codevalue"/>
        </w:rPr>
        <w:t>"subaudible"</w:t>
      </w:r>
      <w:r>
        <w:rPr>
          <w:rStyle w:val="Code"/>
        </w:rPr>
        <w:t>&gt;</w:t>
      </w:r>
    </w:p>
    <w:p w14:paraId="2AFE4660" w14:textId="21341987">
      <w:pPr>
        <w:pStyle w:val="Lista2"/>
      </w:pPr>
      <w:r>
        <w:t>this is the same encoding as that used for editorial punctuation (§</w:t>
      </w:r>
      <w:r>
        <w:fldChar w:fldCharType="begin"/>
      </w:r>
      <w:r>
        <w:instrText xml:space="preserve"> REF _Ref229060537 \r \h </w:instrText>
      </w:r>
      <w:r>
        <w:fldChar w:fldCharType="separate"/>
      </w:r>
      <w:r>
        <w:t>7.8.3</w:t>
      </w:r>
      <w:r>
        <w:fldChar w:fldCharType="end"/>
      </w:r>
      <w:r>
        <w:t>), employed for the present purpose with the same rationale</w:t>
      </w:r>
    </w:p>
    <w:p w14:paraId="77DEA89D" w14:textId="2F1E3607">
      <w:pPr>
        <w:pStyle w:val="Lista"/>
      </w:pPr>
      <w:r>
        <w:t xml:space="preserve">when you supply </w:t>
      </w:r>
      <w:r>
        <w:rPr>
          <w:rStyle w:val="Foreign"/>
        </w:rPr>
        <w:t>avagraha</w:t>
      </w:r>
      <w:r>
        <w:t xml:space="preserve"> within or adjacent to text that you have supplied because it had been omitted (§</w:t>
      </w:r>
      <w:r>
        <w:fldChar w:fldCharType="begin"/>
      </w:r>
      <w:r>
        <w:instrText xml:space="preserve"> REF _Ref229056324 \r \h </w:instrText>
      </w:r>
      <w:r>
        <w:fldChar w:fldCharType="separate"/>
      </w:r>
      <w:r>
        <w:t>7.5.3</w:t>
      </w:r>
      <w:r>
        <w:fldChar w:fldCharType="end"/>
      </w:r>
      <w:r>
        <w:t>) or lost (§</w:t>
      </w:r>
      <w:r>
        <w:fldChar w:fldCharType="begin"/>
      </w:r>
      <w:r>
        <w:instrText xml:space="preserve"> REF _Ref228459751 \r \h </w:instrText>
      </w:r>
      <w:r>
        <w:fldChar w:fldCharType="separate"/>
      </w:r>
      <w:r>
        <w:t>6.4</w:t>
      </w:r>
      <w:r>
        <w:fldChar w:fldCharType="end"/>
      </w:r>
      <w:r>
        <w:t xml:space="preserve">) in the original, a separate </w:t>
      </w:r>
      <w:r>
        <w:rPr>
          <w:rStyle w:val="Code"/>
        </w:rPr>
        <w:t>&lt;supplied&gt;</w:t>
      </w:r>
      <w:r>
        <w:t xml:space="preserve"> element must be created to wrap the editorial </w:t>
      </w:r>
      <w:r>
        <w:rPr>
          <w:rStyle w:val="Foreign"/>
        </w:rPr>
        <w:t>avagraha</w:t>
      </w:r>
    </w:p>
    <w:p w14:paraId="33F783C6" w14:textId="77777777">
      <w:pPr>
        <w:pStyle w:val="Lista2"/>
        <w:rPr>
          <w:rStyle w:val="Codetext"/>
          <w:rFonts w:ascii="Gentium" w:hAnsi="Gentium" w:cs="Tiro Devanagari Sanskrit"/>
          <w:noProof w:val="0"/>
          <w:color w:val="auto"/>
          <w:shd w:val="clear" w:color="auto" w:fill="auto"/>
        </w:rPr>
      </w:pPr>
      <w:r>
        <w:t xml:space="preserve">e.g. </w:t>
      </w:r>
      <w:r>
        <w:rPr>
          <w:rStyle w:val="Code"/>
        </w:rPr>
        <w:t xml:space="preserve">&lt;supplied </w:t>
      </w:r>
      <w:r>
        <w:rPr>
          <w:rStyle w:val="Codeattribute"/>
        </w:rPr>
        <w:t>reason</w:t>
      </w:r>
      <w:r>
        <w:rPr>
          <w:rStyle w:val="Codetext"/>
        </w:rPr>
        <w:t>=</w:t>
      </w:r>
      <w:r>
        <w:rPr>
          <w:rStyle w:val="Codevalue"/>
        </w:rPr>
        <w:t>"lost"</w:t>
      </w:r>
      <w:r>
        <w:rPr>
          <w:rStyle w:val="Code"/>
        </w:rPr>
        <w:t>&gt;</w:t>
      </w:r>
      <w:r>
        <w:rPr>
          <w:rStyle w:val="Codetext"/>
        </w:rPr>
        <w:t xml:space="preserve">yo </w:t>
      </w:r>
      <w:r>
        <w:rPr>
          <w:rStyle w:val="Code"/>
        </w:rPr>
        <w:t xml:space="preserve">&lt;/supplied&gt;&lt;supplied </w:t>
      </w:r>
      <w:r>
        <w:rPr>
          <w:rStyle w:val="Codeattribute"/>
        </w:rPr>
        <w:t>reason</w:t>
      </w:r>
      <w:r>
        <w:rPr>
          <w:rStyle w:val="Codetext"/>
        </w:rPr>
        <w:t>=</w:t>
      </w:r>
      <w:r>
        <w:rPr>
          <w:rStyle w:val="Codevalue"/>
        </w:rPr>
        <w:t>"subaudible"</w:t>
      </w:r>
      <w:r>
        <w:rPr>
          <w:rStyle w:val="Code"/>
        </w:rPr>
        <w:t>&gt;</w:t>
      </w:r>
      <w:r>
        <w:rPr>
          <w:rStyle w:val="Codetext"/>
        </w:rPr>
        <w:t>’</w:t>
      </w:r>
      <w:r>
        <w:rPr>
          <w:rStyle w:val="Code"/>
        </w:rPr>
        <w:t xml:space="preserve">&lt;/supplied&gt;&lt;supplied </w:t>
      </w:r>
      <w:r>
        <w:rPr>
          <w:rStyle w:val="Codeattribute"/>
        </w:rPr>
        <w:t>reason</w:t>
      </w:r>
      <w:r>
        <w:rPr>
          <w:rStyle w:val="Codetext"/>
        </w:rPr>
        <w:t>=</w:t>
      </w:r>
      <w:r>
        <w:rPr>
          <w:rStyle w:val="Codevalue"/>
        </w:rPr>
        <w:t>"lost"</w:t>
      </w:r>
      <w:r>
        <w:rPr>
          <w:rStyle w:val="Code"/>
        </w:rPr>
        <w:t>&gt;</w:t>
      </w:r>
      <w:r>
        <w:rPr>
          <w:rStyle w:val="Codetext"/>
        </w:rPr>
        <w:t>paharttā sa</w:t>
      </w:r>
      <w:r>
        <w:rPr>
          <w:rStyle w:val="Code"/>
        </w:rPr>
        <w:t>&lt;/supplied&gt;</w:t>
      </w:r>
      <w:r>
        <w:rPr>
          <w:rStyle w:val="Codetext"/>
        </w:rPr>
        <w:t xml:space="preserve"> pañca-mahāpātaka-saṁyukto bhavati</w:t>
      </w:r>
    </w:p>
    <w:p w14:paraId="39871CC5" w14:textId="77777777">
      <w:pPr>
        <w:pStyle w:val="Lista"/>
      </w:pPr>
      <w:r>
        <w:t xml:space="preserve">in corpora where original </w:t>
      </w:r>
      <w:r>
        <w:rPr>
          <w:rStyle w:val="Foreign"/>
        </w:rPr>
        <w:t>avagraha</w:t>
      </w:r>
      <w:r>
        <w:rPr>
          <w:rStyle w:val="Foreign"/>
          <w:i w:val="0"/>
          <w:iCs w:val="0"/>
        </w:rPr>
        <w:t>s</w:t>
      </w:r>
      <w:r>
        <w:t xml:space="preserve"> are unusual, it is recommended that you wrap any original </w:t>
      </w:r>
      <w:r>
        <w:rPr>
          <w:rStyle w:val="Foreign"/>
        </w:rPr>
        <w:t>avagraha</w:t>
      </w:r>
      <w:r>
        <w:t xml:space="preserve"> in </w:t>
      </w:r>
      <w:r>
        <w:rPr>
          <w:rStyle w:val="Code"/>
        </w:rPr>
        <w:t>&lt;orig&gt;</w:t>
      </w:r>
      <w:r>
        <w:t xml:space="preserve"> to make it very clear that they are not editorial additions</w:t>
      </w:r>
    </w:p>
    <w:p w14:paraId="0F67833E" w14:textId="77777777">
      <w:pPr>
        <w:pStyle w:val="Cmsor3"/>
      </w:pPr>
      <w:bookmarkStart w:id="702" w:name="_Toc242889558"/>
      <w:r>
        <w:t>Distinction of short and long e/o in Dravidian languages</w:t>
      </w:r>
      <w:bookmarkEnd w:id="702"/>
    </w:p>
    <w:p w14:paraId="1122948E" w14:textId="62706154">
      <w:r>
        <w:t xml:space="preserve">Dravidian-language inscriptions in our purview usually do not make a graphic distinction between the short and long versions of </w:t>
      </w:r>
      <w:r>
        <w:rPr>
          <w:rStyle w:val="Foreign"/>
        </w:rPr>
        <w:t>e</w:t>
      </w:r>
      <w:r>
        <w:t xml:space="preserve"> and </w:t>
      </w:r>
      <w:r>
        <w:rPr>
          <w:rStyle w:val="Foreign"/>
        </w:rPr>
        <w:t>o</w:t>
      </w:r>
      <w:r>
        <w:t xml:space="preserve">, even though this is a phonemic distinction in the languages concened. As per TG §7.1.1, the transliteration </w:t>
      </w:r>
      <w:r>
        <w:rPr>
          <w:rStyle w:val="Foreign"/>
        </w:rPr>
        <w:t>e</w:t>
      </w:r>
      <w:r>
        <w:t xml:space="preserve"> and </w:t>
      </w:r>
      <w:r>
        <w:rPr>
          <w:rStyle w:val="Foreign"/>
        </w:rPr>
        <w:t>o</w:t>
      </w:r>
      <w:r>
        <w:t xml:space="preserve"> stands for the generic grapheme where a graphic distinction is not present, and for the short grapheme where a graphic distinction is present. Conversely, the transliteration </w:t>
      </w:r>
      <w:r>
        <w:rPr>
          <w:rStyle w:val="Foreign"/>
        </w:rPr>
        <w:t>ē</w:t>
      </w:r>
      <w:r>
        <w:t xml:space="preserve"> and </w:t>
      </w:r>
      <w:r>
        <w:rPr>
          <w:rStyle w:val="Foreign"/>
        </w:rPr>
        <w:t>ō</w:t>
      </w:r>
      <w:r>
        <w:t xml:space="preserve"> stand for the long grapheme where a graphic distinction is present, while if a graphic distinction is not present in the original, then the editor may use these as shorthand for the generic grapheme representing the long phoneme. This shorthand is permitted in XML editions, but it may also be replaced by encoding at your discretion, in order to wholly eliminate ambiguity. The cost of allowing this shorthand is that the distinction must be made explicit in documents which do make a graphic distinction between these pairs.</w:t>
      </w:r>
    </w:p>
    <w:p w14:paraId="76A9B372" w14:textId="77777777">
      <w:pPr>
        <w:pStyle w:val="Lista"/>
      </w:pPr>
      <w:r>
        <w:t xml:space="preserve">when editing a document which </w:t>
      </w:r>
      <w:r>
        <w:rPr>
          <w:b/>
          <w:bCs/>
        </w:rPr>
        <w:t>does not make a graphic distinction</w:t>
      </w:r>
      <w:r>
        <w:t xml:space="preserve"> between short and long </w:t>
      </w:r>
      <w:r>
        <w:rPr>
          <w:rStyle w:val="Foreign"/>
        </w:rPr>
        <w:t>e</w:t>
      </w:r>
      <w:r>
        <w:t xml:space="preserve"> and </w:t>
      </w:r>
      <w:r>
        <w:rPr>
          <w:rStyle w:val="Foreign"/>
        </w:rPr>
        <w:t>o</w:t>
      </w:r>
      <w:r>
        <w:t>,</w:t>
      </w:r>
    </w:p>
    <w:p w14:paraId="67560E87" w14:textId="77777777">
      <w:pPr>
        <w:pStyle w:val="Lista2"/>
      </w:pPr>
      <w:r>
        <w:t xml:space="preserve">the generic grapheme representing the short phoneme shall be transliterated normally as </w:t>
      </w:r>
      <w:r>
        <w:rPr>
          <w:rStyle w:val="Foreign"/>
        </w:rPr>
        <w:t>e</w:t>
      </w:r>
      <w:r>
        <w:t xml:space="preserve"> or </w:t>
      </w:r>
      <w:r>
        <w:rPr>
          <w:rStyle w:val="Foreign"/>
        </w:rPr>
        <w:t>o</w:t>
      </w:r>
    </w:p>
    <w:p w14:paraId="6B784375" w14:textId="77777777">
      <w:pPr>
        <w:pStyle w:val="Lista2"/>
      </w:pPr>
      <w:r>
        <w:t>the generic grapheme representing the long phoneme shall be</w:t>
      </w:r>
    </w:p>
    <w:p w14:paraId="7FC0C75A" w14:textId="77777777">
      <w:pPr>
        <w:pStyle w:val="Lista3"/>
      </w:pPr>
      <w:r>
        <w:t xml:space="preserve">either transliterated with shorthand as </w:t>
      </w:r>
      <w:r>
        <w:rPr>
          <w:rStyle w:val="Foreign"/>
        </w:rPr>
        <w:t>ē</w:t>
      </w:r>
      <w:r>
        <w:t xml:space="preserve"> or </w:t>
      </w:r>
      <w:r>
        <w:rPr>
          <w:rStyle w:val="Foreign"/>
        </w:rPr>
        <w:t>ō</w:t>
      </w:r>
    </w:p>
    <w:p w14:paraId="21ACBE9C" w14:textId="77777777">
      <w:pPr>
        <w:pStyle w:val="Lista3"/>
      </w:pPr>
      <w:r>
        <w:t>or encoded as an editorial normalisation</w:t>
      </w:r>
    </w:p>
    <w:p w14:paraId="7B192456" w14:textId="77777777">
      <w:pPr>
        <w:pStyle w:val="Lista4"/>
        <w:rPr>
          <w:rStyle w:val="Code"/>
          <w:rFonts w:ascii="Gentium" w:hAnsi="Gentium" w:cs="Tiro Devanagari Sanskrit"/>
          <w:noProof w:val="0"/>
          <w:color w:val="auto"/>
          <w:shd w:val="clear" w:color="auto" w:fill="auto"/>
        </w:rPr>
      </w:pPr>
      <w:r>
        <w:t xml:space="preserve">e.g. </w:t>
      </w:r>
      <w:r>
        <w:rPr>
          <w:rStyle w:val="Code"/>
        </w:rPr>
        <w:t>&lt;choice&gt;&lt;orig&gt;</w:t>
      </w:r>
      <w:r>
        <w:rPr>
          <w:rStyle w:val="Codetext"/>
        </w:rPr>
        <w:t>e</w:t>
      </w:r>
      <w:r>
        <w:rPr>
          <w:rStyle w:val="Code"/>
        </w:rPr>
        <w:t>&lt;/orig&gt;&lt;reg&gt;</w:t>
      </w:r>
      <w:r>
        <w:rPr>
          <w:rStyle w:val="Codetext"/>
        </w:rPr>
        <w:t>ē</w:t>
      </w:r>
      <w:r>
        <w:rPr>
          <w:rStyle w:val="Code"/>
        </w:rPr>
        <w:t>&lt;/reg&gt;&lt;/choice&gt;</w:t>
      </w:r>
    </w:p>
    <w:p w14:paraId="0E93E3E4" w14:textId="77777777">
      <w:pPr>
        <w:pStyle w:val="Lista"/>
      </w:pPr>
      <w:r>
        <w:t xml:space="preserve">when editing a document which, unusually for the DHARMA corpus, </w:t>
      </w:r>
      <w:r>
        <w:rPr>
          <w:b/>
          <w:bCs/>
        </w:rPr>
        <w:t>makes a graphic distinction</w:t>
      </w:r>
      <w:r>
        <w:t xml:space="preserve"> between short and long </w:t>
      </w:r>
      <w:r>
        <w:rPr>
          <w:rStyle w:val="Foreign"/>
        </w:rPr>
        <w:t>e</w:t>
      </w:r>
      <w:r>
        <w:t xml:space="preserve"> and </w:t>
      </w:r>
      <w:r>
        <w:rPr>
          <w:rStyle w:val="Foreign"/>
        </w:rPr>
        <w:t>o</w:t>
      </w:r>
      <w:r>
        <w:t>,</w:t>
      </w:r>
    </w:p>
    <w:p w14:paraId="5A9A63FD" w14:textId="77777777">
      <w:pPr>
        <w:pStyle w:val="Lista2"/>
      </w:pPr>
      <w:r>
        <w:t>this fact must always be recorded in your palaeographic description</w:t>
      </w:r>
    </w:p>
    <w:p w14:paraId="6FFAC9A8" w14:textId="77777777">
      <w:pPr>
        <w:pStyle w:val="Lista2"/>
        <w:rPr>
          <w:rStyle w:val="Foreign"/>
          <w:i w:val="0"/>
          <w:iCs w:val="0"/>
          <w:noProof w:val="0"/>
        </w:rPr>
      </w:pPr>
      <w:r>
        <w:t xml:space="preserve">the short grapheme used properly for the short phoneme shall be transliterated normally as </w:t>
      </w:r>
      <w:r>
        <w:rPr>
          <w:rStyle w:val="Foreign"/>
        </w:rPr>
        <w:t>e</w:t>
      </w:r>
      <w:r>
        <w:t xml:space="preserve"> or </w:t>
      </w:r>
      <w:r>
        <w:rPr>
          <w:rStyle w:val="Foreign"/>
        </w:rPr>
        <w:t>o</w:t>
      </w:r>
      <w:r>
        <w:t xml:space="preserve"> and may be complemented with </w:t>
      </w:r>
      <w:r>
        <w:rPr>
          <w:rStyle w:val="Code"/>
        </w:rPr>
        <w:t>&lt;orig&gt;</w:t>
      </w:r>
      <w:r>
        <w:t xml:space="preserve"> encoding for extra clarity</w:t>
      </w:r>
    </w:p>
    <w:p w14:paraId="03172FB1" w14:textId="77777777">
      <w:pPr>
        <w:pStyle w:val="Lista2"/>
      </w:pPr>
      <w:r>
        <w:lastRenderedPageBreak/>
        <w:t xml:space="preserve">the long grapheme used properly for the long phoneme shall be transliterated as </w:t>
      </w:r>
      <w:r>
        <w:rPr>
          <w:rStyle w:val="Foreign"/>
        </w:rPr>
        <w:t>ē</w:t>
      </w:r>
      <w:r>
        <w:t xml:space="preserve"> or </w:t>
      </w:r>
      <w:r>
        <w:rPr>
          <w:rStyle w:val="Foreign"/>
        </w:rPr>
        <w:t>ō</w:t>
      </w:r>
      <w:r>
        <w:t xml:space="preserve"> and must be complemented with </w:t>
      </w:r>
      <w:r>
        <w:rPr>
          <w:rStyle w:val="Code"/>
        </w:rPr>
        <w:t>&lt;orig&gt;</w:t>
      </w:r>
      <w:r>
        <w:t xml:space="preserve"> encoding to disambiguate it from the shorthand</w:t>
      </w:r>
    </w:p>
    <w:p w14:paraId="2B8D3DF1" w14:textId="77777777">
      <w:pPr>
        <w:pStyle w:val="Lista2"/>
      </w:pPr>
      <w:r>
        <w:t xml:space="preserve">if the short grapheme is used (anomalously) for the long phoneme, this may be </w:t>
      </w:r>
    </w:p>
    <w:p w14:paraId="648E1992" w14:textId="77777777">
      <w:pPr>
        <w:pStyle w:val="Lista3"/>
      </w:pPr>
      <w:r>
        <w:t xml:space="preserve">either transliterated with shorthand as </w:t>
      </w:r>
      <w:r>
        <w:rPr>
          <w:rStyle w:val="Foreign"/>
        </w:rPr>
        <w:t>ē</w:t>
      </w:r>
      <w:r>
        <w:t xml:space="preserve"> or </w:t>
      </w:r>
      <w:r>
        <w:rPr>
          <w:rStyle w:val="Foreign"/>
        </w:rPr>
        <w:t>ō</w:t>
      </w:r>
    </w:p>
    <w:p w14:paraId="3A77F0C6" w14:textId="77777777">
      <w:pPr>
        <w:pStyle w:val="Lista3"/>
      </w:pPr>
      <w:r>
        <w:t>or encoded as an editorial normalisation</w:t>
      </w:r>
    </w:p>
    <w:p w14:paraId="265CA3A3" w14:textId="77777777">
      <w:pPr>
        <w:pStyle w:val="Lista2"/>
        <w:rPr>
          <w:rStyle w:val="Code"/>
          <w:rFonts w:ascii="Gentium" w:hAnsi="Gentium" w:cs="Tiro Devanagari Sanskrit"/>
          <w:noProof w:val="0"/>
          <w:color w:val="auto"/>
          <w:shd w:val="clear" w:color="auto" w:fill="auto"/>
        </w:rPr>
      </w:pPr>
      <w:r>
        <w:rPr>
          <w:rStyle w:val="Code"/>
          <w:rFonts w:ascii="Gentium" w:hAnsi="Gentium" w:cs="Tiro Devanagari Sanskrit"/>
          <w:noProof w:val="0"/>
          <w:color w:val="auto"/>
          <w:shd w:val="clear" w:color="auto" w:fill="auto"/>
        </w:rPr>
        <w:t>if the long grapheme is used (anomalously) for the short phoneme, this shall be encoded as an editorial normalisation</w:t>
      </w:r>
    </w:p>
    <w:p w14:paraId="4AFE7789" w14:textId="77777777">
      <w:pPr>
        <w:pStyle w:val="Cmsor3"/>
      </w:pPr>
      <w:bookmarkStart w:id="703" w:name="_Toc242889559"/>
      <w:r>
        <w:t>Shortened vowels in Sanskrit loanwords</w:t>
      </w:r>
      <w:bookmarkEnd w:id="703"/>
    </w:p>
    <w:p w14:paraId="1F3C9C03" w14:textId="77777777">
      <w:r>
        <w:rPr>
          <w:lang w:eastAsia="en-US" w:bidi="ar-SA"/>
        </w:rPr>
        <w:t xml:space="preserve">Documents in Indonesian languages often shorten the long vowels of Sanskrit loanwords. As per </w:t>
      </w:r>
      <w:r>
        <w:t xml:space="preserve">TG §7.1.2, in documents which do make a graphic distinction between short and long vowels, the transliteration </w:t>
      </w:r>
      <w:r>
        <w:rPr>
          <w:rStyle w:val="Foreign"/>
        </w:rPr>
        <w:t>ă</w:t>
      </w:r>
      <w:r>
        <w:t xml:space="preserve">, </w:t>
      </w:r>
      <w:r>
        <w:rPr>
          <w:rStyle w:val="Foreign"/>
        </w:rPr>
        <w:t>ĭ</w:t>
      </w:r>
      <w:r>
        <w:t xml:space="preserve"> and </w:t>
      </w:r>
      <w:r>
        <w:rPr>
          <w:rStyle w:val="Foreign"/>
        </w:rPr>
        <w:t>ŭ</w:t>
      </w:r>
      <w:r>
        <w:t xml:space="preserve"> may be used where the long vowel is expected but the short vowel was written. This shorthand is permitted in XML editions, but it may also be replaced by encoding at your discretion, in order to wholly eliminate ambiguity.</w:t>
      </w:r>
    </w:p>
    <w:p w14:paraId="7339DF60" w14:textId="77777777">
      <w:pPr>
        <w:pStyle w:val="Lista"/>
      </w:pPr>
      <w:r>
        <w:t xml:space="preserve">when editing a document in a vernacular language where the vowels </w:t>
      </w:r>
      <w:r>
        <w:rPr>
          <w:rStyle w:val="Foreign"/>
        </w:rPr>
        <w:t>ā</w:t>
      </w:r>
      <w:r>
        <w:t xml:space="preserve">, </w:t>
      </w:r>
      <w:r>
        <w:rPr>
          <w:rStyle w:val="Foreign"/>
        </w:rPr>
        <w:t>ī</w:t>
      </w:r>
      <w:r>
        <w:t xml:space="preserve"> or </w:t>
      </w:r>
      <w:r>
        <w:rPr>
          <w:rStyle w:val="Foreign"/>
        </w:rPr>
        <w:t>ū</w:t>
      </w:r>
      <w:r>
        <w:t xml:space="preserve"> are shortened in Sanskrit loanwords,</w:t>
      </w:r>
    </w:p>
    <w:p w14:paraId="0E3B603C" w14:textId="77777777">
      <w:pPr>
        <w:pStyle w:val="Lista2"/>
      </w:pPr>
      <w:r>
        <w:t xml:space="preserve">either transliterate these vowels with the shorthand </w:t>
      </w:r>
      <w:r>
        <w:rPr>
          <w:rStyle w:val="Foreign"/>
        </w:rPr>
        <w:t>ă</w:t>
      </w:r>
      <w:r>
        <w:t xml:space="preserve">, </w:t>
      </w:r>
      <w:r>
        <w:rPr>
          <w:rStyle w:val="Foreign"/>
        </w:rPr>
        <w:t>ĭ</w:t>
      </w:r>
      <w:r>
        <w:t xml:space="preserve"> or </w:t>
      </w:r>
      <w:r>
        <w:rPr>
          <w:rStyle w:val="Foreign"/>
        </w:rPr>
        <w:t>ŭ</w:t>
      </w:r>
      <w:r>
        <w:t xml:space="preserve"> </w:t>
      </w:r>
    </w:p>
    <w:p w14:paraId="16E7A91A" w14:textId="77777777">
      <w:pPr>
        <w:pStyle w:val="Lista2"/>
      </w:pPr>
      <w:r>
        <w:t>or encode them as an editorial normalisation</w:t>
      </w:r>
    </w:p>
    <w:p w14:paraId="504F12FA" w14:textId="77777777">
      <w:pPr>
        <w:pStyle w:val="Lista3"/>
      </w:pPr>
      <w:r>
        <w:t xml:space="preserve">e.g. </w:t>
      </w:r>
      <w:r>
        <w:rPr>
          <w:rStyle w:val="Code"/>
        </w:rPr>
        <w:t>&lt;choice&gt;&lt;orig&gt;</w:t>
      </w:r>
      <w:r>
        <w:rPr>
          <w:rStyle w:val="Codetext"/>
        </w:rPr>
        <w:t>a</w:t>
      </w:r>
      <w:r>
        <w:rPr>
          <w:rStyle w:val="Code"/>
        </w:rPr>
        <w:t>&lt;/orig&gt;&lt;reg&gt;</w:t>
      </w:r>
      <w:r>
        <w:rPr>
          <w:rStyle w:val="Codetext"/>
        </w:rPr>
        <w:t>ā</w:t>
      </w:r>
      <w:r>
        <w:rPr>
          <w:rStyle w:val="Code"/>
        </w:rPr>
        <w:t>&lt;/reg&gt;&lt;/choice&gt;</w:t>
      </w:r>
    </w:p>
    <w:p w14:paraId="0497D412" w14:textId="77777777">
      <w:pPr>
        <w:pStyle w:val="Cmsor2"/>
      </w:pPr>
      <w:bookmarkStart w:id="704" w:name="_Ref232171213"/>
      <w:bookmarkStart w:id="705" w:name="_Toc242889560"/>
      <w:bookmarkEnd w:id="660"/>
      <w:bookmarkEnd w:id="678"/>
      <w:bookmarkEnd w:id="689"/>
      <w:r>
        <w:t>Highlighting for review</w:t>
      </w:r>
      <w:bookmarkEnd w:id="705"/>
    </w:p>
    <w:p w14:paraId="4FAF6272" w14:textId="15F6945F">
      <w:r>
        <w:t>The encoding method presented in §</w:t>
      </w:r>
      <w:r>
        <w:fldChar w:fldCharType="begin"/>
      </w:r>
      <w:r>
        <w:instrText xml:space="preserve"> REF _Ref122447347 \r \h </w:instrText>
      </w:r>
      <w:r>
        <w:fldChar w:fldCharType="separate"/>
      </w:r>
      <w:r>
        <w:t>14.2.4</w:t>
      </w:r>
      <w:r>
        <w:fldChar w:fldCharType="end"/>
      </w:r>
      <w:r>
        <w:t xml:space="preserve"> for highlighting a segment of text which you wish to consider further or discuss with a colleague may be used in the edition division as well as in other parts of the XML document.</w:t>
      </w:r>
    </w:p>
    <w:p w14:paraId="16609A31" w14:textId="77777777">
      <w:pPr>
        <w:pStyle w:val="Cmsor1"/>
      </w:pPr>
      <w:bookmarkStart w:id="706" w:name="_Toc242889561"/>
      <w:r>
        <w:lastRenderedPageBreak/>
        <w:t>Language, script and visual characteristics</w:t>
      </w:r>
      <w:bookmarkEnd w:id="704"/>
      <w:bookmarkEnd w:id="706"/>
    </w:p>
    <w:p w14:paraId="1307F70F" w14:textId="77777777">
      <w:pPr>
        <w:pStyle w:val="Cmsor2"/>
      </w:pPr>
      <w:bookmarkStart w:id="707" w:name="_hrv588cx6rm9" w:colFirst="0" w:colLast="0"/>
      <w:bookmarkStart w:id="708" w:name="_givjq86nqgzx" w:colFirst="0" w:colLast="0"/>
      <w:bookmarkStart w:id="709" w:name="_Ref232070683"/>
      <w:bookmarkStart w:id="710" w:name="_Toc242889562"/>
      <w:bookmarkEnd w:id="707"/>
      <w:bookmarkEnd w:id="708"/>
      <w:r>
        <w:t>Source language</w:t>
      </w:r>
      <w:bookmarkEnd w:id="709"/>
      <w:bookmarkEnd w:id="710"/>
    </w:p>
    <w:p w14:paraId="339DC933" w14:textId="2AAF92EF">
      <w:r>
        <w:t xml:space="preserve">This section is concerned with encoding language within the edition. As language encoding is applicable to several parts of the XML document, the general instructions for using the attribute </w:t>
      </w:r>
      <w:r>
        <w:rPr>
          <w:rStyle w:val="Codeattribute"/>
        </w:rPr>
        <w:t>@xml:lang</w:t>
      </w:r>
      <w:r>
        <w:t xml:space="preserve"> are given in §</w:t>
      </w:r>
      <w:r>
        <w:fldChar w:fldCharType="begin"/>
      </w:r>
      <w:r>
        <w:instrText xml:space="preserve"> REF _Ref233727317 \r \h </w:instrText>
      </w:r>
      <w:r>
        <w:fldChar w:fldCharType="separate"/>
      </w:r>
      <w:r>
        <w:t>14.4.1</w:t>
      </w:r>
      <w:r>
        <w:fldChar w:fldCharType="end"/>
      </w:r>
      <w:r>
        <w:t>.</w:t>
      </w:r>
    </w:p>
    <w:p w14:paraId="473C7FB2" w14:textId="77777777">
      <w:pPr>
        <w:pStyle w:val="Cmsor3"/>
      </w:pPr>
      <w:bookmarkStart w:id="711" w:name="_Ref231978649"/>
      <w:bookmarkStart w:id="712" w:name="_Toc242889563"/>
      <w:r>
        <w:t>The language of the edition</w:t>
      </w:r>
      <w:bookmarkEnd w:id="711"/>
      <w:bookmarkEnd w:id="712"/>
    </w:p>
    <w:p w14:paraId="76FBA527" w14:textId="45A55014">
      <w:pPr>
        <w:pStyle w:val="Lista"/>
      </w:pPr>
      <w:r>
        <w:t xml:space="preserve">the language of the original document must be explicitly encoded using the attribute </w:t>
      </w:r>
      <w:r>
        <w:rPr>
          <w:rStyle w:val="Codeattribute"/>
        </w:rPr>
        <w:t>@xml:lang</w:t>
      </w:r>
      <w:r>
        <w:t xml:space="preserve"> containing an ISO language tag and a script subtag indicating that the text is in Romanised transliteration, as described in §</w:t>
      </w:r>
      <w:r>
        <w:fldChar w:fldCharType="begin"/>
      </w:r>
      <w:r>
        <w:instrText xml:space="preserve"> REF _Ref233792736 \r \h </w:instrText>
      </w:r>
      <w:r>
        <w:fldChar w:fldCharType="separate"/>
      </w:r>
      <w:r>
        <w:t>14.4.1.1</w:t>
      </w:r>
      <w:r>
        <w:fldChar w:fldCharType="end"/>
      </w:r>
      <w:r>
        <w:t xml:space="preserve"> </w:t>
      </w:r>
    </w:p>
    <w:p w14:paraId="2EFBD30A" w14:textId="77777777">
      <w:pPr>
        <w:pStyle w:val="Lista2"/>
      </w:pPr>
      <w:r>
        <w:t xml:space="preserve">e.g. </w:t>
      </w:r>
      <w:r>
        <w:rPr>
          <w:rStyle w:val="Code"/>
        </w:rPr>
        <w:t xml:space="preserve">&lt;div </w:t>
      </w:r>
      <w:r>
        <w:rPr>
          <w:rStyle w:val="Codeattribute"/>
        </w:rPr>
        <w:t>type</w:t>
      </w:r>
      <w:r>
        <w:rPr>
          <w:rStyle w:val="Code"/>
        </w:rPr>
        <w:t>=</w:t>
      </w:r>
      <w:r>
        <w:rPr>
          <w:rStyle w:val="Codevalue"/>
        </w:rPr>
        <w:t>"edition"</w:t>
      </w:r>
      <w:r>
        <w:rPr>
          <w:rStyle w:val="Code"/>
        </w:rPr>
        <w:t xml:space="preserve"> </w:t>
      </w:r>
      <w:r>
        <w:rPr>
          <w:rStyle w:val="Codeattribute"/>
        </w:rPr>
        <w:t>xml:lang</w:t>
      </w:r>
      <w:r>
        <w:rPr>
          <w:rStyle w:val="Code"/>
        </w:rPr>
        <w:t>=</w:t>
      </w:r>
      <w:r>
        <w:rPr>
          <w:rStyle w:val="Codevalue"/>
        </w:rPr>
        <w:t>"san-Latn"</w:t>
      </w:r>
      <w:r>
        <w:rPr>
          <w:rStyle w:val="Code"/>
        </w:rPr>
        <w:t>&gt;</w:t>
      </w:r>
      <w:r>
        <w:t xml:space="preserve"> for an inscription in Sanskrit</w:t>
      </w:r>
    </w:p>
    <w:p w14:paraId="0DDBE281" w14:textId="322A01E8">
      <w:pPr>
        <w:pStyle w:val="Lista3"/>
      </w:pPr>
      <w:r>
        <w:t>note that this example illustrates only the language encoding, which must be complemented by script encoding as per §</w:t>
      </w:r>
      <w:r>
        <w:fldChar w:fldCharType="begin"/>
      </w:r>
      <w:r>
        <w:instrText xml:space="preserve"> REF _Ref231978625 \r \h </w:instrText>
      </w:r>
      <w:r>
        <w:fldChar w:fldCharType="separate"/>
      </w:r>
      <w:r>
        <w:t>8.2.2</w:t>
      </w:r>
      <w:r>
        <w:fldChar w:fldCharType="end"/>
      </w:r>
    </w:p>
    <w:p w14:paraId="478D275C" w14:textId="32139FBA">
      <w:pPr>
        <w:pStyle w:val="Lista"/>
      </w:pPr>
      <w:r>
        <w:rPr>
          <w:rStyle w:val="Codeattribute"/>
        </w:rPr>
        <w:t>@xml:lang</w:t>
      </w:r>
      <w:r>
        <w:t xml:space="preserve"> must always be present on the edition division unless it contains textparts with the language of each textpart encoded separately as per §</w:t>
      </w:r>
      <w:r>
        <w:fldChar w:fldCharType="begin"/>
      </w:r>
      <w:r>
        <w:instrText xml:space="preserve"> REF _Ref43986547 \r \h </w:instrText>
      </w:r>
      <w:r>
        <w:fldChar w:fldCharType="separate"/>
      </w:r>
      <w:r>
        <w:t>8.1.2.1</w:t>
      </w:r>
      <w:r>
        <w:fldChar w:fldCharType="end"/>
      </w:r>
    </w:p>
    <w:p w14:paraId="0D2BCC9E" w14:textId="77777777">
      <w:pPr>
        <w:pStyle w:val="Lista2"/>
      </w:pPr>
      <w:r>
        <w:t>all XML elements within the edition division are understood to inherit the language of the edition division, so parts of the edition only need language encoding when they are in a different language</w:t>
      </w:r>
    </w:p>
    <w:p w14:paraId="645574DB" w14:textId="77777777">
      <w:pPr>
        <w:pStyle w:val="Cmsor3"/>
      </w:pPr>
      <w:bookmarkStart w:id="713" w:name="_Ref232089615"/>
      <w:bookmarkStart w:id="714" w:name="_Toc242889564"/>
      <w:r>
        <w:t>Multilingual inscriptions</w:t>
      </w:r>
      <w:bookmarkEnd w:id="713"/>
      <w:bookmarkEnd w:id="714"/>
    </w:p>
    <w:p w14:paraId="3D70DCE3" w14:textId="723164F0">
      <w:pPr>
        <w:rPr>
          <w:lang w:eastAsia="en-US" w:bidi="ar-SA"/>
        </w:rPr>
      </w:pPr>
      <w:r>
        <w:rPr>
          <w:lang w:eastAsia="en-US" w:bidi="ar-SA"/>
        </w:rPr>
        <w:t>In multilingual inscriptions where language changes are concomitant with script changes, the latter must be encoded as per §</w:t>
      </w:r>
      <w:r>
        <w:rPr>
          <w:lang w:eastAsia="en-US" w:bidi="ar-SA"/>
        </w:rPr>
        <w:fldChar w:fldCharType="begin"/>
      </w:r>
      <w:r>
        <w:rPr>
          <w:lang w:eastAsia="en-US" w:bidi="ar-SA"/>
        </w:rPr>
        <w:instrText xml:space="preserve"> REF _Ref231974552 \r \h </w:instrText>
      </w:r>
      <w:r>
        <w:rPr>
          <w:lang w:eastAsia="en-US" w:bidi="ar-SA"/>
        </w:rPr>
      </w:r>
      <w:r>
        <w:rPr>
          <w:lang w:eastAsia="en-US" w:bidi="ar-SA"/>
        </w:rPr>
        <w:fldChar w:fldCharType="separate"/>
      </w:r>
      <w:r>
        <w:rPr>
          <w:lang w:eastAsia="en-US" w:bidi="ar-SA"/>
        </w:rPr>
        <w:t>8.2.3</w:t>
      </w:r>
      <w:r>
        <w:rPr>
          <w:lang w:eastAsia="en-US" w:bidi="ar-SA"/>
        </w:rPr>
        <w:fldChar w:fldCharType="end"/>
      </w:r>
      <w:r>
        <w:rPr>
          <w:lang w:eastAsia="en-US" w:bidi="ar-SA"/>
        </w:rPr>
        <w:t xml:space="preserve"> in addition to encoding the former.</w:t>
      </w:r>
    </w:p>
    <w:p w14:paraId="2DD6B673" w14:textId="77777777">
      <w:pPr>
        <w:pStyle w:val="Cmsor4"/>
      </w:pPr>
      <w:bookmarkStart w:id="715" w:name="_klgqi6fi4k5w" w:colFirst="0" w:colLast="0"/>
      <w:bookmarkStart w:id="716" w:name="_Ref43986547"/>
      <w:bookmarkEnd w:id="715"/>
      <w:r>
        <w:t>Sections in different languages</w:t>
      </w:r>
      <w:bookmarkEnd w:id="716"/>
    </w:p>
    <w:p w14:paraId="21222648" w14:textId="77777777">
      <w:r>
        <w:t xml:space="preserve">When two </w:t>
      </w:r>
      <w:r>
        <w:rPr>
          <w:noProof/>
        </w:rPr>
        <w:t>(</w:t>
      </w:r>
      <w:r>
        <w:t>or more) major sections of an inscription are in two (or more) different languages, consider the degree to which these sections are independent of each other.</w:t>
      </w:r>
    </w:p>
    <w:p w14:paraId="36235D17" w14:textId="77777777">
      <w:pPr>
        <w:pStyle w:val="Lista"/>
      </w:pPr>
      <w:r>
        <w:t>if the inscription may be perceived as a single, coherent text with one or more language shifts,</w:t>
      </w:r>
    </w:p>
    <w:p w14:paraId="05B71965" w14:textId="77B8C049">
      <w:pPr>
        <w:pStyle w:val="Lista2"/>
      </w:pPr>
      <w:r>
        <w:t>proceed as per §</w:t>
      </w:r>
      <w:r>
        <w:fldChar w:fldCharType="begin"/>
      </w:r>
      <w:r>
        <w:instrText xml:space="preserve"> REF _Ref231898113 \r \h </w:instrText>
      </w:r>
      <w:r>
        <w:fldChar w:fldCharType="separate"/>
      </w:r>
      <w:r>
        <w:t>8.1.2.2</w:t>
      </w:r>
      <w:r>
        <w:fldChar w:fldCharType="end"/>
      </w:r>
      <w:r>
        <w:t xml:space="preserve"> even if this requires tagging several adjacent text containers individually for language</w:t>
      </w:r>
    </w:p>
    <w:p w14:paraId="5C55E998" w14:textId="77777777">
      <w:pPr>
        <w:pStyle w:val="Lista"/>
      </w:pPr>
      <w:r>
        <w:t xml:space="preserve">if one section cannot be perceived as an integral continuation of the other, because they are visually clearly distinct </w:t>
      </w:r>
      <w:r>
        <w:rPr>
          <w:i/>
          <w:iCs/>
        </w:rPr>
        <w:t>and</w:t>
      </w:r>
      <w:r>
        <w:t xml:space="preserve"> semantically unconnected with no straightforward order in which they should be read </w:t>
      </w:r>
      <w:r>
        <w:rPr>
          <w:noProof/>
        </w:rPr>
        <w:t>(</w:t>
      </w:r>
      <w:r>
        <w:t>e.g. they convey the same message in two languages, or cover unrelated topics)</w:t>
      </w:r>
    </w:p>
    <w:p w14:paraId="66EF4502" w14:textId="56CE2CD6">
      <w:pPr>
        <w:pStyle w:val="Lista2"/>
      </w:pPr>
      <w:r>
        <w:t>first, consider if it would be more appropriate to edit the inscription as two separate texts</w:t>
      </w:r>
    </w:p>
    <w:p w14:paraId="043740F0" w14:textId="77777777">
      <w:pPr>
        <w:pStyle w:val="Lista2"/>
      </w:pPr>
      <w:r>
        <w:t>if that is not feasible, then</w:t>
      </w:r>
    </w:p>
    <w:p w14:paraId="56C2D72E" w14:textId="3F6D4318">
      <w:pPr>
        <w:pStyle w:val="Lista3"/>
      </w:pPr>
      <w:r>
        <w:t xml:space="preserve">encode the language-based sections as textpart divisions </w:t>
      </w:r>
      <w:r>
        <w:rPr>
          <w:noProof/>
        </w:rPr>
        <w:t>(</w:t>
      </w:r>
      <w:r>
        <w:t>§</w:t>
      </w:r>
      <w:r>
        <w:fldChar w:fldCharType="begin"/>
      </w:r>
      <w:r>
        <w:instrText xml:space="preserve"> REF _Ref225778181 \r \h </w:instrText>
      </w:r>
      <w:r>
        <w:fldChar w:fldCharType="separate"/>
      </w:r>
      <w:r>
        <w:t>4.2</w:t>
      </w:r>
      <w:r>
        <w:fldChar w:fldCharType="end"/>
      </w:r>
      <w:r>
        <w:t>, §</w:t>
      </w:r>
      <w:r>
        <w:fldChar w:fldCharType="begin"/>
      </w:r>
      <w:r>
        <w:instrText xml:space="preserve"> REF _Ref231898382 \r \h </w:instrText>
      </w:r>
      <w:r>
        <w:fldChar w:fldCharType="separate"/>
      </w:r>
      <w:r>
        <w:t>4.7.3.4</w:t>
      </w:r>
      <w:r>
        <w:fldChar w:fldCharType="end"/>
      </w:r>
      <w:r>
        <w:t>)</w:t>
      </w:r>
    </w:p>
    <w:p w14:paraId="0BC5EF0F" w14:textId="77777777">
      <w:pPr>
        <w:pStyle w:val="Lista3"/>
      </w:pPr>
      <w:r>
        <w:t xml:space="preserve">add </w:t>
      </w:r>
      <w:r>
        <w:rPr>
          <w:rStyle w:val="Codeattribute"/>
        </w:rPr>
        <w:t>@xml:lang</w:t>
      </w:r>
      <w:r>
        <w:t xml:space="preserve"> to each corresponding </w:t>
      </w:r>
      <w:r>
        <w:rPr>
          <w:rStyle w:val="Code"/>
        </w:rPr>
        <w:t xml:space="preserve">&lt;div </w:t>
      </w:r>
      <w:r>
        <w:rPr>
          <w:rStyle w:val="Codeattribute"/>
        </w:rPr>
        <w:t>type</w:t>
      </w:r>
      <w:r>
        <w:rPr>
          <w:rStyle w:val="Code"/>
        </w:rPr>
        <w:t>=</w:t>
      </w:r>
      <w:r>
        <w:rPr>
          <w:rStyle w:val="Codevalue"/>
        </w:rPr>
        <w:t>"textpart"</w:t>
      </w:r>
      <w:r>
        <w:rPr>
          <w:rStyle w:val="Code"/>
        </w:rPr>
        <w:t>&gt;</w:t>
      </w:r>
      <w:r>
        <w:t xml:space="preserve"> element</w:t>
      </w:r>
    </w:p>
    <w:p w14:paraId="4370C2C7" w14:textId="77777777">
      <w:pPr>
        <w:pStyle w:val="Lista3"/>
      </w:pPr>
      <w:r>
        <w:t xml:space="preserve">in this case only, the edition division shall not carry the attribute </w:t>
      </w:r>
      <w:r>
        <w:rPr>
          <w:rStyle w:val="Codeattribute"/>
        </w:rPr>
        <w:t>@xml:lang</w:t>
      </w:r>
    </w:p>
    <w:p w14:paraId="57ED2C33" w14:textId="77777777">
      <w:pPr>
        <w:pStyle w:val="Lista4"/>
      </w:pPr>
      <w:r>
        <w:t>whereas in an inscription consisting of textparts in the same language, the language must be encoded on the edition division, not separately on the textparts</w:t>
      </w:r>
    </w:p>
    <w:p w14:paraId="40C58D8C" w14:textId="5698957D">
      <w:pPr>
        <w:pStyle w:val="Lista3"/>
      </w:pPr>
      <w:r>
        <w:t>do not create textpart divisions just because an inscription is in two languages, only when the encoding of such divisions is warranted for other reasons discussed in §</w:t>
      </w:r>
      <w:r>
        <w:fldChar w:fldCharType="begin"/>
      </w:r>
      <w:r>
        <w:instrText xml:space="preserve"> REF _Ref224742342 \r \h </w:instrText>
      </w:r>
      <w:r>
        <w:fldChar w:fldCharType="separate"/>
      </w:r>
      <w:r>
        <w:t>4.2.1.4</w:t>
      </w:r>
      <w:r>
        <w:fldChar w:fldCharType="end"/>
      </w:r>
    </w:p>
    <w:p w14:paraId="75D418B6" w14:textId="77777777">
      <w:pPr>
        <w:pStyle w:val="Cmsor4"/>
      </w:pPr>
      <w:bookmarkStart w:id="717" w:name="_oeygdv1jszl8" w:colFirst="0" w:colLast="0"/>
      <w:bookmarkStart w:id="718" w:name="_Ref231898113"/>
      <w:bookmarkEnd w:id="717"/>
      <w:r>
        <w:t xml:space="preserve">Passages or stanzas in </w:t>
      </w:r>
      <w:bookmarkEnd w:id="718"/>
      <w:r>
        <w:t>a secondary language</w:t>
      </w:r>
    </w:p>
    <w:p w14:paraId="64C4EAB0" w14:textId="76E58B1D">
      <w:pPr>
        <w:rPr>
          <w:lang w:eastAsia="en-US" w:bidi="ar-SA"/>
        </w:rPr>
      </w:pPr>
      <w:r>
        <w:rPr>
          <w:lang w:eastAsia="en-US" w:bidi="ar-SA"/>
        </w:rPr>
        <w:t>When an inscription contains one or more stanzas and/or prose passages in a different language, and the language changes repeatedly or the sections in different languages are not as conspicuously distinct as to require encoding as textpart divisions (§</w:t>
      </w:r>
      <w:r>
        <w:rPr>
          <w:lang w:eastAsia="en-US" w:bidi="ar-SA"/>
        </w:rPr>
        <w:fldChar w:fldCharType="begin"/>
      </w:r>
      <w:r>
        <w:rPr>
          <w:lang w:eastAsia="en-US" w:bidi="ar-SA"/>
        </w:rPr>
        <w:instrText xml:space="preserve"> REF _Ref43986547 \r \h </w:instrText>
      </w:r>
      <w:r>
        <w:rPr>
          <w:lang w:eastAsia="en-US" w:bidi="ar-SA"/>
        </w:rPr>
      </w:r>
      <w:r>
        <w:rPr>
          <w:lang w:eastAsia="en-US" w:bidi="ar-SA"/>
        </w:rPr>
        <w:fldChar w:fldCharType="separate"/>
      </w:r>
      <w:r>
        <w:rPr>
          <w:lang w:eastAsia="en-US" w:bidi="ar-SA"/>
        </w:rPr>
        <w:t>8.1.2.1</w:t>
      </w:r>
      <w:r>
        <w:rPr>
          <w:lang w:eastAsia="en-US" w:bidi="ar-SA"/>
        </w:rPr>
        <w:fldChar w:fldCharType="end"/>
      </w:r>
      <w:r>
        <w:rPr>
          <w:lang w:eastAsia="en-US" w:bidi="ar-SA"/>
        </w:rPr>
        <w:t>), proceed as follows.</w:t>
      </w:r>
    </w:p>
    <w:p w14:paraId="716C436B" w14:textId="09C12673">
      <w:pPr>
        <w:pStyle w:val="Lista"/>
      </w:pPr>
      <w:r>
        <w:t xml:space="preserve">select a default (primary) language to encode as the </w:t>
      </w:r>
      <w:r>
        <w:rPr>
          <w:rStyle w:val="Codeattribute"/>
        </w:rPr>
        <w:t>@xml:lang</w:t>
      </w:r>
      <w:r>
        <w:t xml:space="preserve"> of the edition division as per §</w:t>
      </w:r>
      <w:r>
        <w:fldChar w:fldCharType="begin"/>
      </w:r>
      <w:r>
        <w:instrText xml:space="preserve"> REF _Ref231978649 \r \h </w:instrText>
      </w:r>
      <w:r>
        <w:fldChar w:fldCharType="separate"/>
      </w:r>
      <w:r>
        <w:t>8.1.1</w:t>
      </w:r>
      <w:r>
        <w:fldChar w:fldCharType="end"/>
      </w:r>
    </w:p>
    <w:p w14:paraId="616345C6" w14:textId="77777777">
      <w:pPr>
        <w:pStyle w:val="Lista2"/>
      </w:pPr>
      <w:r>
        <w:t>the primary language should normally be the one that is used in the majority of the document</w:t>
      </w:r>
    </w:p>
    <w:p w14:paraId="387897F8" w14:textId="77777777">
      <w:pPr>
        <w:pStyle w:val="Lista2"/>
      </w:pPr>
      <w:r>
        <w:t>if two or more languages are represented in more or less equal proportions, make an arbitrary choice</w:t>
      </w:r>
    </w:p>
    <w:p w14:paraId="056AD32C" w14:textId="018CDF25">
      <w:pPr>
        <w:pStyle w:val="Lista"/>
      </w:pPr>
      <w:r>
        <w:lastRenderedPageBreak/>
        <w:t xml:space="preserve">apply </w:t>
      </w:r>
      <w:r>
        <w:rPr>
          <w:rStyle w:val="Codeattribute"/>
        </w:rPr>
        <w:t>@xml:lang</w:t>
      </w:r>
      <w:r>
        <w:t xml:space="preserve"> to each of the block-level elements </w:t>
      </w:r>
      <w:r>
        <w:rPr>
          <w:noProof/>
        </w:rPr>
        <w:t>(</w:t>
      </w:r>
      <w:r>
        <w:t xml:space="preserve">viz. </w:t>
      </w:r>
      <w:r>
        <w:rPr>
          <w:rStyle w:val="Code"/>
        </w:rPr>
        <w:t>&lt;p&gt;</w:t>
      </w:r>
      <w:r>
        <w:t xml:space="preserve">, </w:t>
      </w:r>
      <w:r>
        <w:rPr>
          <w:rStyle w:val="Code"/>
        </w:rPr>
        <w:t>&lt;lg&gt;</w:t>
      </w:r>
      <w:r>
        <w:t xml:space="preserve"> or </w:t>
      </w:r>
      <w:r>
        <w:rPr>
          <w:rStyle w:val="Code"/>
        </w:rPr>
        <w:t>&lt;ab&gt;</w:t>
      </w:r>
      <w:r>
        <w:t>) containing text in a language other than the primary one, as per §</w:t>
      </w:r>
      <w:r>
        <w:fldChar w:fldCharType="begin"/>
      </w:r>
      <w:r>
        <w:instrText xml:space="preserve"> REF _Ref233727317 \r \h </w:instrText>
      </w:r>
      <w:r>
        <w:fldChar w:fldCharType="separate"/>
      </w:r>
      <w:r>
        <w:t>14.4.1</w:t>
      </w:r>
      <w:r>
        <w:fldChar w:fldCharType="end"/>
      </w:r>
      <w:r>
        <w:t xml:space="preserve"> </w:t>
      </w:r>
    </w:p>
    <w:p w14:paraId="6E33FCCC" w14:textId="77777777">
      <w:pPr>
        <w:pStyle w:val="Lista2"/>
      </w:pPr>
      <w:r>
        <w:t>containers with text in the primary language need not be tagged explicitly, since they inherit their language from the edition division</w:t>
      </w:r>
    </w:p>
    <w:p w14:paraId="5B7618B1" w14:textId="77777777">
      <w:pPr>
        <w:pStyle w:val="Cmsor4"/>
      </w:pPr>
      <w:bookmarkStart w:id="719" w:name="_Ref231904363"/>
      <w:r>
        <w:t>Words or phrases in a secondary language</w:t>
      </w:r>
      <w:bookmarkEnd w:id="719"/>
    </w:p>
    <w:p w14:paraId="5C9E1E6F" w14:textId="77777777">
      <w:r>
        <w:t>If an inscription largely written in a primary language contains isolated words or phrases (or any chunks of text smaller than a block-level container) in a secondary language, proceed as follows.</w:t>
      </w:r>
    </w:p>
    <w:p w14:paraId="390263E3" w14:textId="77777777">
      <w:pPr>
        <w:pStyle w:val="Lista"/>
      </w:pPr>
      <w:r>
        <w:t>encode the primary language on the edition division</w:t>
      </w:r>
    </w:p>
    <w:p w14:paraId="2BBED3F5" w14:textId="77777777">
      <w:pPr>
        <w:pStyle w:val="Lista"/>
      </w:pPr>
      <w:r>
        <w:t xml:space="preserve">wrap each chunk of text in the secondary language with the element </w:t>
      </w:r>
      <w:r>
        <w:rPr>
          <w:rStyle w:val="Code"/>
        </w:rPr>
        <w:t>&lt;foreign&gt;</w:t>
      </w:r>
      <w:r>
        <w:t xml:space="preserve"> </w:t>
      </w:r>
    </w:p>
    <w:p w14:paraId="52D62556" w14:textId="77777777">
      <w:pPr>
        <w:pStyle w:val="Lista2"/>
      </w:pPr>
      <w:r>
        <w:t xml:space="preserve">apply </w:t>
      </w:r>
      <w:r>
        <w:rPr>
          <w:rStyle w:val="Codeattribute"/>
        </w:rPr>
        <w:t>@xml:lang</w:t>
      </w:r>
      <w:r>
        <w:t xml:space="preserve"> to that element</w:t>
      </w:r>
    </w:p>
    <w:p w14:paraId="7C632B15" w14:textId="77777777">
      <w:pPr>
        <w:pStyle w:val="Lista"/>
      </w:pPr>
      <w:r>
        <w:t>loanwords and foreign names should not, as a rule, be marked up as being in a different language</w:t>
      </w:r>
    </w:p>
    <w:p w14:paraId="0378B27A" w14:textId="77777777">
      <w:pPr>
        <w:pStyle w:val="Lista"/>
      </w:pPr>
      <w:r>
        <w:t>tagging as foreign is recommended for the following items</w:t>
      </w:r>
    </w:p>
    <w:p w14:paraId="4863B0E3" w14:textId="77777777">
      <w:pPr>
        <w:pStyle w:val="Lista2"/>
      </w:pPr>
      <w:r>
        <w:t xml:space="preserve">complete phrases or sentences using vocabulary </w:t>
      </w:r>
      <w:r>
        <w:rPr>
          <w:rStyle w:val="Foreign"/>
        </w:rPr>
        <w:t>and</w:t>
      </w:r>
      <w:r>
        <w:t xml:space="preserve"> morphology/syntax foreign to the default language</w:t>
      </w:r>
    </w:p>
    <w:p w14:paraId="3385C1A4" w14:textId="77777777">
      <w:pPr>
        <w:pStyle w:val="Lista2"/>
      </w:pPr>
      <w:r>
        <w:t xml:space="preserve">Sanskrit compounds which are not established as loanwords </w:t>
      </w:r>
      <w:r>
        <w:rPr>
          <w:noProof/>
        </w:rPr>
        <w:t>(</w:t>
      </w:r>
      <w:r>
        <w:t xml:space="preserve">i.e. do not appear in a standard dictionary of the local language such as the </w:t>
      </w:r>
      <w:r>
        <w:rPr>
          <w:rStyle w:val="Foreign"/>
        </w:rPr>
        <w:t>Old Javanese–English Dictionary</w:t>
      </w:r>
      <w:r>
        <w:t xml:space="preserve"> or the </w:t>
      </w:r>
      <w:r>
        <w:rPr>
          <w:rStyle w:val="Foreign"/>
        </w:rPr>
        <w:t>Madras Tamil Lexicon</w:t>
      </w:r>
      <w:r>
        <w:t>)</w:t>
      </w:r>
    </w:p>
    <w:p w14:paraId="2D628DDE" w14:textId="77777777">
      <w:pPr>
        <w:pStyle w:val="Lista"/>
      </w:pPr>
      <w:r>
        <w:t>in less clear-cut cases, use your own discretion to decide whether or not to tag a segment as foreign</w:t>
      </w:r>
    </w:p>
    <w:p w14:paraId="38E93698" w14:textId="77777777">
      <w:pPr>
        <w:pStyle w:val="Cmsor4"/>
      </w:pPr>
      <w:bookmarkStart w:id="720" w:name="_Ref231979218"/>
      <w:bookmarkStart w:id="721" w:name="_Ref232063409"/>
      <w:r>
        <w:t>Terms and glosses</w:t>
      </w:r>
      <w:bookmarkEnd w:id="720"/>
      <w:bookmarkEnd w:id="721"/>
    </w:p>
    <w:p w14:paraId="65E040DB" w14:textId="3D6E1B20">
      <w:r>
        <w:t>In the special case when a document written in a primary language contains words or phrases of a foreign language which are consistently paired with glosses (translations and/or explanations in the primary language), these may be optionally encoded as follows instead of simply using the method described in §</w:t>
      </w:r>
      <w:r>
        <w:fldChar w:fldCharType="begin"/>
      </w:r>
      <w:r>
        <w:instrText xml:space="preserve"> REF _Ref231904363 \r \h </w:instrText>
      </w:r>
      <w:r>
        <w:fldChar w:fldCharType="separate"/>
      </w:r>
      <w:r>
        <w:t>8.1.2.3</w:t>
      </w:r>
      <w:r>
        <w:fldChar w:fldCharType="end"/>
      </w:r>
      <w:r>
        <w:t xml:space="preserve"> above.</w:t>
      </w:r>
    </w:p>
    <w:p w14:paraId="6724F104" w14:textId="15757561">
      <w:pPr>
        <w:pStyle w:val="Lista"/>
      </w:pPr>
      <w:r>
        <w:t xml:space="preserve">wrap each foreign segment in the element </w:t>
      </w:r>
      <w:r>
        <w:rPr>
          <w:rStyle w:val="Code"/>
        </w:rPr>
        <w:t>&lt;term&gt;</w:t>
      </w:r>
    </w:p>
    <w:p w14:paraId="0F3F1008" w14:textId="77777777">
      <w:pPr>
        <w:pStyle w:val="Lista2"/>
      </w:pPr>
      <w:r>
        <w:t xml:space="preserve">adding </w:t>
      </w:r>
      <w:r>
        <w:rPr>
          <w:rStyle w:val="Codeattribute"/>
        </w:rPr>
        <w:t>@xml:lang</w:t>
      </w:r>
      <w:r>
        <w:t xml:space="preserve"> to this element to encode the language of the term</w:t>
      </w:r>
    </w:p>
    <w:p w14:paraId="0156B3C3" w14:textId="77777777">
      <w:pPr>
        <w:pStyle w:val="Lista"/>
      </w:pPr>
      <w:r>
        <w:t xml:space="preserve">wrap each gloss in the element </w:t>
      </w:r>
      <w:r>
        <w:rPr>
          <w:rStyle w:val="Code"/>
        </w:rPr>
        <w:t>&lt;gloss&gt;</w:t>
      </w:r>
    </w:p>
    <w:p w14:paraId="763B03CC" w14:textId="77777777">
      <w:pPr>
        <w:pStyle w:val="Lista2"/>
      </w:pPr>
      <w:r>
        <w:t xml:space="preserve">do not use </w:t>
      </w:r>
      <w:r>
        <w:rPr>
          <w:rStyle w:val="Codeattribute"/>
        </w:rPr>
        <w:t>@xml:lang</w:t>
      </w:r>
      <w:r>
        <w:t xml:space="preserve"> on this element, since the gloss inherits the language encoded on the edition division</w:t>
      </w:r>
    </w:p>
    <w:p w14:paraId="510D9FA5" w14:textId="77777777">
      <w:pPr>
        <w:pStyle w:val="Cmsor2"/>
      </w:pPr>
      <w:bookmarkStart w:id="722" w:name="_Ref231979678"/>
      <w:bookmarkStart w:id="723" w:name="_Toc242889565"/>
      <w:r>
        <w:t>Script</w:t>
      </w:r>
      <w:bookmarkEnd w:id="722"/>
      <w:bookmarkEnd w:id="723"/>
    </w:p>
    <w:p w14:paraId="12B26FF6" w14:textId="2322D7FF">
      <w:r>
        <w:rPr>
          <w:lang w:eastAsia="en-US" w:bidi="ar-SA"/>
        </w:rPr>
        <w:t xml:space="preserve">This section is concerned with the script of the source document, i.e. its inventory of graphic signs (TG §2.1). Variations in writing style which do not involve a change of script are covered separately, including </w:t>
      </w:r>
      <w:r>
        <w:t>scribal hands (§</w:t>
      </w:r>
      <w:r>
        <w:fldChar w:fldCharType="begin"/>
      </w:r>
      <w:r>
        <w:instrText xml:space="preserve"> REF _Ref231978881 \r \h </w:instrText>
      </w:r>
      <w:r>
        <w:fldChar w:fldCharType="separate"/>
      </w:r>
      <w:r>
        <w:t>8.3</w:t>
      </w:r>
      <w:r>
        <w:fldChar w:fldCharType="end"/>
      </w:r>
      <w:r>
        <w:t>) and lettering style (§</w:t>
      </w:r>
      <w:r>
        <w:fldChar w:fldCharType="begin"/>
      </w:r>
      <w:r>
        <w:instrText xml:space="preserve"> REF _Ref231978934 \r \h </w:instrText>
      </w:r>
      <w:r>
        <w:fldChar w:fldCharType="separate"/>
      </w:r>
      <w:r>
        <w:t>8.4</w:t>
      </w:r>
      <w:r>
        <w:fldChar w:fldCharType="end"/>
      </w:r>
      <w:r>
        <w:t>).</w:t>
      </w:r>
    </w:p>
    <w:p w14:paraId="627DDCDF" w14:textId="77777777">
      <w:pPr>
        <w:pStyle w:val="Cmsor3"/>
      </w:pPr>
      <w:bookmarkStart w:id="724" w:name="_Ref231978545"/>
      <w:bookmarkStart w:id="725" w:name="_Toc242889566"/>
      <w:r>
        <w:t xml:space="preserve">Encoding source script with </w:t>
      </w:r>
      <w:r>
        <w:rPr>
          <w:rStyle w:val="Codeattribute"/>
        </w:rPr>
        <w:t>@rendition</w:t>
      </w:r>
      <w:bookmarkEnd w:id="724"/>
      <w:bookmarkEnd w:id="725"/>
    </w:p>
    <w:p w14:paraId="118F532C" w14:textId="77777777">
      <w:pPr>
        <w:pStyle w:val="Lista"/>
      </w:pPr>
      <w:r>
        <w:t xml:space="preserve">the attribute </w:t>
      </w:r>
      <w:r>
        <w:rPr>
          <w:rStyle w:val="Codeattribute"/>
        </w:rPr>
        <w:t>@rendition</w:t>
      </w:r>
      <w:r>
        <w:t xml:space="preserve"> on a text-containing element serves for encoding the appearance of the content of that element in the source document</w:t>
      </w:r>
    </w:p>
    <w:p w14:paraId="427671A3" w14:textId="77777777">
      <w:pPr>
        <w:pStyle w:val="Lista2"/>
      </w:pPr>
      <w:r>
        <w:t>in DHARMA editions we use this attribute for encoding the script in which the source document or a part thereof was originally written</w:t>
      </w:r>
    </w:p>
    <w:p w14:paraId="54F24BF6" w14:textId="77777777">
      <w:pPr>
        <w:pStyle w:val="Lista"/>
      </w:pPr>
      <w:r>
        <w:t xml:space="preserve">the value of this attribute, when used for this purpose, must always contain the prefix </w:t>
      </w:r>
      <w:r>
        <w:rPr>
          <w:rStyle w:val="Codevalue"/>
        </w:rPr>
        <w:t>class:</w:t>
      </w:r>
      <w:r>
        <w:t xml:space="preserve"> followed (without an intervening space) by the internal identifier of an item of our controlled vocabulary for script classification</w:t>
      </w:r>
      <w:r>
        <w:rPr>
          <w:rStyle w:val="Lbjegyzet-hivatkozs"/>
        </w:rPr>
        <w:footnoteReference w:id="35"/>
      </w:r>
    </w:p>
    <w:p w14:paraId="6E58FCB9" w14:textId="77777777">
      <w:pPr>
        <w:pStyle w:val="Lista2"/>
      </w:pPr>
      <w:r>
        <w:t>this vocabulary is hierarchical, allowing you to choose terms from very generic to very specific</w:t>
      </w:r>
    </w:p>
    <w:p w14:paraId="66E435AC" w14:textId="77777777">
      <w:pPr>
        <w:pStyle w:val="Lista3"/>
      </w:pPr>
      <w:r>
        <w:t>choose the most specific label that you can apply with full confidence to the script class of your source</w:t>
      </w:r>
    </w:p>
    <w:p w14:paraId="5BEBFA0C" w14:textId="77777777">
      <w:pPr>
        <w:pStyle w:val="Lista3"/>
      </w:pPr>
      <w:r>
        <w:t xml:space="preserve">when in doubt, choose a more generic (higher-level) label </w:t>
      </w:r>
    </w:p>
    <w:p w14:paraId="06E49427" w14:textId="77777777">
      <w:pPr>
        <w:pStyle w:val="Lista"/>
      </w:pPr>
      <w:r>
        <w:lastRenderedPageBreak/>
        <w:t>for all scripts in the class “Brāhmī and derivatives” (but not for other scripts), add another item within the same attribute value, after the class prefix and identifier, with a space between them</w:t>
      </w:r>
    </w:p>
    <w:p w14:paraId="0A143DF7" w14:textId="77777777">
      <w:pPr>
        <w:pStyle w:val="Lista2"/>
      </w:pPr>
      <w:r>
        <w:t xml:space="preserve">the second item consists of the prefix </w:t>
      </w:r>
      <w:r>
        <w:rPr>
          <w:rStyle w:val="Codevalue"/>
        </w:rPr>
        <w:t>maturity:</w:t>
      </w:r>
      <w:r>
        <w:t xml:space="preserve"> followed (without an intervening space) by the internal identifier of an item of our controlled vocabulary for script maturity</w:t>
      </w:r>
      <w:r>
        <w:rPr>
          <w:rStyle w:val="Lbjegyzet-hivatkozs"/>
        </w:rPr>
        <w:footnoteReference w:id="36"/>
      </w:r>
    </w:p>
    <w:p w14:paraId="4599DD22" w14:textId="77777777">
      <w:pPr>
        <w:pStyle w:val="Lista3"/>
      </w:pPr>
      <w:r>
        <w:t>this is a one-tiered vocabulary of basic developmental stages, because anything more complicated would greatly increase uncertainty and inconsistency in the encoding</w:t>
      </w:r>
    </w:p>
    <w:p w14:paraId="3AC5483B" w14:textId="77777777">
      <w:pPr>
        <w:pStyle w:val="Lista"/>
      </w:pPr>
      <w:r>
        <w:t xml:space="preserve">for example, if the script in question is mediaeval Grantha, you must record the codes for “Grantha” and “regional Brāhmī-derived script”, like this: </w:t>
      </w:r>
      <w:r>
        <w:rPr>
          <w:rStyle w:val="Codeattribute"/>
        </w:rPr>
        <w:t>@rendition</w:t>
      </w:r>
      <w:r>
        <w:rPr>
          <w:rStyle w:val="Codetext"/>
        </w:rPr>
        <w:t>=</w:t>
      </w:r>
      <w:r>
        <w:rPr>
          <w:rStyle w:val="Codevalue"/>
        </w:rPr>
        <w:t>"class:36768 maturity:83213"</w:t>
      </w:r>
    </w:p>
    <w:p w14:paraId="3D70C1F8" w14:textId="77777777">
      <w:pPr>
        <w:pStyle w:val="Lista"/>
      </w:pPr>
      <w:r>
        <w:t xml:space="preserve">for multiscript inscriptions in a Brāhmī-derived script, all instances of the attribute </w:t>
      </w:r>
      <w:r>
        <w:rPr>
          <w:rStyle w:val="Codeattribute"/>
        </w:rPr>
        <w:t>@rendition</w:t>
      </w:r>
      <w:r>
        <w:t xml:space="preserve"> must specify both the </w:t>
      </w:r>
      <w:r>
        <w:rPr>
          <w:rStyle w:val="Codevalue"/>
        </w:rPr>
        <w:t>class:</w:t>
      </w:r>
      <w:r>
        <w:t xml:space="preserve"> and the </w:t>
      </w:r>
      <w:r>
        <w:rPr>
          <w:rStyle w:val="Codevalue"/>
        </w:rPr>
        <w:t>maturity:</w:t>
      </w:r>
      <w:r>
        <w:t xml:space="preserve"> even if only one of these changes (i.e. these part-values are not inherited separately)</w:t>
      </w:r>
    </w:p>
    <w:p w14:paraId="29CE2C53" w14:textId="77777777">
      <w:pPr>
        <w:pStyle w:val="Cmsor3"/>
      </w:pPr>
      <w:bookmarkStart w:id="726" w:name="_jbf4mvmrfbn2" w:colFirst="0" w:colLast="0"/>
      <w:bookmarkStart w:id="727" w:name="_Ref231978625"/>
      <w:bookmarkStart w:id="728" w:name="_Ref43989139"/>
      <w:bookmarkStart w:id="729" w:name="_Ref43990481"/>
      <w:bookmarkStart w:id="730" w:name="_Ref225428243"/>
      <w:bookmarkStart w:id="731" w:name="_Ref43989327"/>
      <w:bookmarkStart w:id="732" w:name="_Toc242889567"/>
      <w:bookmarkEnd w:id="726"/>
      <w:r>
        <w:t>The script of the edition</w:t>
      </w:r>
      <w:bookmarkEnd w:id="727"/>
      <w:bookmarkEnd w:id="732"/>
    </w:p>
    <w:p w14:paraId="65872ED6" w14:textId="2161F9C2">
      <w:pPr>
        <w:pStyle w:val="Lista"/>
      </w:pPr>
      <w:r>
        <w:t>the Hand Description in the TEI header (§</w:t>
      </w:r>
      <w:r>
        <w:fldChar w:fldCharType="begin"/>
      </w:r>
      <w:r>
        <w:instrText xml:space="preserve"> REF _Ref43987455 \r \h </w:instrText>
      </w:r>
      <w:r>
        <w:fldChar w:fldCharType="separate"/>
      </w:r>
      <w:r>
        <w:t>15.2.1</w:t>
      </w:r>
      <w:r>
        <w:fldChar w:fldCharType="end"/>
      </w:r>
      <w:r>
        <w:t>) is the place for your human-readable description of the source script and your palaeographic observations</w:t>
      </w:r>
    </w:p>
    <w:p w14:paraId="0E1CBAE9" w14:textId="7E85B280">
      <w:pPr>
        <w:pStyle w:val="Lista"/>
      </w:pPr>
      <w:r>
        <w:t xml:space="preserve">in addition, the type of script in which your inscription is written must be encoded explicitly by adding </w:t>
      </w:r>
      <w:r>
        <w:rPr>
          <w:rStyle w:val="Codeattribute"/>
        </w:rPr>
        <w:t>@rendition</w:t>
      </w:r>
      <w:r>
        <w:t xml:space="preserve"> (as per §</w:t>
      </w:r>
      <w:r>
        <w:fldChar w:fldCharType="begin"/>
      </w:r>
      <w:r>
        <w:instrText xml:space="preserve"> REF _Ref231978545 \r \h </w:instrText>
      </w:r>
      <w:r>
        <w:fldChar w:fldCharType="separate"/>
      </w:r>
      <w:r>
        <w:t>8.2.1</w:t>
      </w:r>
      <w:r>
        <w:fldChar w:fldCharType="end"/>
      </w:r>
      <w:r>
        <w:t xml:space="preserve">) </w:t>
      </w:r>
      <w:r>
        <w:t>to the edition division</w:t>
      </w:r>
    </w:p>
    <w:p w14:paraId="7F3B3716" w14:textId="77777777">
      <w:pPr>
        <w:pStyle w:val="Lista2"/>
        <w:rPr>
          <w:rStyle w:val="Code"/>
          <w:rFonts w:ascii="Gentium" w:hAnsi="Gentium" w:cs="Tiro Devanagari Sanskrit"/>
          <w:noProof w:val="0"/>
          <w:color w:val="auto"/>
          <w:shd w:val="clear" w:color="auto" w:fill="auto"/>
        </w:rPr>
      </w:pPr>
      <w:r>
        <w:t xml:space="preserve">e.g. </w:t>
      </w:r>
      <w:r>
        <w:rPr>
          <w:rStyle w:val="Code"/>
        </w:rPr>
        <w:t xml:space="preserve">&lt;div </w:t>
      </w:r>
      <w:r>
        <w:rPr>
          <w:rStyle w:val="Codeattribute"/>
        </w:rPr>
        <w:t>type</w:t>
      </w:r>
      <w:r>
        <w:rPr>
          <w:rStyle w:val="Codetext"/>
        </w:rPr>
        <w:t>=</w:t>
      </w:r>
      <w:r>
        <w:rPr>
          <w:rStyle w:val="Codevalue"/>
        </w:rPr>
        <w:t>"edition"</w:t>
      </w:r>
      <w:r>
        <w:rPr>
          <w:rStyle w:val="Code"/>
        </w:rPr>
        <w:t xml:space="preserve"> </w:t>
      </w:r>
      <w:r>
        <w:rPr>
          <w:rStyle w:val="Codeattribute"/>
        </w:rPr>
        <w:t>xml:lang</w:t>
      </w:r>
      <w:r>
        <w:rPr>
          <w:rStyle w:val="Codetext"/>
        </w:rPr>
        <w:t>=</w:t>
      </w:r>
      <w:r>
        <w:rPr>
          <w:rStyle w:val="Codevalue"/>
        </w:rPr>
        <w:t>"san-Latn"</w:t>
      </w:r>
      <w:r>
        <w:rPr>
          <w:rStyle w:val="Code"/>
        </w:rPr>
        <w:t xml:space="preserve"> </w:t>
      </w:r>
      <w:r>
        <w:rPr>
          <w:rStyle w:val="Codeattribute"/>
        </w:rPr>
        <w:t>rendition</w:t>
      </w:r>
      <w:r>
        <w:rPr>
          <w:rStyle w:val="Codetext"/>
        </w:rPr>
        <w:t>=</w:t>
      </w:r>
      <w:r>
        <w:rPr>
          <w:rStyle w:val="Codevalue"/>
        </w:rPr>
        <w:t>"class:83223 maturity:83211"</w:t>
      </w:r>
      <w:r>
        <w:rPr>
          <w:rStyle w:val="Code"/>
        </w:rPr>
        <w:t>&gt;</w:t>
      </w:r>
      <w:r>
        <w:t xml:space="preserve"> for an inscription in late northern Brāhmī</w:t>
      </w:r>
    </w:p>
    <w:p w14:paraId="1DBD3AE9" w14:textId="13186548">
      <w:pPr>
        <w:pStyle w:val="Lista3"/>
      </w:pPr>
      <w:r>
        <w:t>note that this example illustrates only the script encoding, which must be complemented by language encoding as per §</w:t>
      </w:r>
      <w:r>
        <w:fldChar w:fldCharType="begin"/>
      </w:r>
      <w:r>
        <w:instrText xml:space="preserve"> REF _Ref231978649 \r \h </w:instrText>
      </w:r>
      <w:r>
        <w:fldChar w:fldCharType="separate"/>
      </w:r>
      <w:r>
        <w:t>8.1.1</w:t>
      </w:r>
      <w:r>
        <w:fldChar w:fldCharType="end"/>
      </w:r>
    </w:p>
    <w:p w14:paraId="7F89B01E" w14:textId="4DFECB7A">
      <w:pPr>
        <w:pStyle w:val="Lista"/>
      </w:pPr>
      <w:r>
        <w:rPr>
          <w:rStyle w:val="Codeattribute"/>
        </w:rPr>
        <w:t>@rendition</w:t>
      </w:r>
      <w:r>
        <w:t xml:space="preserve"> must always be present on the edition division unless it contains textparts with the script of each textpart encoded separately as per §</w:t>
      </w:r>
      <w:r>
        <w:fldChar w:fldCharType="begin"/>
      </w:r>
      <w:r>
        <w:instrText xml:space="preserve"> REF _Ref231980805 \r \h </w:instrText>
      </w:r>
      <w:r>
        <w:fldChar w:fldCharType="separate"/>
      </w:r>
      <w:r>
        <w:t>8.2.3.1</w:t>
      </w:r>
      <w:r>
        <w:fldChar w:fldCharType="end"/>
      </w:r>
    </w:p>
    <w:p w14:paraId="603666EF" w14:textId="77777777">
      <w:pPr>
        <w:pStyle w:val="Lista2"/>
      </w:pPr>
      <w:r>
        <w:t>all XML elements within the edition division are understood to inherit the script of the edition division, so parts of the edition only need script encoding when they are in a different script</w:t>
      </w:r>
    </w:p>
    <w:p w14:paraId="2217B85E" w14:textId="77777777">
      <w:pPr>
        <w:pStyle w:val="Cmsor3"/>
      </w:pPr>
      <w:bookmarkStart w:id="733" w:name="_Ref231974552"/>
      <w:bookmarkStart w:id="734" w:name="_Toc242889568"/>
      <w:r>
        <w:t>Multiscript inscriptions</w:t>
      </w:r>
      <w:bookmarkEnd w:id="733"/>
      <w:bookmarkEnd w:id="734"/>
    </w:p>
    <w:p w14:paraId="0308A3F3" w14:textId="77777777">
      <w:pPr>
        <w:pStyle w:val="Cmsor4"/>
      </w:pPr>
      <w:bookmarkStart w:id="735" w:name="_Ref231980805"/>
      <w:r>
        <w:t>Sections in different scripts</w:t>
      </w:r>
      <w:bookmarkEnd w:id="735"/>
    </w:p>
    <w:p w14:paraId="7D8664C9" w14:textId="77777777">
      <w:r>
        <w:t xml:space="preserve">When two </w:t>
      </w:r>
      <w:r>
        <w:rPr>
          <w:noProof/>
        </w:rPr>
        <w:t>(</w:t>
      </w:r>
      <w:r>
        <w:t>or more) major sections of an inscription are in two (or more) different scripts, choose one of the following options that you deem most appropriate to the case at hand.</w:t>
      </w:r>
    </w:p>
    <w:p w14:paraId="27D5661D" w14:textId="77777777">
      <w:pPr>
        <w:pStyle w:val="Lista"/>
      </w:pPr>
      <w:r>
        <w:t>if the inscription may be perceived as a single, coherent text with one or more script changes,</w:t>
      </w:r>
    </w:p>
    <w:p w14:paraId="40BB3117" w14:textId="61A59BB6">
      <w:pPr>
        <w:pStyle w:val="Lista2"/>
      </w:pPr>
      <w:r>
        <w:t>if there are only two or a small number of sections written in different scripts, especially if the script changes are not coterminous with units of intrinsic structure, encode a hand shift and complement it with script encoding as per §</w:t>
      </w:r>
      <w:r>
        <w:fldChar w:fldCharType="begin"/>
      </w:r>
      <w:r>
        <w:instrText xml:space="preserve"> REF _Ref231980940 \r \h </w:instrText>
      </w:r>
      <w:r>
        <w:fldChar w:fldCharType="separate"/>
      </w:r>
      <w:r>
        <w:t>8.3</w:t>
      </w:r>
      <w:r>
        <w:fldChar w:fldCharType="end"/>
      </w:r>
    </w:p>
    <w:p w14:paraId="68570EED" w14:textId="052CECA1">
      <w:pPr>
        <w:pStyle w:val="Lista2"/>
      </w:pPr>
      <w:r>
        <w:t>if script changes are more numerous, especially if they are coterminous with units of intrinsic structure, proceed as per §</w:t>
      </w:r>
      <w:r>
        <w:fldChar w:fldCharType="begin"/>
      </w:r>
      <w:r>
        <w:instrText xml:space="preserve"> REF _Ref231981056 \r \h </w:instrText>
      </w:r>
      <w:r>
        <w:fldChar w:fldCharType="separate"/>
      </w:r>
      <w:r>
        <w:t>8.2.3.2</w:t>
      </w:r>
      <w:r>
        <w:fldChar w:fldCharType="end"/>
      </w:r>
      <w:r>
        <w:t xml:space="preserve"> even if this requires tagging several adjacent text containers individually for script</w:t>
      </w:r>
    </w:p>
    <w:p w14:paraId="6EE4968D" w14:textId="77777777">
      <w:pPr>
        <w:pStyle w:val="Lista"/>
      </w:pPr>
      <w:r>
        <w:t xml:space="preserve">if one section cannot be perceived as an integral continuation of the other, because they are visually clearly distinct </w:t>
      </w:r>
      <w:r>
        <w:rPr>
          <w:i/>
          <w:iCs/>
        </w:rPr>
        <w:t>and</w:t>
      </w:r>
      <w:r>
        <w:t xml:space="preserve"> semantically unconnected with no straightforward order in which they should be read</w:t>
      </w:r>
    </w:p>
    <w:p w14:paraId="5270941C" w14:textId="77777777">
      <w:pPr>
        <w:pStyle w:val="Lista2"/>
      </w:pPr>
      <w:r>
        <w:t>first, consider if it would be better to edit the inscription as two separate texts</w:t>
      </w:r>
    </w:p>
    <w:p w14:paraId="43EEDDCC" w14:textId="77777777">
      <w:pPr>
        <w:pStyle w:val="Lista2"/>
      </w:pPr>
      <w:r>
        <w:t>if that is not feasible, then</w:t>
      </w:r>
    </w:p>
    <w:p w14:paraId="3DBFBCF7" w14:textId="3FCA0CDB">
      <w:pPr>
        <w:pStyle w:val="Lista3"/>
      </w:pPr>
      <w:r>
        <w:t xml:space="preserve">encode the sections as textpart divisions </w:t>
      </w:r>
      <w:r>
        <w:rPr>
          <w:noProof/>
        </w:rPr>
        <w:t>(</w:t>
      </w:r>
      <w:r>
        <w:t>§</w:t>
      </w:r>
      <w:r>
        <w:fldChar w:fldCharType="begin"/>
      </w:r>
      <w:r>
        <w:instrText xml:space="preserve"> REF _Ref225778181 \r \h </w:instrText>
      </w:r>
      <w:r>
        <w:fldChar w:fldCharType="separate"/>
      </w:r>
      <w:r>
        <w:t>4.2</w:t>
      </w:r>
      <w:r>
        <w:fldChar w:fldCharType="end"/>
      </w:r>
      <w:r>
        <w:t>)</w:t>
      </w:r>
    </w:p>
    <w:p w14:paraId="7FC1321C" w14:textId="77777777">
      <w:pPr>
        <w:pStyle w:val="Lista3"/>
      </w:pPr>
      <w:r>
        <w:t xml:space="preserve">add </w:t>
      </w:r>
      <w:r>
        <w:rPr>
          <w:rStyle w:val="Codeattribute"/>
        </w:rPr>
        <w:t>@rendition</w:t>
      </w:r>
      <w:r>
        <w:t xml:space="preserve"> to each corresponding </w:t>
      </w:r>
      <w:r>
        <w:rPr>
          <w:rStyle w:val="Code"/>
        </w:rPr>
        <w:t xml:space="preserve">&lt;div </w:t>
      </w:r>
      <w:r>
        <w:rPr>
          <w:rStyle w:val="Codeattribute"/>
        </w:rPr>
        <w:t>type</w:t>
      </w:r>
      <w:r>
        <w:rPr>
          <w:rStyle w:val="Code"/>
        </w:rPr>
        <w:t>=</w:t>
      </w:r>
      <w:r>
        <w:rPr>
          <w:rStyle w:val="Codevalue"/>
        </w:rPr>
        <w:t>"textpart"</w:t>
      </w:r>
      <w:r>
        <w:rPr>
          <w:rStyle w:val="Code"/>
        </w:rPr>
        <w:t>&gt;</w:t>
      </w:r>
      <w:r>
        <w:t xml:space="preserve"> element</w:t>
      </w:r>
    </w:p>
    <w:p w14:paraId="31AC48F8" w14:textId="77777777">
      <w:pPr>
        <w:pStyle w:val="Lista3"/>
      </w:pPr>
      <w:r>
        <w:t xml:space="preserve">in this case only, the edition division shall not carry the attribute </w:t>
      </w:r>
      <w:r>
        <w:rPr>
          <w:rStyle w:val="Codeattribute"/>
        </w:rPr>
        <w:t>@rendition</w:t>
      </w:r>
    </w:p>
    <w:p w14:paraId="3978220B" w14:textId="77777777">
      <w:pPr>
        <w:pStyle w:val="Lista4"/>
      </w:pPr>
      <w:r>
        <w:t>whereas if the textparts are in the same script, then script must still be encoded for the edition division, not separately for the textparts</w:t>
      </w:r>
    </w:p>
    <w:p w14:paraId="50BED291" w14:textId="7732BE9C">
      <w:pPr>
        <w:pStyle w:val="Lista3"/>
      </w:pPr>
      <w:r>
        <w:t>do not create textpart divisions just because an inscription is in two scripts, only when the encoding of such divisions is warranted for other reasons discussed in §</w:t>
      </w:r>
      <w:r>
        <w:fldChar w:fldCharType="begin"/>
      </w:r>
      <w:r>
        <w:instrText xml:space="preserve"> REF _Ref224742342 \r \h </w:instrText>
      </w:r>
      <w:r>
        <w:fldChar w:fldCharType="separate"/>
      </w:r>
      <w:r>
        <w:t>4.2.1.4</w:t>
      </w:r>
      <w:r>
        <w:fldChar w:fldCharType="end"/>
      </w:r>
    </w:p>
    <w:p w14:paraId="43A0E4F5" w14:textId="77777777">
      <w:pPr>
        <w:pStyle w:val="Cmsor4"/>
      </w:pPr>
      <w:bookmarkStart w:id="736" w:name="_Ref231981056"/>
      <w:r>
        <w:lastRenderedPageBreak/>
        <w:t>Passages or stanzas in a secondary script</w:t>
      </w:r>
      <w:bookmarkEnd w:id="736"/>
    </w:p>
    <w:p w14:paraId="0E7C7482" w14:textId="2D384BBF">
      <w:pPr>
        <w:rPr>
          <w:lang w:eastAsia="en-US" w:bidi="ar-SA"/>
        </w:rPr>
      </w:pPr>
      <w:r>
        <w:rPr>
          <w:lang w:eastAsia="en-US" w:bidi="ar-SA"/>
        </w:rPr>
        <w:t>When an inscription contains stanzas and/or prose passages written in a different script, and the script changes repeatedly or the sections in different scripts are not as conspicuously distinct as to require encoding as textpart divisions (§</w:t>
      </w:r>
      <w:r>
        <w:rPr>
          <w:lang w:eastAsia="en-US" w:bidi="ar-SA"/>
        </w:rPr>
        <w:fldChar w:fldCharType="begin"/>
      </w:r>
      <w:r>
        <w:rPr>
          <w:lang w:eastAsia="en-US" w:bidi="ar-SA"/>
        </w:rPr>
        <w:instrText xml:space="preserve"> REF _Ref231980805 \r \h </w:instrText>
      </w:r>
      <w:r>
        <w:rPr>
          <w:lang w:eastAsia="en-US" w:bidi="ar-SA"/>
        </w:rPr>
      </w:r>
      <w:r>
        <w:rPr>
          <w:lang w:eastAsia="en-US" w:bidi="ar-SA"/>
        </w:rPr>
        <w:fldChar w:fldCharType="separate"/>
      </w:r>
      <w:r>
        <w:rPr>
          <w:lang w:eastAsia="en-US" w:bidi="ar-SA"/>
        </w:rPr>
        <w:t>8.2.3.1</w:t>
      </w:r>
      <w:r>
        <w:rPr>
          <w:lang w:eastAsia="en-US" w:bidi="ar-SA"/>
        </w:rPr>
        <w:fldChar w:fldCharType="end"/>
      </w:r>
      <w:r>
        <w:rPr>
          <w:lang w:eastAsia="en-US" w:bidi="ar-SA"/>
        </w:rPr>
        <w:t>), proceed as follows.</w:t>
      </w:r>
    </w:p>
    <w:p w14:paraId="578E491C" w14:textId="77777777">
      <w:pPr>
        <w:pStyle w:val="Lista"/>
      </w:pPr>
      <w:r>
        <w:t xml:space="preserve">select a default (primary) script to encode as the </w:t>
      </w:r>
      <w:r>
        <w:rPr>
          <w:rStyle w:val="Codeattribute"/>
        </w:rPr>
        <w:t>@rendition</w:t>
      </w:r>
      <w:r>
        <w:t xml:space="preserve"> of the edition division</w:t>
      </w:r>
    </w:p>
    <w:p w14:paraId="0897A59F" w14:textId="77777777">
      <w:pPr>
        <w:pStyle w:val="Lista2"/>
      </w:pPr>
      <w:r>
        <w:t>the primary script should normally be the one that is used in the majority of the document</w:t>
      </w:r>
    </w:p>
    <w:p w14:paraId="3CB96E33" w14:textId="77777777">
      <w:pPr>
        <w:pStyle w:val="Lista2"/>
      </w:pPr>
      <w:r>
        <w:t>if two or more scripts are represented in more or less equal proportions, make an arbitrary choice</w:t>
      </w:r>
    </w:p>
    <w:p w14:paraId="30C55F2A" w14:textId="77777777">
      <w:pPr>
        <w:pStyle w:val="Lista"/>
      </w:pPr>
      <w:r>
        <w:t xml:space="preserve">apply </w:t>
      </w:r>
      <w:r>
        <w:rPr>
          <w:rStyle w:val="Codeattribute"/>
        </w:rPr>
        <w:t>@rendition</w:t>
      </w:r>
      <w:r>
        <w:t xml:space="preserve"> to each of the block-level elements (viz. </w:t>
      </w:r>
      <w:r>
        <w:rPr>
          <w:rStyle w:val="Code"/>
        </w:rPr>
        <w:t>&lt;p&gt;</w:t>
      </w:r>
      <w:r>
        <w:t xml:space="preserve">, </w:t>
      </w:r>
      <w:r>
        <w:rPr>
          <w:rStyle w:val="Code"/>
        </w:rPr>
        <w:t>&lt;lg&gt;</w:t>
      </w:r>
      <w:r>
        <w:t xml:space="preserve">, </w:t>
      </w:r>
      <w:r>
        <w:rPr>
          <w:rStyle w:val="Code"/>
        </w:rPr>
        <w:t>&lt;l&gt;</w:t>
      </w:r>
      <w:r>
        <w:t xml:space="preserve"> or </w:t>
      </w:r>
      <w:r>
        <w:rPr>
          <w:rStyle w:val="Code"/>
        </w:rPr>
        <w:t>&lt;ab&gt;</w:t>
      </w:r>
      <w:r>
        <w:t>) corresponding to text in a script other than the default one</w:t>
      </w:r>
    </w:p>
    <w:p w14:paraId="1EE0906C" w14:textId="77777777">
      <w:pPr>
        <w:pStyle w:val="Lista2"/>
      </w:pPr>
      <w:r>
        <w:t>containers with text in the primary script need not be tagged explicitly, since they inherit their script from the edition division</w:t>
      </w:r>
    </w:p>
    <w:p w14:paraId="2811419F" w14:textId="77777777">
      <w:pPr>
        <w:pStyle w:val="Cmsor4"/>
      </w:pPr>
      <w:r>
        <w:t>Foliation marks in a secondary script</w:t>
      </w:r>
    </w:p>
    <w:p w14:paraId="390F480E" w14:textId="244CF629">
      <w:pPr>
        <w:pStyle w:val="Lista"/>
      </w:pPr>
      <w:r>
        <w:t xml:space="preserve">should the need arise, </w:t>
      </w:r>
      <w:r>
        <w:rPr>
          <w:rStyle w:val="Codeattribute"/>
        </w:rPr>
        <w:t>@rendition</w:t>
      </w:r>
      <w:r>
        <w:t xml:space="preserve"> may be added to </w:t>
      </w:r>
      <w:r>
        <w:rPr>
          <w:rStyle w:val="Code"/>
        </w:rPr>
        <w:t>&lt;fw&gt;</w:t>
      </w:r>
      <w:r>
        <w:t xml:space="preserve"> elements (§</w:t>
      </w:r>
      <w:r>
        <w:fldChar w:fldCharType="begin"/>
      </w:r>
      <w:r>
        <w:instrText xml:space="preserve"> REF _Ref43984607 \r \h </w:instrText>
      </w:r>
      <w:r>
        <w:fldChar w:fldCharType="separate"/>
      </w:r>
      <w:r>
        <w:t>4.7.2</w:t>
      </w:r>
      <w:r>
        <w:fldChar w:fldCharType="end"/>
      </w:r>
      <w:r>
        <w:t>) to encode a script different from that of the text’s primary script</w:t>
      </w:r>
    </w:p>
    <w:p w14:paraId="1A4C0C04" w14:textId="77777777">
      <w:pPr>
        <w:pStyle w:val="Cmsor4"/>
      </w:pPr>
      <w:bookmarkStart w:id="737" w:name="_Ref232173895"/>
      <w:r>
        <w:t>Words or phrases in a secondary script</w:t>
      </w:r>
      <w:bookmarkEnd w:id="737"/>
    </w:p>
    <w:p w14:paraId="7275C181" w14:textId="77777777">
      <w:r>
        <w:t>If an inscription largely written in a primary script contains isolated words or phrases (or any chunks of text smaller than a block-level container) in a secondary script, proceed as follows.</w:t>
      </w:r>
    </w:p>
    <w:p w14:paraId="2A8D59B7" w14:textId="77777777">
      <w:pPr>
        <w:pStyle w:val="Lista"/>
      </w:pPr>
      <w:r>
        <w:t>encode the primary script on the edition division</w:t>
      </w:r>
    </w:p>
    <w:p w14:paraId="0BB79208" w14:textId="1D6FB9C0">
      <w:pPr>
        <w:pStyle w:val="Lista"/>
      </w:pPr>
      <w:r>
        <w:t xml:space="preserve">if changes in script are concomitant with changes in language, then you will already have the chunks written in a different language tagged as </w:t>
      </w:r>
      <w:r>
        <w:rPr>
          <w:rStyle w:val="Code"/>
        </w:rPr>
        <w:t>&lt;foreign&gt;</w:t>
      </w:r>
      <w:r>
        <w:t xml:space="preserve"> (§</w:t>
      </w:r>
      <w:r>
        <w:fldChar w:fldCharType="begin"/>
      </w:r>
      <w:r>
        <w:instrText xml:space="preserve"> REF _Ref231904363 \r \h </w:instrText>
      </w:r>
      <w:r>
        <w:fldChar w:fldCharType="separate"/>
      </w:r>
      <w:r>
        <w:t>8.1.2.3</w:t>
      </w:r>
      <w:r>
        <w:fldChar w:fldCharType="end"/>
      </w:r>
      <w:r>
        <w:t>)</w:t>
      </w:r>
    </w:p>
    <w:p w14:paraId="1C69FA80" w14:textId="77777777">
      <w:pPr>
        <w:pStyle w:val="Lista2"/>
      </w:pPr>
      <w:r>
        <w:t xml:space="preserve">add </w:t>
      </w:r>
      <w:r>
        <w:rPr>
          <w:rStyle w:val="Codeattribute"/>
        </w:rPr>
        <w:t>@rendition</w:t>
      </w:r>
      <w:r>
        <w:t xml:space="preserve"> to these elements to encode the script change</w:t>
      </w:r>
    </w:p>
    <w:p w14:paraId="28BBBFD1" w14:textId="77777777">
      <w:pPr>
        <w:pStyle w:val="Lista"/>
      </w:pPr>
      <w:r>
        <w:t xml:space="preserve">if script variation does not co-occur with language variation, then create the phrase-level container </w:t>
      </w:r>
      <w:r>
        <w:rPr>
          <w:rStyle w:val="Code"/>
        </w:rPr>
        <w:t>&lt;seg&gt;</w:t>
      </w:r>
      <w:r>
        <w:t xml:space="preserve"> to wrap the chunk of text in a different script, and add </w:t>
      </w:r>
      <w:r>
        <w:rPr>
          <w:rStyle w:val="Codeattribute"/>
        </w:rPr>
        <w:t>@rendition</w:t>
      </w:r>
      <w:r>
        <w:t xml:space="preserve"> to this element</w:t>
      </w:r>
    </w:p>
    <w:p w14:paraId="45BA7B0F" w14:textId="77777777">
      <w:pPr>
        <w:pStyle w:val="Cmsor4"/>
      </w:pPr>
      <w:bookmarkStart w:id="738" w:name="_Ref233642045"/>
      <w:r>
        <w:t>Grantha script mixed with another script</w:t>
      </w:r>
      <w:bookmarkEnd w:id="738"/>
    </w:p>
    <w:p w14:paraId="1E0FC8E4" w14:textId="77777777">
      <w:pPr>
        <w:pStyle w:val="Lista"/>
      </w:pPr>
      <w:r>
        <w:t>when encoding Grantha characters interspersed in Tamil or Vaṭṭeḻuttu script, note that only characters graphically distinct from the default script of the inscription should be marked up in this way</w:t>
      </w:r>
    </w:p>
    <w:p w14:paraId="5E9A8F85" w14:textId="77777777">
      <w:pPr>
        <w:pStyle w:val="Lista"/>
      </w:pPr>
      <w:r>
        <w:t>for example,</w:t>
      </w:r>
    </w:p>
    <w:p w14:paraId="6A80C019" w14:textId="77777777">
      <w:pPr>
        <w:pStyle w:val="Lista2"/>
      </w:pPr>
      <w:r>
        <w:rPr>
          <w:rStyle w:val="ForeignTamilGrantha"/>
        </w:rPr>
        <w:t>𑌤𑍍𑌰𑌿𑌭𑍁</w:t>
      </w:r>
      <w:r>
        <w:rPr>
          <w:rStyle w:val="ForeignTamilGrantha"/>
          <w:rFonts w:hint="cs"/>
          <w:cs/>
        </w:rPr>
        <w:t>வ</w:t>
      </w:r>
      <w:r>
        <w:rPr>
          <w:rStyle w:val="ForeignTamilGrantha"/>
          <w:rFonts w:ascii="Nirmala UI" w:hAnsi="Nirmala UI" w:cs="Nirmala UI" w:hint="cs"/>
          <w:cs/>
        </w:rPr>
        <w:t>ன</w:t>
      </w:r>
      <w:r>
        <w:rPr>
          <w:cs/>
          <w:lang w:bidi="ta-IN"/>
        </w:rPr>
        <w:t xml:space="preserve"> </w:t>
      </w:r>
      <w:r>
        <w:rPr>
          <w:rStyle w:val="Code"/>
        </w:rPr>
        <w:t xml:space="preserve">&lt;seg </w:t>
      </w:r>
      <w:r>
        <w:rPr>
          <w:rStyle w:val="Codeattribute"/>
        </w:rPr>
        <w:t>rendition</w:t>
      </w:r>
      <w:r>
        <w:rPr>
          <w:rStyle w:val="Codetext"/>
        </w:rPr>
        <w:t>=</w:t>
      </w:r>
      <w:r>
        <w:rPr>
          <w:rStyle w:val="Codevalue"/>
        </w:rPr>
        <w:t>"class:36768 maturity:83213"</w:t>
      </w:r>
      <w:r>
        <w:rPr>
          <w:rStyle w:val="Code"/>
        </w:rPr>
        <w:t>&gt;</w:t>
      </w:r>
      <w:r>
        <w:rPr>
          <w:rStyle w:val="Codetext"/>
        </w:rPr>
        <w:t>tribhu</w:t>
      </w:r>
      <w:r>
        <w:rPr>
          <w:rStyle w:val="Code"/>
        </w:rPr>
        <w:t>&lt;/seg&gt;vaṉa</w:t>
      </w:r>
      <w:r>
        <w:t xml:space="preserve"> if the default script is Tamil</w:t>
      </w:r>
    </w:p>
    <w:p w14:paraId="685676AA" w14:textId="77777777">
      <w:pPr>
        <w:pStyle w:val="Lista3"/>
      </w:pPr>
      <w:r>
        <w:t xml:space="preserve">since </w:t>
      </w:r>
      <w:r>
        <w:rPr>
          <w:rStyle w:val="Foreign"/>
        </w:rPr>
        <w:t>va</w:t>
      </w:r>
      <w:r>
        <w:t xml:space="preserve"> has the same form in Tamil script and Grantha, it is considered to be in the default script</w:t>
      </w:r>
    </w:p>
    <w:p w14:paraId="58135410" w14:textId="77777777">
      <w:pPr>
        <w:pStyle w:val="Lista2"/>
      </w:pPr>
      <w:r>
        <w:t xml:space="preserve">but if the default script is Vaṭṭeḻuttu, then the corresponding string would be encoded as </w:t>
      </w:r>
      <w:r>
        <w:rPr>
          <w:rStyle w:val="Code"/>
        </w:rPr>
        <w:t xml:space="preserve">&lt;seg </w:t>
      </w:r>
      <w:r>
        <w:rPr>
          <w:rStyle w:val="Codeattribute"/>
        </w:rPr>
        <w:t>rendition</w:t>
      </w:r>
      <w:r>
        <w:rPr>
          <w:rStyle w:val="Codetext"/>
        </w:rPr>
        <w:t>=</w:t>
      </w:r>
      <w:r>
        <w:rPr>
          <w:rStyle w:val="Codevalue"/>
        </w:rPr>
        <w:t>"class:36768 maturity:83213"</w:t>
      </w:r>
      <w:r>
        <w:rPr>
          <w:rStyle w:val="Code"/>
        </w:rPr>
        <w:t>&gt;</w:t>
      </w:r>
      <w:r>
        <w:rPr>
          <w:rStyle w:val="Codetext"/>
        </w:rPr>
        <w:t>tribhuva</w:t>
      </w:r>
      <w:r>
        <w:rPr>
          <w:rStyle w:val="Code"/>
        </w:rPr>
        <w:t>&lt;/seg&gt;ṉa</w:t>
      </w:r>
      <w:r>
        <w:t xml:space="preserve"> </w:t>
      </w:r>
    </w:p>
    <w:p w14:paraId="788CD0C3" w14:textId="77777777">
      <w:pPr>
        <w:pStyle w:val="Lista3"/>
      </w:pPr>
      <w:r>
        <w:t xml:space="preserve">since the </w:t>
      </w:r>
      <w:r>
        <w:rPr>
          <w:rStyle w:val="Foreign"/>
        </w:rPr>
        <w:t>va</w:t>
      </w:r>
      <w:r>
        <w:t xml:space="preserve"> seen here is not the form used in Vaṭṭeḻuttu, it has been classified as Grantha like the adjoining glyphs (although it could also be classified as Tamil)</w:t>
      </w:r>
    </w:p>
    <w:p w14:paraId="4D31B8B5" w14:textId="40F3B289">
      <w:pPr>
        <w:pStyle w:val="Lista"/>
      </w:pPr>
      <w:r>
        <w:t>see also §</w:t>
      </w:r>
      <w:r>
        <w:fldChar w:fldCharType="begin"/>
      </w:r>
      <w:r>
        <w:instrText xml:space="preserve"> REF _Ref233727983 \r \h </w:instrText>
      </w:r>
      <w:r>
        <w:fldChar w:fldCharType="separate"/>
      </w:r>
      <w:r>
        <w:t>14.2.3</w:t>
      </w:r>
      <w:r>
        <w:fldChar w:fldCharType="end"/>
      </w:r>
      <w:r>
        <w:t xml:space="preserve"> for tagging transliterated characters as Grantha outside the edition</w:t>
      </w:r>
    </w:p>
    <w:p w14:paraId="0787D8F1" w14:textId="77777777">
      <w:pPr>
        <w:pStyle w:val="Cmsor2"/>
      </w:pPr>
      <w:bookmarkStart w:id="739" w:name="_Ref231978881"/>
      <w:bookmarkStart w:id="740" w:name="_Ref231980940"/>
      <w:bookmarkStart w:id="741" w:name="_Ref231985684"/>
      <w:bookmarkStart w:id="742" w:name="_Ref43987586"/>
      <w:bookmarkStart w:id="743" w:name="_Toc242889569"/>
      <w:r>
        <w:t>Scribal hands</w:t>
      </w:r>
      <w:bookmarkEnd w:id="739"/>
      <w:bookmarkEnd w:id="740"/>
      <w:bookmarkEnd w:id="741"/>
      <w:bookmarkEnd w:id="743"/>
    </w:p>
    <w:p w14:paraId="019A3939" w14:textId="702136ED">
      <w:r>
        <w:t>In epigraphic parlance, a “hand” means a particular combination of writing features, often indicative of one scribe taking over the work of another. For the purposes of our encoding, scribal hands are distinguished from the use of different scripts (§</w:t>
      </w:r>
      <w:r>
        <w:fldChar w:fldCharType="begin"/>
      </w:r>
      <w:r>
        <w:instrText xml:space="preserve"> REF _Ref231979678 \r \h </w:instrText>
      </w:r>
      <w:r>
        <w:fldChar w:fldCharType="separate"/>
      </w:r>
      <w:r>
        <w:t>8.2</w:t>
      </w:r>
      <w:r>
        <w:fldChar w:fldCharType="end"/>
      </w:r>
      <w:r>
        <w:t>) and from the use of different lettering styles (§</w:t>
      </w:r>
      <w:r>
        <w:fldChar w:fldCharType="begin"/>
      </w:r>
      <w:r>
        <w:instrText xml:space="preserve"> REF _Ref231978934 \r \h </w:instrText>
      </w:r>
      <w:r>
        <w:fldChar w:fldCharType="separate"/>
      </w:r>
      <w:r>
        <w:t>8.4</w:t>
      </w:r>
      <w:r>
        <w:fldChar w:fldCharType="end"/>
      </w:r>
      <w:r>
        <w:t>). If your inscription is written in several, clearly distinguishable hands (as opposed to different scripts as per §</w:t>
      </w:r>
      <w:r>
        <w:fldChar w:fldCharType="begin"/>
      </w:r>
      <w:r>
        <w:instrText xml:space="preserve"> REF _Ref231979678 \r \h </w:instrText>
      </w:r>
      <w:r>
        <w:fldChar w:fldCharType="separate"/>
      </w:r>
      <w:r>
        <w:t>8.2</w:t>
      </w:r>
      <w:r>
        <w:fldChar w:fldCharType="end"/>
      </w:r>
      <w:r>
        <w:t xml:space="preserve"> or different lettering styles as per §</w:t>
      </w:r>
      <w:r>
        <w:fldChar w:fldCharType="begin"/>
      </w:r>
      <w:r>
        <w:instrText xml:space="preserve"> REF _Ref231978934 \r \h </w:instrText>
      </w:r>
      <w:r>
        <w:fldChar w:fldCharType="separate"/>
      </w:r>
      <w:r>
        <w:t>8.4</w:t>
      </w:r>
      <w:r>
        <w:fldChar w:fldCharType="end"/>
      </w:r>
      <w:r>
        <w:t xml:space="preserve">), you must first provide separate descriptions of these hands in the TEI header and associate an </w:t>
      </w:r>
      <w:r>
        <w:rPr>
          <w:rStyle w:val="Codeattribute"/>
        </w:rPr>
        <w:t>@xml:id</w:t>
      </w:r>
      <w:r>
        <w:t xml:space="preserve"> with each hand as per §</w:t>
      </w:r>
      <w:r>
        <w:fldChar w:fldCharType="begin"/>
      </w:r>
      <w:r>
        <w:instrText xml:space="preserve"> REF _Ref231980025 \r \h </w:instrText>
      </w:r>
      <w:r>
        <w:fldChar w:fldCharType="separate"/>
      </w:r>
      <w:r>
        <w:t>15.2.1.2</w:t>
      </w:r>
      <w:r>
        <w:fldChar w:fldCharType="end"/>
      </w:r>
      <w:r>
        <w:t>, and then encode where each hand appears in your edition as follows.</w:t>
      </w:r>
    </w:p>
    <w:p w14:paraId="1491DE81" w14:textId="77777777">
      <w:pPr>
        <w:pStyle w:val="Lista"/>
      </w:pPr>
      <w:r>
        <w:t xml:space="preserve">at each point where writing in a particular begins, including the beginning of the text in the first hand, create the empty element </w:t>
      </w:r>
      <w:r>
        <w:rPr>
          <w:rStyle w:val="Code"/>
        </w:rPr>
        <w:t>&lt;handShift/&gt;</w:t>
      </w:r>
    </w:p>
    <w:p w14:paraId="3B11C771" w14:textId="77777777">
      <w:pPr>
        <w:pStyle w:val="Lista2"/>
      </w:pPr>
      <w:r>
        <w:lastRenderedPageBreak/>
        <w:t xml:space="preserve">mandatorily with the attribute </w:t>
      </w:r>
      <w:r>
        <w:rPr>
          <w:rStyle w:val="Codeattribute"/>
        </w:rPr>
        <w:t>@new</w:t>
      </w:r>
      <w:r>
        <w:t>,</w:t>
      </w:r>
      <w:r>
        <w:rPr>
          <w:rStyle w:val="Lbjegyzet-hivatkozs"/>
        </w:rPr>
        <w:footnoteReference w:id="37"/>
      </w:r>
      <w:r>
        <w:t xml:space="preserve"> whose value shall be the XML identifier associated in the TEI header with the hand in question, prefixed with a # sign</w:t>
      </w:r>
    </w:p>
    <w:p w14:paraId="341D1175" w14:textId="77777777">
      <w:pPr>
        <w:pStyle w:val="Lista2"/>
        <w:rPr>
          <w:rStyle w:val="Code"/>
          <w:rFonts w:ascii="Gentium" w:hAnsi="Gentium" w:cs="Tiro Devanagari Sanskrit"/>
          <w:noProof w:val="0"/>
          <w:color w:val="auto"/>
          <w:shd w:val="clear" w:color="auto" w:fill="auto"/>
        </w:rPr>
      </w:pPr>
      <w:r>
        <w:t xml:space="preserve">e.g. </w:t>
      </w:r>
      <w:r>
        <w:rPr>
          <w:rStyle w:val="Code"/>
        </w:rPr>
        <w:t xml:space="preserve">&lt;handShift </w:t>
      </w:r>
      <w:r>
        <w:rPr>
          <w:rStyle w:val="Codeattribute"/>
        </w:rPr>
        <w:t>new</w:t>
      </w:r>
      <w:r>
        <w:rPr>
          <w:rStyle w:val="Code"/>
        </w:rPr>
        <w:t>=</w:t>
      </w:r>
      <w:r>
        <w:rPr>
          <w:rStyle w:val="Codevalue"/>
        </w:rPr>
        <w:t>"#hand1"</w:t>
      </w:r>
      <w:r>
        <w:rPr>
          <w:rStyle w:val="Code"/>
        </w:rPr>
        <w:t>/&gt;</w:t>
      </w:r>
    </w:p>
    <w:p w14:paraId="5A3377BD" w14:textId="069848DD">
      <w:pPr>
        <w:pStyle w:val="Lista"/>
      </w:pPr>
      <w:r>
        <w:t xml:space="preserve">if the hand change also involves a script change (i.e. to a script inventory of a different class or different maturity), then add the attribute </w:t>
      </w:r>
      <w:r>
        <w:rPr>
          <w:rStyle w:val="Codeattribute"/>
        </w:rPr>
        <w:t>@rendition</w:t>
      </w:r>
      <w:r>
        <w:t xml:space="preserve"> (as per §</w:t>
      </w:r>
      <w:r>
        <w:fldChar w:fldCharType="begin"/>
      </w:r>
      <w:r>
        <w:instrText xml:space="preserve"> REF _Ref231978545 \r \h </w:instrText>
      </w:r>
      <w:r>
        <w:fldChar w:fldCharType="separate"/>
      </w:r>
      <w:r>
        <w:t>8.2.1</w:t>
      </w:r>
      <w:r>
        <w:fldChar w:fldCharType="end"/>
      </w:r>
      <w:r>
        <w:t xml:space="preserve">) to all instances of </w:t>
      </w:r>
      <w:r>
        <w:rPr>
          <w:rStyle w:val="Code"/>
        </w:rPr>
        <w:t>&lt;handShift/&gt;</w:t>
      </w:r>
    </w:p>
    <w:p w14:paraId="03857D62" w14:textId="1AF21AFD">
      <w:pPr>
        <w:pStyle w:val="Lista2"/>
      </w:pPr>
      <w:r>
        <w:t xml:space="preserve">when script is encoded on </w:t>
      </w:r>
      <w:r>
        <w:rPr>
          <w:rStyle w:val="Code"/>
        </w:rPr>
        <w:t>&lt;handShift/&gt;</w:t>
      </w:r>
      <w:r>
        <w:t xml:space="preserve"> elements, a default script must still be encoded on the edition division itself (§</w:t>
      </w:r>
      <w:r>
        <w:fldChar w:fldCharType="begin"/>
      </w:r>
      <w:r>
        <w:instrText xml:space="preserve"> REF _Ref231978625 \r \h </w:instrText>
      </w:r>
      <w:r>
        <w:fldChar w:fldCharType="separate"/>
      </w:r>
      <w:r>
        <w:t>8.2.2</w:t>
      </w:r>
      <w:r>
        <w:fldChar w:fldCharType="end"/>
      </w:r>
      <w:r>
        <w:t>)</w:t>
      </w:r>
    </w:p>
    <w:p w14:paraId="3327C569" w14:textId="77777777">
      <w:pPr>
        <w:pStyle w:val="Cmsor2"/>
      </w:pPr>
      <w:bookmarkStart w:id="744" w:name="_Ref231978934"/>
      <w:bookmarkStart w:id="745" w:name="_Toc242889570"/>
      <w:r>
        <w:t>Lettering</w:t>
      </w:r>
      <w:bookmarkEnd w:id="742"/>
      <w:bookmarkEnd w:id="744"/>
      <w:bookmarkEnd w:id="745"/>
    </w:p>
    <w:p w14:paraId="17CD1873" w14:textId="6FB68841">
      <w:r>
        <w:rPr>
          <w:lang w:eastAsia="en-US" w:bidi="ar-SA"/>
        </w:rPr>
        <w:t xml:space="preserve">This section is concerned with </w:t>
      </w:r>
      <w:r>
        <w:t>changes in lettering, i.e. the style in which the glyphs of a particular script are formed. A change in the lettering of a written document usually conveys a deliberate emphasis on a circumscribed section of the text, and is distinguished from the use of a different script (§</w:t>
      </w:r>
      <w:r>
        <w:fldChar w:fldCharType="begin"/>
      </w:r>
      <w:r>
        <w:instrText xml:space="preserve"> REF _Ref231979678 \r \h </w:instrText>
      </w:r>
      <w:r>
        <w:fldChar w:fldCharType="separate"/>
      </w:r>
      <w:r>
        <w:t>8.2</w:t>
      </w:r>
      <w:r>
        <w:fldChar w:fldCharType="end"/>
      </w:r>
      <w:r>
        <w:t>) where the basic shapes of glyphs are selected from a different inventory of graphic signs rather than merely being executed differently, as well as from scribal hands (§</w:t>
      </w:r>
      <w:r>
        <w:fldChar w:fldCharType="begin"/>
      </w:r>
      <w:r>
        <w:instrText xml:space="preserve"> REF _Ref231985684 \r \h </w:instrText>
      </w:r>
      <w:r>
        <w:fldChar w:fldCharType="separate"/>
      </w:r>
      <w:r>
        <w:t>8.3</w:t>
      </w:r>
      <w:r>
        <w:fldChar w:fldCharType="end"/>
      </w:r>
      <w:r>
        <w:t>) which mean the individual writing styles of different persons.</w:t>
      </w:r>
    </w:p>
    <w:p w14:paraId="322FBC4F" w14:textId="77777777">
      <w:pPr>
        <w:pStyle w:val="Lista"/>
      </w:pPr>
      <w:r>
        <w:t xml:space="preserve">in DHARMA editions, special lettering may be optionally encoded using the attribute </w:t>
      </w:r>
      <w:r>
        <w:rPr>
          <w:rStyle w:val="Codeattribute"/>
        </w:rPr>
        <w:t>@rend</w:t>
      </w:r>
      <w:r>
        <w:t xml:space="preserve"> with one of the following values</w:t>
      </w:r>
    </w:p>
    <w:p w14:paraId="6C57F5F1" w14:textId="77777777">
      <w:pPr>
        <w:pStyle w:val="Lista2"/>
      </w:pPr>
      <w:r>
        <w:rPr>
          <w:rStyle w:val="Codevalue"/>
        </w:rPr>
        <w:t>"ornate"</w:t>
      </w:r>
    </w:p>
    <w:p w14:paraId="05831730" w14:textId="77777777">
      <w:pPr>
        <w:pStyle w:val="Lista2"/>
      </w:pPr>
      <w:r>
        <w:rPr>
          <w:rStyle w:val="Codevalue"/>
        </w:rPr>
        <w:t>"large"</w:t>
      </w:r>
    </w:p>
    <w:p w14:paraId="111D5100" w14:textId="77777777">
      <w:pPr>
        <w:pStyle w:val="Lista2"/>
      </w:pPr>
      <w:r>
        <w:rPr>
          <w:rStyle w:val="Codevalue"/>
        </w:rPr>
        <w:t>"small"</w:t>
      </w:r>
    </w:p>
    <w:p w14:paraId="2CB92832" w14:textId="77777777">
      <w:pPr>
        <w:pStyle w:val="Lista2"/>
      </w:pPr>
      <w:r>
        <w:rPr>
          <w:rStyle w:val="Codevalue"/>
        </w:rPr>
        <w:t>"tall"</w:t>
      </w:r>
    </w:p>
    <w:p w14:paraId="5647CCAC" w14:textId="77777777">
      <w:pPr>
        <w:pStyle w:val="Lista2"/>
      </w:pPr>
      <w:r>
        <w:rPr>
          <w:rStyle w:val="Codevalue"/>
        </w:rPr>
        <w:t>"wide"</w:t>
      </w:r>
    </w:p>
    <w:p w14:paraId="1B83B967" w14:textId="77777777">
      <w:pPr>
        <w:pStyle w:val="Lista2"/>
      </w:pPr>
      <w:r>
        <w:rPr>
          <w:rStyle w:val="Codevalue"/>
        </w:rPr>
        <w:t>"expanded"</w:t>
      </w:r>
      <w:r>
        <w:t xml:space="preserve"> </w:t>
      </w:r>
      <w:r>
        <w:rPr>
          <w:noProof/>
        </w:rPr>
        <w:t>(</w:t>
      </w:r>
      <w:r>
        <w:t>to encode widely spaced characters)</w:t>
      </w:r>
    </w:p>
    <w:p w14:paraId="276C72DF" w14:textId="77777777">
      <w:pPr>
        <w:pStyle w:val="Lista2"/>
      </w:pPr>
      <w:r>
        <w:t xml:space="preserve">if more than one of the above is definitely relevant for a particular segment of text, more than one of the above tokens may be used in the value of </w:t>
      </w:r>
      <w:r>
        <w:rPr>
          <w:rStyle w:val="Codeattribute"/>
        </w:rPr>
        <w:t>@rend</w:t>
      </w:r>
      <w:r>
        <w:t>, in the order as listed above, and separated by spaces</w:t>
      </w:r>
    </w:p>
    <w:p w14:paraId="067F8F4F" w14:textId="77777777">
      <w:pPr>
        <w:pStyle w:val="Lista"/>
      </w:pPr>
      <w:r>
        <w:t xml:space="preserve">when the chunk of text highlighted by different lettering is coterminous with an existing block-level container (viz. </w:t>
      </w:r>
      <w:r>
        <w:rPr>
          <w:rStyle w:val="Code"/>
        </w:rPr>
        <w:t>&lt;p&gt;</w:t>
      </w:r>
      <w:r>
        <w:t xml:space="preserve">, </w:t>
      </w:r>
      <w:r>
        <w:rPr>
          <w:rStyle w:val="Code"/>
        </w:rPr>
        <w:t>&lt;ab&gt;</w:t>
      </w:r>
      <w:r>
        <w:t xml:space="preserve">, </w:t>
      </w:r>
      <w:r>
        <w:rPr>
          <w:rStyle w:val="Code"/>
        </w:rPr>
        <w:t>&lt;lg&gt;</w:t>
      </w:r>
      <w:r>
        <w:t xml:space="preserve">, </w:t>
      </w:r>
      <w:r>
        <w:rPr>
          <w:rStyle w:val="Code"/>
        </w:rPr>
        <w:t>&lt;l&gt;</w:t>
      </w:r>
      <w:r>
        <w:t xml:space="preserve"> or </w:t>
      </w:r>
      <w:r>
        <w:rPr>
          <w:rStyle w:val="Code"/>
        </w:rPr>
        <w:t>&lt;fw&gt;</w:t>
      </w:r>
      <w:r>
        <w:t xml:space="preserve">), add </w:t>
      </w:r>
      <w:r>
        <w:rPr>
          <w:rStyle w:val="Codeattribute"/>
        </w:rPr>
        <w:t>@rend</w:t>
      </w:r>
      <w:r>
        <w:t xml:space="preserve"> to that container</w:t>
      </w:r>
    </w:p>
    <w:p w14:paraId="66A98950" w14:textId="77777777">
      <w:pPr>
        <w:pStyle w:val="Lista2"/>
      </w:pPr>
      <w:r>
        <w:t xml:space="preserve">e.g. </w:t>
      </w:r>
      <w:r>
        <w:rPr>
          <w:rStyle w:val="Code"/>
        </w:rPr>
        <w:t xml:space="preserve">&lt;ab </w:t>
      </w:r>
      <w:r>
        <w:rPr>
          <w:rStyle w:val="Codeattribute"/>
        </w:rPr>
        <w:t>rend</w:t>
      </w:r>
      <w:r>
        <w:rPr>
          <w:rStyle w:val="Code"/>
        </w:rPr>
        <w:t>=</w:t>
      </w:r>
      <w:r>
        <w:rPr>
          <w:rStyle w:val="Codevalue"/>
        </w:rPr>
        <w:t>"ornate"</w:t>
      </w:r>
      <w:r>
        <w:rPr>
          <w:rStyle w:val="Code"/>
        </w:rPr>
        <w:t>&gt;</w:t>
      </w:r>
      <w:r>
        <w:rPr>
          <w:rStyle w:val="Codetext"/>
        </w:rPr>
        <w:t>svahasto mama mahārājādhijrāja-śrīharṣasya</w:t>
      </w:r>
      <w:r>
        <w:rPr>
          <w:rStyle w:val="Code"/>
        </w:rPr>
        <w:t>&lt;/ab&gt;</w:t>
      </w:r>
    </w:p>
    <w:p w14:paraId="1105A412" w14:textId="77777777">
      <w:pPr>
        <w:pStyle w:val="Lista"/>
      </w:pPr>
      <w:r>
        <w:t xml:space="preserve">otherwise, create the element </w:t>
      </w:r>
      <w:r>
        <w:rPr>
          <w:rStyle w:val="Code"/>
        </w:rPr>
        <w:t>&lt;hi&gt;</w:t>
      </w:r>
      <w:r>
        <w:t xml:space="preserve"> (for “highlight” to wrap the chunk of text and add </w:t>
      </w:r>
      <w:r>
        <w:rPr>
          <w:rStyle w:val="Codeattribute"/>
        </w:rPr>
        <w:t>@rend</w:t>
      </w:r>
      <w:r>
        <w:t xml:space="preserve"> to this element</w:t>
      </w:r>
    </w:p>
    <w:p w14:paraId="2074107F" w14:textId="77777777">
      <w:pPr>
        <w:pStyle w:val="Cmsor2"/>
      </w:pPr>
      <w:bookmarkStart w:id="746" w:name="_Toc242889571"/>
      <w:bookmarkEnd w:id="728"/>
      <w:bookmarkEnd w:id="729"/>
      <w:bookmarkEnd w:id="730"/>
      <w:r>
        <w:t>Line layout</w:t>
      </w:r>
      <w:bookmarkEnd w:id="746"/>
    </w:p>
    <w:p w14:paraId="1FA99654" w14:textId="441FB2AC">
      <w:r>
        <w:t>As pointed out in §</w:t>
      </w:r>
      <w:r>
        <w:fldChar w:fldCharType="begin"/>
      </w:r>
      <w:r>
        <w:instrText xml:space="preserve"> REF _Ref224720139 \r \h </w:instrText>
      </w:r>
      <w:r>
        <w:fldChar w:fldCharType="separate"/>
      </w:r>
      <w:r>
        <w:t>4.5</w:t>
      </w:r>
      <w:r>
        <w:fldChar w:fldCharType="end"/>
      </w:r>
      <w:r>
        <w:t xml:space="preserve">, the concept of an epigraphic line implies no presumptions regarding the position, directionality, orientation and shape of lines. When deemed expedient, the alignment of lines and the directionality and orientation of glyphs within a line may be encoded optionally as introduced below. The attributes encoding these layout features shall be added to line beginnings in DHARMA practice, and never to any other elements. Attributes encoded on “virtual containers” such as </w:t>
      </w:r>
      <w:r>
        <w:rPr>
          <w:rStyle w:val="Code"/>
        </w:rPr>
        <w:t>&lt;lb/&gt;</w:t>
      </w:r>
      <w:r>
        <w:t xml:space="preserve"> elements are understood by convention to apply to the text from such an element up to the next element of the same kind. </w:t>
      </w:r>
    </w:p>
    <w:p w14:paraId="47F8E537" w14:textId="77777777">
      <w:pPr>
        <w:pStyle w:val="Cmsor3"/>
      </w:pPr>
      <w:bookmarkStart w:id="747" w:name="_lj3p4hxrzblk" w:colFirst="0" w:colLast="0"/>
      <w:bookmarkStart w:id="748" w:name="_c0467s7j2myi" w:colFirst="0" w:colLast="0"/>
      <w:bookmarkStart w:id="749" w:name="_Ref43987598"/>
      <w:bookmarkStart w:id="750" w:name="_Toc242889572"/>
      <w:bookmarkEnd w:id="747"/>
      <w:bookmarkEnd w:id="748"/>
      <w:r>
        <w:t>Alignment</w:t>
      </w:r>
      <w:bookmarkEnd w:id="749"/>
      <w:bookmarkEnd w:id="750"/>
    </w:p>
    <w:p w14:paraId="327E3A82" w14:textId="77777777">
      <w:r>
        <w:t xml:space="preserve">We assume by default that the lines of an inscription are aligned to the left and more or less justified to the right margin. Large-scale deviations from this pattern shall not be encoded in the markup but rather discussed in your description of the layout. Individual lines aligned differently than the majority of the lines in an inscription may be optionally encoded by adding the attribute </w:t>
      </w:r>
      <w:r>
        <w:rPr>
          <w:rStyle w:val="Codeattribute"/>
        </w:rPr>
        <w:t>@style</w:t>
      </w:r>
      <w:r>
        <w:t xml:space="preserve"> to the corresponding </w:t>
      </w:r>
      <w:r>
        <w:rPr>
          <w:rStyle w:val="Code"/>
        </w:rPr>
        <w:t>&lt;lb/&gt;</w:t>
      </w:r>
      <w:r>
        <w:t xml:space="preserve"> element.</w:t>
      </w:r>
    </w:p>
    <w:p w14:paraId="2F976AAA" w14:textId="77777777">
      <w:pPr>
        <w:pStyle w:val="Lista"/>
      </w:pPr>
      <w:r>
        <w:lastRenderedPageBreak/>
        <w:t>the permitted values of</w:t>
      </w:r>
      <w:r>
        <w:rPr>
          <w:b/>
          <w:bCs/>
        </w:rPr>
        <w:t xml:space="preserve"> </w:t>
      </w:r>
      <w:r>
        <w:rPr>
          <w:rStyle w:val="Codeattribute"/>
        </w:rPr>
        <w:t>@style</w:t>
      </w:r>
      <w:r>
        <w:t xml:space="preserve"> for encoding alignment are as follows (to be used exactly as shown here, including spacing, hyphenation and US spelling)</w:t>
      </w:r>
    </w:p>
    <w:p w14:paraId="5EE3C2A3" w14:textId="77777777">
      <w:pPr>
        <w:pStyle w:val="Lista2"/>
      </w:pPr>
      <w:r>
        <w:rPr>
          <w:rStyle w:val="Codevalue"/>
        </w:rPr>
        <w:t>"text-align: right"</w:t>
      </w:r>
      <w:r>
        <w:t xml:space="preserve"> for right-aligned text</w:t>
      </w:r>
    </w:p>
    <w:p w14:paraId="62AEE0F9" w14:textId="77777777">
      <w:pPr>
        <w:pStyle w:val="Lista2"/>
      </w:pPr>
      <w:r>
        <w:rPr>
          <w:rStyle w:val="Codevalue"/>
        </w:rPr>
        <w:t>"text-align: center"</w:t>
      </w:r>
      <w:r>
        <w:t xml:space="preserve"> for centre-aligned text</w:t>
      </w:r>
    </w:p>
    <w:p w14:paraId="69F990AA" w14:textId="77777777">
      <w:pPr>
        <w:pStyle w:val="Lista2"/>
      </w:pPr>
      <w:r>
        <w:rPr>
          <w:rStyle w:val="Codevalue"/>
        </w:rPr>
        <w:t>"text-align: left"</w:t>
      </w:r>
      <w:r>
        <w:t xml:space="preserve"> for left-aligned text</w:t>
      </w:r>
    </w:p>
    <w:p w14:paraId="262FAC4A" w14:textId="344502A0">
      <w:pPr>
        <w:pStyle w:val="Lista3"/>
      </w:pPr>
      <w:r>
        <w:t>to be used only if the majority of the lines are aligned differently and this is mentioned in your layout description</w:t>
      </w:r>
    </w:p>
    <w:p w14:paraId="0DF16741" w14:textId="77777777">
      <w:pPr>
        <w:pStyle w:val="Lista2"/>
      </w:pPr>
      <w:r>
        <w:rPr>
          <w:rStyle w:val="Codevalue"/>
        </w:rPr>
        <w:t>"text-align: justify"</w:t>
      </w:r>
      <w:r>
        <w:t xml:space="preserve"> for text conspicuously justified to both margins</w:t>
      </w:r>
    </w:p>
    <w:p w14:paraId="0112F053" w14:textId="77777777">
      <w:pPr>
        <w:pStyle w:val="Lista3"/>
      </w:pPr>
      <w:r>
        <w:t xml:space="preserve">to be used only if the content of a line would fit in a much narrower space and the creator of the inscription deliberately made it flush with both the left and right margin by increasing inter-word or inter-character spaces in a relatively regular manner </w:t>
      </w:r>
      <w:r>
        <w:rPr>
          <w:noProof/>
        </w:rPr>
        <w:t>(</w:t>
      </w:r>
      <w:r>
        <w:t>i.e. increased spaces are present between all or most separable words of the line, or between all or most characters as applicable)</w:t>
      </w:r>
    </w:p>
    <w:p w14:paraId="4E9A4D1C" w14:textId="77777777"/>
    <w:tbl>
      <w:tblPr>
        <w:tblStyle w:val="CodeSampleTable"/>
        <w:tblW w:w="5000" w:type="pct"/>
        <w:tblLook w:val="04A0" w:firstRow="1" w:lastRow="0" w:firstColumn="1" w:lastColumn="0" w:noHBand="0" w:noVBand="1"/>
      </w:tblPr>
      <w:tblGrid>
        <w:gridCol w:w="9628"/>
      </w:tblGrid>
      <w:tr w14:paraId="0CEF224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08D046A" w14:textId="5BEB2F83">
            <w:pPr>
              <w:pStyle w:val="Kpalrs"/>
            </w:pPr>
            <w:bookmarkStart w:id="751" w:name="_Ref225762134"/>
            <w:r>
              <w:t xml:space="preserve">Exhibit </w:t>
            </w:r>
            <w:fldSimple w:instr=" STYLEREF 2 \s ">
              <w:r>
                <w:rPr>
                  <w:noProof/>
                </w:rPr>
                <w:t>8.5</w:t>
              </w:r>
            </w:fldSimple>
            <w:r>
              <w:t>.</w:t>
            </w:r>
            <w:fldSimple w:instr=" SEQ Exhibit \* ALPHABETIC \s 2 ">
              <w:r>
                <w:rPr>
                  <w:noProof/>
                </w:rPr>
                <w:t>A</w:t>
              </w:r>
            </w:fldSimple>
            <w:bookmarkEnd w:id="751"/>
            <w:r>
              <w:t>: encoding line alignment</w:t>
            </w:r>
          </w:p>
        </w:tc>
      </w:tr>
      <w:tr w14:paraId="6804744E" w14:textId="77777777">
        <w:tc>
          <w:tcPr>
            <w:tcW w:w="5000" w:type="pct"/>
            <w:vAlign w:val="center"/>
          </w:tcPr>
          <w:p w14:paraId="4D023051" w14:textId="77777777">
            <w:pPr>
              <w:pStyle w:val="Image"/>
              <w:widowControl/>
              <w:rPr>
                <w:rStyle w:val="Code"/>
              </w:rPr>
            </w:pPr>
            <w:r>
              <w:drawing>
                <wp:inline distT="0" distB="0" distL="0" distR="0" wp14:anchorId="42D68C08" wp14:editId="3BC6E3BA">
                  <wp:extent cx="5397500" cy="2593340"/>
                  <wp:effectExtent l="0" t="0" r="0" b="0"/>
                  <wp:docPr id="271170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500" cy="2593340"/>
                          </a:xfrm>
                          <a:prstGeom prst="rect">
                            <a:avLst/>
                          </a:prstGeom>
                          <a:noFill/>
                          <a:ln>
                            <a:noFill/>
                          </a:ln>
                        </pic:spPr>
                      </pic:pic>
                    </a:graphicData>
                  </a:graphic>
                </wp:inline>
              </w:drawing>
            </w:r>
          </w:p>
        </w:tc>
      </w:tr>
      <w:tr w14:paraId="6D76F3E6" w14:textId="77777777">
        <w:tc>
          <w:tcPr>
            <w:tcW w:w="5000" w:type="pct"/>
          </w:tcPr>
          <w:p w14:paraId="0DEECF39" w14:textId="77777777">
            <w:pPr>
              <w:pStyle w:val="CodeParagraph"/>
              <w:rPr>
                <w:rStyle w:val="Code"/>
              </w:rPr>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style</w:t>
            </w:r>
            <w:r>
              <w:rPr>
                <w:rStyle w:val="Code"/>
              </w:rPr>
              <w:t>=</w:t>
            </w:r>
            <w:r>
              <w:rPr>
                <w:rStyle w:val="Codevalue"/>
              </w:rPr>
              <w:t>"text-align: center"</w:t>
            </w:r>
            <w:r>
              <w:rPr>
                <w:rStyle w:val="Code"/>
              </w:rPr>
              <w:t>/&gt;&lt;ab&gt;</w:t>
            </w:r>
            <w:r>
              <w:rPr>
                <w:rStyle w:val="Codetext"/>
              </w:rPr>
              <w:t>J. R. R. Tolkien: The Hobbit</w:t>
            </w:r>
            <w:r>
              <w:rPr>
                <w:rStyle w:val="Code"/>
              </w:rPr>
              <w:t>&lt;/ab&gt;</w:t>
            </w:r>
            <w:r>
              <w:rPr>
                <w:rStyle w:val="Codetext"/>
              </w:rPr>
              <w:br/>
            </w:r>
            <w:r>
              <w:rPr>
                <w:rStyle w:val="Code"/>
              </w:rPr>
              <w:t xml:space="preserve">&lt;lb </w:t>
            </w:r>
            <w:r>
              <w:rPr>
                <w:rStyle w:val="Codeattribute"/>
              </w:rPr>
              <w:t>n</w:t>
            </w:r>
            <w:r>
              <w:rPr>
                <w:rStyle w:val="Code"/>
              </w:rPr>
              <w:t>=</w:t>
            </w:r>
            <w:r>
              <w:rPr>
                <w:rStyle w:val="Codevalue"/>
              </w:rPr>
              <w:t>"2"</w:t>
            </w:r>
            <w:r>
              <w:rPr>
                <w:rStyle w:val="Code"/>
              </w:rPr>
              <w:t>/&gt;&lt;p&gt;</w:t>
            </w:r>
            <w:r>
              <w:rPr>
                <w:rStyle w:val="Codetext"/>
              </w:rPr>
              <w:t>In a hole in the ground...</w:t>
            </w:r>
            <w:r>
              <w:rPr>
                <w:rStyle w:val="Codetext"/>
              </w:rPr>
              <w:br/>
            </w:r>
            <w:r>
              <w:rPr>
                <w:rStyle w:val="Code"/>
              </w:rPr>
              <w:t>...</w:t>
            </w:r>
          </w:p>
          <w:p w14:paraId="1D906CFD" w14:textId="77777777">
            <w:pPr>
              <w:pStyle w:val="CodeParagraph"/>
              <w:rPr>
                <w:rStyle w:val="Code"/>
              </w:rPr>
            </w:pPr>
            <w:r>
              <w:rPr>
                <w:rStyle w:val="Code"/>
              </w:rPr>
              <w:t xml:space="preserve">&lt;lb </w:t>
            </w:r>
            <w:r>
              <w:rPr>
                <w:rStyle w:val="Codeattribute"/>
              </w:rPr>
              <w:t>n</w:t>
            </w:r>
            <w:r>
              <w:rPr>
                <w:rStyle w:val="Code"/>
              </w:rPr>
              <w:t>=</w:t>
            </w:r>
            <w:r>
              <w:rPr>
                <w:rStyle w:val="Codevalue"/>
              </w:rPr>
              <w:t>"6"</w:t>
            </w:r>
            <w:r>
              <w:rPr>
                <w:rStyle w:val="Code"/>
              </w:rPr>
              <w:t>/&gt;</w:t>
            </w:r>
            <w:r>
              <w:rPr>
                <w:rStyle w:val="Codetext"/>
              </w:rPr>
              <w:t>hobbit-hole, and that means comfort.</w:t>
            </w:r>
            <w:r>
              <w:rPr>
                <w:rStyle w:val="Code"/>
              </w:rPr>
              <w:t>&lt;/p&gt;</w:t>
            </w:r>
          </w:p>
          <w:p w14:paraId="48B1F0FD" w14:textId="77777777">
            <w:pPr>
              <w:pStyle w:val="CodeParagraph"/>
            </w:pPr>
            <w:r>
              <w:rPr>
                <w:rStyle w:val="Code"/>
              </w:rPr>
              <w:t xml:space="preserve">&lt;lb </w:t>
            </w:r>
            <w:r>
              <w:rPr>
                <w:rStyle w:val="Codeattribute"/>
              </w:rPr>
              <w:t>n</w:t>
            </w:r>
            <w:r>
              <w:rPr>
                <w:rStyle w:val="Code"/>
              </w:rPr>
              <w:t>=</w:t>
            </w:r>
            <w:r>
              <w:rPr>
                <w:rStyle w:val="Codevalue"/>
              </w:rPr>
              <w:t>"7"</w:t>
            </w:r>
            <w:r>
              <w:rPr>
                <w:rStyle w:val="Code"/>
              </w:rPr>
              <w:t xml:space="preserve"> </w:t>
            </w:r>
            <w:r>
              <w:rPr>
                <w:rStyle w:val="Codeattribute"/>
              </w:rPr>
              <w:t>style</w:t>
            </w:r>
            <w:r>
              <w:rPr>
                <w:rStyle w:val="Code"/>
              </w:rPr>
              <w:t>=</w:t>
            </w:r>
            <w:r>
              <w:rPr>
                <w:rStyle w:val="Codevalue"/>
              </w:rPr>
              <w:t>"text-align: right"</w:t>
            </w:r>
            <w:r>
              <w:rPr>
                <w:rStyle w:val="Code"/>
              </w:rPr>
              <w:t>/&gt;&lt;ab&gt;</w:t>
            </w:r>
            <w:r>
              <w:rPr>
                <w:rStyle w:val="Codetext"/>
              </w:rPr>
              <w:t>23 December 2024</w:t>
            </w:r>
            <w:r>
              <w:rPr>
                <w:rStyle w:val="Code"/>
              </w:rPr>
              <w:t>&lt;/ab&gt;</w:t>
            </w:r>
          </w:p>
        </w:tc>
      </w:tr>
    </w:tbl>
    <w:p w14:paraId="07779E2B" w14:textId="77777777">
      <w:pPr>
        <w:pStyle w:val="Cmsor3"/>
        <w:spacing w:before="360"/>
      </w:pPr>
      <w:bookmarkStart w:id="752" w:name="_gjt7ggwzx2z5" w:colFirst="0" w:colLast="0"/>
      <w:bookmarkStart w:id="753" w:name="_Ref43984782"/>
      <w:bookmarkStart w:id="754" w:name="_Toc242889573"/>
      <w:bookmarkEnd w:id="752"/>
      <w:r>
        <w:t>Directionality and orientation</w:t>
      </w:r>
      <w:bookmarkEnd w:id="753"/>
      <w:bookmarkEnd w:id="754"/>
    </w:p>
    <w:p w14:paraId="12FB8269" w14:textId="77777777">
      <w:r>
        <w:t xml:space="preserve">The default writing mode for our inscriptions is horizontal top-to-bottom, which means that lines run horizontally </w:t>
      </w:r>
      <w:r>
        <w:rPr>
          <w:noProof/>
        </w:rPr>
        <w:t>(</w:t>
      </w:r>
      <w:r>
        <w:t xml:space="preserve">and left to right in the scripts we work with), while successive lines are placed one below the other. Some inscriptions may be written throughout in a different writing mode </w:t>
      </w:r>
      <w:r>
        <w:rPr>
          <w:noProof/>
        </w:rPr>
        <w:t>(</w:t>
      </w:r>
      <w:r>
        <w:t xml:space="preserve">e.g. vertically, with lines proceeding left to right; or horizontally, with lines proceeding left to right, but in a bottom to top order); if this is the case, it should be recorded in your annotation. Lines oriented differently than the majority of the lines in an inscription may be optionally encoded by adding the attribute </w:t>
      </w:r>
      <w:r>
        <w:rPr>
          <w:rStyle w:val="Codeattribute"/>
        </w:rPr>
        <w:t>@rend</w:t>
      </w:r>
      <w:r>
        <w:t xml:space="preserve"> to the corresponding </w:t>
      </w:r>
      <w:r>
        <w:rPr>
          <w:rStyle w:val="Code"/>
        </w:rPr>
        <w:t>&lt;lb/&gt;</w:t>
      </w:r>
      <w:r>
        <w:t xml:space="preserve"> element.</w:t>
      </w:r>
      <w:r>
        <w:rPr>
          <w:rStyle w:val="Lbjegyzet-hivatkozs"/>
        </w:rPr>
        <w:footnoteReference w:id="38"/>
      </w:r>
    </w:p>
    <w:p w14:paraId="4009C601" w14:textId="37A0DDC8">
      <w:pPr>
        <w:pStyle w:val="Lista"/>
        <w:keepNext/>
      </w:pPr>
      <w:r>
        <w:lastRenderedPageBreak/>
        <w:t>the permitted values of</w:t>
      </w:r>
      <w:r>
        <w:rPr>
          <w:b/>
          <w:bCs/>
        </w:rPr>
        <w:t xml:space="preserve"> </w:t>
      </w:r>
      <w:r>
        <w:rPr>
          <w:rStyle w:val="Codeattribute"/>
        </w:rPr>
        <w:t>@rend</w:t>
      </w:r>
      <w:r>
        <w:t xml:space="preserve"> for encoding the combinations of directionality and orientation illustrated in </w:t>
      </w:r>
      <w:r>
        <w:fldChar w:fldCharType="begin"/>
      </w:r>
      <w:r>
        <w:instrText xml:space="preserve"> REF _Ref232000441 \h </w:instrText>
      </w:r>
      <w:r>
        <w:fldChar w:fldCharType="separate"/>
      </w:r>
      <w:r>
        <w:t xml:space="preserve">Exhibit </w:t>
      </w:r>
      <w:r>
        <w:rPr>
          <w:noProof/>
        </w:rPr>
        <w:t>8.5</w:t>
      </w:r>
      <w:r>
        <w:t>.</w:t>
      </w:r>
      <w:r>
        <w:rPr>
          <w:noProof/>
        </w:rPr>
        <w:t>B</w:t>
      </w:r>
      <w:r>
        <w:fldChar w:fldCharType="end"/>
      </w:r>
      <w:r>
        <w:t>, are as follows:</w:t>
      </w:r>
    </w:p>
    <w:tbl>
      <w:tblPr>
        <w:tblStyle w:val="CodeSampleTable"/>
        <w:tblpPr w:leftFromText="181" w:rightFromText="181" w:vertAnchor="text" w:tblpXSpec="right" w:tblpY="1"/>
        <w:tblOverlap w:val="never"/>
        <w:tblW w:w="1984" w:type="pct"/>
        <w:tblLook w:val="04A0" w:firstRow="1" w:lastRow="0" w:firstColumn="1" w:lastColumn="0" w:noHBand="0" w:noVBand="1"/>
      </w:tblPr>
      <w:tblGrid>
        <w:gridCol w:w="3820"/>
      </w:tblGrid>
      <w:tr w14:paraId="1393963E"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B5B2B29" w14:textId="163820B6">
            <w:pPr>
              <w:pStyle w:val="Kpalrs"/>
            </w:pPr>
            <w:bookmarkStart w:id="755" w:name="_Ref232000441"/>
            <w:r>
              <w:t xml:space="preserve">Exhibit </w:t>
            </w:r>
            <w:fldSimple w:instr=" STYLEREF 2 \s ">
              <w:r>
                <w:rPr>
                  <w:noProof/>
                </w:rPr>
                <w:t>8.5</w:t>
              </w:r>
            </w:fldSimple>
            <w:r>
              <w:t>.</w:t>
            </w:r>
            <w:fldSimple w:instr=" SEQ Exhibit \* ALPHABETIC \s 2 ">
              <w:r>
                <w:rPr>
                  <w:noProof/>
                </w:rPr>
                <w:t>B</w:t>
              </w:r>
            </w:fldSimple>
            <w:bookmarkEnd w:id="755"/>
            <w:r>
              <w:t>: line directionality and orientation</w:t>
            </w:r>
          </w:p>
        </w:tc>
      </w:tr>
      <w:tr w14:paraId="77F1D46A" w14:textId="77777777">
        <w:tc>
          <w:tcPr>
            <w:tcW w:w="5000" w:type="pct"/>
            <w:vAlign w:val="center"/>
          </w:tcPr>
          <w:p w14:paraId="1FF793E7" w14:textId="77777777">
            <w:pPr>
              <w:pStyle w:val="Image"/>
              <w:widowControl/>
              <w:rPr>
                <w:rStyle w:val="Code"/>
              </w:rPr>
            </w:pPr>
            <w:r>
              <w:drawing>
                <wp:inline distT="0" distB="0" distL="0" distR="0" wp14:anchorId="136EDC00" wp14:editId="1EFA9849">
                  <wp:extent cx="2340610" cy="3241040"/>
                  <wp:effectExtent l="0" t="0" r="2540" b="0"/>
                  <wp:docPr id="56706050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340610" cy="3241040"/>
                          </a:xfrm>
                          <a:prstGeom prst="rect">
                            <a:avLst/>
                          </a:prstGeom>
                          <a:noFill/>
                          <a:ln>
                            <a:noFill/>
                          </a:ln>
                        </pic:spPr>
                      </pic:pic>
                    </a:graphicData>
                  </a:graphic>
                </wp:inline>
              </w:drawing>
            </w:r>
          </w:p>
        </w:tc>
      </w:tr>
    </w:tbl>
    <w:p w14:paraId="51FDDBC5" w14:textId="0EB0E969">
      <w:pPr>
        <w:pStyle w:val="Lista2"/>
      </w:pPr>
      <w:r>
        <w:t xml:space="preserve"> A. </w:t>
      </w:r>
      <w:r>
        <w:rPr>
          <w:rStyle w:val="Codevalue"/>
        </w:rPr>
        <w:t>"bt-rotated"</w:t>
      </w:r>
      <w:r>
        <w:t xml:space="preserve"> – bottom to top, with the tops of characters facing left</w:t>
      </w:r>
    </w:p>
    <w:p w14:paraId="12E4F261" w14:textId="77777777">
      <w:pPr>
        <w:pStyle w:val="Lista2"/>
      </w:pPr>
      <w:r>
        <w:t xml:space="preserve">B. </w:t>
      </w:r>
      <w:r>
        <w:rPr>
          <w:rStyle w:val="Codevalue"/>
        </w:rPr>
        <w:t>"tb-rotated"</w:t>
      </w:r>
      <w:r>
        <w:t xml:space="preserve"> – top to bottom, with the tops of characters facing right</w:t>
      </w:r>
    </w:p>
    <w:p w14:paraId="74333699" w14:textId="77777777">
      <w:pPr>
        <w:pStyle w:val="Lista2"/>
      </w:pPr>
      <w:r>
        <w:t xml:space="preserve">C. </w:t>
      </w:r>
      <w:r>
        <w:rPr>
          <w:rStyle w:val="Codevalue"/>
        </w:rPr>
        <w:t>"bt-upright"</w:t>
      </w:r>
      <w:r>
        <w:t xml:space="preserve"> – bottom to top, with the tops of characters facing upward</w:t>
      </w:r>
    </w:p>
    <w:p w14:paraId="6BC270BC" w14:textId="77777777">
      <w:pPr>
        <w:pStyle w:val="Lista2"/>
      </w:pPr>
      <w:r>
        <w:t xml:space="preserve">D. </w:t>
      </w:r>
      <w:r>
        <w:rPr>
          <w:rStyle w:val="Codevalue"/>
        </w:rPr>
        <w:t>"tb-upright"</w:t>
      </w:r>
      <w:r>
        <w:t xml:space="preserve"> – top to bottom, with the tops of characters facing upward</w:t>
      </w:r>
    </w:p>
    <w:p w14:paraId="1D6BBE88" w14:textId="77777777">
      <w:pPr>
        <w:pStyle w:val="Lista2"/>
      </w:pPr>
      <w:r>
        <w:t xml:space="preserve">E. </w:t>
      </w:r>
      <w:r>
        <w:rPr>
          <w:rStyle w:val="Codevalue"/>
        </w:rPr>
        <w:t>"rl-upright"</w:t>
      </w:r>
      <w:r>
        <w:t xml:space="preserve"> – right to left, with characters in their regular orientation</w:t>
      </w:r>
    </w:p>
    <w:p w14:paraId="49791FFA" w14:textId="77777777">
      <w:pPr>
        <w:pStyle w:val="Lista2"/>
      </w:pPr>
      <w:r>
        <w:t xml:space="preserve">F. </w:t>
      </w:r>
      <w:r>
        <w:rPr>
          <w:rStyle w:val="Codevalue"/>
        </w:rPr>
        <w:t>"rl-flipped"</w:t>
      </w:r>
      <w:r>
        <w:t xml:space="preserve"> – right to left, with characters mirrored around their vertical axis as in true boustrophedon</w:t>
      </w:r>
    </w:p>
    <w:p w14:paraId="46CC98FB" w14:textId="77777777">
      <w:pPr>
        <w:pStyle w:val="Lista2"/>
      </w:pPr>
      <w:r>
        <w:t xml:space="preserve">G. </w:t>
      </w:r>
      <w:r>
        <w:rPr>
          <w:rStyle w:val="Codevalue"/>
        </w:rPr>
        <w:t>"rl-rotated"</w:t>
      </w:r>
      <w:r>
        <w:t xml:space="preserve"> – right to left, with the tops of characters facing downward</w:t>
      </w:r>
    </w:p>
    <w:p w14:paraId="3215A2E3" w14:textId="77777777">
      <w:pPr>
        <w:pStyle w:val="Lista2"/>
      </w:pPr>
      <w:r>
        <w:t>should you encounter any other combination of directionality and orientation</w:t>
      </w:r>
      <w:r>
        <w:rPr>
          <w:noProof/>
        </w:rPr>
        <w:t>, leave it without encoding and describe it in your annotation</w:t>
      </w:r>
    </w:p>
    <w:p w14:paraId="03169FCE" w14:textId="77777777"/>
    <w:p w14:paraId="15FD644D" w14:textId="77777777"/>
    <w:p w14:paraId="34FD95DF" w14:textId="77777777">
      <w:pPr>
        <w:pStyle w:val="Cmsor1"/>
      </w:pPr>
      <w:bookmarkStart w:id="756" w:name="_Ref232002354"/>
      <w:bookmarkStart w:id="757" w:name="_Toc242889574"/>
      <w:r>
        <w:lastRenderedPageBreak/>
        <w:t>Interpretive and analytical markup</w:t>
      </w:r>
      <w:bookmarkEnd w:id="756"/>
      <w:bookmarkEnd w:id="757"/>
    </w:p>
    <w:p w14:paraId="7F6B69D2" w14:textId="7AD4F811">
      <w:r>
        <w:t>One of the great strengths of TEI is that it allows tagging specific chunks of the text (as interpreted by the editor) with information that can then be used for the analysis of semantic content, linguistic structures, narrative elements or other features. However, a documentary edition encoded in EpiDoc tends to contain a great amount of highly granular code, and attempting to combine this encoding with interpretive/analytical markup will in most cases result in a proliferation of overlapping hierarchies (§</w:t>
      </w:r>
      <w:r>
        <w:fldChar w:fldCharType="begin"/>
      </w:r>
      <w:r>
        <w:instrText xml:space="preserve"> REF _Ref224893456 \r \h </w:instrText>
      </w:r>
      <w:r>
        <w:fldChar w:fldCharType="separate"/>
      </w:r>
      <w:r>
        <w:t>2.1.4</w:t>
      </w:r>
      <w:r>
        <w:fldChar w:fldCharType="end"/>
      </w:r>
      <w:r>
        <w:t>). Therefore, in DHARMA editions we habitually encode only a minimum of interpretive information, namely that pertaining to numbers (§</w:t>
      </w:r>
      <w:r>
        <w:fldChar w:fldCharType="begin"/>
      </w:r>
      <w:r>
        <w:instrText xml:space="preserve"> REF _Ref231894384 \r \h </w:instrText>
      </w:r>
      <w:r>
        <w:fldChar w:fldCharType="separate"/>
      </w:r>
      <w:r>
        <w:t>9.1</w:t>
      </w:r>
      <w:r>
        <w:fldChar w:fldCharType="end"/>
      </w:r>
      <w:r>
        <w:t>) and, optionally, to abbreviations (§</w:t>
      </w:r>
      <w:r>
        <w:fldChar w:fldCharType="begin"/>
      </w:r>
      <w:r>
        <w:instrText xml:space="preserve"> REF _Ref232002201 \r \h </w:instrText>
      </w:r>
      <w:r>
        <w:fldChar w:fldCharType="separate"/>
      </w:r>
      <w:r>
        <w:t>9.2</w:t>
      </w:r>
      <w:r>
        <w:fldChar w:fldCharType="end"/>
      </w:r>
      <w:r>
        <w:t>). A number of other encoding methods useful for analytical purposes (§</w:t>
      </w:r>
      <w:r>
        <w:fldChar w:fldCharType="begin"/>
      </w:r>
      <w:r>
        <w:instrText xml:space="preserve"> REF _Ref232173896 \r \h </w:instrText>
      </w:r>
      <w:r>
        <w:fldChar w:fldCharType="separate"/>
      </w:r>
      <w:r>
        <w:t>14.7.3</w:t>
      </w:r>
      <w:r>
        <w:fldChar w:fldCharType="end"/>
      </w:r>
      <w:r>
        <w:t>) are permitted in the DHARMA schema and may be used in the editions as well as in other divisions of our XML documents, but their use is not encouraged in our editions and not provided for in these guidelines.</w:t>
      </w:r>
    </w:p>
    <w:p w14:paraId="56C78703" w14:textId="77777777">
      <w:pPr>
        <w:pStyle w:val="Cmsor2"/>
      </w:pPr>
      <w:bookmarkStart w:id="758" w:name="_vj2ep179y4tp" w:colFirst="0" w:colLast="0"/>
      <w:bookmarkStart w:id="759" w:name="_alr4dlls2gjb" w:colFirst="0" w:colLast="0"/>
      <w:bookmarkStart w:id="760" w:name="_Ref43980607"/>
      <w:bookmarkStart w:id="761" w:name="_Ref231894384"/>
      <w:bookmarkStart w:id="762" w:name="_Toc242889575"/>
      <w:bookmarkEnd w:id="758"/>
      <w:bookmarkEnd w:id="759"/>
      <w:r>
        <w:t>Number</w:t>
      </w:r>
      <w:bookmarkEnd w:id="760"/>
      <w:r>
        <w:t>s</w:t>
      </w:r>
      <w:bookmarkEnd w:id="761"/>
      <w:bookmarkEnd w:id="762"/>
    </w:p>
    <w:p w14:paraId="3F936351" w14:textId="77777777">
      <w:pPr>
        <w:rPr>
          <w:lang w:eastAsia="en-US" w:bidi="ar-SA"/>
        </w:rPr>
      </w:pPr>
      <w:r>
        <w:rPr>
          <w:lang w:eastAsia="en-US" w:bidi="ar-SA"/>
        </w:rPr>
        <w:t xml:space="preserve">TEI provides dedicated markup for the semantic tagging of numbers found in source documents. In addition to making it explicit that a certain chunk of text signifies a number, this allows us to record the value of the number for straightforward machine interpretability. </w:t>
      </w:r>
      <w:r>
        <w:t>The following subsections detail the use of this encoding in DHARMA editions.</w:t>
      </w:r>
    </w:p>
    <w:p w14:paraId="1456037A" w14:textId="77777777">
      <w:pPr>
        <w:pStyle w:val="Cmsor3"/>
      </w:pPr>
      <w:bookmarkStart w:id="763" w:name="_u6q2l31rs9n0" w:colFirst="0" w:colLast="0"/>
      <w:bookmarkStart w:id="764" w:name="_Toc242889576"/>
      <w:bookmarkEnd w:id="763"/>
      <w:r>
        <w:t>Encoding numbers</w:t>
      </w:r>
      <w:bookmarkEnd w:id="764"/>
    </w:p>
    <w:p w14:paraId="42D02C1F" w14:textId="77777777">
      <w:pPr>
        <w:pStyle w:val="Lista"/>
      </w:pPr>
      <w:r>
        <w:t xml:space="preserve">the element for the semantic tagging of numbers is </w:t>
      </w:r>
      <w:r>
        <w:rPr>
          <w:rStyle w:val="Code"/>
        </w:rPr>
        <w:t>&lt;num&gt;</w:t>
      </w:r>
      <w:r>
        <w:t xml:space="preserve"> (for “number”)</w:t>
      </w:r>
    </w:p>
    <w:p w14:paraId="47398212" w14:textId="77777777">
      <w:pPr>
        <w:pStyle w:val="Lista"/>
      </w:pPr>
      <w:r>
        <w:t xml:space="preserve">in DHARMA practice, </w:t>
      </w:r>
      <w:r>
        <w:rPr>
          <w:rStyle w:val="Code"/>
        </w:rPr>
        <w:t>&lt;num&gt;</w:t>
      </w:r>
      <w:r>
        <w:t xml:space="preserve"> is used with the following attributes</w:t>
      </w:r>
    </w:p>
    <w:p w14:paraId="043FBA18" w14:textId="6F543789">
      <w:pPr>
        <w:pStyle w:val="Lista2"/>
      </w:pPr>
      <w:r>
        <w:t xml:space="preserve">in most cases, </w:t>
      </w:r>
      <w:r>
        <w:rPr>
          <w:rStyle w:val="Codeattribute"/>
        </w:rPr>
        <w:t>@value</w:t>
      </w:r>
      <w:r>
        <w:t xml:space="preserve"> as per §</w:t>
      </w:r>
      <w:r>
        <w:fldChar w:fldCharType="begin"/>
      </w:r>
      <w:r>
        <w:instrText xml:space="preserve"> REF _Ref231895976 \r \h </w:instrText>
      </w:r>
      <w:r>
        <w:fldChar w:fldCharType="separate"/>
      </w:r>
      <w:r>
        <w:t>9.1.1.1</w:t>
      </w:r>
      <w:r>
        <w:fldChar w:fldCharType="end"/>
      </w:r>
    </w:p>
    <w:p w14:paraId="1BD2DE1F" w14:textId="0EFEFDF7">
      <w:pPr>
        <w:pStyle w:val="Lista2"/>
      </w:pPr>
      <w:r>
        <w:t xml:space="preserve">as applicable, </w:t>
      </w:r>
      <w:r>
        <w:rPr>
          <w:rStyle w:val="Codeattribute"/>
        </w:rPr>
        <w:t>@cert</w:t>
      </w:r>
      <w:r>
        <w:t xml:space="preserve"> as per §</w:t>
      </w:r>
      <w:r>
        <w:fldChar w:fldCharType="begin"/>
      </w:r>
      <w:r>
        <w:instrText xml:space="preserve"> REF _Ref231892505 \r \h </w:instrText>
      </w:r>
      <w:r>
        <w:fldChar w:fldCharType="separate"/>
      </w:r>
      <w:r>
        <w:t>9.1.3</w:t>
      </w:r>
      <w:r>
        <w:fldChar w:fldCharType="end"/>
      </w:r>
    </w:p>
    <w:p w14:paraId="03A015F8" w14:textId="25D9139C">
      <w:pPr>
        <w:pStyle w:val="Lista2"/>
      </w:pPr>
      <w:r>
        <w:t xml:space="preserve">as applicable, </w:t>
      </w:r>
      <w:r>
        <w:rPr>
          <w:rStyle w:val="Codeattribute"/>
        </w:rPr>
        <w:t>@atLeast</w:t>
      </w:r>
      <w:r>
        <w:t xml:space="preserve"> and </w:t>
      </w:r>
      <w:r>
        <w:rPr>
          <w:rStyle w:val="Codeattribute"/>
        </w:rPr>
        <w:t>@atMost</w:t>
      </w:r>
      <w:r>
        <w:t xml:space="preserve"> as per §</w:t>
      </w:r>
      <w:r>
        <w:fldChar w:fldCharType="begin"/>
      </w:r>
      <w:r>
        <w:instrText xml:space="preserve"> REF _Ref231892505 \r \h </w:instrText>
      </w:r>
      <w:r>
        <w:fldChar w:fldCharType="separate"/>
      </w:r>
      <w:r>
        <w:t>9.1.3</w:t>
      </w:r>
      <w:r>
        <w:fldChar w:fldCharType="end"/>
      </w:r>
    </w:p>
    <w:p w14:paraId="2F77823E" w14:textId="77777777">
      <w:pPr>
        <w:pStyle w:val="Lista"/>
      </w:pPr>
      <w:r>
        <w:t>this element is used as a single container for wrapping all the characters of the source that together signify a single number, not for individual numeral signs (unless they signify a number on their own)</w:t>
      </w:r>
    </w:p>
    <w:p w14:paraId="16CC5260" w14:textId="77777777">
      <w:pPr>
        <w:pStyle w:val="Cmsor4"/>
      </w:pPr>
      <w:bookmarkStart w:id="765" w:name="_Ref231895976"/>
      <w:r>
        <w:t>The value of numbers</w:t>
      </w:r>
      <w:bookmarkEnd w:id="765"/>
    </w:p>
    <w:p w14:paraId="3780FC26" w14:textId="77777777">
      <w:pPr>
        <w:pStyle w:val="Lista"/>
      </w:pPr>
      <w:r>
        <w:t xml:space="preserve">the element </w:t>
      </w:r>
      <w:r>
        <w:rPr>
          <w:rStyle w:val="Code"/>
        </w:rPr>
        <w:t>&lt;num&gt;</w:t>
      </w:r>
      <w:r>
        <w:t xml:space="preserve"> must, as a rule, have the attribute </w:t>
      </w:r>
      <w:r>
        <w:rPr>
          <w:rStyle w:val="Codeattribute"/>
        </w:rPr>
        <w:t>@value</w:t>
      </w:r>
      <w:r>
        <w:t>, recording in a machine-readable form the final value of the entire number within the element</w:t>
      </w:r>
    </w:p>
    <w:p w14:paraId="6A561E63" w14:textId="01C4ECFC">
      <w:pPr>
        <w:pStyle w:val="Lista"/>
      </w:pPr>
      <w:r>
        <w:t xml:space="preserve">fractions shall be represented in this attribute as decimal fractions, never dropping the 0 before fractions smaller than 1 and always using a decimal point, not a different decimal marker, e.g. </w:t>
      </w:r>
      <w:r>
        <w:rPr>
          <w:rStyle w:val="Code"/>
        </w:rPr>
        <w:t xml:space="preserve">&lt;num </w:t>
      </w:r>
      <w:r>
        <w:rPr>
          <w:rStyle w:val="Codeattribute"/>
        </w:rPr>
        <w:t>value</w:t>
      </w:r>
      <w:r>
        <w:rPr>
          <w:rStyle w:val="Code"/>
        </w:rPr>
        <w:t>=</w:t>
      </w:r>
      <w:r>
        <w:rPr>
          <w:rStyle w:val="Codevalue"/>
        </w:rPr>
        <w:t>"0.5"</w:t>
      </w:r>
      <w:r>
        <w:rPr>
          <w:rStyle w:val="Code"/>
        </w:rPr>
        <w:t>&gt;</w:t>
      </w:r>
    </w:p>
    <w:p w14:paraId="04D89AFA" w14:textId="4F5D4007">
      <w:pPr>
        <w:pStyle w:val="Lista2"/>
      </w:pPr>
      <w:r>
        <w:t xml:space="preserve">round the value to three digits after the decimal point for any fractions that would require a longer (or infinite) sequence of digits, e.g. encode ⅓  as </w:t>
      </w:r>
      <w:r>
        <w:rPr>
          <w:rStyle w:val="Code"/>
        </w:rPr>
        <w:t xml:space="preserve">&lt;num </w:t>
      </w:r>
      <w:r>
        <w:rPr>
          <w:rStyle w:val="Codeattribute"/>
        </w:rPr>
        <w:t>value</w:t>
      </w:r>
      <w:r>
        <w:rPr>
          <w:rStyle w:val="Code"/>
        </w:rPr>
        <w:t>=</w:t>
      </w:r>
      <w:r>
        <w:rPr>
          <w:rStyle w:val="Codevalue"/>
        </w:rPr>
        <w:t>"0.333"</w:t>
      </w:r>
      <w:r>
        <w:rPr>
          <w:rStyle w:val="Code"/>
        </w:rPr>
        <w:t>&gt;</w:t>
      </w:r>
      <w:r>
        <w:t xml:space="preserve"> and one sixteenth </w:t>
      </w:r>
      <w:r>
        <w:t xml:space="preserve">as </w:t>
      </w:r>
      <w:r>
        <w:rPr>
          <w:rStyle w:val="Code"/>
        </w:rPr>
        <w:t xml:space="preserve">&lt;num </w:t>
      </w:r>
      <w:r>
        <w:rPr>
          <w:rStyle w:val="Codeattribute"/>
        </w:rPr>
        <w:t>value</w:t>
      </w:r>
      <w:r>
        <w:rPr>
          <w:rStyle w:val="Code"/>
        </w:rPr>
        <w:t>=</w:t>
      </w:r>
      <w:r>
        <w:rPr>
          <w:rStyle w:val="Codevalue"/>
        </w:rPr>
        <w:t>"0.</w:t>
      </w:r>
      <w:r>
        <w:rPr>
          <w:rStyle w:val="Codevalue"/>
        </w:rPr>
        <w:t>063</w:t>
      </w:r>
      <w:r>
        <w:rPr>
          <w:rStyle w:val="Codevalue"/>
        </w:rPr>
        <w:t>"</w:t>
      </w:r>
      <w:r>
        <w:rPr>
          <w:rStyle w:val="Code"/>
        </w:rPr>
        <w:t>&gt;</w:t>
      </w:r>
    </w:p>
    <w:p w14:paraId="04BE2897" w14:textId="77777777">
      <w:pPr>
        <w:pStyle w:val="Cmsor3"/>
      </w:pPr>
      <w:bookmarkStart w:id="766" w:name="_Toc242889577"/>
      <w:r>
        <w:t>When and how to encode numbers</w:t>
      </w:r>
      <w:bookmarkEnd w:id="766"/>
    </w:p>
    <w:p w14:paraId="0E27CC13" w14:textId="77777777">
      <w:pPr>
        <w:pStyle w:val="Cmsor4"/>
      </w:pPr>
      <w:r>
        <w:t>Numbers expressed by numeral signs</w:t>
      </w:r>
    </w:p>
    <w:p w14:paraId="27CCB69E" w14:textId="77777777">
      <w:pPr>
        <w:pStyle w:val="Lista"/>
      </w:pPr>
      <w:r>
        <w:t xml:space="preserve">semantic encoding with </w:t>
      </w:r>
      <w:r>
        <w:rPr>
          <w:rStyle w:val="Code"/>
        </w:rPr>
        <w:t>&lt;num&gt;</w:t>
      </w:r>
      <w:r>
        <w:t xml:space="preserve"> is mandatory for all numbers recorded in numeral signs</w:t>
      </w:r>
    </w:p>
    <w:p w14:paraId="73868A56" w14:textId="77777777">
      <w:pPr>
        <w:pStyle w:val="Lista2"/>
      </w:pPr>
      <w:r>
        <w:t>this includes both decimal place-value notation and other numeral notation systems</w:t>
      </w:r>
    </w:p>
    <w:p w14:paraId="0B75F543" w14:textId="7E795A7A">
      <w:pPr>
        <w:pStyle w:val="Lista2"/>
      </w:pPr>
      <w:r>
        <w:t>note, however, that semantic encoding is not applicable when a glyph that normally represents a number is employed in a different function, as discussed in §</w:t>
      </w:r>
      <w:r>
        <w:fldChar w:fldCharType="begin"/>
      </w:r>
      <w:r>
        <w:instrText xml:space="preserve"> REF _Ref226033797 \r \h </w:instrText>
      </w:r>
      <w:r>
        <w:fldChar w:fldCharType="separate"/>
      </w:r>
      <w:r>
        <w:t>5.3.3</w:t>
      </w:r>
      <w:r>
        <w:fldChar w:fldCharType="end"/>
      </w:r>
    </w:p>
    <w:p w14:paraId="474ED418" w14:textId="21E27B4B">
      <w:pPr>
        <w:pStyle w:val="Lista"/>
      </w:pPr>
      <w:r>
        <w:t xml:space="preserve">encoding with </w:t>
      </w:r>
      <w:r>
        <w:rPr>
          <w:rStyle w:val="Code"/>
        </w:rPr>
        <w:t>&lt;num&gt;</w:t>
      </w:r>
      <w:r>
        <w:t xml:space="preserve"> does not replace the </w:t>
      </w:r>
      <w:r>
        <w:rPr>
          <w:rStyle w:val="Code"/>
        </w:rPr>
        <w:t>&lt;g&gt;</w:t>
      </w:r>
      <w:r>
        <w:t xml:space="preserve"> element for numeral signs transliterated by something other than a single Unicode character (§</w:t>
      </w:r>
      <w:r>
        <w:fldChar w:fldCharType="begin"/>
      </w:r>
      <w:r>
        <w:instrText xml:space="preserve"> REF _Ref182551676 \r \h </w:instrText>
      </w:r>
      <w:r>
        <w:fldChar w:fldCharType="separate"/>
      </w:r>
      <w:r>
        <w:t>5.4.5</w:t>
      </w:r>
      <w:r>
        <w:fldChar w:fldCharType="end"/>
      </w:r>
      <w:r>
        <w:t>)</w:t>
      </w:r>
    </w:p>
    <w:p w14:paraId="362B84DF" w14:textId="77777777">
      <w:pPr>
        <w:pStyle w:val="Lista2"/>
      </w:pPr>
      <w:r>
        <w:t xml:space="preserve">when </w:t>
      </w:r>
      <w:r>
        <w:rPr>
          <w:rStyle w:val="Code"/>
        </w:rPr>
        <w:t>&lt;g&gt;</w:t>
      </w:r>
      <w:r>
        <w:t xml:space="preserve"> is present, </w:t>
      </w:r>
      <w:r>
        <w:rPr>
          <w:rStyle w:val="Code"/>
        </w:rPr>
        <w:t>&lt;num&gt;</w:t>
      </w:r>
      <w:r>
        <w:t xml:space="preserve"> must contain </w:t>
      </w:r>
      <w:r>
        <w:rPr>
          <w:rStyle w:val="Code"/>
        </w:rPr>
        <w:t>&lt;g&gt;</w:t>
      </w:r>
      <w:r>
        <w:t>, not the other way round</w:t>
      </w:r>
    </w:p>
    <w:p w14:paraId="3E9524EC" w14:textId="77777777">
      <w:pPr>
        <w:pStyle w:val="Lista"/>
      </w:pPr>
      <w:r>
        <w:t xml:space="preserve">a single </w:t>
      </w:r>
      <w:r>
        <w:rPr>
          <w:rStyle w:val="Code"/>
        </w:rPr>
        <w:t>&lt;num&gt;</w:t>
      </w:r>
      <w:r>
        <w:t xml:space="preserve"> element wraps all of the numeral signs that together express a single number</w:t>
      </w:r>
    </w:p>
    <w:p w14:paraId="7AB63744" w14:textId="77777777">
      <w:pPr>
        <w:pStyle w:val="Lista"/>
      </w:pPr>
      <w:r>
        <w:lastRenderedPageBreak/>
        <w:t>examples of encoded numbers</w:t>
      </w:r>
    </w:p>
    <w:p w14:paraId="3B731B1F" w14:textId="71222759">
      <w:pPr>
        <w:pStyle w:val="Lista2"/>
      </w:pPr>
      <w:r>
        <w:t>“three” denoted by a numeral glyph</w:t>
      </w:r>
    </w:p>
    <w:p w14:paraId="49E451FF" w14:textId="77777777">
      <w:pPr>
        <w:pStyle w:val="Lista3"/>
      </w:pPr>
      <w:r>
        <w:rPr>
          <w:rStyle w:val="Code"/>
        </w:rPr>
        <w:t xml:space="preserve">&lt;num </w:t>
      </w:r>
      <w:r>
        <w:rPr>
          <w:rStyle w:val="Codeattribute"/>
        </w:rPr>
        <w:t>value</w:t>
      </w:r>
      <w:r>
        <w:rPr>
          <w:rStyle w:val="Code"/>
        </w:rPr>
        <w:t>=</w:t>
      </w:r>
      <w:r>
        <w:rPr>
          <w:rStyle w:val="Codevalue"/>
        </w:rPr>
        <w:t>"3"</w:t>
      </w:r>
      <w:r>
        <w:rPr>
          <w:rStyle w:val="Code"/>
        </w:rPr>
        <w:t>&gt;</w:t>
      </w:r>
      <w:r>
        <w:rPr>
          <w:rStyle w:val="Codetext"/>
        </w:rPr>
        <w:t>3</w:t>
      </w:r>
      <w:r>
        <w:rPr>
          <w:rStyle w:val="Code"/>
        </w:rPr>
        <w:t>&lt;/num&gt;</w:t>
      </w:r>
    </w:p>
    <w:p w14:paraId="572A8664" w14:textId="68A1B1E8">
      <w:pPr>
        <w:pStyle w:val="Lista2"/>
      </w:pPr>
      <w:r>
        <w:t xml:space="preserve">“three” denoted by three vertical bars </w:t>
      </w:r>
    </w:p>
    <w:p w14:paraId="1572939B" w14:textId="77777777">
      <w:pPr>
        <w:pStyle w:val="Lista3"/>
      </w:pPr>
      <w:r>
        <w:rPr>
          <w:rStyle w:val="Code"/>
        </w:rPr>
        <w:t xml:space="preserve">&lt;num </w:t>
      </w:r>
      <w:r>
        <w:rPr>
          <w:rStyle w:val="Codeattribute"/>
        </w:rPr>
        <w:t>value</w:t>
      </w:r>
      <w:r>
        <w:rPr>
          <w:rStyle w:val="Code"/>
        </w:rPr>
        <w:t>=</w:t>
      </w:r>
      <w:r>
        <w:rPr>
          <w:rStyle w:val="Codevalue"/>
        </w:rPr>
        <w:t>"3"</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III</w:t>
      </w:r>
      <w:r>
        <w:rPr>
          <w:rStyle w:val="Code"/>
        </w:rPr>
        <w:t>&lt;/g&gt;&lt;/num&gt;</w:t>
      </w:r>
    </w:p>
    <w:p w14:paraId="67955CA6" w14:textId="299E7ECE">
      <w:pPr>
        <w:pStyle w:val="Lista2"/>
      </w:pPr>
      <w:r>
        <w:t>“one hundred and twenty-three” written in place value notation</w:t>
      </w:r>
    </w:p>
    <w:p w14:paraId="6810471C" w14:textId="77777777">
      <w:pPr>
        <w:pStyle w:val="Lista3"/>
      </w:pPr>
      <w:r>
        <w:rPr>
          <w:rStyle w:val="Code"/>
        </w:rPr>
        <w:t xml:space="preserve">&lt;num </w:t>
      </w:r>
      <w:r>
        <w:rPr>
          <w:rStyle w:val="Codeattribute"/>
        </w:rPr>
        <w:t>value</w:t>
      </w:r>
      <w:r>
        <w:rPr>
          <w:rStyle w:val="Code"/>
        </w:rPr>
        <w:t>=</w:t>
      </w:r>
      <w:r>
        <w:rPr>
          <w:rStyle w:val="Codevalue"/>
        </w:rPr>
        <w:t>"123"</w:t>
      </w:r>
      <w:r>
        <w:rPr>
          <w:rStyle w:val="Code"/>
        </w:rPr>
        <w:t>&gt;</w:t>
      </w:r>
      <w:r>
        <w:rPr>
          <w:rStyle w:val="Codetext"/>
        </w:rPr>
        <w:t>123</w:t>
      </w:r>
      <w:r>
        <w:rPr>
          <w:rStyle w:val="Code"/>
        </w:rPr>
        <w:t>&lt;/num&gt;</w:t>
      </w:r>
    </w:p>
    <w:p w14:paraId="5384F236" w14:textId="52610792">
      <w:pPr>
        <w:pStyle w:val="Lista2"/>
      </w:pPr>
      <w:r>
        <w:t>“one hundred and twenty-three” written in additive notation as |100| + |20| + 3</w:t>
      </w:r>
    </w:p>
    <w:p w14:paraId="2E4CD0D1" w14:textId="77777777">
      <w:pPr>
        <w:pStyle w:val="Lista3"/>
      </w:pPr>
      <w:r>
        <w:rPr>
          <w:rStyle w:val="Code"/>
        </w:rPr>
        <w:t xml:space="preserve">&lt;num </w:t>
      </w:r>
      <w:r>
        <w:rPr>
          <w:rStyle w:val="Codeattribute"/>
        </w:rPr>
        <w:t>value</w:t>
      </w:r>
      <w:r>
        <w:rPr>
          <w:rStyle w:val="Code"/>
        </w:rPr>
        <w:t>=</w:t>
      </w:r>
      <w:r>
        <w:rPr>
          <w:rStyle w:val="Codevalue"/>
        </w:rPr>
        <w:t>"123"</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100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20</w:t>
      </w:r>
      <w:r>
        <w:rPr>
          <w:rStyle w:val="Code"/>
        </w:rPr>
        <w:t>&lt;/g&gt;</w:t>
      </w:r>
      <w:r>
        <w:rPr>
          <w:rStyle w:val="Codetext"/>
        </w:rPr>
        <w:t xml:space="preserve"> 3</w:t>
      </w:r>
      <w:r>
        <w:rPr>
          <w:rStyle w:val="Code"/>
        </w:rPr>
        <w:t>&lt;/num&gt;</w:t>
      </w:r>
    </w:p>
    <w:p w14:paraId="53F3BB8A" w14:textId="373AFB99">
      <w:pPr>
        <w:pStyle w:val="Lista2"/>
      </w:pPr>
      <w:r>
        <w:t xml:space="preserve">“eight thousand three hundred and ten” written in a combination of multiplicative and additive notation as |1000| × |8| + |100| × |3| + |10| (illustrated in </w:t>
      </w:r>
      <w:r>
        <w:fldChar w:fldCharType="begin"/>
      </w:r>
      <w:r>
        <w:instrText xml:space="preserve"> REF _Ref225952270 \h </w:instrText>
      </w:r>
      <w:r>
        <w:fldChar w:fldCharType="separate"/>
      </w:r>
      <w:r>
        <w:t xml:space="preserve">Exhibit </w:t>
      </w:r>
      <w:r>
        <w:rPr>
          <w:noProof/>
        </w:rPr>
        <w:t>5.3</w:t>
      </w:r>
      <w:r>
        <w:t>.</w:t>
      </w:r>
      <w:r>
        <w:rPr>
          <w:noProof/>
        </w:rPr>
        <w:t>B</w:t>
      </w:r>
      <w:r>
        <w:fldChar w:fldCharType="end"/>
      </w:r>
      <w:r>
        <w:t>)</w:t>
      </w:r>
    </w:p>
    <w:p w14:paraId="486E8043" w14:textId="77777777">
      <w:pPr>
        <w:pStyle w:val="Lista3"/>
      </w:pPr>
      <w:r>
        <w:rPr>
          <w:rStyle w:val="Code"/>
        </w:rPr>
        <w:t xml:space="preserve">&lt;num </w:t>
      </w:r>
      <w:r>
        <w:rPr>
          <w:rStyle w:val="Codeattribute"/>
        </w:rPr>
        <w:t>value</w:t>
      </w:r>
      <w:r>
        <w:rPr>
          <w:rStyle w:val="Code"/>
        </w:rPr>
        <w:t>=</w:t>
      </w:r>
      <w:r>
        <w:rPr>
          <w:rStyle w:val="Codevalue"/>
        </w:rPr>
        <w:t>"8310"</w:t>
      </w:r>
      <w:r>
        <w:rPr>
          <w:rStyle w:val="Code"/>
        </w:rPr>
        <w:t xml:space="preserve">&gt;&lt;g </w:t>
      </w:r>
      <w:r>
        <w:rPr>
          <w:rStyle w:val="Codeattribute"/>
        </w:rPr>
        <w:t>type=</w:t>
      </w:r>
      <w:r>
        <w:rPr>
          <w:rStyle w:val="Codevalue"/>
        </w:rPr>
        <w:t>"numeral"</w:t>
      </w:r>
      <w:r>
        <w:rPr>
          <w:rStyle w:val="Code"/>
        </w:rPr>
        <w:t>&gt;</w:t>
      </w:r>
      <w:r>
        <w:rPr>
          <w:rStyle w:val="Codetext"/>
        </w:rPr>
        <w:t>1000</w:t>
      </w:r>
      <w:r>
        <w:rPr>
          <w:rStyle w:val="Code"/>
        </w:rPr>
        <w:t>&lt;/g&gt;</w:t>
      </w:r>
      <w:r>
        <w:rPr>
          <w:rStyle w:val="Codetext"/>
        </w:rPr>
        <w:t xml:space="preserve"> 8 </w:t>
      </w:r>
      <w:r>
        <w:rPr>
          <w:rStyle w:val="Code"/>
        </w:rPr>
        <w:t xml:space="preserve">&lt;g </w:t>
      </w:r>
      <w:r>
        <w:rPr>
          <w:rStyle w:val="Codeattribute"/>
        </w:rPr>
        <w:t>type=</w:t>
      </w:r>
      <w:r>
        <w:rPr>
          <w:rStyle w:val="Codevalue"/>
        </w:rPr>
        <w:t>"numeral"</w:t>
      </w:r>
      <w:r>
        <w:rPr>
          <w:rStyle w:val="Code"/>
        </w:rPr>
        <w:t>&gt;</w:t>
      </w:r>
      <w:r>
        <w:rPr>
          <w:rStyle w:val="Codetext"/>
        </w:rPr>
        <w:t>100</w:t>
      </w:r>
      <w:r>
        <w:rPr>
          <w:rStyle w:val="Code"/>
        </w:rPr>
        <w:t>&lt;/g&gt;</w:t>
      </w:r>
      <w:r>
        <w:rPr>
          <w:rStyle w:val="Codetext"/>
        </w:rPr>
        <w:t xml:space="preserve"> 3 </w:t>
      </w:r>
      <w:r>
        <w:rPr>
          <w:rStyle w:val="Code"/>
        </w:rPr>
        <w:t xml:space="preserve">&lt;g </w:t>
      </w:r>
      <w:r>
        <w:rPr>
          <w:rStyle w:val="Codeattribute"/>
        </w:rPr>
        <w:t>type=</w:t>
      </w:r>
      <w:r>
        <w:rPr>
          <w:rStyle w:val="Codevalue"/>
        </w:rPr>
        <w:t>"numeral"</w:t>
      </w:r>
      <w:r>
        <w:rPr>
          <w:rStyle w:val="Code"/>
        </w:rPr>
        <w:t>&gt;</w:t>
      </w:r>
      <w:r>
        <w:rPr>
          <w:rStyle w:val="Codetext"/>
        </w:rPr>
        <w:t>10</w:t>
      </w:r>
      <w:r>
        <w:rPr>
          <w:rStyle w:val="Code"/>
        </w:rPr>
        <w:t>&lt;/g&gt;&lt;/num&gt;</w:t>
      </w:r>
    </w:p>
    <w:p w14:paraId="523B7017" w14:textId="396128B1">
      <w:pPr>
        <w:pStyle w:val="Lista2"/>
      </w:pPr>
      <w:r>
        <w:t>“ninety” written as the Khmer digit 80 and digit 10</w:t>
      </w:r>
    </w:p>
    <w:p w14:paraId="4D4815D2" w14:textId="77777777">
      <w:pPr>
        <w:pStyle w:val="Lista3"/>
      </w:pPr>
      <w:r>
        <w:rPr>
          <w:rStyle w:val="Code"/>
        </w:rPr>
        <w:t xml:space="preserve">&lt;num </w:t>
      </w:r>
      <w:r>
        <w:rPr>
          <w:rStyle w:val="Codeattribute"/>
        </w:rPr>
        <w:t>value</w:t>
      </w:r>
      <w:r>
        <w:rPr>
          <w:rStyle w:val="Code"/>
        </w:rPr>
        <w:t>=</w:t>
      </w:r>
      <w:r>
        <w:rPr>
          <w:rStyle w:val="Codevalue"/>
        </w:rPr>
        <w:t>"90"</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80</w:t>
      </w:r>
      <w:r>
        <w:rPr>
          <w:rStyle w:val="Code"/>
        </w:rPr>
        <w:t>&lt;/g&gt;</w:t>
      </w:r>
      <w:r>
        <w:rPr>
          <w:rStyle w:val="Codetext"/>
        </w:rP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10</w:t>
      </w:r>
      <w:r>
        <w:rPr>
          <w:rStyle w:val="Code"/>
        </w:rPr>
        <w:t>&lt;/g&gt;&lt;/num&gt;</w:t>
      </w:r>
    </w:p>
    <w:p w14:paraId="6179EF9B" w14:textId="6C8055E1">
      <w:pPr>
        <w:pStyle w:val="Lista2"/>
      </w:pPr>
      <w:r>
        <w:t>“one thousand” written with one sign for |1000|</w:t>
      </w:r>
    </w:p>
    <w:p w14:paraId="1DE9F0BE" w14:textId="77777777">
      <w:pPr>
        <w:pStyle w:val="Lista3"/>
      </w:pPr>
      <w:r>
        <w:rPr>
          <w:rStyle w:val="Code"/>
        </w:rPr>
        <w:t xml:space="preserve">&lt;num </w:t>
      </w:r>
      <w:r>
        <w:rPr>
          <w:rStyle w:val="Codeattribute"/>
        </w:rPr>
        <w:t>value</w:t>
      </w:r>
      <w:r>
        <w:rPr>
          <w:rStyle w:val="Code"/>
        </w:rPr>
        <w:t>=</w:t>
      </w:r>
      <w:r>
        <w:rPr>
          <w:rStyle w:val="Codevalue"/>
        </w:rPr>
        <w:t>"1000"</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1000</w:t>
      </w:r>
      <w:r>
        <w:rPr>
          <w:rStyle w:val="Code"/>
        </w:rPr>
        <w:t>&lt;/g&gt;&lt;/num&gt;</w:t>
      </w:r>
    </w:p>
    <w:p w14:paraId="32C55DED" w14:textId="4ABFE5B1">
      <w:pPr>
        <w:pStyle w:val="Lista2"/>
      </w:pPr>
      <w:r>
        <w:t>“one half” written with a single fraction sign</w:t>
      </w:r>
    </w:p>
    <w:p w14:paraId="58B109B7" w14:textId="77777777">
      <w:pPr>
        <w:pStyle w:val="Lista3"/>
      </w:pPr>
      <w:r>
        <w:rPr>
          <w:rStyle w:val="Code"/>
        </w:rPr>
        <w:t xml:space="preserve">&lt;num </w:t>
      </w:r>
      <w:r>
        <w:rPr>
          <w:rStyle w:val="Codeattribute"/>
        </w:rPr>
        <w:t>value</w:t>
      </w:r>
      <w:r>
        <w:rPr>
          <w:rStyle w:val="Code"/>
        </w:rPr>
        <w:t>=</w:t>
      </w:r>
      <w:r>
        <w:rPr>
          <w:rStyle w:val="Codevalue"/>
        </w:rPr>
        <w:t>"0.5"</w:t>
      </w:r>
      <w:r>
        <w:rPr>
          <w:rStyle w:val="Code"/>
        </w:rPr>
        <w:t>&gt;</w:t>
      </w:r>
      <w:r>
        <w:rPr>
          <w:rStyle w:val="Codetext"/>
        </w:rPr>
        <w:t>½</w:t>
      </w:r>
      <w:r>
        <w:rPr>
          <w:rStyle w:val="Code"/>
        </w:rPr>
        <w:t>&lt;/num&gt;</w:t>
      </w:r>
    </w:p>
    <w:p w14:paraId="1ACE894D" w14:textId="4A773245">
      <w:pPr>
        <w:pStyle w:val="Lista2"/>
      </w:pPr>
      <w:r>
        <w:t>“one eighth” written with a single fraction sign</w:t>
      </w:r>
    </w:p>
    <w:p w14:paraId="0075FDF5" w14:textId="77777777">
      <w:pPr>
        <w:pStyle w:val="Lista3"/>
      </w:pPr>
      <w:r>
        <w:rPr>
          <w:rStyle w:val="Code"/>
        </w:rPr>
        <w:t xml:space="preserve">&lt;num </w:t>
      </w:r>
      <w:r>
        <w:rPr>
          <w:rStyle w:val="Codeattribute"/>
        </w:rPr>
        <w:t>value</w:t>
      </w:r>
      <w:r>
        <w:rPr>
          <w:rStyle w:val="Code"/>
        </w:rPr>
        <w:t>=</w:t>
      </w:r>
      <w:r>
        <w:rPr>
          <w:rStyle w:val="Codevalue"/>
        </w:rPr>
        <w:t>"0.125"</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1/8</w:t>
      </w:r>
      <w:r>
        <w:rPr>
          <w:rStyle w:val="Code"/>
        </w:rPr>
        <w:t>&lt;/g&gt;&lt;/num&gt;</w:t>
      </w:r>
    </w:p>
    <w:p w14:paraId="499C4F35" w14:textId="49C543F8">
      <w:pPr>
        <w:pStyle w:val="Lista2"/>
      </w:pPr>
      <w:r>
        <w:t>“three and one third” written as a digit 3 and one sign standing for “one third”</w:t>
      </w:r>
    </w:p>
    <w:p w14:paraId="0C978EBB" w14:textId="77777777">
      <w:pPr>
        <w:pStyle w:val="Lista3"/>
      </w:pPr>
      <w:r>
        <w:rPr>
          <w:rStyle w:val="Code"/>
        </w:rPr>
        <w:t xml:space="preserve">&lt;num </w:t>
      </w:r>
      <w:r>
        <w:rPr>
          <w:rStyle w:val="Codeattribute"/>
        </w:rPr>
        <w:t>value</w:t>
      </w:r>
      <w:r>
        <w:rPr>
          <w:rStyle w:val="Code"/>
        </w:rPr>
        <w:t>=</w:t>
      </w:r>
      <w:r>
        <w:rPr>
          <w:rStyle w:val="Codevalue"/>
        </w:rPr>
        <w:t>"3.333"</w:t>
      </w:r>
      <w:r>
        <w:rPr>
          <w:rStyle w:val="Code"/>
        </w:rPr>
        <w:t>&gt;</w:t>
      </w:r>
      <w:r>
        <w:rPr>
          <w:rStyle w:val="Codetext"/>
        </w:rPr>
        <w:t>3 ⅓</w:t>
      </w:r>
      <w:r>
        <w:rPr>
          <w:rStyle w:val="Code"/>
        </w:rPr>
        <w:t>&lt;/num&gt;</w:t>
      </w:r>
    </w:p>
    <w:p w14:paraId="2D4B5F25" w14:textId="2AA7A429">
      <w:pPr>
        <w:pStyle w:val="Lista2"/>
        <w:rPr>
          <w:rFonts w:ascii="Gentium Plus" w:hAnsi="Gentium Plus" w:cs="Arial Unicode MS"/>
        </w:rPr>
      </w:pPr>
      <w:r>
        <w:t>“three and one eighth” written as a digit 3 and one sign standing for “one eighth”</w:t>
      </w:r>
    </w:p>
    <w:p w14:paraId="3F8DE5A9" w14:textId="77777777">
      <w:pPr>
        <w:pStyle w:val="Lista3"/>
        <w:rPr>
          <w:rStyle w:val="Code"/>
          <w:rFonts w:ascii="Gentium Plus" w:hAnsi="Gentium Plus" w:cs="Arial Unicode MS"/>
          <w:noProof w:val="0"/>
          <w:color w:val="auto"/>
          <w:shd w:val="clear" w:color="auto" w:fill="auto"/>
        </w:rPr>
      </w:pPr>
      <w:r>
        <w:rPr>
          <w:rStyle w:val="Code"/>
        </w:rPr>
        <w:t xml:space="preserve">&lt;num </w:t>
      </w:r>
      <w:r>
        <w:rPr>
          <w:rStyle w:val="Codeattribute"/>
        </w:rPr>
        <w:t>value</w:t>
      </w:r>
      <w:r>
        <w:rPr>
          <w:rStyle w:val="Code"/>
        </w:rPr>
        <w:t>=</w:t>
      </w:r>
      <w:r>
        <w:rPr>
          <w:rStyle w:val="Codevalue"/>
        </w:rPr>
        <w:t>"3.125"</w:t>
      </w:r>
      <w:r>
        <w:rPr>
          <w:rStyle w:val="Code"/>
        </w:rPr>
        <w:t>&gt;</w:t>
      </w:r>
      <w:r>
        <w:rPr>
          <w:rStyle w:val="Codetext"/>
        </w:rPr>
        <w:t xml:space="preserve">3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1/8</w:t>
      </w:r>
      <w:r>
        <w:rPr>
          <w:rStyle w:val="Code"/>
        </w:rPr>
        <w:t>&lt;/g&gt;&lt;/num&gt;</w:t>
      </w:r>
    </w:p>
    <w:p w14:paraId="41B0485B" w14:textId="67B39348">
      <w:pPr>
        <w:pStyle w:val="Lista2"/>
      </w:pPr>
      <w:r>
        <w:t xml:space="preserve">see also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p>
    <w:p w14:paraId="22D49B3C" w14:textId="77777777"/>
    <w:tbl>
      <w:tblPr>
        <w:tblStyle w:val="CodeSampleTable"/>
        <w:tblW w:w="5000" w:type="pct"/>
        <w:tblLook w:val="04A0" w:firstRow="1" w:lastRow="0" w:firstColumn="1" w:lastColumn="0" w:noHBand="0" w:noVBand="1"/>
      </w:tblPr>
      <w:tblGrid>
        <w:gridCol w:w="9628"/>
      </w:tblGrid>
      <w:tr w14:paraId="20A6779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1540DE9" w14:textId="2B14FF41">
            <w:pPr>
              <w:pStyle w:val="Kpalrs"/>
            </w:pPr>
            <w:bookmarkStart w:id="767" w:name="_du4pk4npc5nc" w:colFirst="0" w:colLast="0"/>
            <w:bookmarkStart w:id="768" w:name="_Ref182560821"/>
            <w:bookmarkEnd w:id="767"/>
            <w:r>
              <w:t xml:space="preserve">Exhibit </w:t>
            </w:r>
            <w:fldSimple w:instr=" STYLEREF 2 \s ">
              <w:r>
                <w:rPr>
                  <w:noProof/>
                </w:rPr>
                <w:t>9.1</w:t>
              </w:r>
            </w:fldSimple>
            <w:r>
              <w:t>.</w:t>
            </w:r>
            <w:fldSimple w:instr=" SEQ Exhibit \* ALPHABETIC \s 2 ">
              <w:r>
                <w:rPr>
                  <w:noProof/>
                </w:rPr>
                <w:t>A</w:t>
              </w:r>
            </w:fldSimple>
            <w:bookmarkEnd w:id="768"/>
            <w:r>
              <w:t>: numerals in a date with full encoding</w:t>
            </w:r>
          </w:p>
        </w:tc>
      </w:tr>
      <w:tr w14:paraId="66FAF1DE" w14:textId="77777777">
        <w:tc>
          <w:tcPr>
            <w:tcW w:w="5000" w:type="pct"/>
            <w:vAlign w:val="center"/>
          </w:tcPr>
          <w:p w14:paraId="2D45B9F0" w14:textId="77777777">
            <w:pPr>
              <w:pStyle w:val="Image"/>
              <w:rPr>
                <w:rStyle w:val="Code"/>
              </w:rPr>
            </w:pPr>
            <w:r>
              <w:drawing>
                <wp:inline distT="0" distB="0" distL="0" distR="0" wp14:anchorId="535901BF" wp14:editId="18A4CDE9">
                  <wp:extent cx="6114415" cy="1194435"/>
                  <wp:effectExtent l="0" t="0" r="635" b="5715"/>
                  <wp:docPr id="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114415" cy="1194435"/>
                          </a:xfrm>
                          <a:prstGeom prst="rect">
                            <a:avLst/>
                          </a:prstGeom>
                          <a:noFill/>
                          <a:ln>
                            <a:noFill/>
                          </a:ln>
                        </pic:spPr>
                      </pic:pic>
                    </a:graphicData>
                  </a:graphic>
                </wp:inline>
              </w:drawing>
            </w:r>
          </w:p>
        </w:tc>
      </w:tr>
      <w:tr w14:paraId="469B2EC8" w14:textId="77777777">
        <w:tc>
          <w:tcPr>
            <w:tcW w:w="5000" w:type="pct"/>
          </w:tcPr>
          <w:p w14:paraId="441DCF01" w14:textId="77777777">
            <w:pPr>
              <w:pStyle w:val="CodeParagraph"/>
              <w:keepNext/>
              <w:rPr>
                <w:rStyle w:val="Code"/>
              </w:rPr>
            </w:pPr>
            <w:r>
              <w:rPr>
                <w:rStyle w:val="Code"/>
              </w:rPr>
              <w:t>&lt;abbr&gt;</w:t>
            </w:r>
            <w:r>
              <w:rPr>
                <w:rStyle w:val="Codetext"/>
              </w:rPr>
              <w:t>saṁ</w:t>
            </w:r>
            <w:r>
              <w:rPr>
                <w:rStyle w:val="Code"/>
              </w:rPr>
              <w:t xml:space="preserve">&lt;/abbr&gt; &lt;num </w:t>
            </w:r>
            <w:r>
              <w:rPr>
                <w:rStyle w:val="Codeattribute"/>
              </w:rPr>
              <w:t>value=</w:t>
            </w:r>
            <w:r>
              <w:rPr>
                <w:rStyle w:val="Codevalue"/>
              </w:rPr>
              <w:t>"18"</w:t>
            </w:r>
            <w:r>
              <w:rPr>
                <w:rStyle w:val="Code"/>
              </w:rPr>
              <w:t xml:space="preserve">&gt;&lt;g </w:t>
            </w:r>
            <w:r>
              <w:rPr>
                <w:rStyle w:val="Codeattribute"/>
              </w:rPr>
              <w:t>type=</w:t>
            </w:r>
            <w:r>
              <w:rPr>
                <w:rStyle w:val="Codevalue"/>
              </w:rPr>
              <w:t>"numeral"</w:t>
            </w:r>
            <w:r>
              <w:rPr>
                <w:rStyle w:val="Code"/>
              </w:rPr>
              <w:t>&gt;</w:t>
            </w:r>
            <w:r>
              <w:rPr>
                <w:rStyle w:val="Codetext"/>
              </w:rPr>
              <w:t>10</w:t>
            </w:r>
            <w:r>
              <w:rPr>
                <w:rStyle w:val="Code"/>
              </w:rPr>
              <w:t>&lt;/g&gt;</w:t>
            </w:r>
            <w:r>
              <w:rPr>
                <w:rStyle w:val="Codetext"/>
              </w:rPr>
              <w:t xml:space="preserve"> 8</w:t>
            </w:r>
            <w:r>
              <w:rPr>
                <w:rStyle w:val="Code"/>
              </w:rPr>
              <w:t>&lt;/num&gt; &lt;abbr&gt;</w:t>
            </w:r>
            <w:r>
              <w:rPr>
                <w:rStyle w:val="Codetext"/>
              </w:rPr>
              <w:t>he</w:t>
            </w:r>
            <w:r>
              <w:rPr>
                <w:rStyle w:val="Code"/>
              </w:rPr>
              <w:t xml:space="preserve">&lt;/abbr&gt; &lt;num </w:t>
            </w:r>
            <w:r>
              <w:rPr>
                <w:rStyle w:val="Codeattribute"/>
              </w:rPr>
              <w:t>value=</w:t>
            </w:r>
            <w:r>
              <w:rPr>
                <w:rStyle w:val="Codevalue"/>
              </w:rPr>
              <w:t>"8"</w:t>
            </w:r>
            <w:r>
              <w:rPr>
                <w:rStyle w:val="Code"/>
              </w:rPr>
              <w:t>&gt;</w:t>
            </w:r>
            <w:r>
              <w:rPr>
                <w:rStyle w:val="Codetext"/>
              </w:rPr>
              <w:t>8</w:t>
            </w:r>
            <w:r>
              <w:rPr>
                <w:rStyle w:val="Code"/>
              </w:rPr>
              <w:t>&lt;/num&gt; &lt;abbr&gt;</w:t>
            </w:r>
            <w:r>
              <w:rPr>
                <w:rStyle w:val="Codetext"/>
              </w:rPr>
              <w:t>di</w:t>
            </w:r>
            <w:r>
              <w:rPr>
                <w:rStyle w:val="Code"/>
              </w:rPr>
              <w:t xml:space="preserve">&lt;/abbr&gt; &lt;num </w:t>
            </w:r>
            <w:r>
              <w:rPr>
                <w:rStyle w:val="Codeattribute"/>
              </w:rPr>
              <w:t>value=</w:t>
            </w:r>
            <w:r>
              <w:rPr>
                <w:rStyle w:val="Codevalue"/>
              </w:rPr>
              <w:t>"15"</w:t>
            </w:r>
            <w:r>
              <w:rPr>
                <w:rStyle w:val="Code"/>
              </w:rPr>
              <w:t xml:space="preserve">&gt;&lt;g </w:t>
            </w:r>
            <w:r>
              <w:rPr>
                <w:rStyle w:val="Codeattribute"/>
              </w:rPr>
              <w:t>type=</w:t>
            </w:r>
            <w:r>
              <w:rPr>
                <w:rStyle w:val="Codevalue"/>
              </w:rPr>
              <w:t>"numeral"</w:t>
            </w:r>
            <w:r>
              <w:rPr>
                <w:rStyle w:val="Code"/>
              </w:rPr>
              <w:t>&gt;</w:t>
            </w:r>
            <w:r>
              <w:rPr>
                <w:rStyle w:val="Codetext"/>
              </w:rPr>
              <w:t>10</w:t>
            </w:r>
            <w:r>
              <w:rPr>
                <w:rStyle w:val="Code"/>
              </w:rPr>
              <w:t xml:space="preserve">&lt;/g&gt; </w:t>
            </w:r>
            <w:r>
              <w:rPr>
                <w:rStyle w:val="Codetext"/>
              </w:rPr>
              <w:t>5</w:t>
            </w:r>
            <w:r>
              <w:rPr>
                <w:rStyle w:val="Code"/>
              </w:rPr>
              <w:t>&lt;/num&gt;</w:t>
            </w:r>
          </w:p>
        </w:tc>
      </w:tr>
      <w:tr w14:paraId="066B20AB" w14:textId="77777777">
        <w:tc>
          <w:tcPr>
            <w:tcW w:w="5000" w:type="pct"/>
          </w:tcPr>
          <w:p w14:paraId="4A5E8B31" w14:textId="77777777">
            <w:pPr>
              <w:pStyle w:val="TableNote"/>
            </w:pPr>
            <w:r>
              <w:t xml:space="preserve">the date is </w:t>
            </w:r>
            <w:r>
              <w:rPr>
                <w:rStyle w:val="Foreign"/>
              </w:rPr>
              <w:t>saṁ 18 he 8 di 15</w:t>
            </w:r>
            <w:r>
              <w:t>, meaning the 15</w:t>
            </w:r>
            <w:r>
              <w:rPr>
                <w:vertAlign w:val="superscript"/>
              </w:rPr>
              <w:t>th</w:t>
            </w:r>
            <w:r>
              <w:t xml:space="preserve"> day </w:t>
            </w:r>
            <w:r>
              <w:rPr>
                <w:noProof/>
              </w:rPr>
              <w:t>(</w:t>
            </w:r>
            <w:r>
              <w:rPr>
                <w:rStyle w:val="Foreign"/>
              </w:rPr>
              <w:t>divasa</w:t>
            </w:r>
            <w:r>
              <w:t>) of the 8</w:t>
            </w:r>
            <w:r>
              <w:rPr>
                <w:vertAlign w:val="superscript"/>
              </w:rPr>
              <w:t>th</w:t>
            </w:r>
            <w:r>
              <w:t xml:space="preserve"> fortnight of the cold season </w:t>
            </w:r>
            <w:r>
              <w:rPr>
                <w:noProof/>
              </w:rPr>
              <w:t>(</w:t>
            </w:r>
            <w:r>
              <w:rPr>
                <w:rStyle w:val="Foreign"/>
              </w:rPr>
              <w:t>hemanta</w:t>
            </w:r>
            <w:r>
              <w:t xml:space="preserve">) in the year </w:t>
            </w:r>
            <w:r>
              <w:rPr>
                <w:noProof/>
              </w:rPr>
              <w:t>(</w:t>
            </w:r>
            <w:r>
              <w:rPr>
                <w:rStyle w:val="Foreign"/>
              </w:rPr>
              <w:t>saṁvat</w:t>
            </w:r>
            <w:r>
              <w:t>) 18</w:t>
            </w:r>
          </w:p>
          <w:p w14:paraId="280EBD28" w14:textId="77777777">
            <w:pPr>
              <w:pStyle w:val="TableNote"/>
            </w:pPr>
            <w:r>
              <w:t xml:space="preserve">the glyphs representing the numeral 10 are wrapped in </w:t>
            </w:r>
            <w:r>
              <w:rPr>
                <w:rStyle w:val="Code"/>
              </w:rPr>
              <w:t>&lt;g&gt;</w:t>
            </w:r>
            <w:r>
              <w:t xml:space="preserve"> and are separated by a space from the adjacent text as well as from the adjacent numeric characters representing decimal digits</w:t>
            </w:r>
          </w:p>
          <w:p w14:paraId="587B5FA7" w14:textId="25BF396D">
            <w:pPr>
              <w:pStyle w:val="TableNote"/>
            </w:pPr>
            <w:r>
              <w:t xml:space="preserve">for encoding the value of a number with </w:t>
            </w:r>
            <w:r>
              <w:rPr>
                <w:rStyle w:val="Code"/>
              </w:rPr>
              <w:t>&lt;num&gt;</w:t>
            </w:r>
            <w:r>
              <w:t>, see §</w:t>
            </w:r>
            <w:r>
              <w:fldChar w:fldCharType="begin"/>
            </w:r>
            <w:r>
              <w:instrText xml:space="preserve"> REF _Ref43980607 \r \h </w:instrText>
            </w:r>
            <w:r>
              <w:fldChar w:fldCharType="separate"/>
            </w:r>
            <w:r>
              <w:t>9.1</w:t>
            </w:r>
            <w:r>
              <w:fldChar w:fldCharType="end"/>
            </w:r>
          </w:p>
          <w:p w14:paraId="10116562" w14:textId="1D5E173B">
            <w:pPr>
              <w:pStyle w:val="TableNote"/>
            </w:pPr>
            <w:r>
              <w:t>for the encoding of abbreviations, see §</w:t>
            </w:r>
            <w:r>
              <w:fldChar w:fldCharType="begin"/>
            </w:r>
            <w:r>
              <w:instrText xml:space="preserve"> REF _Ref43989327 \r \h </w:instrText>
            </w:r>
            <w:r>
              <w:fldChar w:fldCharType="separate"/>
            </w:r>
            <w:r>
              <w:t>8.2.2</w:t>
            </w:r>
            <w:r>
              <w:fldChar w:fldCharType="end"/>
            </w:r>
          </w:p>
        </w:tc>
      </w:tr>
    </w:tbl>
    <w:p w14:paraId="56D0FF36" w14:textId="77777777">
      <w:pPr>
        <w:pStyle w:val="Cmsor4"/>
      </w:pPr>
      <w:bookmarkStart w:id="769" w:name="_Ref72139759"/>
      <w:r>
        <w:t>Numbers expressed in words</w:t>
      </w:r>
      <w:bookmarkEnd w:id="769"/>
    </w:p>
    <w:p w14:paraId="2ADB9236" w14:textId="77777777">
      <w:pPr>
        <w:pStyle w:val="Lista"/>
      </w:pPr>
      <w:r>
        <w:t xml:space="preserve">words expressing numbers may be optionally encoded with </w:t>
      </w:r>
      <w:r>
        <w:rPr>
          <w:rStyle w:val="Code"/>
        </w:rPr>
        <w:t>&lt;num&gt;</w:t>
      </w:r>
      <w:r>
        <w:t>, including</w:t>
      </w:r>
    </w:p>
    <w:p w14:paraId="4484E20E" w14:textId="77777777">
      <w:pPr>
        <w:pStyle w:val="Lista2"/>
      </w:pPr>
      <w:r>
        <w:t xml:space="preserve">numbers spelled out in words such as </w:t>
      </w:r>
      <w:r>
        <w:rPr>
          <w:rStyle w:val="Foreign"/>
        </w:rPr>
        <w:t>ekaḥ</w:t>
      </w:r>
      <w:r>
        <w:t xml:space="preserve"> and </w:t>
      </w:r>
      <w:r>
        <w:rPr>
          <w:rStyle w:val="Foreign"/>
        </w:rPr>
        <w:t>aṣṭottaraśataṁ</w:t>
      </w:r>
    </w:p>
    <w:p w14:paraId="38E11505" w14:textId="77777777">
      <w:pPr>
        <w:pStyle w:val="Lista2"/>
      </w:pPr>
      <w:r>
        <w:t xml:space="preserve">“coded” numbers </w:t>
      </w:r>
      <w:r>
        <w:rPr>
          <w:noProof/>
        </w:rPr>
        <w:t>(</w:t>
      </w:r>
      <w:r>
        <w:rPr>
          <w:rStyle w:val="Foreign"/>
        </w:rPr>
        <w:t>bhūtasaṁkhyā</w:t>
      </w:r>
      <w:r>
        <w:t xml:space="preserve">, </w:t>
      </w:r>
      <w:r>
        <w:rPr>
          <w:rStyle w:val="Foreign"/>
        </w:rPr>
        <w:t>candrasengkala</w:t>
      </w:r>
      <w:r>
        <w:rPr>
          <w:noProof/>
        </w:rPr>
        <w:t>/</w:t>
      </w:r>
      <w:r>
        <w:rPr>
          <w:rStyle w:val="Foreign"/>
        </w:rPr>
        <w:t>sengkalan</w:t>
      </w:r>
      <w:r>
        <w:t>) as used for example in chronograms</w:t>
      </w:r>
    </w:p>
    <w:p w14:paraId="2DF023CE" w14:textId="77777777">
      <w:pPr>
        <w:pStyle w:val="Lista"/>
      </w:pPr>
      <w:r>
        <w:t xml:space="preserve">when a number is expressed in multiple words, preferably tag the entire phrase with </w:t>
      </w:r>
      <w:r>
        <w:rPr>
          <w:rStyle w:val="Code"/>
        </w:rPr>
        <w:t>&lt;num&gt;</w:t>
      </w:r>
      <w:r>
        <w:t xml:space="preserve"> and encode the total value as its </w:t>
      </w:r>
      <w:r>
        <w:rPr>
          <w:rStyle w:val="Codeattribute"/>
        </w:rPr>
        <w:t>@value</w:t>
      </w:r>
    </w:p>
    <w:p w14:paraId="709A5825" w14:textId="77777777">
      <w:pPr>
        <w:pStyle w:val="Lista2"/>
      </w:pPr>
      <w:r>
        <w:t xml:space="preserve">in such cases, words not in themselves expressing a number may be included within the scope of </w:t>
      </w:r>
      <w:r>
        <w:rPr>
          <w:rStyle w:val="Code"/>
        </w:rPr>
        <w:t>&lt;num&gt;</w:t>
      </w:r>
      <w:r>
        <w:t xml:space="preserve"> if they are intermingled with numeral words</w:t>
      </w:r>
    </w:p>
    <w:p w14:paraId="6C347A20" w14:textId="77777777">
      <w:pPr>
        <w:pStyle w:val="Lista2"/>
      </w:pPr>
      <w:r>
        <w:lastRenderedPageBreak/>
        <w:t>note that numeral expressions extending across block-level elements (such as verse lines) cannot be tagged in this way without complicated encoding that we prefer to avoid</w:t>
      </w:r>
    </w:p>
    <w:p w14:paraId="343E130A" w14:textId="77777777">
      <w:pPr>
        <w:pStyle w:val="Lista"/>
      </w:pPr>
      <w:r>
        <w:t xml:space="preserve">adding </w:t>
      </w:r>
      <w:r>
        <w:rPr>
          <w:rStyle w:val="Code"/>
        </w:rPr>
        <w:t>&lt;num&gt;</w:t>
      </w:r>
      <w:r>
        <w:t xml:space="preserve"> is recommended for numbers expressed with a combination of words and numeral signs, e.g.</w:t>
      </w:r>
    </w:p>
    <w:p w14:paraId="4C6D3263" w14:textId="77777777">
      <w:pPr>
        <w:pStyle w:val="Lista2"/>
      </w:pPr>
      <w:r>
        <w:rPr>
          <w:rStyle w:val="Code"/>
        </w:rPr>
        <w:t xml:space="preserve">&lt;num </w:t>
      </w:r>
      <w:r>
        <w:rPr>
          <w:rStyle w:val="Codeattribute"/>
        </w:rPr>
        <w:t>value</w:t>
      </w:r>
      <w:r>
        <w:rPr>
          <w:rStyle w:val="Code"/>
        </w:rPr>
        <w:t>="</w:t>
      </w:r>
      <w:r>
        <w:rPr>
          <w:rStyle w:val="Codevalue"/>
        </w:rPr>
        <w:t>557</w:t>
      </w:r>
      <w:r>
        <w:rPr>
          <w:rStyle w:val="Code"/>
        </w:rPr>
        <w:t>"&gt;</w:t>
      </w:r>
      <w:r>
        <w:rPr>
          <w:rStyle w:val="Codetext"/>
        </w:rPr>
        <w:t xml:space="preserve">slik·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I</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100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40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10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7</w:t>
      </w:r>
      <w:r>
        <w:rPr>
          <w:rStyle w:val="Code"/>
        </w:rPr>
        <w:t>&lt;g&gt;&lt;/num&gt;</w:t>
      </w:r>
    </w:p>
    <w:p w14:paraId="1432CBF2" w14:textId="77777777">
      <w:pPr>
        <w:pStyle w:val="Lista2"/>
      </w:pPr>
      <w:r>
        <w:rPr>
          <w:rStyle w:val="Code"/>
        </w:rPr>
        <w:t xml:space="preserve">&lt;num </w:t>
      </w:r>
      <w:r>
        <w:rPr>
          <w:rStyle w:val="Codeattribute"/>
        </w:rPr>
        <w:t>value</w:t>
      </w:r>
      <w:r>
        <w:rPr>
          <w:rStyle w:val="Code"/>
        </w:rPr>
        <w:t>="</w:t>
      </w:r>
      <w:r>
        <w:rPr>
          <w:rStyle w:val="Codevalue"/>
        </w:rPr>
        <w:t>186</w:t>
      </w:r>
      <w:r>
        <w:rPr>
          <w:rStyle w:val="Code"/>
        </w:rPr>
        <w:t>"&gt;</w:t>
      </w:r>
      <w:r>
        <w:rPr>
          <w:rStyle w:val="Codetext"/>
        </w:rPr>
        <w:t>sā rutuḥ 86</w:t>
      </w:r>
      <w:r>
        <w:rPr>
          <w:rStyle w:val="Code"/>
        </w:rPr>
        <w:t>&lt;/num&gt;</w:t>
      </w:r>
    </w:p>
    <w:p w14:paraId="7BC6BD6E" w14:textId="77777777">
      <w:pPr>
        <w:pStyle w:val="Cmsor3"/>
      </w:pPr>
      <w:bookmarkStart w:id="770" w:name="_Ref231892505"/>
      <w:bookmarkStart w:id="771" w:name="_Toc242889578"/>
      <w:r>
        <w:t>Difficulties in reading numbers</w:t>
      </w:r>
      <w:bookmarkEnd w:id="770"/>
      <w:bookmarkEnd w:id="771"/>
    </w:p>
    <w:p w14:paraId="125E1FD9" w14:textId="52F831B6">
      <w:pPr>
        <w:pStyle w:val="Lista"/>
      </w:pPr>
      <w:r>
        <w:t xml:space="preserve">problems with reading numeral signs </w:t>
      </w:r>
      <w:r>
        <w:rPr>
          <w:noProof/>
        </w:rPr>
        <w:t>(</w:t>
      </w:r>
      <w:r>
        <w:t xml:space="preserve">e.g. lacunae, unclear and ambivalent readings) can and must be marked up in the same way as other legibility issues </w:t>
      </w:r>
      <w:r>
        <w:rPr>
          <w:noProof/>
        </w:rPr>
        <w:t>(</w:t>
      </w:r>
      <w:r>
        <w:t>§</w:t>
      </w:r>
      <w:r>
        <w:fldChar w:fldCharType="begin"/>
      </w:r>
      <w:r>
        <w:instrText xml:space="preserve"> REF _Ref231895504 \r \h </w:instrText>
      </w:r>
      <w:r>
        <w:fldChar w:fldCharType="separate"/>
      </w:r>
      <w:r>
        <w:t>6</w:t>
      </w:r>
      <w:r>
        <w:fldChar w:fldCharType="end"/>
      </w:r>
      <w:r>
        <w:t>)</w:t>
      </w:r>
    </w:p>
    <w:p w14:paraId="3FF8771D" w14:textId="77777777">
      <w:pPr>
        <w:pStyle w:val="Lista"/>
      </w:pPr>
      <w:r>
        <w:t>if a numeral sign is unclear or ambivalent, the applicable tags must be placed</w:t>
      </w:r>
    </w:p>
    <w:p w14:paraId="39FE5E9D" w14:textId="77777777">
      <w:pPr>
        <w:pStyle w:val="Lista2"/>
      </w:pPr>
      <w:r>
        <w:t xml:space="preserve">outside any </w:t>
      </w:r>
      <w:r>
        <w:rPr>
          <w:rStyle w:val="Code"/>
        </w:rPr>
        <w:t>&lt;g&gt;</w:t>
      </w:r>
      <w:r>
        <w:t xml:space="preserve"> elements applied to numeral characters</w:t>
      </w:r>
    </w:p>
    <w:p w14:paraId="6E808706" w14:textId="77777777">
      <w:pPr>
        <w:pStyle w:val="Lista2"/>
      </w:pPr>
      <w:r>
        <w:t xml:space="preserve">but inside the </w:t>
      </w:r>
      <w:r>
        <w:rPr>
          <w:rStyle w:val="Code"/>
        </w:rPr>
        <w:t>&lt;num&gt;</w:t>
      </w:r>
      <w:r>
        <w:t xml:space="preserve"> element that wraps numbers as a whole</w:t>
      </w:r>
    </w:p>
    <w:p w14:paraId="53C8D0CA" w14:textId="17A40909">
      <w:pPr>
        <w:pStyle w:val="Lista"/>
      </w:pPr>
      <w:r>
        <w:t xml:space="preserve">numbers whose reading is problematic will usually not have a definite value that you can encode in the </w:t>
      </w:r>
      <w:r>
        <w:rPr>
          <w:rStyle w:val="Code"/>
        </w:rPr>
        <w:t>&lt;num&gt;</w:t>
      </w:r>
      <w:r>
        <w:t xml:space="preserve"> element; to deal with this problem, choose one of the methods in the </w:t>
      </w:r>
      <w:r>
        <w:t>following</w:t>
      </w:r>
      <w:r>
        <w:t xml:space="preserve"> subsections</w:t>
      </w:r>
    </w:p>
    <w:p w14:paraId="59FEA687" w14:textId="77777777">
      <w:pPr>
        <w:pStyle w:val="Lista2"/>
      </w:pPr>
      <w:r>
        <w:t>whichever method you use, possible values and their relative probabilities may be elaborated in your annotation</w:t>
      </w:r>
    </w:p>
    <w:p w14:paraId="19477E62" w14:textId="77777777">
      <w:pPr>
        <w:pStyle w:val="Cmsor4"/>
      </w:pPr>
      <w:r>
        <w:t>Range of values</w:t>
      </w:r>
    </w:p>
    <w:p w14:paraId="66C83A4F" w14:textId="77777777">
      <w:r>
        <w:t>If you can establish a range that covers the possible values of a problematic numeral, encode as follows.</w:t>
      </w:r>
    </w:p>
    <w:p w14:paraId="2A71D832" w14:textId="77777777">
      <w:pPr>
        <w:pStyle w:val="Lista"/>
      </w:pPr>
      <w:r>
        <w:t xml:space="preserve">instead of the attribute </w:t>
      </w:r>
      <w:r>
        <w:rPr>
          <w:rStyle w:val="Codeattribute"/>
        </w:rPr>
        <w:t>@value</w:t>
      </w:r>
      <w:r>
        <w:t xml:space="preserve">, use </w:t>
      </w:r>
      <w:r>
        <w:rPr>
          <w:rStyle w:val="Codeattribute"/>
        </w:rPr>
        <w:t>@atLeast</w:t>
      </w:r>
      <w:r>
        <w:t xml:space="preserve"> and </w:t>
      </w:r>
      <w:r>
        <w:rPr>
          <w:rStyle w:val="Codeattribute"/>
        </w:rPr>
        <w:t>@atMost</w:t>
      </w:r>
      <w:r>
        <w:t xml:space="preserve"> in the </w:t>
      </w:r>
      <w:r>
        <w:rPr>
          <w:rStyle w:val="Code"/>
        </w:rPr>
        <w:t>&lt;num&gt;</w:t>
      </w:r>
      <w:r>
        <w:t xml:space="preserve"> element to record the lowest and highest possible value of the number as a whole</w:t>
      </w:r>
    </w:p>
    <w:p w14:paraId="6C7FB46D" w14:textId="77777777">
      <w:pPr>
        <w:pStyle w:val="Lista2"/>
      </w:pPr>
      <w:r>
        <w:t xml:space="preserve">e.g. for three digits in place value notation, where the first two digits are 1 and 0, and the last digit is illegible: </w:t>
      </w:r>
      <w:r>
        <w:rPr>
          <w:rStyle w:val="Code"/>
        </w:rPr>
        <w:t xml:space="preserve">&lt;num </w:t>
      </w:r>
      <w:r>
        <w:rPr>
          <w:rStyle w:val="Codeattribute"/>
        </w:rPr>
        <w:t>atLeast</w:t>
      </w:r>
      <w:r>
        <w:rPr>
          <w:rStyle w:val="Code"/>
        </w:rPr>
        <w:t>=</w:t>
      </w:r>
      <w:r>
        <w:rPr>
          <w:rStyle w:val="Codevalue"/>
        </w:rPr>
        <w:t>"101"</w:t>
      </w:r>
      <w:r>
        <w:rPr>
          <w:rStyle w:val="Code"/>
        </w:rPr>
        <w:t xml:space="preserve"> </w:t>
      </w:r>
      <w:r>
        <w:rPr>
          <w:rStyle w:val="Codeattribute"/>
        </w:rPr>
        <w:t>atMost</w:t>
      </w:r>
      <w:r>
        <w:rPr>
          <w:rStyle w:val="Code"/>
        </w:rPr>
        <w:t>=</w:t>
      </w:r>
      <w:r>
        <w:rPr>
          <w:rStyle w:val="Codevalue"/>
        </w:rPr>
        <w:t>"109"</w:t>
      </w:r>
      <w:r>
        <w:rPr>
          <w:rStyle w:val="Code"/>
        </w:rPr>
        <w:t>&gt;</w:t>
      </w:r>
      <w:r>
        <w:rPr>
          <w:rStyle w:val="Codetext"/>
        </w:rPr>
        <w:t>10</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/&gt;&lt;/num&gt;</w:t>
      </w:r>
    </w:p>
    <w:p w14:paraId="7A39B7A0" w14:textId="77777777">
      <w:pPr>
        <w:pStyle w:val="Lista"/>
      </w:pPr>
      <w:r>
        <w:t>because of its relative simplicity, this method is also recommended for situations where only some figures in a relatively limited range are possible</w:t>
      </w:r>
    </w:p>
    <w:p w14:paraId="1346630C" w14:textId="77777777">
      <w:pPr>
        <w:pStyle w:val="Lista2"/>
        <w:rPr>
          <w:rStyle w:val="Code"/>
          <w:rFonts w:ascii="Gentium" w:hAnsi="Gentium" w:cs="Tiro Devanagari Sanskrit"/>
          <w:noProof w:val="0"/>
          <w:color w:val="auto"/>
          <w:shd w:val="clear" w:color="auto" w:fill="auto"/>
        </w:rPr>
      </w:pPr>
      <w:r>
        <w:t xml:space="preserve">e.g. for an unclear numeral sign that may be 80 or 90 with equal likelihood: </w:t>
      </w:r>
      <w:r>
        <w:rPr>
          <w:rStyle w:val="Code"/>
        </w:rPr>
        <w:t xml:space="preserve">&lt;num </w:t>
      </w:r>
      <w:r>
        <w:rPr>
          <w:rStyle w:val="Codeattribute"/>
        </w:rPr>
        <w:t>atLeast</w:t>
      </w:r>
      <w:r>
        <w:rPr>
          <w:rStyle w:val="Code"/>
        </w:rPr>
        <w:t>=</w:t>
      </w:r>
      <w:r>
        <w:rPr>
          <w:rStyle w:val="Codevalue"/>
        </w:rPr>
        <w:t>"80"</w:t>
      </w:r>
      <w:r>
        <w:rPr>
          <w:rStyle w:val="Code"/>
        </w:rPr>
        <w:t xml:space="preserve"> </w:t>
      </w:r>
      <w:r>
        <w:rPr>
          <w:rStyle w:val="Codeattribute"/>
        </w:rPr>
        <w:t>atMost</w:t>
      </w:r>
      <w:r>
        <w:rPr>
          <w:rStyle w:val="Code"/>
        </w:rPr>
        <w:t>=</w:t>
      </w:r>
      <w:r>
        <w:rPr>
          <w:rStyle w:val="Codevalue"/>
        </w:rPr>
        <w:t>"90"</w:t>
      </w:r>
      <w:r>
        <w:rPr>
          <w:rStyle w:val="Code"/>
        </w:rPr>
        <w:t xml:space="preserve">&gt;&lt;choice&gt;&lt;unclear&gt;&lt;g </w:t>
      </w:r>
      <w:r>
        <w:rPr>
          <w:rStyle w:val="Codeattribute"/>
        </w:rPr>
        <w:t>type</w:t>
      </w:r>
      <w:r>
        <w:rPr>
          <w:rStyle w:val="Code"/>
        </w:rPr>
        <w:t>=</w:t>
      </w:r>
      <w:r>
        <w:rPr>
          <w:rStyle w:val="Codevalue"/>
        </w:rPr>
        <w:t>"numeral"</w:t>
      </w:r>
      <w:r>
        <w:rPr>
          <w:rStyle w:val="Code"/>
        </w:rPr>
        <w:t>&gt;</w:t>
      </w:r>
      <w:r>
        <w:rPr>
          <w:rStyle w:val="Codetext"/>
        </w:rPr>
        <w:t>80</w:t>
      </w:r>
      <w:r>
        <w:rPr>
          <w:rStyle w:val="Code"/>
        </w:rPr>
        <w:t xml:space="preserve">&lt;/g&gt;&lt;/unclear&gt;&lt;unclear&gt;&lt;g </w:t>
      </w:r>
      <w:r>
        <w:rPr>
          <w:rStyle w:val="Codeattribute"/>
        </w:rPr>
        <w:t>type</w:t>
      </w:r>
      <w:r>
        <w:rPr>
          <w:rStyle w:val="Code"/>
        </w:rPr>
        <w:t>=</w:t>
      </w:r>
      <w:r>
        <w:rPr>
          <w:rStyle w:val="Codevalue"/>
        </w:rPr>
        <w:t>"numeral"</w:t>
      </w:r>
      <w:r>
        <w:rPr>
          <w:rStyle w:val="Code"/>
        </w:rPr>
        <w:t>&gt;</w:t>
      </w:r>
      <w:r>
        <w:rPr>
          <w:rStyle w:val="Codetext"/>
        </w:rPr>
        <w:t>90</w:t>
      </w:r>
      <w:r>
        <w:rPr>
          <w:rStyle w:val="Code"/>
        </w:rPr>
        <w:t>&lt;/g&gt;&lt;/unclear&gt;&lt;/choice&gt;&lt;/num&gt;</w:t>
      </w:r>
    </w:p>
    <w:p w14:paraId="0E5288D2" w14:textId="1C6D27D0">
      <w:pPr>
        <w:pStyle w:val="Lista2"/>
      </w:pPr>
      <w:r>
        <w:t>the EpiDoc Guidelines</w:t>
      </w:r>
      <w:r>
        <w:rPr>
          <w:rStyle w:val="Lbjegyzet-hivatkozs"/>
        </w:rPr>
        <w:footnoteReference w:id="39"/>
      </w:r>
      <w:r>
        <w:t xml:space="preserve"> offer a further method for dealing with partly lost numerals whose gamut of possible values is not sequential, but we discourage the use of this method because we do not foresee that our project would benefit from the increased accuracy to an extent that would justify the complexity of the markup involved</w:t>
      </w:r>
    </w:p>
    <w:p w14:paraId="0F57A261" w14:textId="77777777">
      <w:pPr>
        <w:pStyle w:val="Cmsor4"/>
      </w:pPr>
      <w:r>
        <w:t>Tentative value</w:t>
      </w:r>
    </w:p>
    <w:p w14:paraId="2FFD1EA8" w14:textId="77777777">
      <w:r>
        <w:t>If you can establish a single tentative value for a problematic numeral, encode as follows.</w:t>
      </w:r>
    </w:p>
    <w:p w14:paraId="1C8DEE72" w14:textId="77777777">
      <w:pPr>
        <w:pStyle w:val="Lista"/>
      </w:pPr>
      <w:r>
        <w:t xml:space="preserve">use the tentative value in the attribute </w:t>
      </w:r>
      <w:r>
        <w:rPr>
          <w:rStyle w:val="Codeattribute"/>
        </w:rPr>
        <w:t>@value</w:t>
      </w:r>
      <w:r>
        <w:t xml:space="preserve"> and add the attribute </w:t>
      </w:r>
      <w:r>
        <w:rPr>
          <w:rStyle w:val="Codeattribute"/>
        </w:rPr>
        <w:t>@cert</w:t>
      </w:r>
      <w:r>
        <w:t xml:space="preserve"> with the value </w:t>
      </w:r>
      <w:r>
        <w:rPr>
          <w:rStyle w:val="Codevalue"/>
        </w:rPr>
        <w:t>"low"</w:t>
      </w:r>
      <w:r>
        <w:t xml:space="preserve"> to flag the value as uncertain</w:t>
      </w:r>
    </w:p>
    <w:p w14:paraId="0C0155F9" w14:textId="77777777">
      <w:pPr>
        <w:pStyle w:val="Lista2"/>
      </w:pPr>
      <w:r>
        <w:t xml:space="preserve">e.g. for three digits in place value notation, where the first two digits are 2 and 4, and the last digit seems to be 6: </w:t>
      </w:r>
      <w:r>
        <w:rPr>
          <w:rStyle w:val="Code"/>
        </w:rPr>
        <w:t xml:space="preserve">&lt;num </w:t>
      </w:r>
      <w:r>
        <w:rPr>
          <w:rStyle w:val="Codeattribute"/>
        </w:rPr>
        <w:t>value</w:t>
      </w:r>
      <w:r>
        <w:rPr>
          <w:rStyle w:val="Code"/>
        </w:rPr>
        <w:t>=</w:t>
      </w:r>
      <w:r>
        <w:rPr>
          <w:rStyle w:val="Codevalue"/>
        </w:rPr>
        <w:t>"246"</w:t>
      </w:r>
      <w:r>
        <w:rPr>
          <w:rStyle w:val="Code"/>
        </w:rPr>
        <w:t xml:space="preserve"> </w:t>
      </w:r>
      <w:r>
        <w:rPr>
          <w:rStyle w:val="Codeattribute"/>
        </w:rPr>
        <w:t>cert</w:t>
      </w:r>
      <w:r>
        <w:rPr>
          <w:rStyle w:val="Code"/>
        </w:rPr>
        <w:t>=</w:t>
      </w:r>
      <w:r>
        <w:rPr>
          <w:rStyle w:val="Codevalue"/>
        </w:rPr>
        <w:t>"low"</w:t>
      </w:r>
      <w:r>
        <w:rPr>
          <w:rStyle w:val="Code"/>
        </w:rPr>
        <w:t>&gt;</w:t>
      </w:r>
      <w:r>
        <w:rPr>
          <w:rStyle w:val="Codetext"/>
        </w:rPr>
        <w:t>24</w:t>
      </w:r>
      <w:r>
        <w:rPr>
          <w:rStyle w:val="Code"/>
        </w:rPr>
        <w:t>&lt;unclear&gt;</w:t>
      </w:r>
      <w:r>
        <w:rPr>
          <w:rStyle w:val="Codetext"/>
        </w:rPr>
        <w:t>6</w:t>
      </w:r>
      <w:r>
        <w:rPr>
          <w:rStyle w:val="Code"/>
        </w:rPr>
        <w:t>&lt;/unclear&gt;&lt;/num&gt;</w:t>
      </w:r>
    </w:p>
    <w:p w14:paraId="2A4BDAAB" w14:textId="77777777">
      <w:pPr>
        <w:pStyle w:val="Cmsor4"/>
      </w:pPr>
      <w:r>
        <w:t>Tentative range</w:t>
      </w:r>
    </w:p>
    <w:p w14:paraId="3B10A837" w14:textId="77777777">
      <w:r>
        <w:t>The above methods may be combined to encode a range of tentative values.</w:t>
      </w:r>
    </w:p>
    <w:p w14:paraId="09121482" w14:textId="77777777">
      <w:pPr>
        <w:pStyle w:val="Lista"/>
      </w:pPr>
      <w:r>
        <w:t xml:space="preserve">e.g. for three digits in place value notation, where the first two digits are probably 1 and 0, and the last digit is illegible: </w:t>
      </w:r>
      <w:r>
        <w:rPr>
          <w:rStyle w:val="Code"/>
        </w:rPr>
        <w:t xml:space="preserve">&lt;num </w:t>
      </w:r>
      <w:r>
        <w:rPr>
          <w:rStyle w:val="Codeattribute"/>
        </w:rPr>
        <w:t>atLeast</w:t>
      </w:r>
      <w:r>
        <w:rPr>
          <w:rStyle w:val="Code"/>
        </w:rPr>
        <w:t>=</w:t>
      </w:r>
      <w:r>
        <w:rPr>
          <w:rStyle w:val="Codevalue"/>
        </w:rPr>
        <w:t>"101"</w:t>
      </w:r>
      <w:r>
        <w:rPr>
          <w:rStyle w:val="Code"/>
        </w:rPr>
        <w:t xml:space="preserve"> </w:t>
      </w:r>
      <w:r>
        <w:rPr>
          <w:rStyle w:val="Codeattribute"/>
        </w:rPr>
        <w:t>atMost</w:t>
      </w:r>
      <w:r>
        <w:rPr>
          <w:rStyle w:val="Code"/>
        </w:rPr>
        <w:t>=</w:t>
      </w:r>
      <w:r>
        <w:rPr>
          <w:rStyle w:val="Codevalue"/>
        </w:rPr>
        <w:t xml:space="preserve">"109" </w:t>
      </w:r>
      <w:r>
        <w:rPr>
          <w:rStyle w:val="Codeattribute"/>
        </w:rPr>
        <w:t>cert</w:t>
      </w:r>
      <w:r>
        <w:rPr>
          <w:rStyle w:val="Code"/>
        </w:rPr>
        <w:t>=</w:t>
      </w:r>
      <w:r>
        <w:rPr>
          <w:rStyle w:val="Codevalue"/>
        </w:rPr>
        <w:t>"low"</w:t>
      </w:r>
      <w:r>
        <w:rPr>
          <w:rStyle w:val="Code"/>
        </w:rPr>
        <w:t>&gt;&lt;unclear&gt;</w:t>
      </w:r>
      <w:r>
        <w:rPr>
          <w:rStyle w:val="Codetext"/>
        </w:rPr>
        <w:t>10</w:t>
      </w:r>
      <w:r>
        <w:rPr>
          <w:rStyle w:val="Code"/>
        </w:rPr>
        <w:t xml:space="preserve">&lt;/unclear&gt;&lt;gap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/&gt;&lt;/num&gt;</w:t>
      </w:r>
    </w:p>
    <w:p w14:paraId="15A9807E" w14:textId="77777777">
      <w:pPr>
        <w:pStyle w:val="Cmsor4"/>
      </w:pPr>
      <w:r>
        <w:lastRenderedPageBreak/>
        <w:t>Unknown value</w:t>
      </w:r>
    </w:p>
    <w:p w14:paraId="22B31D45" w14:textId="77777777">
      <w:r>
        <w:t xml:space="preserve">If none of the above seems adequate for a partially legible numeral, or if a numeral is wholly lost or illegible </w:t>
      </w:r>
      <w:r>
        <w:rPr>
          <w:noProof/>
        </w:rPr>
        <w:t>(</w:t>
      </w:r>
      <w:r>
        <w:t>yet you are certain it was a numeral), encode as follows.</w:t>
      </w:r>
    </w:p>
    <w:p w14:paraId="4C769C15" w14:textId="77777777">
      <w:pPr>
        <w:pStyle w:val="Lista"/>
      </w:pPr>
      <w:r>
        <w:t xml:space="preserve">use the </w:t>
      </w:r>
      <w:r>
        <w:rPr>
          <w:rStyle w:val="Code"/>
        </w:rPr>
        <w:t>&lt;num&gt;</w:t>
      </w:r>
      <w:r>
        <w:t xml:space="preserve"> element without </w:t>
      </w:r>
      <w:r>
        <w:rPr>
          <w:rStyle w:val="Codeattribute"/>
        </w:rPr>
        <w:t>@value</w:t>
      </w:r>
      <w:r>
        <w:t xml:space="preserve"> around the partial reading or the lacuna</w:t>
      </w:r>
    </w:p>
    <w:p w14:paraId="7D4EBE6C" w14:textId="77777777">
      <w:pPr>
        <w:pStyle w:val="Lista2"/>
      </w:pPr>
      <w:r>
        <w:t xml:space="preserve">e.g. for one lost/illegible numeral character: </w:t>
      </w:r>
      <w:r>
        <w:rPr>
          <w:rStyle w:val="Code"/>
        </w:rPr>
        <w:t xml:space="preserve">&lt;num&gt;&lt;gap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/&gt;&lt;/num&gt;</w:t>
      </w:r>
    </w:p>
    <w:p w14:paraId="50EC2B8C" w14:textId="77777777">
      <w:pPr>
        <w:pStyle w:val="Cmsor3"/>
      </w:pPr>
      <w:bookmarkStart w:id="772" w:name="_h6ric5yl5k83" w:colFirst="0" w:colLast="0"/>
      <w:bookmarkStart w:id="773" w:name="_Toc242889579"/>
      <w:bookmarkEnd w:id="772"/>
      <w:r>
        <w:t>Editorial intervention and numerals</w:t>
      </w:r>
      <w:bookmarkEnd w:id="773"/>
    </w:p>
    <w:p w14:paraId="0F4F6C82" w14:textId="77777777">
      <w:pPr>
        <w:pStyle w:val="Lista"/>
      </w:pPr>
      <w:r>
        <w:t>occasionally, an editor may be able to restore a lost number, or even emend an incorrectly inscribed one, e.g. on the basis of the number being also written out in words</w:t>
      </w:r>
    </w:p>
    <w:p w14:paraId="7502781D" w14:textId="61191A41">
      <w:pPr>
        <w:pStyle w:val="Lista"/>
      </w:pPr>
      <w:r>
        <w:t>tags for editorial restoration (§</w:t>
      </w:r>
      <w:r>
        <w:fldChar w:fldCharType="begin"/>
      </w:r>
      <w:r>
        <w:instrText xml:space="preserve"> REF _Ref228459751 \r \h </w:instrText>
      </w:r>
      <w:r>
        <w:fldChar w:fldCharType="separate"/>
      </w:r>
      <w:r>
        <w:t>6.4</w:t>
      </w:r>
      <w:r>
        <w:fldChar w:fldCharType="end"/>
      </w:r>
      <w:r>
        <w:t xml:space="preserve">) may be used inside or outside the </w:t>
      </w:r>
      <w:r>
        <w:rPr>
          <w:rStyle w:val="Code"/>
        </w:rPr>
        <w:t>&lt;num&gt;</w:t>
      </w:r>
      <w:r>
        <w:t xml:space="preserve"> element depending on the scope of the restoration, but they must never be inside any </w:t>
      </w:r>
      <w:r>
        <w:rPr>
          <w:rStyle w:val="Code"/>
        </w:rPr>
        <w:t>&lt;g&gt;</w:t>
      </w:r>
      <w:r>
        <w:t xml:space="preserve"> elements applied to numeral signs</w:t>
      </w:r>
    </w:p>
    <w:p w14:paraId="7AC6D5E9" w14:textId="77777777">
      <w:pPr>
        <w:pStyle w:val="Lista2"/>
      </w:pPr>
      <w:r>
        <w:t>a longer stretch of restored text may freely include both text and a numeral</w:t>
      </w:r>
    </w:p>
    <w:p w14:paraId="390942B5" w14:textId="77777777">
      <w:pPr>
        <w:pStyle w:val="Lista2"/>
      </w:pPr>
      <w:r>
        <w:t xml:space="preserve">the </w:t>
      </w:r>
      <w:r>
        <w:rPr>
          <w:rStyle w:val="Codeattribute"/>
        </w:rPr>
        <w:t>@value</w:t>
      </w:r>
      <w:r>
        <w:t xml:space="preserve"> attribute of the </w:t>
      </w:r>
      <w:r>
        <w:rPr>
          <w:rStyle w:val="Code"/>
        </w:rPr>
        <w:t>&lt;num&gt;</w:t>
      </w:r>
      <w:r>
        <w:t xml:space="preserve"> element should reflect only the restored value</w:t>
      </w:r>
    </w:p>
    <w:p w14:paraId="3350E55C" w14:textId="7BFA06E4">
      <w:pPr>
        <w:pStyle w:val="Lista"/>
      </w:pPr>
      <w:r>
        <w:t>tags for editorial correction (§</w:t>
      </w:r>
      <w:r>
        <w:fldChar w:fldCharType="begin"/>
      </w:r>
      <w:r>
        <w:instrText xml:space="preserve"> REF _Ref229054270 \r \h </w:instrText>
      </w:r>
      <w:r>
        <w:fldChar w:fldCharType="separate"/>
      </w:r>
      <w:r>
        <w:t>7.2</w:t>
      </w:r>
      <w:r>
        <w:fldChar w:fldCharType="end"/>
      </w:r>
      <w:r>
        <w:t xml:space="preserve">) must be outside the </w:t>
      </w:r>
      <w:r>
        <w:rPr>
          <w:rStyle w:val="Code"/>
        </w:rPr>
        <w:t>&lt;num&gt;</w:t>
      </w:r>
      <w:r>
        <w:t xml:space="preserve"> elements, which must separately encode both the pre- and post-correction number</w:t>
      </w:r>
    </w:p>
    <w:p w14:paraId="417BB876" w14:textId="77777777">
      <w:pPr>
        <w:pStyle w:val="Lista2"/>
        <w:rPr>
          <w:rStyle w:val="Code"/>
          <w:rFonts w:ascii="Gentium Plus" w:hAnsi="Gentium Plus" w:cs="Arial Unicode MS"/>
          <w:noProof w:val="0"/>
          <w:color w:val="auto"/>
          <w:shd w:val="clear" w:color="auto" w:fill="auto"/>
        </w:rPr>
      </w:pPr>
      <w:r>
        <w:t xml:space="preserve">e.g. </w:t>
      </w:r>
      <w:r>
        <w:rPr>
          <w:rStyle w:val="Code"/>
        </w:rPr>
        <w:t xml:space="preserve">&lt;choice&gt;&lt;sic&gt;&lt;num </w:t>
      </w:r>
      <w:r>
        <w:rPr>
          <w:rStyle w:val="Codeattribute"/>
        </w:rPr>
        <w:t>value</w:t>
      </w:r>
      <w:r>
        <w:rPr>
          <w:rStyle w:val="Code"/>
        </w:rPr>
        <w:t>=</w:t>
      </w:r>
      <w:r>
        <w:rPr>
          <w:rStyle w:val="Codevalue"/>
        </w:rPr>
        <w:t>"6"</w:t>
      </w:r>
      <w:r>
        <w:rPr>
          <w:rStyle w:val="Code"/>
        </w:rPr>
        <w:t>&gt;</w:t>
      </w:r>
      <w:r>
        <w:rPr>
          <w:rStyle w:val="Codetext"/>
        </w:rPr>
        <w:t>6</w:t>
      </w:r>
      <w:r>
        <w:rPr>
          <w:rStyle w:val="Code"/>
        </w:rPr>
        <w:t xml:space="preserve">&lt;/num&gt;&lt;/sic&gt;&lt;corr&gt;&lt;num </w:t>
      </w:r>
      <w:r>
        <w:rPr>
          <w:rStyle w:val="Codeattribute"/>
        </w:rPr>
        <w:t>value</w:t>
      </w:r>
      <w:r>
        <w:rPr>
          <w:rStyle w:val="Code"/>
        </w:rPr>
        <w:t>=</w:t>
      </w:r>
      <w:r>
        <w:rPr>
          <w:rStyle w:val="Codevalue"/>
        </w:rPr>
        <w:t>"7"</w:t>
      </w:r>
      <w:r>
        <w:rPr>
          <w:rStyle w:val="Code"/>
        </w:rPr>
        <w:t>&gt;</w:t>
      </w:r>
      <w:r>
        <w:rPr>
          <w:rStyle w:val="Codetext"/>
        </w:rPr>
        <w:t>7</w:t>
      </w:r>
      <w:r>
        <w:rPr>
          <w:rStyle w:val="Code"/>
        </w:rPr>
        <w:t>&lt;/num&gt;&lt;/corr&gt;&lt;/choice&gt;</w:t>
      </w:r>
    </w:p>
    <w:p w14:paraId="42606FFE" w14:textId="77777777">
      <w:pPr>
        <w:pStyle w:val="Lista2"/>
      </w:pPr>
      <w:r>
        <w:t>as a corollary of this, the entire number must be included in the correction markup even when editorial correction affects only one digit of a multi-digit numeral (regardless of whether the digits are in place value notation or not)</w:t>
      </w:r>
    </w:p>
    <w:p w14:paraId="08B5370C" w14:textId="77777777">
      <w:pPr>
        <w:pStyle w:val="Lista3"/>
      </w:pPr>
      <w:r>
        <w:t xml:space="preserve">e.g. </w:t>
      </w:r>
      <w:r>
        <w:rPr>
          <w:rStyle w:val="Code"/>
        </w:rPr>
        <w:t xml:space="preserve">&lt;choice&gt;&lt;sic&gt;&lt;num </w:t>
      </w:r>
      <w:r>
        <w:rPr>
          <w:rStyle w:val="Codeattribute"/>
        </w:rPr>
        <w:t>value</w:t>
      </w:r>
      <w:r>
        <w:rPr>
          <w:rStyle w:val="Code"/>
        </w:rPr>
        <w:t>=</w:t>
      </w:r>
      <w:r>
        <w:rPr>
          <w:rStyle w:val="Codevalue"/>
        </w:rPr>
        <w:t>"18"</w:t>
      </w:r>
      <w:r>
        <w:rPr>
          <w:rStyle w:val="Code"/>
        </w:rPr>
        <w:t>&gt;</w:t>
      </w:r>
      <w:r>
        <w:rPr>
          <w:rStyle w:val="Codetext"/>
        </w:rPr>
        <w:t>18</w:t>
      </w:r>
      <w:r>
        <w:rPr>
          <w:rStyle w:val="Code"/>
        </w:rPr>
        <w:t xml:space="preserve">&lt;/num&gt;&lt;/sic&gt;&lt;corr&gt;&lt;num </w:t>
      </w:r>
      <w:r>
        <w:rPr>
          <w:rStyle w:val="Codeattribute"/>
        </w:rPr>
        <w:t>value</w:t>
      </w:r>
      <w:r>
        <w:rPr>
          <w:rStyle w:val="Code"/>
        </w:rPr>
        <w:t>=</w:t>
      </w:r>
      <w:r>
        <w:rPr>
          <w:rStyle w:val="Codevalue"/>
        </w:rPr>
        <w:t>"28"</w:t>
      </w:r>
      <w:r>
        <w:rPr>
          <w:rStyle w:val="Code"/>
        </w:rPr>
        <w:t>&gt;</w:t>
      </w:r>
      <w:r>
        <w:rPr>
          <w:rStyle w:val="Codetext"/>
        </w:rPr>
        <w:t>28</w:t>
      </w:r>
      <w:r>
        <w:rPr>
          <w:rStyle w:val="Code"/>
        </w:rPr>
        <w:t>&lt;/num&gt;&lt;/corr&gt;&lt;/choice&gt;</w:t>
      </w:r>
    </w:p>
    <w:p w14:paraId="2B0D7DAF" w14:textId="77777777">
      <w:pPr>
        <w:pStyle w:val="Cmsor2"/>
      </w:pPr>
      <w:bookmarkStart w:id="774" w:name="_Ref232002201"/>
      <w:bookmarkStart w:id="775" w:name="_Toc242889580"/>
      <w:r>
        <w:t>Abbreviations</w:t>
      </w:r>
      <w:bookmarkEnd w:id="731"/>
      <w:bookmarkEnd w:id="774"/>
      <w:bookmarkEnd w:id="775"/>
    </w:p>
    <w:p w14:paraId="3F9B7080" w14:textId="6862312B">
      <w:pPr>
        <w:rPr>
          <w:lang w:eastAsia="en-US" w:bidi="ar-SA"/>
        </w:rPr>
      </w:pPr>
      <w:r>
        <w:rPr>
          <w:lang w:eastAsia="en-US" w:bidi="ar-SA"/>
        </w:rPr>
        <w:t>Abbreviations, i.e. strings of phonographic graphemes representing part of a word or phrase but understood to signify the entire word or phrase, may be tagged as such in TEI as per §</w:t>
      </w:r>
      <w:r>
        <w:rPr>
          <w:lang w:eastAsia="en-US" w:bidi="ar-SA"/>
        </w:rPr>
        <w:fldChar w:fldCharType="begin"/>
      </w:r>
      <w:r>
        <w:rPr>
          <w:lang w:eastAsia="en-US" w:bidi="ar-SA"/>
        </w:rPr>
        <w:instrText xml:space="preserve"> REF _Ref231905103 \r \h </w:instrText>
      </w:r>
      <w:r>
        <w:rPr>
          <w:lang w:eastAsia="en-US" w:bidi="ar-SA"/>
        </w:rPr>
      </w:r>
      <w:r>
        <w:rPr>
          <w:lang w:eastAsia="en-US" w:bidi="ar-SA"/>
        </w:rPr>
        <w:fldChar w:fldCharType="separate"/>
      </w:r>
      <w:r>
        <w:rPr>
          <w:lang w:eastAsia="en-US" w:bidi="ar-SA"/>
        </w:rPr>
        <w:t>9.2.1</w:t>
      </w:r>
      <w:r>
        <w:rPr>
          <w:lang w:eastAsia="en-US" w:bidi="ar-SA"/>
        </w:rPr>
        <w:fldChar w:fldCharType="end"/>
      </w:r>
      <w:r>
        <w:rPr>
          <w:lang w:eastAsia="en-US" w:bidi="ar-SA"/>
        </w:rPr>
        <w:t>, which allows them to be interpretable by a computer. Markup is also available for expanding abbreviations, i.e. for resolving the abbreviation into (your editorial notion of) the full word or phrase it signifies, as per §</w:t>
      </w:r>
      <w:r>
        <w:rPr>
          <w:lang w:eastAsia="en-US" w:bidi="ar-SA"/>
        </w:rPr>
        <w:fldChar w:fldCharType="begin"/>
      </w:r>
      <w:r>
        <w:rPr>
          <w:lang w:eastAsia="en-US" w:bidi="ar-SA"/>
        </w:rPr>
        <w:instrText xml:space="preserve"> REF _Ref122445893 \r \h </w:instrText>
      </w:r>
      <w:r>
        <w:rPr>
          <w:lang w:eastAsia="en-US" w:bidi="ar-SA"/>
        </w:rPr>
      </w:r>
      <w:r>
        <w:rPr>
          <w:lang w:eastAsia="en-US" w:bidi="ar-SA"/>
        </w:rPr>
        <w:fldChar w:fldCharType="separate"/>
      </w:r>
      <w:r>
        <w:rPr>
          <w:lang w:eastAsia="en-US" w:bidi="ar-SA"/>
        </w:rPr>
        <w:t>9.2.2</w:t>
      </w:r>
      <w:r>
        <w:rPr>
          <w:lang w:eastAsia="en-US" w:bidi="ar-SA"/>
        </w:rPr>
        <w:fldChar w:fldCharType="end"/>
      </w:r>
      <w:r>
        <w:rPr>
          <w:lang w:eastAsia="en-US" w:bidi="ar-SA"/>
        </w:rPr>
        <w:t xml:space="preserve">. </w:t>
      </w:r>
    </w:p>
    <w:p w14:paraId="4937B4BE" w14:textId="77777777">
      <w:pPr>
        <w:pStyle w:val="Cmsor3"/>
      </w:pPr>
      <w:bookmarkStart w:id="776" w:name="_Ref231905103"/>
      <w:bookmarkStart w:id="777" w:name="_Toc242889581"/>
      <w:r>
        <w:t>Tagging abbreviations</w:t>
      </w:r>
      <w:bookmarkEnd w:id="776"/>
      <w:bookmarkEnd w:id="777"/>
    </w:p>
    <w:p w14:paraId="791DB97B" w14:textId="77777777">
      <w:pPr>
        <w:rPr>
          <w:lang w:eastAsia="en-US" w:bidi="ar-SA"/>
        </w:rPr>
      </w:pPr>
      <w:r>
        <w:rPr>
          <w:lang w:eastAsia="en-US" w:bidi="ar-SA"/>
        </w:rPr>
        <w:t>Encoding abbreviations is not mandatory in DHARMA editions, but it is generally recommended that you tag all abbreviations in your editions.</w:t>
      </w:r>
    </w:p>
    <w:p w14:paraId="0461A96F" w14:textId="77777777">
      <w:pPr>
        <w:pStyle w:val="Lista"/>
      </w:pPr>
      <w:r>
        <w:t xml:space="preserve">to tag an abbreviation, wrap it in the element </w:t>
      </w:r>
      <w:r>
        <w:rPr>
          <w:rStyle w:val="Code"/>
        </w:rPr>
        <w:t>&lt;abbr&gt;</w:t>
      </w:r>
      <w:r>
        <w:t xml:space="preserve"> without any attributes</w:t>
      </w:r>
    </w:p>
    <w:p w14:paraId="31ADC3A5" w14:textId="77777777">
      <w:pPr>
        <w:pStyle w:val="Lista2"/>
        <w:rPr>
          <w:rStyle w:val="Foreign"/>
          <w:i w:val="0"/>
          <w:iCs w:val="0"/>
          <w:noProof w:val="0"/>
        </w:rPr>
      </w:pPr>
      <w:r>
        <w:t xml:space="preserve">e.g. </w:t>
      </w:r>
      <w:r>
        <w:rPr>
          <w:rStyle w:val="Code"/>
        </w:rPr>
        <w:t>&lt;abbr&gt;</w:t>
      </w:r>
      <w:r>
        <w:rPr>
          <w:rStyle w:val="Codetext"/>
        </w:rPr>
        <w:t>su</w:t>
      </w:r>
      <w:r>
        <w:rPr>
          <w:rStyle w:val="Code"/>
        </w:rPr>
        <w:t>&lt;/abbr&gt;</w:t>
      </w:r>
      <w:r>
        <w:t xml:space="preserve"> for the abbreviation of </w:t>
      </w:r>
      <w:r>
        <w:rPr>
          <w:rStyle w:val="Foreign"/>
        </w:rPr>
        <w:t>suvarṇa</w:t>
      </w:r>
    </w:p>
    <w:p w14:paraId="72374CE2" w14:textId="778AA119">
      <w:pPr>
        <w:pStyle w:val="Lista2"/>
      </w:pPr>
      <w:r>
        <w:t xml:space="preserve">see also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r>
        <w:t xml:space="preserve"> for a real-life illustration</w:t>
      </w:r>
    </w:p>
    <w:p w14:paraId="4E8D5FEE" w14:textId="77777777">
      <w:pPr>
        <w:pStyle w:val="Lista"/>
      </w:pPr>
      <w:r>
        <w:t>abbreviations comprised of parts of words in compound and in phrases or sequences that regularly occur together shall be tagged as a single unit or as separate abbreviations at your discretion, e.g.</w:t>
      </w:r>
    </w:p>
    <w:p w14:paraId="20A6019C" w14:textId="77777777">
      <w:pPr>
        <w:pStyle w:val="Lista2"/>
      </w:pPr>
      <w:r>
        <w:rPr>
          <w:rStyle w:val="Code"/>
        </w:rPr>
        <w:t>&lt;abbr&gt;</w:t>
      </w:r>
      <w:r>
        <w:rPr>
          <w:rStyle w:val="Codetext"/>
        </w:rPr>
        <w:t>badi</w:t>
      </w:r>
      <w:r>
        <w:rPr>
          <w:rStyle w:val="Code"/>
        </w:rPr>
        <w:t>&lt;/abbr&gt;</w:t>
      </w:r>
      <w:r>
        <w:t xml:space="preserve"> for the abbreviation of </w:t>
      </w:r>
      <w:r>
        <w:rPr>
          <w:rStyle w:val="Foreign"/>
        </w:rPr>
        <w:t>bahula-divase</w:t>
      </w:r>
    </w:p>
    <w:p w14:paraId="1B98707A" w14:textId="77777777">
      <w:pPr>
        <w:pStyle w:val="Lista2"/>
      </w:pPr>
      <w:r>
        <w:rPr>
          <w:rStyle w:val="Code"/>
        </w:rPr>
        <w:t>&lt;abbr&gt;</w:t>
      </w:r>
      <w:r>
        <w:rPr>
          <w:rStyle w:val="Codetext"/>
        </w:rPr>
        <w:t>grī pa</w:t>
      </w:r>
      <w:r>
        <w:rPr>
          <w:rStyle w:val="Code"/>
        </w:rPr>
        <w:t>&lt;/abbr&gt;</w:t>
      </w:r>
      <w:r>
        <w:t xml:space="preserve"> or </w:t>
      </w:r>
      <w:r>
        <w:rPr>
          <w:rStyle w:val="Code"/>
        </w:rPr>
        <w:t>&lt;abbr&gt;</w:t>
      </w:r>
      <w:r>
        <w:rPr>
          <w:rStyle w:val="Codetext"/>
        </w:rPr>
        <w:t>grī</w:t>
      </w:r>
      <w:r>
        <w:rPr>
          <w:rStyle w:val="Code"/>
        </w:rPr>
        <w:t>&lt;/abbr&gt; &lt;abbr&gt;</w:t>
      </w:r>
      <w:r>
        <w:rPr>
          <w:rStyle w:val="Codetext"/>
        </w:rPr>
        <w:t>pa</w:t>
      </w:r>
      <w:r>
        <w:rPr>
          <w:rStyle w:val="Code"/>
        </w:rPr>
        <w:t>&lt;/abbr&gt;</w:t>
      </w:r>
      <w:r>
        <w:t xml:space="preserve"> for the abbreviation of </w:t>
      </w:r>
      <w:r>
        <w:rPr>
          <w:rStyle w:val="Foreign"/>
        </w:rPr>
        <w:t>grīṣma pakṣa</w:t>
      </w:r>
      <w:r>
        <w:t xml:space="preserve"> </w:t>
      </w:r>
    </w:p>
    <w:p w14:paraId="421FB1A4" w14:textId="77777777">
      <w:pPr>
        <w:pStyle w:val="Cmsor3"/>
      </w:pPr>
      <w:bookmarkStart w:id="778" w:name="_Ref122445893"/>
      <w:bookmarkStart w:id="779" w:name="_Toc242889582"/>
      <w:r>
        <w:t>Expanding abbreviations</w:t>
      </w:r>
      <w:bookmarkEnd w:id="778"/>
      <w:bookmarkEnd w:id="779"/>
    </w:p>
    <w:p w14:paraId="54EEB8B1" w14:textId="77777777">
      <w:r>
        <w:rPr>
          <w:lang w:eastAsia="en-US" w:bidi="ar-SA"/>
        </w:rPr>
        <w:t xml:space="preserve">Expanding abbreviations is optional but recommended especially in </w:t>
      </w:r>
      <w:r>
        <w:t>cases where a certain abbreviation may be resolved in more than one way, and you wish to indicate a particular resolution. It is generally preferable not to resolve common abbreviations (whose meaning can be found in published reference works), especially if they allow multiple resolutions with the same ultimate meaning (differing for instance only in the choice of case ending or lack thereof).</w:t>
      </w:r>
    </w:p>
    <w:p w14:paraId="65304F84" w14:textId="77777777">
      <w:pPr>
        <w:pStyle w:val="Lista"/>
      </w:pPr>
      <w:r>
        <w:lastRenderedPageBreak/>
        <w:t xml:space="preserve">resolved abbreviations must be wrapped in the element </w:t>
      </w:r>
      <w:r>
        <w:rPr>
          <w:rStyle w:val="Code"/>
        </w:rPr>
        <w:t>&lt;expan&gt;</w:t>
      </w:r>
      <w:r>
        <w:t>, containing one or more instances (as necessary) of the following elements, and nothing outside the following elements:</w:t>
      </w:r>
    </w:p>
    <w:p w14:paraId="09676667" w14:textId="77777777">
      <w:pPr>
        <w:pStyle w:val="Lista2"/>
      </w:pPr>
      <w:r>
        <w:rPr>
          <w:rStyle w:val="Code"/>
        </w:rPr>
        <w:t>&lt;abbr&gt;</w:t>
      </w:r>
      <w:r>
        <w:t xml:space="preserve"> wrapping only graphemes present in the original, i.e. those that belong to the abbreviation </w:t>
      </w:r>
    </w:p>
    <w:p w14:paraId="5ED04306" w14:textId="77777777">
      <w:pPr>
        <w:pStyle w:val="Lista2"/>
      </w:pPr>
      <w:r>
        <w:rPr>
          <w:rStyle w:val="Code"/>
        </w:rPr>
        <w:t>&lt;ex&gt;</w:t>
      </w:r>
      <w:r>
        <w:t xml:space="preserve"> wrapping only graphemes supplied to resolve the abbreviation, i.e. those that belong to the editorial expansion</w:t>
      </w:r>
    </w:p>
    <w:p w14:paraId="76A83390" w14:textId="77777777">
      <w:pPr>
        <w:pStyle w:val="Lista3"/>
      </w:pPr>
      <w:r>
        <w:t xml:space="preserve">when you are unsure of an expansion but still wish to show it in the edition, add </w:t>
      </w:r>
      <w:r>
        <w:rPr>
          <w:rStyle w:val="Codeattribute"/>
        </w:rPr>
        <w:t>@cert</w:t>
      </w:r>
      <w:r>
        <w:rPr>
          <w:rStyle w:val="Codetext"/>
        </w:rPr>
        <w:t>=</w:t>
      </w:r>
      <w:r>
        <w:rPr>
          <w:rStyle w:val="Codevalue"/>
        </w:rPr>
        <w:t>"low"</w:t>
      </w:r>
      <w:r>
        <w:t xml:space="preserve">  to the </w:t>
      </w:r>
      <w:r>
        <w:rPr>
          <w:rStyle w:val="Code"/>
        </w:rPr>
        <w:t>&lt;ex&gt;</w:t>
      </w:r>
      <w:r>
        <w:t xml:space="preserve"> element</w:t>
      </w:r>
    </w:p>
    <w:p w14:paraId="2DCF1B37" w14:textId="77777777">
      <w:pPr>
        <w:pStyle w:val="Lista2"/>
      </w:pPr>
      <w:r>
        <w:t xml:space="preserve">should the abbreviation contain any graphemes which must be suppressed to obtain the expanded form of the abbreviation, wrap these in </w:t>
      </w:r>
      <w:r>
        <w:rPr>
          <w:rStyle w:val="Code"/>
        </w:rPr>
        <w:t>&lt;am&gt;</w:t>
      </w:r>
      <w:r>
        <w:t xml:space="preserve"> (for “abbreviation mark”) within the </w:t>
      </w:r>
      <w:r>
        <w:rPr>
          <w:rStyle w:val="Code"/>
        </w:rPr>
        <w:t>&lt;abbr&gt;</w:t>
      </w:r>
      <w:r>
        <w:t xml:space="preserve"> element</w:t>
      </w:r>
    </w:p>
    <w:p w14:paraId="7D53E937" w14:textId="77777777">
      <w:pPr>
        <w:pStyle w:val="Lista3"/>
      </w:pPr>
      <w:r>
        <w:t>the original purpose of this encoding was to allow suppressing actual abbreviation marks (TG §4.3.2) in resolved abbreviations</w:t>
      </w:r>
    </w:p>
    <w:p w14:paraId="1726D3D3" w14:textId="77777777">
      <w:pPr>
        <w:pStyle w:val="Lista3"/>
      </w:pPr>
      <w:r>
        <w:t xml:space="preserve">in EpiDoc usage it is also applied to phonographic graphemes added to an abbreviation to indicate a plural or another change of the abbreviated word, e.g. Latin </w:t>
      </w:r>
      <w:r>
        <w:rPr>
          <w:rStyle w:val="Foreign"/>
        </w:rPr>
        <w:t>augg</w:t>
      </w:r>
      <w:r>
        <w:t xml:space="preserve"> abbreviating </w:t>
      </w:r>
      <w:r>
        <w:rPr>
          <w:rStyle w:val="Foreign"/>
        </w:rPr>
        <w:t>augusti duo</w:t>
      </w:r>
      <w:r>
        <w:t xml:space="preserve"> or English </w:t>
      </w:r>
      <w:r>
        <w:rPr>
          <w:rStyle w:val="Foreign"/>
        </w:rPr>
        <w:t>pp</w:t>
      </w:r>
      <w:r>
        <w:t xml:space="preserve"> abbreviating </w:t>
      </w:r>
      <w:r>
        <w:rPr>
          <w:rStyle w:val="Foreign"/>
        </w:rPr>
        <w:t>pages</w:t>
      </w:r>
    </w:p>
    <w:p w14:paraId="47990E68" w14:textId="77777777">
      <w:pPr>
        <w:pStyle w:val="Lista3"/>
      </w:pPr>
      <w:r>
        <w:t>so far, we have not encountered either of these phenomena in documents edited for DHARMA, but modern Indic writing systems do employ an abbreviation sign (e.g. Devanagari |</w:t>
      </w:r>
      <w:r>
        <w:rPr>
          <w:rStyle w:val="ForeignDevanagariScript0"/>
          <w:rFonts w:hint="cs"/>
          <w:cs/>
        </w:rPr>
        <w:t>॰</w:t>
      </w:r>
      <w:r>
        <w:t>|) and extra letters might conceivably be used in Indic abbreviations too, so the encoding option is available</w:t>
      </w:r>
    </w:p>
    <w:p w14:paraId="55CA93EE" w14:textId="77777777">
      <w:pPr>
        <w:pStyle w:val="Lista"/>
      </w:pPr>
      <w:r>
        <w:t>when resolving abbreviations in Sanskrit or another language with complex inflexion, feel free to resolve to stems (dictionary forms) when a specific fully inflected form cannot be predicted</w:t>
      </w:r>
    </w:p>
    <w:p w14:paraId="5799FDBB" w14:textId="77777777">
      <w:pPr>
        <w:pStyle w:val="Lista2"/>
      </w:pPr>
      <w:r>
        <w:t xml:space="preserve">e.g. the abbreviation </w:t>
      </w:r>
      <w:r>
        <w:rPr>
          <w:rStyle w:val="Foreign"/>
        </w:rPr>
        <w:t>grī pa</w:t>
      </w:r>
      <w:r>
        <w:t xml:space="preserve"> is best resolved to </w:t>
      </w:r>
      <w:r>
        <w:rPr>
          <w:rStyle w:val="Foreign"/>
        </w:rPr>
        <w:t>grīṣma pakṣa</w:t>
      </w:r>
      <w:r>
        <w:t xml:space="preserve">, because a multiplicity of inflected forms are plausible (e.g. </w:t>
      </w:r>
      <w:r>
        <w:rPr>
          <w:rStyle w:val="Foreign"/>
        </w:rPr>
        <w:t>grīṣma-pakṣaḥ</w:t>
      </w:r>
      <w:r>
        <w:t xml:space="preserve">, </w:t>
      </w:r>
      <w:r>
        <w:rPr>
          <w:rStyle w:val="Foreign"/>
        </w:rPr>
        <w:t>grīṣma-pakṣe</w:t>
      </w:r>
      <w:r>
        <w:t xml:space="preserve">, </w:t>
      </w:r>
      <w:r>
        <w:rPr>
          <w:rStyle w:val="Foreign"/>
        </w:rPr>
        <w:t>grīṣmasya pakṣe</w:t>
      </w:r>
      <w:r>
        <w:t>)</w:t>
      </w:r>
    </w:p>
    <w:p w14:paraId="49A7DAD4" w14:textId="77777777">
      <w:pPr>
        <w:pStyle w:val="Lista"/>
      </w:pPr>
      <w:r>
        <w:t>examples of resolved abbreviations</w:t>
      </w:r>
    </w:p>
    <w:p w14:paraId="4782E66F" w14:textId="77777777">
      <w:pPr>
        <w:pStyle w:val="Lista2"/>
      </w:pPr>
      <w:r>
        <w:t>abbreviation of a word by its initial grapheme(s)</w:t>
      </w:r>
    </w:p>
    <w:p w14:paraId="03CF0DFD" w14:textId="77777777">
      <w:pPr>
        <w:pStyle w:val="Lista3"/>
      </w:pPr>
      <w:r>
        <w:t xml:space="preserve">the string </w:t>
      </w:r>
      <w:r>
        <w:rPr>
          <w:rStyle w:val="Foreign"/>
        </w:rPr>
        <w:t>mā</w:t>
      </w:r>
      <w:r>
        <w:t xml:space="preserve"> as an abbreviation of </w:t>
      </w:r>
      <w:r>
        <w:rPr>
          <w:rStyle w:val="Foreign"/>
        </w:rPr>
        <w:t>māṣa</w:t>
      </w:r>
      <w:r>
        <w:t xml:space="preserve">: </w:t>
      </w:r>
      <w:r>
        <w:rPr>
          <w:rStyle w:val="Code"/>
        </w:rPr>
        <w:t>&lt;expan&gt;&lt;abbr&gt;</w:t>
      </w:r>
      <w:r>
        <w:rPr>
          <w:rStyle w:val="Codetext"/>
        </w:rPr>
        <w:t>mā</w:t>
      </w:r>
      <w:r>
        <w:rPr>
          <w:rStyle w:val="Code"/>
        </w:rPr>
        <w:t>&lt;/abbr&gt;&lt;ex&gt;</w:t>
      </w:r>
      <w:r>
        <w:rPr>
          <w:rStyle w:val="Codetext"/>
        </w:rPr>
        <w:t>ṣa</w:t>
      </w:r>
      <w:r>
        <w:rPr>
          <w:rStyle w:val="Code"/>
        </w:rPr>
        <w:t>&lt;/ex&gt;&lt;/expan&gt;</w:t>
      </w:r>
      <w:r>
        <w:t xml:space="preserve"> </w:t>
      </w:r>
    </w:p>
    <w:p w14:paraId="39585856" w14:textId="77777777">
      <w:pPr>
        <w:pStyle w:val="Lista2"/>
      </w:pPr>
      <w:r>
        <w:t>abbreviation of a word by its final grapheme(s)</w:t>
      </w:r>
    </w:p>
    <w:p w14:paraId="0D41A247" w14:textId="77777777">
      <w:pPr>
        <w:pStyle w:val="Lista3"/>
      </w:pPr>
      <w:r>
        <w:t xml:space="preserve">the string </w:t>
      </w:r>
      <w:r>
        <w:rPr>
          <w:rStyle w:val="Foreign"/>
        </w:rPr>
        <w:t>k·</w:t>
      </w:r>
      <w:r>
        <w:t xml:space="preserve"> </w:t>
      </w:r>
      <w:r>
        <w:rPr>
          <w:rStyle w:val="Foreign"/>
        </w:rPr>
        <w:t>tandoṅ·</w:t>
      </w:r>
      <w:r>
        <w:t xml:space="preserve"> as an abbreviation of </w:t>
      </w:r>
      <w:r>
        <w:rPr>
          <w:rStyle w:val="Foreign"/>
        </w:rPr>
        <w:t>jāk·</w:t>
      </w:r>
      <w:r>
        <w:t xml:space="preserve"> </w:t>
      </w:r>
      <w:r>
        <w:rPr>
          <w:rStyle w:val="Foreign"/>
        </w:rPr>
        <w:t>tandoṅ·</w:t>
      </w:r>
      <w:r>
        <w:t xml:space="preserve">: </w:t>
      </w:r>
      <w:r>
        <w:rPr>
          <w:rStyle w:val="Code"/>
        </w:rPr>
        <w:t>&lt;expan&gt;&lt;ex&gt;</w:t>
      </w:r>
      <w:r>
        <w:rPr>
          <w:rStyle w:val="Codetext"/>
        </w:rPr>
        <w:t>jā</w:t>
      </w:r>
      <w:r>
        <w:rPr>
          <w:rStyle w:val="Code"/>
        </w:rPr>
        <w:t>&lt;/ex&gt;&lt;abbr&gt;</w:t>
      </w:r>
      <w:r>
        <w:rPr>
          <w:rStyle w:val="Codetext"/>
        </w:rPr>
        <w:t>k·</w:t>
      </w:r>
      <w:r>
        <w:rPr>
          <w:rStyle w:val="Code"/>
        </w:rPr>
        <w:t>&lt;/abbr&gt; &lt;/expan&gt;</w:t>
      </w:r>
      <w:r>
        <w:rPr>
          <w:rStyle w:val="Codetext"/>
        </w:rPr>
        <w:t xml:space="preserve"> tandoṅ</w:t>
      </w:r>
    </w:p>
    <w:p w14:paraId="29FB38C3" w14:textId="77777777">
      <w:pPr>
        <w:pStyle w:val="Lista2"/>
      </w:pPr>
      <w:r>
        <w:t>abbreviation of a word by its initial and final grapheme(s)</w:t>
      </w:r>
    </w:p>
    <w:p w14:paraId="25BD68CF" w14:textId="77777777">
      <w:pPr>
        <w:pStyle w:val="Lista3"/>
      </w:pPr>
      <w:r>
        <w:t xml:space="preserve">the string </w:t>
      </w:r>
      <w:r>
        <w:rPr>
          <w:rStyle w:val="Foreign"/>
        </w:rPr>
        <w:t>Im</w:t>
      </w:r>
      <w:r>
        <w:t xml:space="preserve"> as an abbreviation of </w:t>
      </w:r>
      <w:r>
        <w:rPr>
          <w:rStyle w:val="Foreign"/>
        </w:rPr>
        <w:t>Iraṇṭum</w:t>
      </w:r>
      <w:r>
        <w:t xml:space="preserve">: </w:t>
      </w:r>
      <w:r>
        <w:rPr>
          <w:rStyle w:val="Code"/>
        </w:rPr>
        <w:t>&lt;expan&gt;&lt;abbr&gt;</w:t>
      </w:r>
      <w:r>
        <w:rPr>
          <w:rStyle w:val="Codetext"/>
        </w:rPr>
        <w:t>I</w:t>
      </w:r>
      <w:r>
        <w:rPr>
          <w:rStyle w:val="Code"/>
        </w:rPr>
        <w:t>&lt;/abbr&gt;&lt;ex&gt;</w:t>
      </w:r>
      <w:r>
        <w:rPr>
          <w:rStyle w:val="Codetext"/>
        </w:rPr>
        <w:t>raṇṭu</w:t>
      </w:r>
      <w:r>
        <w:rPr>
          <w:rStyle w:val="Code"/>
        </w:rPr>
        <w:t>&lt;/ex&gt;&lt;abbr&gt;</w:t>
      </w:r>
      <w:r>
        <w:rPr>
          <w:rStyle w:val="Codetext"/>
        </w:rPr>
        <w:t>m</w:t>
      </w:r>
      <w:r>
        <w:rPr>
          <w:rStyle w:val="Code"/>
        </w:rPr>
        <w:t>&lt;/abbr&gt;&lt;/expan&gt;</w:t>
      </w:r>
      <w:r>
        <w:t xml:space="preserve"> </w:t>
      </w:r>
    </w:p>
    <w:p w14:paraId="6E6A8A1D" w14:textId="77777777">
      <w:pPr>
        <w:pStyle w:val="Lista2"/>
      </w:pPr>
      <w:r>
        <w:t>abbreviation of a compound word by the initial grapheme(s) of its members</w:t>
      </w:r>
    </w:p>
    <w:p w14:paraId="08416E3A" w14:textId="77777777">
      <w:pPr>
        <w:pStyle w:val="Lista3"/>
      </w:pPr>
      <w:r>
        <w:t xml:space="preserve">the string </w:t>
      </w:r>
      <w:r>
        <w:rPr>
          <w:rStyle w:val="Foreign"/>
        </w:rPr>
        <w:t>kuvā</w:t>
      </w:r>
      <w:r>
        <w:t xml:space="preserve"> as an abbreviation of </w:t>
      </w:r>
      <w:r>
        <w:rPr>
          <w:rStyle w:val="Foreign"/>
        </w:rPr>
        <w:t>kulyavāpa</w:t>
      </w:r>
      <w:r>
        <w:t xml:space="preserve">: </w:t>
      </w:r>
      <w:r>
        <w:rPr>
          <w:rStyle w:val="Code"/>
        </w:rPr>
        <w:t>&lt;expan&gt;&lt;abbr&gt;</w:t>
      </w:r>
      <w:r>
        <w:rPr>
          <w:rStyle w:val="Codetext"/>
        </w:rPr>
        <w:t>ku</w:t>
      </w:r>
      <w:r>
        <w:rPr>
          <w:rStyle w:val="Code"/>
        </w:rPr>
        <w:t>&lt;/abbr&gt;&lt;ex&gt;</w:t>
      </w:r>
      <w:r>
        <w:rPr>
          <w:rStyle w:val="Codetext"/>
        </w:rPr>
        <w:t>lya</w:t>
      </w:r>
      <w:r>
        <w:rPr>
          <w:rStyle w:val="Code"/>
        </w:rPr>
        <w:t>&lt;/ex&gt;&lt;abbr&gt;</w:t>
      </w:r>
      <w:r>
        <w:rPr>
          <w:rStyle w:val="Codetext"/>
        </w:rPr>
        <w:t>vā</w:t>
      </w:r>
      <w:r>
        <w:rPr>
          <w:rStyle w:val="Code"/>
        </w:rPr>
        <w:t>&lt;/abbr&gt;&lt;ex&gt;</w:t>
      </w:r>
      <w:r>
        <w:rPr>
          <w:rStyle w:val="Codetext"/>
        </w:rPr>
        <w:t>pa</w:t>
      </w:r>
      <w:r>
        <w:rPr>
          <w:rStyle w:val="Code"/>
        </w:rPr>
        <w:t>&lt;/ex&gt;&lt;/expan&gt;</w:t>
      </w:r>
      <w:r>
        <w:t xml:space="preserve"> </w:t>
      </w:r>
    </w:p>
    <w:p w14:paraId="5006E593" w14:textId="77777777">
      <w:pPr>
        <w:pStyle w:val="Cmsor1"/>
      </w:pPr>
      <w:bookmarkStart w:id="780" w:name="_y8d6jllfz1" w:colFirst="0" w:colLast="0"/>
      <w:bookmarkStart w:id="781" w:name="_2s6au4dtqyfr" w:colFirst="0" w:colLast="0"/>
      <w:bookmarkStart w:id="782" w:name="_msv3i980wz4v" w:colFirst="0" w:colLast="0"/>
      <w:bookmarkStart w:id="783" w:name="_if22uogatvm3" w:colFirst="0" w:colLast="0"/>
      <w:bookmarkStart w:id="784" w:name="_c4m58vl65n98" w:colFirst="0" w:colLast="0"/>
      <w:bookmarkStart w:id="785" w:name="_Ref43978773"/>
      <w:bookmarkStart w:id="786" w:name="_Toc242889583"/>
      <w:bookmarkEnd w:id="780"/>
      <w:bookmarkEnd w:id="781"/>
      <w:bookmarkEnd w:id="782"/>
      <w:bookmarkEnd w:id="783"/>
      <w:bookmarkEnd w:id="784"/>
      <w:r>
        <w:lastRenderedPageBreak/>
        <w:t>The critical apparatus</w:t>
      </w:r>
      <w:bookmarkEnd w:id="785"/>
      <w:bookmarkEnd w:id="786"/>
    </w:p>
    <w:p w14:paraId="33A21D55" w14:textId="30DC4C83">
      <w:r>
        <w:t xml:space="preserve">The primary purpose of a critical apparatus in our project’s documentary editions is to record substantive alternative readings, restorations and emendations by previous editors. Unless a specific sub-corpus or a particular text requires this, a complete record of minor differences </w:t>
      </w:r>
      <w:r>
        <w:rPr>
          <w:noProof/>
        </w:rPr>
        <w:t>(</w:t>
      </w:r>
      <w:r>
        <w:t>e.g. typing and printing errors, orthographic normalisation or whether a reading is shown as unclear or tentatively read/reconstructed) is not desirable. Your own editorial emendations (§</w:t>
      </w:r>
      <w:r>
        <w:fldChar w:fldCharType="begin"/>
      </w:r>
      <w:r>
        <w:instrText xml:space="preserve"> REF _Ref43978565 \r \h </w:instrText>
      </w:r>
      <w:r>
        <w:fldChar w:fldCharType="separate"/>
      </w:r>
      <w:r>
        <w:t>7</w:t>
      </w:r>
      <w:r>
        <w:fldChar w:fldCharType="end"/>
      </w:r>
      <w:r>
        <w:t>) and restorations (§</w:t>
      </w:r>
      <w:r>
        <w:fldChar w:fldCharType="begin"/>
      </w:r>
      <w:r>
        <w:instrText xml:space="preserve"> REF _Ref228459751 \r \h </w:instrText>
      </w:r>
      <w:r>
        <w:fldChar w:fldCharType="separate"/>
      </w:r>
      <w:r>
        <w:t>6.4</w:t>
      </w:r>
      <w:r>
        <w:fldChar w:fldCharType="end"/>
      </w:r>
      <w:r>
        <w:t>) must be encoded within the edition rather than being shown in the critical apparatus. However, apparatus notes can and should be used to add details or reasoning to such choices, and to record highly tentative proposals you are not confident enough to include in the edition itself.</w:t>
      </w:r>
    </w:p>
    <w:p w14:paraId="6D4C130D" w14:textId="228981F5">
      <w:pPr>
        <w:pStyle w:val="Normlbehzs"/>
      </w:pPr>
      <w:r>
        <w:t>TEI and EpiDoc provide a variety of methods for encoding a critical apparatus for a scholarly edition. In DHARMA documentary editions we limit ourselves to an external apparatus criticus, meaning that the apparatus entries are encoded in a section separate from the edition, with each entry containing a reference to a locus of the text that is human-readable but not fully machine-actionable. For the sake of project-wide consistency and ease of processing, the external apparatus shall always be encoded as set out in this section.</w:t>
      </w:r>
    </w:p>
    <w:p w14:paraId="1A83DD60" w14:textId="77777777">
      <w:pPr>
        <w:pStyle w:val="Cmsor2"/>
      </w:pPr>
      <w:bookmarkStart w:id="787" w:name="_wvqmcsurv552" w:colFirst="0" w:colLast="0"/>
      <w:bookmarkStart w:id="788" w:name="_Toc242889584"/>
      <w:bookmarkEnd w:id="787"/>
      <w:r>
        <w:t>Encoding the critical apparatus</w:t>
      </w:r>
      <w:bookmarkEnd w:id="788"/>
    </w:p>
    <w:p w14:paraId="4FD064E5" w14:textId="77777777">
      <w:pPr>
        <w:pStyle w:val="Lista"/>
      </w:pPr>
      <w:r>
        <w:t xml:space="preserve">after your </w:t>
      </w:r>
      <w:r>
        <w:rPr>
          <w:rStyle w:val="Code"/>
        </w:rPr>
        <w:t xml:space="preserve">&lt;div </w:t>
      </w:r>
      <w:r>
        <w:rPr>
          <w:rStyle w:val="Codeattribute"/>
        </w:rPr>
        <w:t>type</w:t>
      </w:r>
      <w:r>
        <w:rPr>
          <w:rStyle w:val="Code"/>
        </w:rPr>
        <w:t>=</w:t>
      </w:r>
      <w:r>
        <w:rPr>
          <w:rStyle w:val="Codevalue"/>
        </w:rPr>
        <w:t>"edition"</w:t>
      </w:r>
      <w:r>
        <w:rPr>
          <w:rStyle w:val="Code"/>
        </w:rPr>
        <w:t>&gt;</w:t>
      </w:r>
      <w:r>
        <w:t xml:space="preserve"> element, your document must include a </w:t>
      </w:r>
      <w:r>
        <w:rPr>
          <w:rStyle w:val="Code"/>
        </w:rPr>
        <w:t xml:space="preserve">&lt;div </w:t>
      </w:r>
      <w:r>
        <w:rPr>
          <w:rStyle w:val="Codeattribute"/>
        </w:rPr>
        <w:t>type</w:t>
      </w:r>
      <w:r>
        <w:rPr>
          <w:rStyle w:val="Code"/>
        </w:rPr>
        <w:t>=</w:t>
      </w:r>
      <w:r>
        <w:rPr>
          <w:rStyle w:val="Codevalue"/>
        </w:rPr>
        <w:t>"apparatus"</w:t>
      </w:r>
      <w:r>
        <w:rPr>
          <w:rStyle w:val="Code"/>
        </w:rPr>
        <w:t>&gt;</w:t>
      </w:r>
      <w:r>
        <w:t>, without any attributes</w:t>
      </w:r>
    </w:p>
    <w:p w14:paraId="08BB87CD" w14:textId="77777777">
      <w:pPr>
        <w:pStyle w:val="Lista"/>
        <w:rPr>
          <w:rStyle w:val="Code"/>
          <w:rFonts w:ascii="Gentium" w:hAnsi="Gentium" w:cs="Tiro Devanagari Sanskrit"/>
          <w:noProof w:val="0"/>
          <w:color w:val="auto"/>
          <w:shd w:val="clear" w:color="auto" w:fill="auto"/>
        </w:rPr>
      </w:pPr>
      <w:r>
        <w:t xml:space="preserve">the direct child of this container must be the element  </w:t>
      </w:r>
      <w:r>
        <w:rPr>
          <w:rStyle w:val="Code"/>
        </w:rPr>
        <w:t>&lt;listApp&gt;</w:t>
      </w:r>
    </w:p>
    <w:p w14:paraId="1D557873" w14:textId="77777777">
      <w:pPr>
        <w:pStyle w:val="Lista"/>
      </w:pPr>
      <w:r>
        <w:t>these skeleton containers are already present in our templates and will not need to be created by you</w:t>
      </w:r>
    </w:p>
    <w:p w14:paraId="72FA975C" w14:textId="4102B376">
      <w:pPr>
        <w:pStyle w:val="Lista2"/>
      </w:pPr>
      <w:r>
        <w:t>but if your edition division includes boxlike partitions (§</w:t>
      </w:r>
      <w:r>
        <w:fldChar w:fldCharType="begin"/>
      </w:r>
      <w:r>
        <w:instrText xml:space="preserve"> REF _Ref225778181 \r \h </w:instrText>
      </w:r>
      <w:r>
        <w:fldChar w:fldCharType="separate"/>
      </w:r>
      <w:r>
        <w:t>4.2</w:t>
      </w:r>
      <w:r>
        <w:fldChar w:fldCharType="end"/>
      </w:r>
      <w:r>
        <w:t xml:space="preserve">), then all corresponding textpart divisions must be replicated within the </w:t>
      </w:r>
      <w:r>
        <w:rPr>
          <w:rStyle w:val="Code"/>
        </w:rPr>
        <w:t xml:space="preserve">&lt;div </w:t>
      </w:r>
      <w:r>
        <w:rPr>
          <w:rStyle w:val="Codeattribute"/>
        </w:rPr>
        <w:t>type</w:t>
      </w:r>
      <w:r>
        <w:rPr>
          <w:rStyle w:val="Code"/>
        </w:rPr>
        <w:t>=</w:t>
      </w:r>
      <w:r>
        <w:rPr>
          <w:rStyle w:val="Codevalue"/>
        </w:rPr>
        <w:t>"apparatus"</w:t>
      </w:r>
      <w:r>
        <w:rPr>
          <w:rStyle w:val="Code"/>
        </w:rPr>
        <w:t>&gt;</w:t>
      </w:r>
      <w:r>
        <w:t xml:space="preserve"> as described in §</w:t>
      </w:r>
      <w:r>
        <w:fldChar w:fldCharType="begin"/>
      </w:r>
      <w:r>
        <w:instrText xml:space="preserve"> REF _Ref43989464 \w \h  \* MERGEFORMAT </w:instrText>
      </w:r>
      <w:r>
        <w:fldChar w:fldCharType="separate"/>
      </w:r>
      <w:r>
        <w:t>10.1.1</w:t>
      </w:r>
      <w:r>
        <w:fldChar w:fldCharType="end"/>
      </w:r>
      <w:r>
        <w:t xml:space="preserve">, and </w:t>
      </w:r>
      <w:r>
        <w:rPr>
          <w:rStyle w:val="Code"/>
        </w:rPr>
        <w:t>&lt;listApp&gt;</w:t>
      </w:r>
      <w:r>
        <w:t xml:space="preserve"> must be created separately for each textpart division within the apparatus</w:t>
      </w:r>
    </w:p>
    <w:p w14:paraId="128D9E7C" w14:textId="77777777">
      <w:pPr>
        <w:pStyle w:val="Lista"/>
      </w:pPr>
      <w:r>
        <w:t xml:space="preserve">within </w:t>
      </w:r>
      <w:r>
        <w:rPr>
          <w:rStyle w:val="Code"/>
        </w:rPr>
        <w:t>&lt;listApp&gt;</w:t>
      </w:r>
      <w:r>
        <w:t xml:space="preserve">, each apparatus entry must be individually wrapped in the element </w:t>
      </w:r>
      <w:r>
        <w:rPr>
          <w:rStyle w:val="Code"/>
        </w:rPr>
        <w:t>&lt;app&gt;</w:t>
      </w:r>
    </w:p>
    <w:p w14:paraId="5E05AA7A" w14:textId="10DDB148">
      <w:pPr>
        <w:pStyle w:val="Lista2"/>
      </w:pPr>
      <w:r>
        <w:t xml:space="preserve">with the mandatory attribute </w:t>
      </w:r>
      <w:r>
        <w:rPr>
          <w:rStyle w:val="Codeattribute"/>
        </w:rPr>
        <w:t>@loc</w:t>
      </w:r>
      <w:r>
        <w:t xml:space="preserve"> to indicate the location </w:t>
      </w:r>
      <w:r>
        <w:rPr>
          <w:noProof/>
        </w:rPr>
        <w:t>(</w:t>
      </w:r>
      <w:r>
        <w:t>epigraphic line) to which your entry pertains, as per §</w:t>
      </w:r>
      <w:r>
        <w:fldChar w:fldCharType="begin"/>
      </w:r>
      <w:r>
        <w:instrText xml:space="preserve"> REF _Ref43978538 \w \h  \* MERGEFORMAT </w:instrText>
      </w:r>
      <w:r>
        <w:fldChar w:fldCharType="separate"/>
      </w:r>
      <w:r>
        <w:t>10.1.1</w:t>
      </w:r>
      <w:r>
        <w:fldChar w:fldCharType="end"/>
      </w:r>
      <w:r>
        <w:t xml:space="preserve"> below</w:t>
      </w:r>
    </w:p>
    <w:p w14:paraId="1A69E356" w14:textId="6AA7871D">
      <w:pPr>
        <w:pStyle w:val="Lista"/>
      </w:pPr>
      <w:r>
        <w:t xml:space="preserve">each </w:t>
      </w:r>
      <w:r>
        <w:rPr>
          <w:rStyle w:val="Code"/>
        </w:rPr>
        <w:t>&lt;app&gt;</w:t>
      </w:r>
      <w:r>
        <w:t xml:space="preserve"> element must contain </w:t>
      </w:r>
      <w:r>
        <w:rPr>
          <w:rStyle w:val="Code"/>
        </w:rPr>
        <w:t>&lt;lem&gt;</w:t>
      </w:r>
      <w:r>
        <w:t xml:space="preserve"> as its first child element, containing a lemma encoded as per §</w:t>
      </w:r>
      <w:r>
        <w:fldChar w:fldCharType="begin"/>
      </w:r>
      <w:r>
        <w:instrText xml:space="preserve"> REF _Ref61250887 \r \h </w:instrText>
      </w:r>
      <w:r>
        <w:fldChar w:fldCharType="separate"/>
      </w:r>
      <w:r>
        <w:t>10.3</w:t>
      </w:r>
      <w:r>
        <w:fldChar w:fldCharType="end"/>
      </w:r>
      <w:r>
        <w:t xml:space="preserve"> below</w:t>
      </w:r>
    </w:p>
    <w:p w14:paraId="6B432BFD" w14:textId="77777777">
      <w:pPr>
        <w:pStyle w:val="Lista"/>
      </w:pPr>
      <w:r>
        <w:t xml:space="preserve">in addition to and after </w:t>
      </w:r>
      <w:r>
        <w:rPr>
          <w:rStyle w:val="Code"/>
        </w:rPr>
        <w:t>&lt;lem&gt;</w:t>
      </w:r>
      <w:r>
        <w:t xml:space="preserve">, each </w:t>
      </w:r>
      <w:r>
        <w:rPr>
          <w:rStyle w:val="Code"/>
        </w:rPr>
        <w:t>&lt;app&gt;</w:t>
      </w:r>
      <w:r>
        <w:t xml:space="preserve"> element must normally contain at least one of the following</w:t>
      </w:r>
    </w:p>
    <w:p w14:paraId="0AFB6946" w14:textId="26FB1F68">
      <w:pPr>
        <w:pStyle w:val="Lista2"/>
      </w:pPr>
      <w:r>
        <w:t xml:space="preserve">one or more </w:t>
      </w:r>
      <w:r>
        <w:rPr>
          <w:rStyle w:val="Code"/>
        </w:rPr>
        <w:t>&lt;rdg&gt;</w:t>
      </w:r>
      <w:r>
        <w:t xml:space="preserve"> elements </w:t>
      </w:r>
      <w:r>
        <w:rPr>
          <w:noProof/>
        </w:rPr>
        <w:t>(</w:t>
      </w:r>
      <w:r>
        <w:t>one for each alternative reading/restoration/emendation), as per §</w:t>
      </w:r>
      <w:r>
        <w:fldChar w:fldCharType="begin"/>
      </w:r>
      <w:r>
        <w:instrText xml:space="preserve"> REF _Ref43989425 \w \h  \* MERGEFORMAT </w:instrText>
      </w:r>
      <w:r>
        <w:fldChar w:fldCharType="separate"/>
      </w:r>
      <w:r>
        <w:t>10.4</w:t>
      </w:r>
      <w:r>
        <w:fldChar w:fldCharType="end"/>
      </w:r>
      <w:r>
        <w:t xml:space="preserve"> below</w:t>
      </w:r>
    </w:p>
    <w:p w14:paraId="6A024651" w14:textId="4CB6E9D1">
      <w:pPr>
        <w:pStyle w:val="Lista2"/>
      </w:pPr>
      <w:r>
        <w:t xml:space="preserve">one or more </w:t>
      </w:r>
      <w:r>
        <w:rPr>
          <w:rStyle w:val="Code"/>
        </w:rPr>
        <w:t>&lt;note&gt;</w:t>
      </w:r>
      <w:r>
        <w:t xml:space="preserve"> elements containing a human-readable note in freeform text pertaining to that particular lemma, as per §</w:t>
      </w:r>
      <w:r>
        <w:fldChar w:fldCharType="begin"/>
      </w:r>
      <w:r>
        <w:instrText xml:space="preserve"> REF _Ref43988104 \w \h  \* MERGEFORMAT </w:instrText>
      </w:r>
      <w:r>
        <w:fldChar w:fldCharType="separate"/>
      </w:r>
      <w:r>
        <w:t>10.7</w:t>
      </w:r>
      <w:r>
        <w:fldChar w:fldCharType="end"/>
      </w:r>
      <w:r>
        <w:t xml:space="preserve"> below</w:t>
      </w:r>
    </w:p>
    <w:p w14:paraId="745091DA" w14:textId="24AA0758">
      <w:pPr>
        <w:pStyle w:val="Lista"/>
      </w:pPr>
      <w:r>
        <w:t>a lemma without either a reading or a note may be used to credit a previous editor for a reading as per §</w:t>
      </w:r>
      <w:r>
        <w:fldChar w:fldCharType="begin"/>
      </w:r>
      <w:r>
        <w:instrText xml:space="preserve"> REF _Ref232167741 \r \h </w:instrText>
      </w:r>
      <w:r>
        <w:fldChar w:fldCharType="separate"/>
      </w:r>
      <w:r>
        <w:t>10.3.3</w:t>
      </w:r>
      <w:r>
        <w:fldChar w:fldCharType="end"/>
      </w:r>
    </w:p>
    <w:p w14:paraId="51F83EC5" w14:textId="673F5A0E">
      <w:pPr>
        <w:pStyle w:val="Lista"/>
      </w:pPr>
      <w:r>
        <w:t xml:space="preserve">the framework of the apparatus is illustrated in </w:t>
      </w:r>
      <w:r>
        <w:fldChar w:fldCharType="begin"/>
      </w:r>
      <w:r>
        <w:instrText xml:space="preserve"> REF _Ref232153771 \h </w:instrText>
      </w:r>
      <w:r>
        <w:fldChar w:fldCharType="separate"/>
      </w:r>
      <w:r>
        <w:t xml:space="preserve">Exhibit </w:t>
      </w:r>
      <w:r>
        <w:rPr>
          <w:noProof/>
        </w:rPr>
        <w:t>10.1</w:t>
      </w:r>
      <w:r>
        <w:t>.</w:t>
      </w:r>
      <w:r>
        <w:rPr>
          <w:noProof/>
        </w:rPr>
        <w:t>A</w:t>
      </w:r>
      <w:r>
        <w:fldChar w:fldCharType="end"/>
      </w:r>
    </w:p>
    <w:p w14:paraId="3B8CFF08" w14:textId="77777777"/>
    <w:tbl>
      <w:tblPr>
        <w:tblStyle w:val="CodeSampleTable"/>
        <w:tblW w:w="5000" w:type="pct"/>
        <w:tblLook w:val="04A0" w:firstRow="1" w:lastRow="0" w:firstColumn="1" w:lastColumn="0" w:noHBand="0" w:noVBand="1"/>
      </w:tblPr>
      <w:tblGrid>
        <w:gridCol w:w="9628"/>
      </w:tblGrid>
      <w:tr w14:paraId="1F7BEA2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B20AC3A" w14:textId="67A20367">
            <w:pPr>
              <w:pStyle w:val="Kpalrs"/>
            </w:pPr>
            <w:bookmarkStart w:id="789" w:name="_Ref232153771"/>
            <w:r>
              <w:lastRenderedPageBreak/>
              <w:t xml:space="preserve">Exhibit </w:t>
            </w:r>
            <w:fldSimple w:instr=" STYLEREF 2 \s ">
              <w:r>
                <w:rPr>
                  <w:noProof/>
                </w:rPr>
                <w:t>10.1</w:t>
              </w:r>
            </w:fldSimple>
            <w:r>
              <w:t>.</w:t>
            </w:r>
            <w:fldSimple w:instr=" SEQ Exhibit \* ALPHABETIC \s 2 ">
              <w:r>
                <w:rPr>
                  <w:noProof/>
                </w:rPr>
                <w:t>A</w:t>
              </w:r>
            </w:fldSimple>
            <w:bookmarkEnd w:id="789"/>
            <w:r>
              <w:t>: example of a critical apparatus</w:t>
            </w:r>
          </w:p>
        </w:tc>
      </w:tr>
      <w:tr w14:paraId="6A8828CC" w14:textId="77777777">
        <w:tc>
          <w:tcPr>
            <w:tcW w:w="5000" w:type="pct"/>
          </w:tcPr>
          <w:p w14:paraId="6FD21BFA" w14:textId="77777777">
            <w:pPr>
              <w:pStyle w:val="TableNote"/>
              <w:keepNext/>
              <w:rPr>
                <w:rStyle w:val="Code"/>
              </w:rPr>
            </w:pPr>
            <w:r>
              <w:t>a snippet from an edition</w:t>
            </w:r>
          </w:p>
        </w:tc>
      </w:tr>
      <w:tr w14:paraId="2F144D57" w14:textId="77777777">
        <w:tc>
          <w:tcPr>
            <w:tcW w:w="5000" w:type="pct"/>
          </w:tcPr>
          <w:p w14:paraId="0492185E" w14:textId="77777777">
            <w:pPr>
              <w:pStyle w:val="CodeParagraph"/>
              <w:keepNext/>
              <w:rPr>
                <w:rStyle w:val="Code"/>
              </w:rPr>
            </w:pPr>
            <w:r>
              <w:rPr>
                <w:rStyle w:val="Code"/>
              </w:rPr>
              <w:t xml:space="preserve">&lt;div </w:t>
            </w:r>
            <w:r>
              <w:rPr>
                <w:rStyle w:val="Codeattribute"/>
              </w:rPr>
              <w:t>type</w:t>
            </w:r>
            <w:r>
              <w:rPr>
                <w:rStyle w:val="Code"/>
              </w:rPr>
              <w:t>=</w:t>
            </w:r>
            <w:r>
              <w:rPr>
                <w:rStyle w:val="Codevalue"/>
              </w:rPr>
              <w:t xml:space="preserve">"edition" </w:t>
            </w:r>
            <w:r>
              <w:rPr>
                <w:rStyle w:val="Codeattribute"/>
              </w:rPr>
              <w:t>xml:lang</w:t>
            </w:r>
            <w:r>
              <w:rPr>
                <w:rStyle w:val="Code"/>
              </w:rPr>
              <w:t>=</w:t>
            </w:r>
            <w:r>
              <w:rPr>
                <w:rStyle w:val="Codevalue"/>
              </w:rPr>
              <w:t>"san-Latn"</w:t>
            </w:r>
            <w:r>
              <w:rPr>
                <w:rStyle w:val="Code"/>
              </w:rPr>
              <w:t>&gt;</w:t>
            </w:r>
            <w:r>
              <w:rPr>
                <w:rStyle w:val="Codetext"/>
              </w:rPr>
              <w:br/>
              <w:t xml:space="preserve">  [...]</w:t>
            </w:r>
            <w:r>
              <w:rPr>
                <w:rStyle w:val="Codetext"/>
              </w:rPr>
              <w:br/>
            </w:r>
            <w:r>
              <w:rPr>
                <w:rStyle w:val="Code"/>
              </w:rPr>
              <w:t xml:space="preserve">  &lt;lg </w:t>
            </w:r>
            <w:r>
              <w:rPr>
                <w:rStyle w:val="Codeattribute"/>
              </w:rPr>
              <w:t>n=</w:t>
            </w:r>
            <w:r>
              <w:rPr>
                <w:rStyle w:val="Codevalue"/>
              </w:rPr>
              <w:t>"3"</w:t>
            </w:r>
            <w:r>
              <w:rPr>
                <w:rStyle w:val="Code"/>
              </w:rPr>
              <w:t xml:space="preserve"> </w:t>
            </w:r>
            <w:r>
              <w:rPr>
                <w:rStyle w:val="Codeattribute"/>
              </w:rPr>
              <w:t>met=</w:t>
            </w:r>
            <w:r>
              <w:rPr>
                <w:rStyle w:val="Codevalue"/>
              </w:rPr>
              <w:t>"anuṣṭubh"</w:t>
            </w:r>
            <w:r>
              <w:rPr>
                <w:rStyle w:val="Code"/>
              </w:rPr>
              <w:t>&gt;</w:t>
            </w:r>
          </w:p>
          <w:p w14:paraId="73BD8418" w14:textId="77777777">
            <w:pPr>
              <w:pStyle w:val="CodeParagraph"/>
              <w:keepNext/>
              <w:rPr>
                <w:rStyle w:val="Code"/>
              </w:rPr>
            </w:pPr>
            <w:r>
              <w:rPr>
                <w:rStyle w:val="Code"/>
              </w:rPr>
              <w:t xml:space="preserve">    &lt;l </w:t>
            </w:r>
            <w:r>
              <w:rPr>
                <w:rStyle w:val="Codeattribute"/>
              </w:rPr>
              <w:t>n=</w:t>
            </w:r>
            <w:r>
              <w:rPr>
                <w:rStyle w:val="Codevalue"/>
              </w:rPr>
              <w:t>"a"</w:t>
            </w:r>
            <w:r>
              <w:rPr>
                <w:rStyle w:val="Code"/>
              </w:rPr>
              <w:t>&gt;</w:t>
            </w:r>
            <w:r>
              <w:rPr>
                <w:rStyle w:val="Codetext"/>
              </w:rPr>
              <w:t>brahma-svan tu 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w:t>
            </w:r>
            <w:r>
              <w:rPr>
                <w:rStyle w:val="Codetext"/>
              </w:rPr>
              <w:t xml:space="preserve"> ghora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&lt;/supplied&gt;&lt;/l&gt;</w:t>
            </w:r>
          </w:p>
          <w:p w14:paraId="48818487" w14:textId="77777777">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na 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w:t>
            </w:r>
            <w:r>
              <w:rPr>
                <w:rStyle w:val="Codetext"/>
              </w:rPr>
              <w:t xml:space="preserve"> viṣam ucyate</w:t>
            </w:r>
            <w:r>
              <w:rPr>
                <w:rStyle w:val="Code"/>
              </w:rPr>
              <w:t>&lt;/l&gt;</w:t>
            </w:r>
          </w:p>
          <w:p w14:paraId="2BC619F8" w14:textId="77777777">
            <w:pPr>
              <w:pStyle w:val="CodeParagraph"/>
              <w:keepNext/>
              <w:rPr>
                <w:rStyle w:val="Code"/>
              </w:rPr>
            </w:pPr>
            <w:r>
              <w:rPr>
                <w:rStyle w:val="Code"/>
              </w:rPr>
              <w:t xml:space="preserve">    &lt;l </w:t>
            </w:r>
            <w:r>
              <w:rPr>
                <w:rStyle w:val="Codeattribute"/>
              </w:rPr>
              <w:t>n=</w:t>
            </w:r>
            <w:r>
              <w:rPr>
                <w:rStyle w:val="Codevalue"/>
              </w:rPr>
              <w:t>"c"</w:t>
            </w:r>
            <w:r>
              <w:rPr>
                <w:rStyle w:val="Code"/>
              </w:rPr>
              <w:t>&gt;</w:t>
            </w:r>
            <w:r>
              <w:rPr>
                <w:rStyle w:val="Codetext"/>
              </w:rPr>
              <w:t>viṣa</w:t>
            </w:r>
            <w:r>
              <w:rPr>
                <w:rStyle w:val="Code"/>
              </w:rPr>
              <w:t xml:space="preserve">&lt;lb </w:t>
            </w:r>
            <w:r>
              <w:rPr>
                <w:rStyle w:val="Codeattribute"/>
              </w:rPr>
              <w:t>n=</w:t>
            </w:r>
            <w:r>
              <w:rPr>
                <w:rStyle w:val="Codevalue"/>
              </w:rPr>
              <w:t>"25"</w:t>
            </w:r>
            <w:r>
              <w:rPr>
                <w:rStyle w:val="Code"/>
              </w:rPr>
              <w:t xml:space="preserve"> </w:t>
            </w:r>
            <w:r>
              <w:rPr>
                <w:rStyle w:val="Codeattribute"/>
              </w:rPr>
              <w:t>break=</w:t>
            </w:r>
            <w:r>
              <w:rPr>
                <w:rStyle w:val="Codevalue"/>
              </w:rPr>
              <w:t>"no"</w:t>
            </w:r>
            <w:r>
              <w:rPr>
                <w:rStyle w:val="Code"/>
              </w:rPr>
              <w:t>/&gt;</w:t>
            </w:r>
            <w:r>
              <w:rPr>
                <w:rStyle w:val="Codetext"/>
              </w:rPr>
              <w:t xml:space="preserve">m </w:t>
            </w:r>
            <w:r>
              <w:rPr>
                <w:rStyle w:val="Code"/>
              </w:rPr>
              <w:t>&lt;unclear&gt;</w:t>
            </w:r>
            <w:r>
              <w:rPr>
                <w:rStyle w:val="Codetext"/>
              </w:rPr>
              <w:t>e</w:t>
            </w:r>
            <w:r>
              <w:rPr>
                <w:rStyle w:val="Code"/>
              </w:rPr>
              <w:t>&lt;/unclear&gt;</w:t>
            </w:r>
            <w:r>
              <w:rPr>
                <w:rStyle w:val="Codetext"/>
              </w:rPr>
              <w:t>kākin</w:t>
            </w:r>
            <w:r>
              <w:rPr>
                <w:rStyle w:val="Code"/>
              </w:rPr>
              <w:t>&lt;choice&gt;&lt;sic&gt;</w:t>
            </w:r>
            <w:r>
              <w:rPr>
                <w:rStyle w:val="Codetext"/>
              </w:rPr>
              <w:t>ā</w:t>
            </w:r>
            <w:r>
              <w:rPr>
                <w:rStyle w:val="Code"/>
              </w:rPr>
              <w:t>&lt;/sic&gt;&lt;corr&gt;</w:t>
            </w:r>
            <w:r>
              <w:rPr>
                <w:rStyle w:val="Codetext"/>
              </w:rPr>
              <w:t>a</w:t>
            </w:r>
            <w:r>
              <w:rPr>
                <w:rStyle w:val="Code"/>
              </w:rPr>
              <w:t>&lt;/corr&gt;&lt;/choice&gt;</w:t>
            </w:r>
            <w:r>
              <w:rPr>
                <w:rStyle w:val="Codetext"/>
              </w:rPr>
              <w:t>ṁ hanti</w:t>
            </w:r>
            <w:r>
              <w:rPr>
                <w:rStyle w:val="Code"/>
              </w:rPr>
              <w:t>&lt;/l&gt;</w:t>
            </w:r>
          </w:p>
          <w:p w14:paraId="69DEFA49" w14:textId="77777777">
            <w:pPr>
              <w:pStyle w:val="CodeParagraph"/>
              <w:keepNext/>
              <w:rPr>
                <w:rStyle w:val="Code"/>
              </w:rPr>
            </w:pPr>
            <w:r>
              <w:rPr>
                <w:rStyle w:val="Code"/>
              </w:rPr>
              <w:t xml:space="preserve">    &lt;l </w:t>
            </w:r>
            <w:r>
              <w:rPr>
                <w:rStyle w:val="Codeattribute"/>
              </w:rPr>
              <w:t>n=</w:t>
            </w:r>
            <w:r>
              <w:rPr>
                <w:rStyle w:val="Codevalue"/>
              </w:rPr>
              <w:t>"d"</w:t>
            </w:r>
            <w:r>
              <w:rPr>
                <w:rStyle w:val="Code"/>
              </w:rPr>
              <w:t>&gt;</w:t>
            </w:r>
            <w:r>
              <w:rPr>
                <w:rStyle w:val="Codetext"/>
              </w:rPr>
              <w:t>brahma-svaM putra-p</w:t>
            </w:r>
            <w:r>
              <w:rPr>
                <w:rStyle w:val="Code"/>
              </w:rPr>
              <w:t>&lt;choice&gt;&lt;sic&gt;</w:t>
            </w:r>
            <w:r>
              <w:rPr>
                <w:rStyle w:val="Codetext"/>
              </w:rPr>
              <w:t>avi</w:t>
            </w:r>
            <w:r>
              <w:rPr>
                <w:rStyle w:val="Code"/>
              </w:rPr>
              <w:t>&lt;/sic&gt;&lt;corr&gt;</w:t>
            </w:r>
            <w:r>
              <w:rPr>
                <w:rStyle w:val="Codetext"/>
              </w:rPr>
              <w:t>au</w:t>
            </w:r>
            <w:r>
              <w:rPr>
                <w:rStyle w:val="Code"/>
              </w:rPr>
              <w:t>&lt;/corr&gt;&lt;/choice&gt;</w:t>
            </w:r>
            <w:r>
              <w:rPr>
                <w:rStyle w:val="Codetext"/>
              </w:rPr>
              <w:t>trikaM</w:t>
            </w:r>
            <w:r>
              <w:rPr>
                <w:rStyle w:val="Code"/>
              </w:rPr>
              <w:t>&lt;/l&gt;</w:t>
            </w:r>
          </w:p>
          <w:p w14:paraId="2A34AF64" w14:textId="77777777">
            <w:pPr>
              <w:pStyle w:val="CodeParagraph"/>
              <w:keepNext/>
              <w:rPr>
                <w:rStyle w:val="Code"/>
              </w:rPr>
            </w:pPr>
            <w:r>
              <w:rPr>
                <w:rStyle w:val="Code"/>
              </w:rPr>
              <w:t xml:space="preserve">  &lt;/lg&gt;</w:t>
            </w:r>
          </w:p>
          <w:p w14:paraId="4239663F" w14:textId="77777777">
            <w:pPr>
              <w:pStyle w:val="CodeParagraph"/>
              <w:keepNext/>
            </w:pPr>
            <w:r>
              <w:rPr>
                <w:rStyle w:val="Codetext"/>
              </w:rPr>
              <w:t xml:space="preserve">  [...]</w:t>
            </w:r>
            <w:r>
              <w:rPr>
                <w:rStyle w:val="Codetext"/>
              </w:rPr>
              <w:br/>
            </w:r>
            <w:r>
              <w:rPr>
                <w:rStyle w:val="Code"/>
              </w:rPr>
              <w:t>&lt;/div&gt;</w:t>
            </w:r>
          </w:p>
        </w:tc>
      </w:tr>
      <w:tr w14:paraId="2D46A989" w14:textId="77777777">
        <w:tc>
          <w:tcPr>
            <w:tcW w:w="5000" w:type="pct"/>
          </w:tcPr>
          <w:p w14:paraId="38E7BCE7" w14:textId="77777777">
            <w:pPr>
              <w:pStyle w:val="TableNote"/>
              <w:keepNext/>
              <w:rPr>
                <w:rStyle w:val="Code"/>
              </w:rPr>
            </w:pPr>
            <w:r>
              <w:t>and from the corresponding apparatus</w:t>
            </w:r>
          </w:p>
        </w:tc>
      </w:tr>
      <w:tr w14:paraId="6021BBA3" w14:textId="77777777">
        <w:tc>
          <w:tcPr>
            <w:tcW w:w="5000" w:type="pct"/>
          </w:tcPr>
          <w:p w14:paraId="0AE2A86B" w14:textId="77777777">
            <w:pPr>
              <w:pStyle w:val="CodeParagraph"/>
              <w:rPr>
                <w:rStyle w:val="Code"/>
              </w:rPr>
            </w:pPr>
            <w:r>
              <w:rPr>
                <w:rStyle w:val="Code"/>
              </w:rPr>
              <w:t xml:space="preserve">&lt;div </w:t>
            </w:r>
            <w:r>
              <w:rPr>
                <w:rStyle w:val="Codeattribute"/>
              </w:rPr>
              <w:t>type</w:t>
            </w:r>
            <w:r>
              <w:rPr>
                <w:rStyle w:val="Code"/>
              </w:rPr>
              <w:t>=</w:t>
            </w:r>
            <w:r>
              <w:rPr>
                <w:rStyle w:val="Codevalue"/>
              </w:rPr>
              <w:t>"apparatus"</w:t>
            </w:r>
            <w:r>
              <w:rPr>
                <w:rStyle w:val="Code"/>
              </w:rPr>
              <w:t>&gt;</w:t>
            </w:r>
            <w:r>
              <w:rPr>
                <w:rStyle w:val="Codetext"/>
              </w:rPr>
              <w:br/>
            </w:r>
            <w:r>
              <w:rPr>
                <w:rStyle w:val="Code"/>
              </w:rPr>
              <w:t xml:space="preserve">  &lt;listApp&gt;</w:t>
            </w:r>
            <w:r>
              <w:rPr>
                <w:rStyle w:val="Codetext"/>
              </w:rPr>
              <w:br/>
              <w:t xml:space="preserve">    [...]</w:t>
            </w:r>
            <w:r>
              <w:rPr>
                <w:rStyle w:val="Codetext"/>
              </w:rPr>
              <w:br/>
            </w:r>
            <w:r>
              <w:rPr>
                <w:rStyle w:val="Code"/>
              </w:rPr>
              <w:t xml:space="preserve">    &lt;app </w:t>
            </w:r>
            <w:r>
              <w:rPr>
                <w:rStyle w:val="Codeattribute"/>
              </w:rPr>
              <w:t>loc=</w:t>
            </w:r>
            <w:r>
              <w:rPr>
                <w:rStyle w:val="Codevalue"/>
              </w:rPr>
              <w:t>"24"</w:t>
            </w:r>
            <w:r>
              <w:rPr>
                <w:rStyle w:val="Code"/>
              </w:rPr>
              <w:t>&gt;</w:t>
            </w:r>
          </w:p>
          <w:p w14:paraId="3463B477" w14:textId="77777777">
            <w:pPr>
              <w:pStyle w:val="CodeParagraph"/>
              <w:rPr>
                <w:rStyle w:val="Code"/>
              </w:rPr>
            </w:pPr>
            <w:r>
              <w:rPr>
                <w:rStyle w:val="Code"/>
              </w:rPr>
              <w:t xml:space="preserve">      &lt;lem&gt;</w:t>
            </w:r>
            <w:r>
              <w:rPr>
                <w:rStyle w:val="Codetext"/>
              </w:rPr>
              <w:t>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w:t>
            </w:r>
            <w:r>
              <w:rPr>
                <w:rStyle w:val="Codetext"/>
              </w:rPr>
              <w:t xml:space="preserve"> viṣam</w:t>
            </w:r>
            <w:r>
              <w:rPr>
                <w:rStyle w:val="Code"/>
              </w:rPr>
              <w:t>&lt;/lem&gt;</w:t>
            </w:r>
          </w:p>
          <w:p w14:paraId="700EF76B" w14:textId="77777777">
            <w:pPr>
              <w:pStyle w:val="CodeParagraph"/>
              <w:rPr>
                <w:rStyle w:val="Code"/>
              </w:rPr>
            </w:pPr>
            <w:r>
              <w:rPr>
                <w:rStyle w:val="Code"/>
              </w:rPr>
              <w:t xml:space="preserve">      &lt;rdg </w:t>
            </w:r>
            <w:r>
              <w:rPr>
                <w:rStyle w:val="Codeattribute"/>
              </w:rPr>
              <w:t>source=</w:t>
            </w:r>
            <w:r>
              <w:rPr>
                <w:rStyle w:val="Codevalue"/>
              </w:rPr>
              <w:t>"bib:Gai1965-1966_01"</w:t>
            </w:r>
            <w:r>
              <w:rPr>
                <w:rStyle w:val="Code"/>
              </w:rPr>
              <w:t>&gt;</w:t>
            </w:r>
            <w:r>
              <w:rPr>
                <w:rStyle w:val="Codetext"/>
              </w:rPr>
              <w:t>viṣa</w:t>
            </w:r>
            <w:r>
              <w:rPr>
                <w:rStyle w:val="Code"/>
              </w:rPr>
              <w:t>&lt;unclear&gt;</w:t>
            </w:r>
            <w:r>
              <w:rPr>
                <w:rStyle w:val="Codetext"/>
              </w:rPr>
              <w:t>ṁ</w:t>
            </w:r>
            <w:r>
              <w:rPr>
                <w:rStyle w:val="Code"/>
              </w:rPr>
              <w:t>&lt;/unclear&gt;</w:t>
            </w:r>
            <w:r>
              <w:rPr>
                <w:rStyle w:val="Codetext"/>
              </w:rPr>
              <w:t xml:space="preserve"> viṣam</w:t>
            </w:r>
            <w:r>
              <w:rPr>
                <w:rStyle w:val="Code"/>
              </w:rPr>
              <w:t>&lt;/rdg&gt;</w:t>
            </w:r>
          </w:p>
          <w:p w14:paraId="0936BAF0" w14:textId="77777777">
            <w:pPr>
              <w:pStyle w:val="CodeParagraph"/>
              <w:rPr>
                <w:rStyle w:val="Code"/>
              </w:rPr>
            </w:pPr>
            <w:r>
              <w:rPr>
                <w:rStyle w:val="Code"/>
              </w:rPr>
              <w:t xml:space="preserve">      &lt;rdg </w:t>
            </w:r>
            <w:r>
              <w:rPr>
                <w:rStyle w:val="Codeattribute"/>
              </w:rPr>
              <w:t>source=</w:t>
            </w:r>
            <w:r>
              <w:rPr>
                <w:rStyle w:val="Codevalue"/>
              </w:rPr>
              <w:t>"bib:Venkataramanayya1974_01"</w:t>
            </w:r>
            <w:r>
              <w:rPr>
                <w:rStyle w:val="Code"/>
              </w:rPr>
              <w:t>&gt;</w:t>
            </w:r>
            <w:r>
              <w:rPr>
                <w:rStyle w:val="Codetext"/>
              </w:rPr>
              <w:t>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&lt;/supplied&gt;&lt;/rdg&gt;</w:t>
            </w:r>
          </w:p>
          <w:p w14:paraId="13AE2E6E" w14:textId="77777777">
            <w:pPr>
              <w:pStyle w:val="CodeParagraph"/>
              <w:rPr>
                <w:rStyle w:val="Code"/>
              </w:rPr>
            </w:pPr>
            <w:r>
              <w:rPr>
                <w:rStyle w:val="Code"/>
              </w:rPr>
              <w:t xml:space="preserve">    &lt;/app&gt;</w:t>
            </w:r>
          </w:p>
          <w:p w14:paraId="1C37F001" w14:textId="77777777">
            <w:pPr>
              <w:pStyle w:val="CodeParagraph"/>
              <w:rPr>
                <w:rStyle w:val="Code"/>
              </w:rPr>
            </w:pPr>
            <w:r>
              <w:rPr>
                <w:rStyle w:val="Code"/>
              </w:rPr>
              <w:t xml:space="preserve">    &lt;app </w:t>
            </w:r>
            <w:r>
              <w:rPr>
                <w:rStyle w:val="Codeattribute"/>
              </w:rPr>
              <w:t>loc=</w:t>
            </w:r>
            <w:r>
              <w:rPr>
                <w:rStyle w:val="Codevalue"/>
              </w:rPr>
              <w:t>"24"</w:t>
            </w:r>
            <w:r>
              <w:rPr>
                <w:rStyle w:val="Code"/>
              </w:rPr>
              <w:t>&gt;</w:t>
            </w:r>
          </w:p>
          <w:p w14:paraId="28FF1920" w14:textId="77777777">
            <w:pPr>
              <w:pStyle w:val="CodeParagraph"/>
              <w:rPr>
                <w:rStyle w:val="Code"/>
              </w:rPr>
            </w:pPr>
            <w:r>
              <w:rPr>
                <w:rStyle w:val="Code"/>
              </w:rPr>
              <w:t xml:space="preserve">      &lt;lem </w:t>
            </w:r>
            <w:r>
              <w:rPr>
                <w:rStyle w:val="Codeattribute"/>
              </w:rPr>
              <w:t>source=</w:t>
            </w:r>
            <w:r>
              <w:rPr>
                <w:rStyle w:val="Codevalue"/>
              </w:rPr>
              <w:t>"bib:Gai1965-1966_01"</w:t>
            </w:r>
            <w:r>
              <w:rPr>
                <w:rStyle w:val="Code"/>
              </w:rPr>
              <w:t>&gt;</w:t>
            </w:r>
            <w:r>
              <w:rPr>
                <w:rStyle w:val="Codetext"/>
              </w:rPr>
              <w:t>ucyate</w:t>
            </w:r>
            <w:r>
              <w:rPr>
                <w:rStyle w:val="Code"/>
              </w:rPr>
              <w:t>&lt;/lem&gt;</w:t>
            </w:r>
          </w:p>
          <w:p w14:paraId="5D73B465" w14:textId="77777777">
            <w:pPr>
              <w:pStyle w:val="CodeParagraph"/>
              <w:rPr>
                <w:rStyle w:val="Code"/>
              </w:rPr>
            </w:pPr>
            <w:r>
              <w:rPr>
                <w:rStyle w:val="Code"/>
              </w:rPr>
              <w:t xml:space="preserve">      &lt;rdg </w:t>
            </w:r>
            <w:r>
              <w:rPr>
                <w:rStyle w:val="Codeattribute"/>
              </w:rPr>
              <w:t>source=</w:t>
            </w:r>
            <w:r>
              <w:rPr>
                <w:rStyle w:val="Codevalue"/>
              </w:rPr>
              <w:t>"bib:Venkataramanayya1974_01"</w:t>
            </w:r>
            <w:r>
              <w:rPr>
                <w:rStyle w:val="Code"/>
              </w:rPr>
              <w:t>&gt;</w:t>
            </w:r>
            <w:r>
              <w:rPr>
                <w:rStyle w:val="Codetext"/>
              </w:rPr>
              <w:t>uc</w:t>
            </w:r>
            <w:r>
              <w:rPr>
                <w:rStyle w:val="Code"/>
              </w:rPr>
              <w:t>&lt;surplus&gt;</w:t>
            </w:r>
            <w:r>
              <w:rPr>
                <w:rStyle w:val="Codetext"/>
              </w:rPr>
              <w:t>c</w:t>
            </w:r>
            <w:r>
              <w:rPr>
                <w:rStyle w:val="Code"/>
              </w:rPr>
              <w:t>&lt;/surplus&gt;</w:t>
            </w:r>
            <w:r>
              <w:rPr>
                <w:rStyle w:val="Codetext"/>
              </w:rPr>
              <w:t>yate</w:t>
            </w:r>
            <w:r>
              <w:rPr>
                <w:rStyle w:val="Code"/>
              </w:rPr>
              <w:t>&lt;/rdg&gt;</w:t>
            </w:r>
          </w:p>
          <w:p w14:paraId="3ADC6361" w14:textId="77777777">
            <w:pPr>
              <w:pStyle w:val="CodeParagraph"/>
              <w:rPr>
                <w:rStyle w:val="Code"/>
              </w:rPr>
            </w:pPr>
            <w:r>
              <w:rPr>
                <w:rStyle w:val="Code"/>
              </w:rPr>
              <w:t xml:space="preserve">    &lt;/app&gt;</w:t>
            </w:r>
          </w:p>
          <w:p w14:paraId="33DD4E2A" w14:textId="77777777">
            <w:pPr>
              <w:pStyle w:val="CodeParagraph"/>
              <w:rPr>
                <w:rStyle w:val="Code"/>
              </w:rPr>
            </w:pPr>
            <w:r>
              <w:rPr>
                <w:rStyle w:val="Code"/>
              </w:rPr>
              <w:t xml:space="preserve">    &lt;app </w:t>
            </w:r>
            <w:r>
              <w:rPr>
                <w:rStyle w:val="Codeattribute"/>
              </w:rPr>
              <w:t>loc=</w:t>
            </w:r>
            <w:r>
              <w:rPr>
                <w:rStyle w:val="Codevalue"/>
              </w:rPr>
              <w:t>"25"</w:t>
            </w:r>
            <w:r>
              <w:rPr>
                <w:rStyle w:val="Code"/>
              </w:rPr>
              <w:t>&gt;</w:t>
            </w:r>
          </w:p>
          <w:p w14:paraId="4C0C7780" w14:textId="77777777">
            <w:pPr>
              <w:pStyle w:val="CodeParagraph"/>
              <w:rPr>
                <w:rStyle w:val="Code"/>
              </w:rPr>
            </w:pPr>
            <w:r>
              <w:rPr>
                <w:rStyle w:val="Code"/>
              </w:rPr>
              <w:t xml:space="preserve">      &lt;lem </w:t>
            </w:r>
            <w:r>
              <w:rPr>
                <w:rStyle w:val="Codeattribute"/>
              </w:rPr>
              <w:t>source=</w:t>
            </w:r>
            <w:r>
              <w:rPr>
                <w:rStyle w:val="Codevalue"/>
              </w:rPr>
              <w:t>"bib:Venkataramanayya1974_01"</w:t>
            </w:r>
            <w:r>
              <w:rPr>
                <w:rStyle w:val="Code"/>
              </w:rPr>
              <w:t>&gt;-</w:t>
            </w:r>
            <w:r>
              <w:rPr>
                <w:rStyle w:val="Codetext"/>
              </w:rPr>
              <w:t>p</w:t>
            </w:r>
            <w:r>
              <w:rPr>
                <w:rStyle w:val="Code"/>
              </w:rPr>
              <w:t>&lt;choice&gt;&lt;sic&gt;</w:t>
            </w:r>
            <w:r>
              <w:rPr>
                <w:rStyle w:val="Codetext"/>
              </w:rPr>
              <w:t>avi</w:t>
            </w:r>
            <w:r>
              <w:rPr>
                <w:rStyle w:val="Code"/>
              </w:rPr>
              <w:t>&lt;/sic&gt;&lt;corr&gt;</w:t>
            </w:r>
            <w:r>
              <w:rPr>
                <w:rStyle w:val="Codetext"/>
              </w:rPr>
              <w:t>au</w:t>
            </w:r>
            <w:r>
              <w:rPr>
                <w:rStyle w:val="Code"/>
              </w:rPr>
              <w:t>&lt;/corr&gt;&lt;/choice&gt;</w:t>
            </w:r>
            <w:r>
              <w:rPr>
                <w:rStyle w:val="Codetext"/>
              </w:rPr>
              <w:t>trikaM</w:t>
            </w:r>
            <w:r>
              <w:rPr>
                <w:rStyle w:val="Code"/>
              </w:rPr>
              <w:t>&lt;/lem&gt;</w:t>
            </w:r>
          </w:p>
          <w:p w14:paraId="155145F7" w14:textId="77777777">
            <w:pPr>
              <w:pStyle w:val="CodeParagraph"/>
              <w:rPr>
                <w:rStyle w:val="Code"/>
              </w:rPr>
            </w:pPr>
            <w:r>
              <w:rPr>
                <w:rStyle w:val="Code"/>
              </w:rPr>
              <w:t xml:space="preserve">      &lt;rdg </w:t>
            </w:r>
            <w:r>
              <w:rPr>
                <w:rStyle w:val="Codeattribute"/>
              </w:rPr>
              <w:t>source=</w:t>
            </w:r>
            <w:r>
              <w:rPr>
                <w:rStyle w:val="Codevalue"/>
              </w:rPr>
              <w:t>"bib:Gai1965-1966_01"</w:t>
            </w:r>
            <w:r>
              <w:rPr>
                <w:rStyle w:val="Code"/>
              </w:rPr>
              <w:t>&gt;-</w:t>
            </w:r>
            <w:r>
              <w:rPr>
                <w:rStyle w:val="Codetext"/>
              </w:rPr>
              <w:t>p</w:t>
            </w:r>
            <w:r>
              <w:rPr>
                <w:rStyle w:val="Code"/>
              </w:rPr>
              <w:t>&lt;choice&gt;&lt;sic&gt;</w:t>
            </w:r>
            <w:r>
              <w:rPr>
                <w:rStyle w:val="Codetext"/>
              </w:rPr>
              <w:t>avi</w:t>
            </w:r>
            <w:r>
              <w:rPr>
                <w:rStyle w:val="Code"/>
              </w:rPr>
              <w:t>&lt;/sic&gt;&lt;corr&gt;</w:t>
            </w:r>
            <w:r>
              <w:rPr>
                <w:rStyle w:val="Codetext"/>
              </w:rPr>
              <w:t>au</w:t>
            </w:r>
            <w:r>
              <w:rPr>
                <w:rStyle w:val="Code"/>
              </w:rPr>
              <w:t>&lt;/corr&gt;&lt;/choice&gt;</w:t>
            </w:r>
            <w:r>
              <w:rPr>
                <w:rStyle w:val="Codetext"/>
              </w:rPr>
              <w:t>tr</w:t>
            </w:r>
            <w:r>
              <w:rPr>
                <w:rStyle w:val="Code"/>
              </w:rPr>
              <w:t>&lt;choice&gt;&lt;orig&gt;</w:t>
            </w:r>
            <w:r>
              <w:rPr>
                <w:rStyle w:val="Codetext"/>
              </w:rPr>
              <w:t>i</w:t>
            </w:r>
            <w:r>
              <w:rPr>
                <w:rStyle w:val="Code"/>
              </w:rPr>
              <w:t>&lt;/orig&gt;&lt;reg&gt;</w:t>
            </w:r>
            <w:r>
              <w:rPr>
                <w:rStyle w:val="Codetext"/>
              </w:rPr>
              <w:t>a</w:t>
            </w:r>
            <w:r>
              <w:rPr>
                <w:rStyle w:val="Code"/>
              </w:rPr>
              <w:t>&lt;/reg&gt;&lt;/choice&gt;</w:t>
            </w:r>
            <w:r>
              <w:rPr>
                <w:rStyle w:val="Codetext"/>
              </w:rPr>
              <w:t>kaM</w:t>
            </w:r>
            <w:r>
              <w:rPr>
                <w:rStyle w:val="Code"/>
              </w:rPr>
              <w:t>&lt;/rdg&gt;</w:t>
            </w:r>
          </w:p>
          <w:p w14:paraId="69F5CDC0" w14:textId="77777777">
            <w:pPr>
              <w:pStyle w:val="CodeParagraph"/>
              <w:rPr>
                <w:rStyle w:val="Code"/>
              </w:rPr>
            </w:pPr>
            <w:r>
              <w:rPr>
                <w:rStyle w:val="Code"/>
              </w:rPr>
              <w:t xml:space="preserve">      &lt;note&gt;</w:t>
            </w:r>
            <w:r>
              <w:rPr>
                <w:rStyle w:val="Codetext"/>
              </w:rPr>
              <w:t xml:space="preserve">I prefer the normalisation </w:t>
            </w:r>
            <w:r>
              <w:rPr>
                <w:rStyle w:val="Code"/>
              </w:rPr>
              <w:t>&lt;foreign&gt;</w:t>
            </w:r>
            <w:r>
              <w:rPr>
                <w:rStyle w:val="Codetext"/>
              </w:rPr>
              <w:t>pautrikam</w:t>
            </w:r>
            <w:r>
              <w:rPr>
                <w:rStyle w:val="Code"/>
              </w:rPr>
              <w:t>&lt;/foreign</w:t>
            </w:r>
            <w:r>
              <w:rPr>
                <w:rStyle w:val="Codetext"/>
              </w:rPr>
              <w:t xml:space="preserve">&gt;; I moreover wonder if the intent was not </w:t>
            </w:r>
            <w:r>
              <w:rPr>
                <w:rStyle w:val="Code"/>
              </w:rPr>
              <w:t>&lt;foreign&gt;</w:t>
            </w:r>
            <w:r>
              <w:rPr>
                <w:rStyle w:val="Codetext"/>
              </w:rPr>
              <w:t>paitr̥kam</w:t>
            </w:r>
            <w:r>
              <w:rPr>
                <w:rStyle w:val="Code"/>
              </w:rPr>
              <w:t>&lt;/foreign&gt;</w:t>
            </w:r>
            <w:r>
              <w:rPr>
                <w:rStyle w:val="Codetext"/>
              </w:rPr>
              <w:t>.</w:t>
            </w:r>
            <w:r>
              <w:rPr>
                <w:rStyle w:val="Code"/>
              </w:rPr>
              <w:t>&lt;/note&gt;</w:t>
            </w:r>
          </w:p>
          <w:p w14:paraId="15E3215C" w14:textId="77777777">
            <w:pPr>
              <w:pStyle w:val="CodeParagraph"/>
              <w:rPr>
                <w:rStyle w:val="Code"/>
              </w:rPr>
            </w:pPr>
            <w:r>
              <w:rPr>
                <w:rStyle w:val="Code"/>
              </w:rPr>
              <w:t xml:space="preserve">    &lt;/app&gt;</w:t>
            </w:r>
          </w:p>
          <w:p w14:paraId="45837B65" w14:textId="77777777">
            <w:pPr>
              <w:pStyle w:val="CodeParagraph"/>
              <w:rPr>
                <w:rStyle w:val="Code"/>
              </w:rPr>
            </w:pPr>
            <w:r>
              <w:rPr>
                <w:rStyle w:val="Codetext"/>
              </w:rPr>
              <w:t xml:space="preserve">    [...]</w:t>
            </w:r>
            <w:r>
              <w:rPr>
                <w:rStyle w:val="Codetext"/>
              </w:rPr>
              <w:br/>
            </w:r>
            <w:r>
              <w:rPr>
                <w:rStyle w:val="Code"/>
              </w:rPr>
              <w:t xml:space="preserve">  &lt;/listApp&gt;</w:t>
            </w:r>
            <w:r>
              <w:rPr>
                <w:rStyle w:val="Codetext"/>
              </w:rPr>
              <w:br/>
            </w:r>
            <w:r>
              <w:rPr>
                <w:rStyle w:val="Code"/>
              </w:rPr>
              <w:t>&lt;/div&gt;</w:t>
            </w:r>
          </w:p>
        </w:tc>
      </w:tr>
    </w:tbl>
    <w:p w14:paraId="09285647" w14:textId="2580CBA9">
      <w:pPr>
        <w:pStyle w:val="Cmsor3"/>
      </w:pPr>
      <w:bookmarkStart w:id="790" w:name="_ylrtvcd6yrbu" w:colFirst="0" w:colLast="0"/>
      <w:bookmarkStart w:id="791" w:name="_Ref43989464"/>
      <w:bookmarkStart w:id="792" w:name="_Ref43978538"/>
      <w:bookmarkStart w:id="793" w:name="_Toc242889585"/>
      <w:bookmarkEnd w:id="790"/>
      <w:r>
        <w:t>Textpart divisions in the apparatus</w:t>
      </w:r>
      <w:bookmarkEnd w:id="791"/>
      <w:bookmarkEnd w:id="793"/>
    </w:p>
    <w:p w14:paraId="6B829125" w14:textId="129E10F9">
      <w:pPr>
        <w:pStyle w:val="Lista"/>
      </w:pPr>
      <w:r>
        <w:t xml:space="preserve">if your edition includes boxlike partitions </w:t>
      </w:r>
      <w:r>
        <w:rPr>
          <w:noProof/>
        </w:rPr>
        <w:t>(</w:t>
      </w:r>
      <w:r>
        <w:t>§</w:t>
      </w:r>
      <w:r>
        <w:fldChar w:fldCharType="begin"/>
      </w:r>
      <w:r>
        <w:instrText xml:space="preserve"> REF _Ref225778181 \r \h </w:instrText>
      </w:r>
      <w:r>
        <w:fldChar w:fldCharType="separate"/>
      </w:r>
      <w:r>
        <w:t>4.2</w:t>
      </w:r>
      <w:r>
        <w:fldChar w:fldCharType="end"/>
      </w:r>
      <w:r>
        <w:t>), then all corresponding textpart divisions must be replicated within the apparatus</w:t>
      </w:r>
    </w:p>
    <w:p w14:paraId="0B0730DB" w14:textId="77777777">
      <w:pPr>
        <w:pStyle w:val="Lista"/>
      </w:pPr>
      <w:r>
        <w:t xml:space="preserve">inside </w:t>
      </w:r>
      <w:r>
        <w:rPr>
          <w:rStyle w:val="Code"/>
        </w:rPr>
        <w:t xml:space="preserve">&lt;div </w:t>
      </w:r>
      <w:r>
        <w:rPr>
          <w:rStyle w:val="Codeattribute"/>
        </w:rPr>
        <w:t>type</w:t>
      </w:r>
      <w:r>
        <w:rPr>
          <w:rStyle w:val="Code"/>
        </w:rPr>
        <w:t>=</w:t>
      </w:r>
      <w:r>
        <w:rPr>
          <w:rStyle w:val="Codevalue"/>
        </w:rPr>
        <w:t>"apparatus"</w:t>
      </w:r>
      <w:r>
        <w:rPr>
          <w:rStyle w:val="Code"/>
        </w:rPr>
        <w:t>&gt;</w:t>
      </w:r>
      <w:r>
        <w:t xml:space="preserve">, create as many </w:t>
      </w:r>
      <w:r>
        <w:rPr>
          <w:rStyle w:val="Code"/>
        </w:rPr>
        <w:t xml:space="preserve">&lt;div </w:t>
      </w:r>
      <w:r>
        <w:rPr>
          <w:rStyle w:val="Codeattribute"/>
        </w:rPr>
        <w:t>type</w:t>
      </w:r>
      <w:r>
        <w:rPr>
          <w:rStyle w:val="Code"/>
        </w:rPr>
        <w:t>=</w:t>
      </w:r>
      <w:r>
        <w:rPr>
          <w:rStyle w:val="Codevalue"/>
        </w:rPr>
        <w:t>"textpart"</w:t>
      </w:r>
      <w:r>
        <w:rPr>
          <w:rStyle w:val="Code"/>
        </w:rPr>
        <w:t>&gt;</w:t>
      </w:r>
      <w:r>
        <w:t xml:space="preserve"> elements as there are in the </w:t>
      </w:r>
      <w:r>
        <w:rPr>
          <w:rStyle w:val="Code"/>
        </w:rPr>
        <w:t xml:space="preserve">&lt;div </w:t>
      </w:r>
      <w:r>
        <w:rPr>
          <w:rStyle w:val="Codeattribute"/>
        </w:rPr>
        <w:t>type</w:t>
      </w:r>
      <w:r>
        <w:rPr>
          <w:rStyle w:val="Code"/>
        </w:rPr>
        <w:t>=</w:t>
      </w:r>
      <w:r>
        <w:rPr>
          <w:rStyle w:val="Codevalue"/>
        </w:rPr>
        <w:t>"edition"</w:t>
      </w:r>
      <w:r>
        <w:rPr>
          <w:rStyle w:val="Code"/>
        </w:rPr>
        <w:t>&gt;</w:t>
      </w:r>
    </w:p>
    <w:p w14:paraId="2DE9F124" w14:textId="77777777">
      <w:pPr>
        <w:pStyle w:val="Lista2"/>
      </w:pPr>
      <w:r>
        <w:t xml:space="preserve">in the start-tag of these replicated divisions, include the same attributes </w:t>
      </w:r>
      <w:r>
        <w:rPr>
          <w:noProof/>
        </w:rPr>
        <w:t>(</w:t>
      </w:r>
      <w:r>
        <w:rPr>
          <w:rStyle w:val="Codeattribute"/>
        </w:rPr>
        <w:t>@subtype</w:t>
      </w:r>
      <w:r>
        <w:t xml:space="preserve"> and </w:t>
      </w:r>
      <w:r>
        <w:rPr>
          <w:rStyle w:val="Codeattribute"/>
        </w:rPr>
        <w:t>@n</w:t>
      </w:r>
      <w:r>
        <w:t xml:space="preserve"> as applicable) with the same value that they have in the edition division</w:t>
      </w:r>
    </w:p>
    <w:p w14:paraId="02D4B2AC" w14:textId="77777777">
      <w:pPr>
        <w:pStyle w:val="Lista2"/>
      </w:pPr>
      <w:r>
        <w:t xml:space="preserve">if your edition’s textpart divisions have </w:t>
      </w:r>
      <w:r>
        <w:rPr>
          <w:rStyle w:val="Code"/>
        </w:rPr>
        <w:t>&lt;head&gt;</w:t>
      </w:r>
      <w:r>
        <w:t xml:space="preserve"> elements, likewise replicate these in the apparatus, immediately after the start-tag of each textpart division</w:t>
      </w:r>
    </w:p>
    <w:p w14:paraId="34D713A0" w14:textId="77777777">
      <w:pPr>
        <w:pStyle w:val="Lista3"/>
      </w:pPr>
      <w:r>
        <w:t xml:space="preserve">the </w:t>
      </w:r>
      <w:r>
        <w:rPr>
          <w:rStyle w:val="Codeattribute"/>
        </w:rPr>
        <w:t>@xml:lang</w:t>
      </w:r>
      <w:r>
        <w:t xml:space="preserve"> attribute of the </w:t>
      </w:r>
      <w:r>
        <w:rPr>
          <w:rStyle w:val="Code"/>
        </w:rPr>
        <w:t>&lt;head&gt;</w:t>
      </w:r>
      <w:r>
        <w:t xml:space="preserve"> element is not necessary within the apparatus (because the apparatus division, along with all its children, inherit the English language from the TEI container of the document), but copy-pasting the head and retaining the attribute does no harm</w:t>
      </w:r>
    </w:p>
    <w:p w14:paraId="62E051DC" w14:textId="77777777">
      <w:pPr>
        <w:pStyle w:val="Lista"/>
      </w:pPr>
      <w:r>
        <w:t xml:space="preserve">the apparatus container </w:t>
      </w:r>
      <w:r>
        <w:rPr>
          <w:rStyle w:val="Code"/>
        </w:rPr>
        <w:t>&lt;listApp&gt;</w:t>
      </w:r>
      <w:r>
        <w:t xml:space="preserve"> must in this case be enclosed within each </w:t>
      </w:r>
      <w:r>
        <w:rPr>
          <w:rStyle w:val="Code"/>
        </w:rPr>
        <w:t xml:space="preserve">&lt;div </w:t>
      </w:r>
      <w:r>
        <w:rPr>
          <w:rStyle w:val="Codeattribute"/>
        </w:rPr>
        <w:t>type</w:t>
      </w:r>
      <w:r>
        <w:rPr>
          <w:rStyle w:val="Code"/>
        </w:rPr>
        <w:t>=</w:t>
      </w:r>
      <w:r>
        <w:rPr>
          <w:rStyle w:val="Codevalue"/>
        </w:rPr>
        <w:t>"textpart"</w:t>
      </w:r>
      <w:r>
        <w:rPr>
          <w:rStyle w:val="Code"/>
        </w:rPr>
        <w:t>&gt;</w:t>
      </w:r>
    </w:p>
    <w:p w14:paraId="52B14B7F" w14:textId="756E72FB">
      <w:pPr>
        <w:pStyle w:val="Lista2"/>
      </w:pPr>
      <w:r>
        <w:t xml:space="preserve">if you have apparatus entries for more than one textpart, then create a </w:t>
      </w:r>
      <w:r>
        <w:rPr>
          <w:rStyle w:val="Code"/>
        </w:rPr>
        <w:t>&lt;listApp&gt;</w:t>
      </w:r>
      <w:r>
        <w:t xml:space="preserve"> within each textpart to wrap the </w:t>
      </w:r>
      <w:r>
        <w:rPr>
          <w:rStyle w:val="Code"/>
        </w:rPr>
        <w:t>&lt;app&gt;</w:t>
      </w:r>
      <w:r>
        <w:t xml:space="preserve"> elements belonging to that textpart as in </w:t>
      </w:r>
      <w:r>
        <w:fldChar w:fldCharType="begin"/>
      </w:r>
      <w:r>
        <w:instrText xml:space="preserve"> REF _Ref232172735 \h </w:instrText>
      </w:r>
      <w:r>
        <w:fldChar w:fldCharType="separate"/>
      </w:r>
      <w:r>
        <w:t xml:space="preserve">Exhibit </w:t>
      </w:r>
      <w:r>
        <w:rPr>
          <w:noProof/>
        </w:rPr>
        <w:t>10.1</w:t>
      </w:r>
      <w:r>
        <w:t>.</w:t>
      </w:r>
      <w:r>
        <w:rPr>
          <w:noProof/>
        </w:rPr>
        <w:t>B</w:t>
      </w:r>
      <w:r>
        <w:fldChar w:fldCharType="end"/>
      </w:r>
    </w:p>
    <w:p w14:paraId="76AA3A86" w14:textId="7E64EFB8">
      <w:pPr>
        <w:pStyle w:val="Lista2"/>
      </w:pPr>
      <w:r>
        <w:t xml:space="preserve">if one or more textparts have no pertaining apparatus entries, then the textpart division </w:t>
      </w:r>
      <w:r>
        <w:rPr>
          <w:noProof/>
        </w:rPr>
        <w:t>(</w:t>
      </w:r>
      <w:r>
        <w:t xml:space="preserve">with attributes) must still be created for these in the apparatus, but that division shall not contain anything </w:t>
      </w:r>
      <w:r>
        <w:rPr>
          <w:noProof/>
        </w:rPr>
        <w:lastRenderedPageBreak/>
        <w:t>(</w:t>
      </w:r>
      <w:r>
        <w:t xml:space="preserve">except, if applicable, </w:t>
      </w:r>
      <w:r>
        <w:rPr>
          <w:rStyle w:val="Code"/>
        </w:rPr>
        <w:t>&lt;head&gt;</w:t>
      </w:r>
      <w:r>
        <w:t xml:space="preserve">), i.e. there should not be a </w:t>
      </w:r>
      <w:r>
        <w:rPr>
          <w:rStyle w:val="Code"/>
        </w:rPr>
        <w:t>&lt;listApp&gt;</w:t>
      </w:r>
      <w:r>
        <w:t xml:space="preserve"> wrapper, nor any </w:t>
      </w:r>
      <w:r>
        <w:rPr>
          <w:rStyle w:val="Code"/>
        </w:rPr>
        <w:t>&lt;app&gt;</w:t>
      </w:r>
      <w:r>
        <w:t xml:space="preserve"> items there, as in </w:t>
      </w:r>
      <w:r>
        <w:fldChar w:fldCharType="begin"/>
      </w:r>
      <w:r>
        <w:instrText xml:space="preserve"> REF _Ref232172736 \h </w:instrText>
      </w:r>
      <w:r>
        <w:fldChar w:fldCharType="separate"/>
      </w:r>
      <w:r>
        <w:t xml:space="preserve">Exhibit </w:t>
      </w:r>
      <w:r>
        <w:rPr>
          <w:noProof/>
        </w:rPr>
        <w:t>10.1</w:t>
      </w:r>
      <w:r>
        <w:t>.</w:t>
      </w:r>
      <w:r>
        <w:rPr>
          <w:noProof/>
        </w:rPr>
        <w:t>C</w:t>
      </w:r>
      <w:r>
        <w:fldChar w:fldCharType="end"/>
      </w:r>
    </w:p>
    <w:p w14:paraId="7B941C64" w14:textId="77777777"/>
    <w:tbl>
      <w:tblPr>
        <w:tblStyle w:val="CodeSampleTable"/>
        <w:tblW w:w="5000" w:type="pct"/>
        <w:tblLook w:val="04A0" w:firstRow="1" w:lastRow="0" w:firstColumn="1" w:lastColumn="0" w:noHBand="0" w:noVBand="1"/>
      </w:tblPr>
      <w:tblGrid>
        <w:gridCol w:w="9628"/>
      </w:tblGrid>
      <w:tr w14:paraId="5BFAE59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C120FF3" w14:textId="4AEB4CB6">
            <w:pPr>
              <w:pStyle w:val="Kpalrs"/>
            </w:pPr>
            <w:bookmarkStart w:id="794" w:name="_Ref232172735"/>
            <w:r>
              <w:t xml:space="preserve">Exhibit </w:t>
            </w:r>
            <w:fldSimple w:instr=" STYLEREF 2 \s ">
              <w:r>
                <w:rPr>
                  <w:noProof/>
                </w:rPr>
                <w:t>10.1</w:t>
              </w:r>
            </w:fldSimple>
            <w:r>
              <w:t>.</w:t>
            </w:r>
            <w:fldSimple w:instr=" SEQ Exhibit \* ALPHABETIC \s 2 ">
              <w:r>
                <w:rPr>
                  <w:noProof/>
                </w:rPr>
                <w:t>B</w:t>
              </w:r>
            </w:fldSimple>
            <w:bookmarkEnd w:id="794"/>
            <w:r>
              <w:t>: critical apparatus with more than one textpart, each with content</w:t>
            </w:r>
          </w:p>
        </w:tc>
      </w:tr>
      <w:tr w14:paraId="6ECCCD82" w14:textId="77777777">
        <w:tc>
          <w:tcPr>
            <w:tcW w:w="5000" w:type="pct"/>
          </w:tcPr>
          <w:p w14:paraId="4345FB77" w14:textId="77777777">
            <w:pPr>
              <w:pStyle w:val="CodeParagraph"/>
            </w:pPr>
            <w:r>
              <w:rPr>
                <w:rStyle w:val="Code"/>
              </w:rPr>
              <w:t xml:space="preserve">&lt;div </w:t>
            </w:r>
            <w:r>
              <w:rPr>
                <w:rStyle w:val="Codeattribute"/>
              </w:rPr>
              <w:t>type</w:t>
            </w:r>
            <w:r>
              <w:rPr>
                <w:rStyle w:val="Code"/>
              </w:rPr>
              <w:t>=</w:t>
            </w:r>
            <w:r>
              <w:rPr>
                <w:rStyle w:val="Codevalue"/>
              </w:rPr>
              <w:t>"apparatus"</w:t>
            </w:r>
            <w:r>
              <w:rPr>
                <w:rStyle w:val="Code"/>
              </w:rPr>
              <w:t>&gt;</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text"/>
              </w:rPr>
              <w:br/>
              <w:t xml:space="preserve">  </w:t>
            </w:r>
            <w:r>
              <w:rPr>
                <w:rStyle w:val="Code"/>
              </w:rPr>
              <w:t>&lt;listApp&gt;</w:t>
            </w:r>
            <w:r>
              <w:rPr>
                <w:rStyle w:val="Codetext"/>
              </w:rPr>
              <w:br/>
              <w:t xml:space="preserve">   </w:t>
            </w:r>
            <w:r>
              <w:rPr>
                <w:rStyle w:val="Code"/>
              </w:rPr>
              <w:t xml:space="preserve">&lt;app </w:t>
            </w:r>
            <w:r>
              <w:rPr>
                <w:rStyle w:val="Codeattribute"/>
              </w:rPr>
              <w:t>loc</w:t>
            </w:r>
            <w:r>
              <w:rPr>
                <w:rStyle w:val="Code"/>
              </w:rPr>
              <w:t>=</w:t>
            </w:r>
            <w:r>
              <w:rPr>
                <w:rStyle w:val="Codevalue"/>
              </w:rPr>
              <w:t>"1"</w:t>
            </w:r>
            <w:r>
              <w:rPr>
                <w:rStyle w:val="Code"/>
              </w:rPr>
              <w:t>&gt;</w:t>
            </w:r>
            <w:r>
              <w:rPr>
                <w:rStyle w:val="Codetext"/>
              </w:rPr>
              <w:br/>
              <w:t xml:space="preserve">    </w:t>
            </w:r>
            <w:r>
              <w:rPr>
                <w:rStyle w:val="Code"/>
              </w:rPr>
              <w:t>&lt;lem&gt;</w:t>
            </w:r>
            <w:r>
              <w:rPr>
                <w:rStyle w:val="Codetext"/>
              </w:rPr>
              <w:t>ku</w:t>
            </w:r>
            <w:r>
              <w:rPr>
                <w:rStyle w:val="Code"/>
              </w:rPr>
              <w:t>&lt;unclear&gt;</w:t>
            </w:r>
            <w:r>
              <w:rPr>
                <w:rStyle w:val="Codetext"/>
              </w:rPr>
              <w:t>mā</w:t>
            </w:r>
            <w:r>
              <w:rPr>
                <w:rStyle w:val="Code"/>
              </w:rPr>
              <w:t>&lt;/unclear&gt;</w:t>
            </w:r>
            <w:r>
              <w:rPr>
                <w:rStyle w:val="Codetext"/>
              </w:rPr>
              <w:t>rāmātyādhikaraṇasya</w:t>
            </w:r>
            <w:r>
              <w:rPr>
                <w:rStyle w:val="Code"/>
              </w:rPr>
              <w:t>&lt;/lem&gt;</w:t>
            </w:r>
            <w:r>
              <w:rPr>
                <w:rStyle w:val="Codetext"/>
              </w:rPr>
              <w:br/>
              <w:t xml:space="preserve">    </w:t>
            </w:r>
            <w:r>
              <w:rPr>
                <w:rStyle w:val="Code"/>
              </w:rPr>
              <w:t>&lt;note&gt;</w:t>
            </w:r>
            <w:r>
              <w:rPr>
                <w:rStyle w:val="Codetext"/>
              </w:rPr>
              <w:t xml:space="preserve">Our restitution ... </w:t>
            </w:r>
            <w:r>
              <w:rPr>
                <w:rStyle w:val="Code"/>
              </w:rPr>
              <w:t>&lt;/note&gt;</w:t>
            </w:r>
            <w:r>
              <w:rPr>
                <w:rStyle w:val="Codetext"/>
              </w:rPr>
              <w:br/>
              <w:t xml:space="preserve">   </w:t>
            </w:r>
            <w:r>
              <w:rPr>
                <w:rStyle w:val="Code"/>
              </w:rPr>
              <w:t>&lt;/app&gt;</w:t>
            </w:r>
            <w:r>
              <w:rPr>
                <w:rStyle w:val="Codetext"/>
              </w:rPr>
              <w:br/>
              <w:t xml:space="preserve">  </w:t>
            </w:r>
            <w:r>
              <w:rPr>
                <w:rStyle w:val="Code"/>
              </w:rPr>
              <w:t>&lt;/listApp&gt;</w:t>
            </w:r>
            <w:r>
              <w:rPr>
                <w:rStyle w:val="Codetext"/>
              </w:rPr>
              <w:br/>
              <w:t xml:space="preserve"> </w:t>
            </w:r>
            <w:r>
              <w:rPr>
                <w:rStyle w:val="Code"/>
              </w:rPr>
              <w:t>&lt;/div&gt;</w:t>
            </w:r>
            <w:r>
              <w:rPr>
                <w:rStyle w:val="Codetext"/>
              </w:rPr>
              <w:t xml:space="preserve">        </w:t>
            </w:r>
            <w:r>
              <w:rPr>
                <w:rStyle w:val="Codetext"/>
              </w:rPr>
              <w:tab/>
              <w:t xml:space="preserve"> </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r>
              <w:rPr>
                <w:rStyle w:val="Code"/>
              </w:rPr>
              <w:t xml:space="preserve">&lt;head </w:t>
            </w:r>
            <w:r>
              <w:rPr>
                <w:rStyle w:val="Codeattribute"/>
              </w:rPr>
              <w:t>xml:lang</w:t>
            </w:r>
            <w:r>
              <w:rPr>
                <w:rStyle w:val="Code"/>
              </w:rPr>
              <w:t>=</w:t>
            </w:r>
            <w:r>
              <w:rPr>
                <w:rStyle w:val="Codevalue"/>
              </w:rPr>
              <w:t>"eng"</w:t>
            </w:r>
            <w:r>
              <w:rPr>
                <w:rStyle w:val="Code"/>
              </w:rPr>
              <w:t>&gt;</w:t>
            </w:r>
            <w:r>
              <w:rPr>
                <w:rStyle w:val="Codetext"/>
              </w:rPr>
              <w:t>Plate</w:t>
            </w:r>
            <w:r>
              <w:rPr>
                <w:rStyle w:val="Code"/>
              </w:rPr>
              <w:t>&lt;/head&gt;</w:t>
            </w:r>
            <w:r>
              <w:rPr>
                <w:rStyle w:val="Codetext"/>
              </w:rPr>
              <w:br/>
              <w:t xml:space="preserve">  </w:t>
            </w:r>
            <w:r>
              <w:rPr>
                <w:rStyle w:val="Code"/>
              </w:rPr>
              <w:t>&lt;listApp&gt;</w:t>
            </w:r>
            <w:r>
              <w:rPr>
                <w:rStyle w:val="Codetext"/>
              </w:rPr>
              <w:br/>
              <w:t xml:space="preserve">   </w:t>
            </w:r>
            <w:r>
              <w:rPr>
                <w:rStyle w:val="Code"/>
              </w:rPr>
              <w:t xml:space="preserve">&lt;app </w:t>
            </w:r>
            <w:r>
              <w:rPr>
                <w:rStyle w:val="Codeattribute"/>
              </w:rPr>
              <w:t>loc</w:t>
            </w:r>
            <w:r>
              <w:rPr>
                <w:rStyle w:val="Code"/>
              </w:rPr>
              <w:t>=</w:t>
            </w:r>
            <w:r>
              <w:rPr>
                <w:rStyle w:val="Codevalue"/>
              </w:rPr>
              <w:t>"2"</w:t>
            </w:r>
            <w:r>
              <w:rPr>
                <w:rStyle w:val="Code"/>
              </w:rPr>
              <w:t>&gt;</w:t>
            </w:r>
            <w:r>
              <w:rPr>
                <w:rStyle w:val="Codetext"/>
              </w:rPr>
              <w:br/>
              <w:t xml:space="preserve">    </w:t>
            </w:r>
            <w:r>
              <w:rPr>
                <w:rStyle w:val="Code"/>
              </w:rPr>
              <w:t>&lt;lem&gt;</w:t>
            </w:r>
            <w:r>
              <w:rPr>
                <w:rStyle w:val="Codetext"/>
              </w:rPr>
              <w:t>°bhi</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ḥ</w:t>
            </w:r>
            <w:r>
              <w:rPr>
                <w:rStyle w:val="Code"/>
              </w:rPr>
              <w:t>&lt;/supplied&gt;</w:t>
            </w:r>
            <w:r>
              <w:rPr>
                <w:rStyle w:val="Codetext"/>
              </w:rPr>
              <w:t xml:space="preserve"> mekhalayā</w:t>
            </w:r>
            <w:r>
              <w:rPr>
                <w:rStyle w:val="Code"/>
              </w:rPr>
              <w:t>&lt;/lem&gt;</w:t>
            </w:r>
            <w:r>
              <w:rPr>
                <w:rStyle w:val="Codetext"/>
              </w:rPr>
              <w:br/>
              <w:t xml:space="preserve">    </w:t>
            </w:r>
            <w:r>
              <w:rPr>
                <w:rStyle w:val="Code"/>
              </w:rPr>
              <w:t>&lt;note&gt;</w:t>
            </w:r>
            <w:r>
              <w:rPr>
                <w:rStyle w:val="Codetext"/>
              </w:rPr>
              <w:t xml:space="preserve">Absence of doubling ... </w:t>
            </w:r>
            <w:r>
              <w:rPr>
                <w:rStyle w:val="Code"/>
              </w:rPr>
              <w:t>&lt;/note&gt;</w:t>
            </w:r>
            <w:r>
              <w:rPr>
                <w:rStyle w:val="Codetext"/>
              </w:rPr>
              <w:br/>
              <w:t xml:space="preserve">   </w:t>
            </w:r>
            <w:r>
              <w:rPr>
                <w:rStyle w:val="Code"/>
              </w:rPr>
              <w:t>&lt;/app&gt;</w:t>
            </w:r>
            <w:r>
              <w:rPr>
                <w:rStyle w:val="Codetext"/>
              </w:rPr>
              <w:br/>
              <w:t xml:space="preserve">   ...</w:t>
            </w:r>
            <w:r>
              <w:rPr>
                <w:rStyle w:val="Codetext"/>
              </w:rPr>
              <w:br/>
              <w:t xml:space="preserve">  </w:t>
            </w:r>
            <w:r>
              <w:rPr>
                <w:rStyle w:val="Code"/>
              </w:rPr>
              <w:t>&lt;/listApp&gt;</w:t>
            </w:r>
            <w:r>
              <w:rPr>
                <w:rStyle w:val="Codetext"/>
              </w:rPr>
              <w:br/>
              <w:t xml:space="preserve"> </w:t>
            </w:r>
            <w:r>
              <w:rPr>
                <w:rStyle w:val="Code"/>
              </w:rPr>
              <w:t>&lt;/div&gt;</w:t>
            </w:r>
            <w:r>
              <w:rPr>
                <w:rStyle w:val="Codetext"/>
              </w:rPr>
              <w:br/>
            </w:r>
            <w:r>
              <w:rPr>
                <w:rStyle w:val="Code"/>
              </w:rPr>
              <w:t>&lt;/div&gt;</w:t>
            </w:r>
          </w:p>
        </w:tc>
      </w:tr>
    </w:tbl>
    <w:p w14:paraId="41F4E6CB" w14:textId="77777777"/>
    <w:tbl>
      <w:tblPr>
        <w:tblStyle w:val="CodeSampleTable"/>
        <w:tblW w:w="5000" w:type="pct"/>
        <w:tblLook w:val="04A0" w:firstRow="1" w:lastRow="0" w:firstColumn="1" w:lastColumn="0" w:noHBand="0" w:noVBand="1"/>
      </w:tblPr>
      <w:tblGrid>
        <w:gridCol w:w="9628"/>
      </w:tblGrid>
      <w:tr w14:paraId="15A3450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B46C93E" w14:textId="6070C343">
            <w:pPr>
              <w:pStyle w:val="Kpalrs"/>
            </w:pPr>
            <w:bookmarkStart w:id="795" w:name="_Ref232172736"/>
            <w:r>
              <w:t xml:space="preserve">Exhibit </w:t>
            </w:r>
            <w:fldSimple w:instr=" STYLEREF 2 \s ">
              <w:r>
                <w:rPr>
                  <w:noProof/>
                </w:rPr>
                <w:t>10.1</w:t>
              </w:r>
            </w:fldSimple>
            <w:r>
              <w:t>.</w:t>
            </w:r>
            <w:fldSimple w:instr=" SEQ Exhibit \* ALPHABETIC \s 2 ">
              <w:r>
                <w:rPr>
                  <w:noProof/>
                </w:rPr>
                <w:t>C</w:t>
              </w:r>
            </w:fldSimple>
            <w:bookmarkEnd w:id="795"/>
            <w:r>
              <w:t>: critical apparatus with more than one textpart, one without content</w:t>
            </w:r>
          </w:p>
        </w:tc>
      </w:tr>
      <w:tr w14:paraId="1023EDC9" w14:textId="77777777">
        <w:tc>
          <w:tcPr>
            <w:tcW w:w="5000" w:type="pct"/>
          </w:tcPr>
          <w:p w14:paraId="339B56BD" w14:textId="77777777">
            <w:pPr>
              <w:pStyle w:val="CodeParagraph"/>
              <w:rPr>
                <w:rStyle w:val="Code"/>
              </w:rPr>
            </w:pPr>
            <w:r>
              <w:rPr>
                <w:rStyle w:val="Code"/>
              </w:rPr>
              <w:t xml:space="preserve">&lt;div </w:t>
            </w:r>
            <w:r>
              <w:rPr>
                <w:rStyle w:val="Codeattribute"/>
              </w:rPr>
              <w:t>type</w:t>
            </w:r>
            <w:r>
              <w:rPr>
                <w:rStyle w:val="Code"/>
              </w:rPr>
              <w:t>=</w:t>
            </w:r>
            <w:r>
              <w:rPr>
                <w:rStyle w:val="Codevalue"/>
              </w:rPr>
              <w:t>"apparatus"</w:t>
            </w:r>
            <w:r>
              <w:rPr>
                <w:rStyle w:val="Code"/>
              </w:rPr>
              <w:t>&gt;</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p>
          <w:p w14:paraId="695B518C" w14:textId="77777777">
            <w:pPr>
              <w:pStyle w:val="CodeParagraph"/>
              <w:rPr>
                <w:rStyle w:val="Codetext"/>
              </w:rPr>
            </w:pPr>
            <w:r>
              <w:rPr>
                <w:rStyle w:val="Code"/>
              </w:rPr>
              <w:t xml:space="preserve">  &lt;head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comment"/>
              </w:rPr>
              <w:t>&lt;!--Empty textpart.--&gt;</w:t>
            </w:r>
            <w:r>
              <w:rPr>
                <w:rStyle w:val="Codetext"/>
              </w:rPr>
              <w:br/>
              <w:t xml:space="preserve"> </w:t>
            </w:r>
            <w:r>
              <w:rPr>
                <w:rStyle w:val="Code"/>
              </w:rPr>
              <w:t>&lt;/div&gt;</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Plates</w:t>
            </w:r>
            <w:r>
              <w:rPr>
                <w:rStyle w:val="Code"/>
              </w:rPr>
              <w:t>&lt;/head&gt;</w:t>
            </w:r>
            <w:r>
              <w:rPr>
                <w:rStyle w:val="Codetext"/>
              </w:rPr>
              <w:br/>
              <w:t xml:space="preserve">  </w:t>
            </w:r>
            <w:r>
              <w:rPr>
                <w:rStyle w:val="Code"/>
              </w:rPr>
              <w:t>&lt;listApp&gt;</w:t>
            </w:r>
            <w:r>
              <w:rPr>
                <w:rStyle w:val="Codetext"/>
              </w:rPr>
              <w:br/>
              <w:t xml:space="preserve">   </w:t>
            </w:r>
            <w:r>
              <w:rPr>
                <w:rStyle w:val="Code"/>
              </w:rPr>
              <w:t xml:space="preserve">&lt;app </w:t>
            </w:r>
            <w:r>
              <w:rPr>
                <w:rStyle w:val="Codeattribute"/>
              </w:rPr>
              <w:t>loc</w:t>
            </w:r>
            <w:r>
              <w:rPr>
                <w:rStyle w:val="Code"/>
              </w:rPr>
              <w:t>=</w:t>
            </w:r>
            <w:r>
              <w:rPr>
                <w:rStyle w:val="Codevalue"/>
              </w:rPr>
              <w:t>"6"</w:t>
            </w:r>
            <w:r>
              <w:rPr>
                <w:rStyle w:val="Code"/>
              </w:rPr>
              <w:t>&gt;</w:t>
            </w:r>
            <w:r>
              <w:rPr>
                <w:rStyle w:val="Codetext"/>
              </w:rPr>
              <w:br/>
              <w:t xml:space="preserve">    </w:t>
            </w:r>
            <w:r>
              <w:rPr>
                <w:rStyle w:val="Code"/>
              </w:rPr>
              <w:t>&lt;lem&gt;</w:t>
            </w:r>
            <w:r>
              <w:rPr>
                <w:rStyle w:val="Codetext"/>
              </w:rPr>
              <w:t>-pu</w:t>
            </w:r>
            <w:r>
              <w:rPr>
                <w:rStyle w:val="Code"/>
              </w:rPr>
              <w:t xml:space="preserve">&lt;unclear </w:t>
            </w:r>
            <w:r>
              <w:rPr>
                <w:rStyle w:val="Codeattribute"/>
              </w:rPr>
              <w:t>reason</w:t>
            </w:r>
            <w:r>
              <w:rPr>
                <w:rStyle w:val="Code"/>
              </w:rPr>
              <w:t>=</w:t>
            </w:r>
            <w:r>
              <w:rPr>
                <w:rStyle w:val="Codevalue"/>
              </w:rPr>
              <w:t>"eccentric_ductus"</w:t>
            </w:r>
            <w:r>
              <w:rPr>
                <w:rStyle w:val="Code"/>
              </w:rPr>
              <w:t>&gt;</w:t>
            </w:r>
            <w:r>
              <w:rPr>
                <w:rStyle w:val="Codetext"/>
              </w:rPr>
              <w:t>ñja</w:t>
            </w:r>
            <w:r>
              <w:rPr>
                <w:rStyle w:val="Code"/>
              </w:rPr>
              <w:t>&lt;/unclear&gt;&lt;/lem&gt;</w:t>
            </w:r>
            <w:r>
              <w:rPr>
                <w:rStyle w:val="Codetext"/>
              </w:rPr>
              <w:br/>
              <w:t xml:space="preserve">    </w:t>
            </w:r>
            <w:r>
              <w:rPr>
                <w:rStyle w:val="Code"/>
              </w:rPr>
              <w:t>&lt;note&gt;</w:t>
            </w:r>
            <w:r>
              <w:rPr>
                <w:rStyle w:val="Codetext"/>
              </w:rPr>
              <w:t xml:space="preserve">While </w:t>
            </w:r>
            <w:r>
              <w:rPr>
                <w:rStyle w:val="Code"/>
              </w:rPr>
              <w:t>&lt;foreign&gt;</w:t>
            </w:r>
            <w:r>
              <w:rPr>
                <w:rStyle w:val="Codetext"/>
              </w:rPr>
              <w:t>puñja</w:t>
            </w:r>
            <w:r>
              <w:rPr>
                <w:rStyle w:val="Code"/>
              </w:rPr>
              <w:t>&lt;/foreign&gt;</w:t>
            </w:r>
            <w:r>
              <w:rPr>
                <w:rStyle w:val="Codetext"/>
              </w:rPr>
              <w:t xml:space="preserve"> must have been intended ... </w:t>
            </w:r>
            <w:r>
              <w:rPr>
                <w:rStyle w:val="Code"/>
              </w:rPr>
              <w:t>&lt;/note&gt;</w:t>
            </w:r>
            <w:r>
              <w:rPr>
                <w:rStyle w:val="Codetext"/>
              </w:rPr>
              <w:br/>
              <w:t xml:space="preserve">   </w:t>
            </w:r>
            <w:r>
              <w:rPr>
                <w:rStyle w:val="Code"/>
              </w:rPr>
              <w:t>&lt;/app&gt;</w:t>
            </w:r>
            <w:r>
              <w:rPr>
                <w:rStyle w:val="Codetext"/>
              </w:rPr>
              <w:br/>
              <w:t xml:space="preserve">   ...</w:t>
            </w:r>
            <w:r>
              <w:rPr>
                <w:rStyle w:val="Codetext"/>
              </w:rPr>
              <w:br/>
              <w:t xml:space="preserve">  </w:t>
            </w:r>
            <w:r>
              <w:rPr>
                <w:rStyle w:val="Code"/>
              </w:rPr>
              <w:t>&lt;/listApp&gt;</w:t>
            </w:r>
            <w:r>
              <w:rPr>
                <w:rStyle w:val="Codetext"/>
              </w:rPr>
              <w:br/>
              <w:t xml:space="preserve"> </w:t>
            </w:r>
            <w:r>
              <w:rPr>
                <w:rStyle w:val="Code"/>
              </w:rPr>
              <w:t>&lt;/div&gt;</w:t>
            </w:r>
          </w:p>
          <w:p w14:paraId="6F544D3C" w14:textId="77777777">
            <w:pPr>
              <w:pStyle w:val="CodeParagraph"/>
            </w:pPr>
            <w:r>
              <w:rPr>
                <w:rStyle w:val="Code"/>
              </w:rPr>
              <w:t>&lt;/div&gt;</w:t>
            </w:r>
          </w:p>
        </w:tc>
      </w:tr>
    </w:tbl>
    <w:p w14:paraId="4D65FC94" w14:textId="77777777">
      <w:pPr>
        <w:pStyle w:val="Cmsor2"/>
      </w:pPr>
      <w:bookmarkStart w:id="796" w:name="_Toc242889586"/>
      <w:r>
        <w:t>Indicating location</w:t>
      </w:r>
      <w:bookmarkEnd w:id="792"/>
      <w:r>
        <w:t xml:space="preserve"> in apparatus entries</w:t>
      </w:r>
      <w:bookmarkEnd w:id="796"/>
    </w:p>
    <w:p w14:paraId="5C979B52" w14:textId="77777777">
      <w:r>
        <w:t xml:space="preserve">The value of the attribute </w:t>
      </w:r>
      <w:r>
        <w:rPr>
          <w:rStyle w:val="Codeattribute"/>
        </w:rPr>
        <w:t>@loc</w:t>
      </w:r>
      <w:r>
        <w:t xml:space="preserve"> must unambiguously specify the line to which the apparatus entry pertains. The primary purpose of this value is to be intelligible to a human reader, but some degree of machine-actionability may be desired in the future, therefore we adopt rigorous rules.</w:t>
      </w:r>
    </w:p>
    <w:p w14:paraId="3F2E85A9" w14:textId="77777777">
      <w:pPr>
        <w:pStyle w:val="Lista"/>
      </w:pPr>
      <w:r>
        <w:t xml:space="preserve">locations shall normally be identified as epigraphic lines, using line numbers as reference, because they are </w:t>
      </w:r>
      <w:r>
        <w:rPr>
          <w:noProof/>
        </w:rPr>
        <w:t>(</w:t>
      </w:r>
      <w:r>
        <w:t>almost) ubiquitous in our editions and unique within each edition</w:t>
      </w:r>
    </w:p>
    <w:p w14:paraId="76CA7B4F" w14:textId="77777777">
      <w:pPr>
        <w:pStyle w:val="Lista2"/>
      </w:pPr>
      <w:r>
        <w:t xml:space="preserve">therefore, the value of </w:t>
      </w:r>
      <w:r>
        <w:rPr>
          <w:rStyle w:val="Codeattribute"/>
        </w:rPr>
        <w:t>@loc</w:t>
      </w:r>
      <w:r>
        <w:t xml:space="preserve"> shall normally be the line number, i.e. the value of the </w:t>
      </w:r>
      <w:r>
        <w:rPr>
          <w:rStyle w:val="Codeattribute"/>
        </w:rPr>
        <w:t>@n</w:t>
      </w:r>
      <w:r>
        <w:t xml:space="preserve"> attribute of the </w:t>
      </w:r>
      <w:r>
        <w:rPr>
          <w:rStyle w:val="Code"/>
        </w:rPr>
        <w:t>&lt;lb/&gt;</w:t>
      </w:r>
      <w:r>
        <w:t xml:space="preserve"> element representing the beginning of the target line</w:t>
      </w:r>
    </w:p>
    <w:p w14:paraId="50E97A83" w14:textId="77777777">
      <w:pPr>
        <w:pStyle w:val="Lista3"/>
      </w:pPr>
      <w:r>
        <w:t xml:space="preserve">if the entry refers to a segment of text that extends across a line break, then </w:t>
      </w:r>
      <w:r>
        <w:rPr>
          <w:rStyle w:val="Codeattribute"/>
        </w:rPr>
        <w:t>@loc</w:t>
      </w:r>
      <w:r>
        <w:t xml:space="preserve"> shall be the number of the line in which the segment begins</w:t>
      </w:r>
    </w:p>
    <w:p w14:paraId="280DD453" w14:textId="24BF9501">
      <w:pPr>
        <w:pStyle w:val="Lista4"/>
      </w:pPr>
      <w:r>
        <w:t>see also §</w:t>
      </w:r>
      <w:r>
        <w:fldChar w:fldCharType="begin"/>
      </w:r>
      <w:r>
        <w:instrText xml:space="preserve"> REF _Ref43989517 \w \h  \* MERGEFORMAT </w:instrText>
      </w:r>
      <w:r>
        <w:fldChar w:fldCharType="separate"/>
      </w:r>
      <w:r>
        <w:t>10.6</w:t>
      </w:r>
      <w:r>
        <w:fldChar w:fldCharType="end"/>
      </w:r>
      <w:r>
        <w:t xml:space="preserve"> below about the inclusion of line </w:t>
      </w:r>
      <w:r>
        <w:rPr>
          <w:noProof/>
        </w:rPr>
        <w:t>(</w:t>
      </w:r>
      <w:r>
        <w:t>and other) beginning tags in a lemma</w:t>
      </w:r>
    </w:p>
    <w:p w14:paraId="35973ABC" w14:textId="53181B1D">
      <w:pPr>
        <w:pStyle w:val="Lista"/>
      </w:pPr>
      <w:r>
        <w:t xml:space="preserve">the sole exception to the ubiquitous presence of line numbers in our editions is forme work </w:t>
      </w:r>
      <w:r>
        <w:rPr>
          <w:noProof/>
        </w:rPr>
        <w:t>(</w:t>
      </w:r>
      <w:r>
        <w:t>§</w:t>
      </w:r>
      <w:r>
        <w:fldChar w:fldCharType="begin"/>
      </w:r>
      <w:r>
        <w:instrText xml:space="preserve"> REF _Ref43984607 \w \h  \* MERGEFORMAT </w:instrText>
      </w:r>
      <w:r>
        <w:fldChar w:fldCharType="separate"/>
      </w:r>
      <w:r>
        <w:t>4.7.2</w:t>
      </w:r>
      <w:r>
        <w:fldChar w:fldCharType="end"/>
      </w:r>
      <w:r>
        <w:t>)</w:t>
      </w:r>
    </w:p>
    <w:p w14:paraId="05B51C30" w14:textId="77777777">
      <w:pPr>
        <w:pStyle w:val="Lista2"/>
      </w:pPr>
      <w:r>
        <w:t>it is therefore not possible to refer to the contents of forme work using line numbers</w:t>
      </w:r>
    </w:p>
    <w:p w14:paraId="10070168" w14:textId="77777777">
      <w:pPr>
        <w:pStyle w:val="Lista2"/>
      </w:pPr>
      <w:r>
        <w:lastRenderedPageBreak/>
        <w:t xml:space="preserve">should you need to add an apparatus entry for a forme work item, the value of </w:t>
      </w:r>
      <w:r>
        <w:rPr>
          <w:rStyle w:val="Codeattribute"/>
        </w:rPr>
        <w:t>@loc</w:t>
      </w:r>
      <w:r>
        <w:t xml:space="preserve"> shall be the number of the forme work item prefixed with the letters “fw”, e.g. </w:t>
      </w:r>
      <w:r>
        <w:rPr>
          <w:rStyle w:val="Code"/>
        </w:rPr>
        <w:t xml:space="preserve">&lt;app </w:t>
      </w:r>
      <w:r>
        <w:rPr>
          <w:rStyle w:val="Codeattribute"/>
        </w:rPr>
        <w:t>loc</w:t>
      </w:r>
      <w:r>
        <w:rPr>
          <w:rStyle w:val="Code"/>
        </w:rPr>
        <w:t>=</w:t>
      </w:r>
      <w:r>
        <w:rPr>
          <w:rStyle w:val="Codevalue"/>
        </w:rPr>
        <w:t>"fw2r"</w:t>
      </w:r>
      <w:r>
        <w:rPr>
          <w:rStyle w:val="Code"/>
        </w:rPr>
        <w:t>&gt;</w:t>
      </w:r>
      <w:r>
        <w:t xml:space="preserve"> to refer to the forme work element with the number 2r</w:t>
      </w:r>
    </w:p>
    <w:p w14:paraId="77CDAD72" w14:textId="2E3ABF2F">
      <w:pPr>
        <w:pStyle w:val="Lista"/>
      </w:pPr>
      <w:r>
        <w:t xml:space="preserve">the sole exceptions to the uniqueness of line numbers are editions comprised of textpart divisions </w:t>
      </w:r>
      <w:r>
        <w:rPr>
          <w:noProof/>
        </w:rPr>
        <w:t>(</w:t>
      </w:r>
      <w:r>
        <w:t>§</w:t>
      </w:r>
      <w:r>
        <w:fldChar w:fldCharType="begin"/>
      </w:r>
      <w:r>
        <w:instrText xml:space="preserve"> REF _Ref225778181 \r \h </w:instrText>
      </w:r>
      <w:r>
        <w:fldChar w:fldCharType="separate"/>
      </w:r>
      <w:r>
        <w:t>4.2</w:t>
      </w:r>
      <w:r>
        <w:fldChar w:fldCharType="end"/>
      </w:r>
      <w:r>
        <w:t>), where line numbers are restarted in each division</w:t>
      </w:r>
    </w:p>
    <w:p w14:paraId="2883F73C" w14:textId="77777777">
      <w:pPr>
        <w:pStyle w:val="Lista2"/>
      </w:pPr>
      <w:r>
        <w:t xml:space="preserve">however, since the apparatus division of the document must replicate the textpart divisions of the edition division, </w:t>
      </w:r>
      <w:r>
        <w:rPr>
          <w:rStyle w:val="Codeattribute"/>
        </w:rPr>
        <w:t>@loc</w:t>
      </w:r>
      <w:r>
        <w:t xml:space="preserve"> references in the apparatus still only need to include the </w:t>
      </w:r>
      <w:r>
        <w:rPr>
          <w:rStyle w:val="Codeattribute"/>
        </w:rPr>
        <w:t>@n</w:t>
      </w:r>
      <w:r>
        <w:t xml:space="preserve"> of the target line and will remain unambiguous</w:t>
      </w:r>
    </w:p>
    <w:p w14:paraId="69B08658" w14:textId="77777777">
      <w:pPr>
        <w:pStyle w:val="Lista"/>
      </w:pPr>
      <w:r>
        <w:t>although some of us may be used to referring to stanza numbers in apparatus entries, we have chosen not to allow this in order to reduce the complexity of referencing</w:t>
      </w:r>
    </w:p>
    <w:p w14:paraId="341EDE19" w14:textId="77777777">
      <w:pPr>
        <w:pStyle w:val="Lista2"/>
      </w:pPr>
      <w:r>
        <w:t>apparatus entries for lemmas in verse shall be referred to by line number like those in prose</w:t>
      </w:r>
    </w:p>
    <w:p w14:paraId="1F3B2FCA" w14:textId="0FDDBF45">
      <w:pPr>
        <w:pStyle w:val="Lista2"/>
      </w:pPr>
      <w:r>
        <w:t>notes concerning entire stanzas shall be added to the commentary (§</w:t>
      </w:r>
      <w:r>
        <w:fldChar w:fldCharType="begin"/>
      </w:r>
      <w:r>
        <w:instrText xml:space="preserve"> REF _Ref181352286 \r \h </w:instrText>
      </w:r>
      <w:r>
        <w:fldChar w:fldCharType="separate"/>
      </w:r>
      <w:r>
        <w:t>12</w:t>
      </w:r>
      <w:r>
        <w:fldChar w:fldCharType="end"/>
      </w:r>
      <w:r>
        <w:t>), not to the apparatus</w:t>
      </w:r>
    </w:p>
    <w:p w14:paraId="3CA50F88" w14:textId="77777777">
      <w:pPr>
        <w:pStyle w:val="Cmsor2"/>
      </w:pPr>
      <w:bookmarkStart w:id="797" w:name="_h4ndd3ziflyd" w:colFirst="0" w:colLast="0"/>
      <w:bookmarkStart w:id="798" w:name="_Ref61250887"/>
      <w:bookmarkStart w:id="799" w:name="_Toc242889587"/>
      <w:bookmarkEnd w:id="797"/>
      <w:r>
        <w:t>Lemmas</w:t>
      </w:r>
      <w:bookmarkEnd w:id="798"/>
      <w:bookmarkEnd w:id="799"/>
    </w:p>
    <w:p w14:paraId="2351A242" w14:textId="3F631D2A">
      <w:r>
        <w:t xml:space="preserve">The exact locus </w:t>
      </w:r>
      <w:r>
        <w:rPr>
          <w:noProof/>
        </w:rPr>
        <w:t>(</w:t>
      </w:r>
      <w:r>
        <w:t xml:space="preserve">i.e. </w:t>
      </w:r>
      <w:r>
        <w:t>segment of text</w:t>
      </w:r>
      <w:r>
        <w:t xml:space="preserve">) to which an apparatus entry pertains is specified by a lemma, tagged with the XML element </w:t>
      </w:r>
      <w:r>
        <w:rPr>
          <w:rStyle w:val="Code"/>
        </w:rPr>
        <w:t>&lt;lem&gt;</w:t>
      </w:r>
      <w:r>
        <w:t xml:space="preserve">. </w:t>
      </w:r>
    </w:p>
    <w:p w14:paraId="0DCA8D41" w14:textId="77777777">
      <w:pPr>
        <w:pStyle w:val="Cmsor3"/>
      </w:pPr>
      <w:bookmarkStart w:id="800" w:name="_Ref232168409"/>
      <w:bookmarkStart w:id="801" w:name="_Toc242889588"/>
      <w:r>
        <w:t>The extent of lemma</w:t>
      </w:r>
      <w:bookmarkEnd w:id="800"/>
      <w:r>
        <w:t>s</w:t>
      </w:r>
      <w:bookmarkEnd w:id="801"/>
    </w:p>
    <w:p w14:paraId="2E99B0D5" w14:textId="77777777">
      <w:r>
        <w:t xml:space="preserve">There are no strict rules for the extent of your lemmas. As with any critical apparatus, lemmas should be large enough to make them unambiguous within the line referred to in the </w:t>
      </w:r>
      <w:r>
        <w:rPr>
          <w:rStyle w:val="Codeattribute"/>
        </w:rPr>
        <w:t>@loc</w:t>
      </w:r>
      <w:r>
        <w:t xml:space="preserve"> attribute and small enough to remain concise.</w:t>
      </w:r>
    </w:p>
    <w:p w14:paraId="5921BA63" w14:textId="77777777">
      <w:pPr>
        <w:pStyle w:val="Lista"/>
      </w:pPr>
      <w:r>
        <w:t>lemmas should preferably consist of whole words separated in the edition by an editorial space</w:t>
      </w:r>
    </w:p>
    <w:p w14:paraId="7DF84E17" w14:textId="5792D095">
      <w:pPr>
        <w:pStyle w:val="Lista2"/>
      </w:pPr>
      <w:r>
        <w:t>deviate from this only when such a lemma is not practicable, for instance because of long compounds, long words merged in vowel sandhi, or because the lemma needs to target a specific fixed morpheme or specific characters</w:t>
      </w:r>
    </w:p>
    <w:p w14:paraId="39D8B84D" w14:textId="77777777">
      <w:pPr>
        <w:pStyle w:val="Lista2"/>
      </w:pPr>
      <w:r>
        <w:t>in the latter case, the fact that the lemma is not a whole word shall be indicated with editorial hyphenation (TG §7.3.5) or truncation (TG §7.4) as follows</w:t>
      </w:r>
    </w:p>
    <w:p w14:paraId="4A2323D6" w14:textId="77777777">
      <w:pPr>
        <w:pStyle w:val="Lista"/>
      </w:pPr>
      <w:r>
        <w:t>if your lemma is only a part of a non-compound word</w:t>
      </w:r>
    </w:p>
    <w:p w14:paraId="4122959E" w14:textId="77777777">
      <w:pPr>
        <w:pStyle w:val="Lista2"/>
      </w:pPr>
      <w:r>
        <w:t xml:space="preserve">use the character ° </w:t>
      </w:r>
      <w:r>
        <w:rPr>
          <w:noProof/>
        </w:rPr>
        <w:t>to indicate truncation</w:t>
      </w:r>
    </w:p>
    <w:p w14:paraId="66D2B62C" w14:textId="77777777">
      <w:pPr>
        <w:pStyle w:val="Lista2"/>
      </w:pPr>
      <w:r>
        <w:t xml:space="preserve">e.g. text </w:t>
      </w:r>
      <w:r>
        <w:rPr>
          <w:rStyle w:val="Foreign"/>
        </w:rPr>
        <w:t>jāyate</w:t>
      </w:r>
      <w:r>
        <w:t xml:space="preserve">; lemma </w:t>
      </w:r>
      <w:r>
        <w:rPr>
          <w:rStyle w:val="Foreign"/>
        </w:rPr>
        <w:t>°yate</w:t>
      </w:r>
      <w:r>
        <w:t xml:space="preserve"> </w:t>
      </w:r>
    </w:p>
    <w:p w14:paraId="3CA3A5C7" w14:textId="77777777">
      <w:pPr>
        <w:pStyle w:val="Lista"/>
      </w:pPr>
      <w:r>
        <w:t>when a boundary between independent words or compound members is obscured by sandhi</w:t>
      </w:r>
    </w:p>
    <w:p w14:paraId="6D1B9D6E" w14:textId="77777777">
      <w:pPr>
        <w:pStyle w:val="Lista2"/>
      </w:pPr>
      <w:r>
        <w:t>use the character ° to indicate truncation and cite the lemma as in the text (without resolving sandhi)</w:t>
      </w:r>
    </w:p>
    <w:p w14:paraId="57737281" w14:textId="77777777">
      <w:pPr>
        <w:pStyle w:val="Lista2"/>
      </w:pPr>
      <w:r>
        <w:t xml:space="preserve">e.g. text </w:t>
      </w:r>
      <w:r>
        <w:rPr>
          <w:rStyle w:val="Foreign"/>
        </w:rPr>
        <w:t>yathāsmābhiḥ</w:t>
      </w:r>
      <w:r>
        <w:t xml:space="preserve">; lemmas </w:t>
      </w:r>
      <w:r>
        <w:rPr>
          <w:rStyle w:val="Foreign"/>
        </w:rPr>
        <w:t>yathā°</w:t>
      </w:r>
      <w:r>
        <w:t xml:space="preserve"> or </w:t>
      </w:r>
      <w:r>
        <w:rPr>
          <w:rStyle w:val="Foreign"/>
        </w:rPr>
        <w:t>°āsmābhiḥ</w:t>
      </w:r>
      <w:r>
        <w:t xml:space="preserve"> (not </w:t>
      </w:r>
      <w:r>
        <w:rPr>
          <w:rStyle w:val="Foreign"/>
        </w:rPr>
        <w:t>°asmābhiḥ</w:t>
      </w:r>
      <w:r>
        <w:t>)</w:t>
      </w:r>
    </w:p>
    <w:p w14:paraId="02FCAE49" w14:textId="77777777">
      <w:pPr>
        <w:pStyle w:val="Lista"/>
      </w:pPr>
      <w:r>
        <w:t>when a boundary between compound members is not obscured by sandhi</w:t>
      </w:r>
    </w:p>
    <w:p w14:paraId="32B6DDD1" w14:textId="77777777">
      <w:pPr>
        <w:pStyle w:val="Lista2"/>
      </w:pPr>
      <w:r>
        <w:t>if the compound is not hyphenated in your edition, use the character ° to indicate truncation</w:t>
      </w:r>
    </w:p>
    <w:p w14:paraId="2C6876B8" w14:textId="77777777">
      <w:pPr>
        <w:pStyle w:val="Lista3"/>
      </w:pPr>
      <w:r>
        <w:t xml:space="preserve">e.g. text </w:t>
      </w:r>
      <w:r>
        <w:rPr>
          <w:rStyle w:val="Foreign"/>
        </w:rPr>
        <w:t>śrīpolekeśivallabhasya</w:t>
      </w:r>
      <w:r>
        <w:t xml:space="preserve">; lemmas </w:t>
      </w:r>
      <w:r>
        <w:rPr>
          <w:rStyle w:val="Foreign"/>
        </w:rPr>
        <w:t>śrī°</w:t>
      </w:r>
      <w:r>
        <w:t xml:space="preserve"> or </w:t>
      </w:r>
      <w:r>
        <w:rPr>
          <w:rStyle w:val="Foreign"/>
        </w:rPr>
        <w:t xml:space="preserve">°polekeśi° </w:t>
      </w:r>
      <w:r>
        <w:t xml:space="preserve"> or </w:t>
      </w:r>
      <w:r>
        <w:rPr>
          <w:rStyle w:val="Foreign"/>
        </w:rPr>
        <w:t>°vallabhasya</w:t>
      </w:r>
    </w:p>
    <w:p w14:paraId="3E9F2884" w14:textId="77777777">
      <w:pPr>
        <w:pStyle w:val="Lista2"/>
      </w:pPr>
      <w:r>
        <w:t>if the compound is hyphenated in your edition, include the hyphen in your lemma to indicate that it is in compound</w:t>
      </w:r>
    </w:p>
    <w:p w14:paraId="7AE22837" w14:textId="77777777">
      <w:pPr>
        <w:pStyle w:val="Lista3"/>
      </w:pPr>
      <w:r>
        <w:t xml:space="preserve">e.g. text </w:t>
      </w:r>
      <w:r>
        <w:rPr>
          <w:rStyle w:val="Foreign"/>
        </w:rPr>
        <w:t>śrī-polekeśi-vallabhasya</w:t>
      </w:r>
      <w:r>
        <w:t xml:space="preserve">; lemmas </w:t>
      </w:r>
      <w:r>
        <w:rPr>
          <w:rStyle w:val="Foreign"/>
        </w:rPr>
        <w:t>śrī-</w:t>
      </w:r>
      <w:r>
        <w:t xml:space="preserve"> or </w:t>
      </w:r>
      <w:r>
        <w:rPr>
          <w:rStyle w:val="Foreign"/>
        </w:rPr>
        <w:t>-polekeśi-</w:t>
      </w:r>
      <w:r>
        <w:t xml:space="preserve"> or </w:t>
      </w:r>
      <w:r>
        <w:rPr>
          <w:rStyle w:val="Foreign"/>
        </w:rPr>
        <w:t>-vallabhasya</w:t>
      </w:r>
    </w:p>
    <w:p w14:paraId="512DC522" w14:textId="0D89D799">
      <w:pPr>
        <w:pStyle w:val="Lista3"/>
      </w:pPr>
      <w:r>
        <w:t>bear in mind that when a compound boundary coincides with a line break, the editorial hyphen must be placed in the edition at the beginning of the next line (§</w:t>
      </w:r>
      <w:r>
        <w:fldChar w:fldCharType="begin"/>
      </w:r>
      <w:r>
        <w:instrText xml:space="preserve"> REF _Ref232156818 \r \h </w:instrText>
      </w:r>
      <w:r>
        <w:fldChar w:fldCharType="separate"/>
      </w:r>
      <w:r>
        <w:t>7.8.2</w:t>
      </w:r>
      <w:r>
        <w:fldChar w:fldCharType="end"/>
      </w:r>
      <w:r>
        <w:t>)</w:t>
      </w:r>
    </w:p>
    <w:p w14:paraId="63F08CA1" w14:textId="0F87D55D">
      <w:pPr>
        <w:pStyle w:val="Lista3"/>
      </w:pPr>
      <w:r>
        <w:t>such a hyphen must still be included in your lemma, but this does not necessitate incorporating the encoded line break in the lemma (as you would for lemmas stretching across line breaks, §</w:t>
      </w:r>
      <w:r>
        <w:fldChar w:fldCharType="begin"/>
      </w:r>
      <w:r>
        <w:instrText xml:space="preserve"> REF _Ref43989517 \r \h </w:instrText>
      </w:r>
      <w:r>
        <w:fldChar w:fldCharType="separate"/>
      </w:r>
      <w:r>
        <w:t>10.6</w:t>
      </w:r>
      <w:r>
        <w:fldChar w:fldCharType="end"/>
      </w:r>
      <w:r>
        <w:t>)</w:t>
      </w:r>
    </w:p>
    <w:p w14:paraId="1E4FF02E" w14:textId="77777777">
      <w:pPr>
        <w:pStyle w:val="Lista"/>
      </w:pPr>
      <w:r>
        <w:t>avoid very long lemmas, if possible, by breaking them up into several smaller ones</w:t>
      </w:r>
    </w:p>
    <w:p w14:paraId="7BBDD991" w14:textId="77777777">
      <w:pPr>
        <w:pStyle w:val="Lista"/>
      </w:pPr>
      <w:r>
        <w:t xml:space="preserve">long lemmas that cannot be split up in this way may be abbreviated  by replacing a section of them with </w:t>
      </w:r>
      <w:r>
        <w:rPr>
          <w:rStyle w:val="Code"/>
        </w:rPr>
        <w:t xml:space="preserve">&lt;gap </w:t>
      </w:r>
      <w:r>
        <w:rPr>
          <w:rStyle w:val="Codeattribute"/>
        </w:rPr>
        <w:t>reason</w:t>
      </w:r>
      <w:r>
        <w:rPr>
          <w:rStyle w:val="Code"/>
        </w:rPr>
        <w:t>=</w:t>
      </w:r>
      <w:r>
        <w:rPr>
          <w:rStyle w:val="Codevalue"/>
        </w:rPr>
        <w:t>"ellipsis"</w:t>
      </w:r>
      <w:r>
        <w:rPr>
          <w:rStyle w:val="Code"/>
        </w:rPr>
        <w:t>/&gt;</w:t>
      </w:r>
    </w:p>
    <w:p w14:paraId="3D508D1B" w14:textId="77777777">
      <w:pPr>
        <w:pStyle w:val="Cmsor3"/>
      </w:pPr>
      <w:bookmarkStart w:id="802" w:name="_Toc242889589"/>
      <w:r>
        <w:t>The content of lemmas</w:t>
      </w:r>
      <w:bookmarkEnd w:id="802"/>
    </w:p>
    <w:p w14:paraId="56422158" w14:textId="77777777">
      <w:pPr>
        <w:pStyle w:val="Lista"/>
      </w:pPr>
      <w:r>
        <w:t>the text within your lemma should replicate the text in your edition accurately, including editorial markup</w:t>
      </w:r>
    </w:p>
    <w:p w14:paraId="42061352" w14:textId="50022BCD">
      <w:pPr>
        <w:pStyle w:val="Lista2"/>
      </w:pPr>
      <w:r>
        <w:lastRenderedPageBreak/>
        <w:t>see §</w:t>
      </w:r>
      <w:r>
        <w:fldChar w:fldCharType="begin"/>
      </w:r>
      <w:r>
        <w:instrText xml:space="preserve"> REF _Ref43989517 \w \h  \* MERGEFORMAT </w:instrText>
      </w:r>
      <w:r>
        <w:fldChar w:fldCharType="separate"/>
      </w:r>
      <w:r>
        <w:t>10.6</w:t>
      </w:r>
      <w:r>
        <w:fldChar w:fldCharType="end"/>
      </w:r>
      <w:r>
        <w:t xml:space="preserve"> for some concerns pertaining to the use of markup in lemmas</w:t>
      </w:r>
    </w:p>
    <w:p w14:paraId="7E200F45" w14:textId="77777777">
      <w:pPr>
        <w:pStyle w:val="Lista2"/>
      </w:pPr>
      <w:r>
        <w:t>do not add any markup to the lemma that is not present in the edition</w:t>
      </w:r>
    </w:p>
    <w:p w14:paraId="2EF6CC25" w14:textId="77777777">
      <w:pPr>
        <w:pStyle w:val="Lista"/>
      </w:pPr>
      <w:r>
        <w:t>when you revise the text of your digital edition, take care to check whether any of the revised text has been cited in the apparatus and revise lemmas accordingly</w:t>
      </w:r>
    </w:p>
    <w:p w14:paraId="4D026781" w14:textId="77777777">
      <w:pPr>
        <w:pStyle w:val="Cmsor3"/>
      </w:pPr>
      <w:bookmarkStart w:id="803" w:name="_Ref232167741"/>
      <w:bookmarkStart w:id="804" w:name="_Ref233625530"/>
      <w:bookmarkStart w:id="805" w:name="_Toc242889590"/>
      <w:r>
        <w:t>The source of lemma</w:t>
      </w:r>
      <w:bookmarkEnd w:id="803"/>
      <w:r>
        <w:t>s</w:t>
      </w:r>
      <w:bookmarkEnd w:id="804"/>
      <w:bookmarkEnd w:id="805"/>
    </w:p>
    <w:p w14:paraId="7049A550" w14:textId="77777777">
      <w:pPr>
        <w:pStyle w:val="Lista"/>
      </w:pPr>
      <w:r>
        <w:rPr>
          <w:rStyle w:val="Code"/>
        </w:rPr>
        <w:t>&lt;lem&gt;</w:t>
      </w:r>
      <w:r>
        <w:t xml:space="preserve"> may take the attribute </w:t>
      </w:r>
      <w:r>
        <w:rPr>
          <w:rStyle w:val="Codeattribute"/>
        </w:rPr>
        <w:t>@source</w:t>
      </w:r>
      <w:r>
        <w:t xml:space="preserve"> to show that a previous edition has a reading identical to that adopted in your edition</w:t>
      </w:r>
    </w:p>
    <w:p w14:paraId="5457EC04" w14:textId="718761AE">
      <w:pPr>
        <w:pStyle w:val="Lista2"/>
      </w:pPr>
      <w:r>
        <w:t>the value of this attribute must be a bibliographic identifier as set out in §</w:t>
      </w:r>
      <w:r>
        <w:fldChar w:fldCharType="begin"/>
      </w:r>
      <w:r>
        <w:instrText xml:space="preserve"> REF _Ref43989551 \w \h  \* MERGEFORMAT </w:instrText>
      </w:r>
      <w:r>
        <w:fldChar w:fldCharType="separate"/>
      </w:r>
      <w:r>
        <w:t>14.6.2</w:t>
      </w:r>
      <w:r>
        <w:fldChar w:fldCharType="end"/>
      </w:r>
    </w:p>
    <w:p w14:paraId="4C063C54" w14:textId="299C2EF5">
      <w:pPr>
        <w:pStyle w:val="Lista3"/>
      </w:pPr>
      <w:r>
        <w:t xml:space="preserve">whenever you use </w:t>
      </w:r>
      <w:r>
        <w:rPr>
          <w:rStyle w:val="Codeattribute"/>
        </w:rPr>
        <w:t>@source</w:t>
      </w:r>
      <w:r>
        <w:t xml:space="preserve"> on a lemma, the bibliographic citation of that publication in your bibliography division must include an encoded siglum for use in the apparatus, as per §</w:t>
      </w:r>
      <w:r>
        <w:fldChar w:fldCharType="begin"/>
      </w:r>
      <w:r>
        <w:instrText xml:space="preserve"> REF _Ref43989610 \w \h  \* MERGEFORMAT </w:instrText>
      </w:r>
      <w:r>
        <w:fldChar w:fldCharType="separate"/>
      </w:r>
      <w:r>
        <w:t>13.3.2</w:t>
      </w:r>
      <w:r>
        <w:fldChar w:fldCharType="end"/>
      </w:r>
    </w:p>
    <w:p w14:paraId="26454B6B" w14:textId="1F368B68">
      <w:pPr>
        <w:pStyle w:val="Lista2"/>
      </w:pPr>
      <w:r>
        <w:t>see §</w:t>
      </w:r>
      <w:r>
        <w:fldChar w:fldCharType="begin"/>
      </w:r>
      <w:r>
        <w:instrText xml:space="preserve"> REF _Ref43989583 \w \h  \* MERGEFORMAT </w:instrText>
      </w:r>
      <w:r>
        <w:fldChar w:fldCharType="separate"/>
      </w:r>
      <w:r>
        <w:t>10.5</w:t>
      </w:r>
      <w:r>
        <w:fldChar w:fldCharType="end"/>
      </w:r>
      <w:r>
        <w:t xml:space="preserve"> below for guidance on the degree of similarity that counts identical</w:t>
      </w:r>
    </w:p>
    <w:p w14:paraId="4B6B06BC" w14:textId="77777777">
      <w:pPr>
        <w:pStyle w:val="Lista"/>
      </w:pPr>
      <w:r>
        <w:t>if an apparatus entry contains alternative readings, then any previous editors who agree with the lemma (i.e. with your preferred reading) must be credited in this way</w:t>
      </w:r>
    </w:p>
    <w:p w14:paraId="63EE4358" w14:textId="77777777">
      <w:pPr>
        <w:pStyle w:val="Lista"/>
      </w:pPr>
      <w:r>
        <w:t xml:space="preserve">if an apparatus entry contains only a note, but no alternative readings, then </w:t>
      </w:r>
      <w:r>
        <w:rPr>
          <w:rStyle w:val="Codeattribute"/>
        </w:rPr>
        <w:t>@source</w:t>
      </w:r>
      <w:r>
        <w:t xml:space="preserve"> need not be indicated on the lemma (since in this case you and any previous editors agree on the reading)</w:t>
      </w:r>
    </w:p>
    <w:p w14:paraId="469A7A22" w14:textId="0D9C83EE">
      <w:pPr>
        <w:pStyle w:val="Lista2"/>
      </w:pPr>
      <w:r>
        <w:t xml:space="preserve">nonetheless, you may choose to add </w:t>
      </w:r>
      <w:r>
        <w:rPr>
          <w:rStyle w:val="Codeattribute"/>
        </w:rPr>
        <w:t>@source</w:t>
      </w:r>
      <w:r>
        <w:t xml:space="preserve"> in order to credit a particular previous editor for a difficult reading or an ingenious restoration</w:t>
      </w:r>
    </w:p>
    <w:p w14:paraId="2F4C4B29" w14:textId="77777777">
      <w:pPr>
        <w:pStyle w:val="Lista"/>
      </w:pPr>
      <w:r>
        <w:t>an apparatus lemma may be created for the sole purpose of crediting a previous editor for a difficult reading or an ingenious restoration</w:t>
      </w:r>
    </w:p>
    <w:p w14:paraId="1CEC3173" w14:textId="77777777">
      <w:pPr>
        <w:pStyle w:val="Lista2"/>
      </w:pPr>
      <w:r>
        <w:t xml:space="preserve">in this case the </w:t>
      </w:r>
      <w:r>
        <w:rPr>
          <w:rStyle w:val="Code"/>
        </w:rPr>
        <w:t>&lt;app&gt;</w:t>
      </w:r>
      <w:r>
        <w:t xml:space="preserve"> element need contain neither </w:t>
      </w:r>
      <w:r>
        <w:rPr>
          <w:rStyle w:val="Code"/>
        </w:rPr>
        <w:t>&lt;rdg&gt;</w:t>
      </w:r>
      <w:r>
        <w:t xml:space="preserve"> nor </w:t>
      </w:r>
      <w:r>
        <w:rPr>
          <w:rStyle w:val="Code"/>
        </w:rPr>
        <w:t>&lt;note&gt;</w:t>
      </w:r>
      <w:r>
        <w:t xml:space="preserve">, but </w:t>
      </w:r>
      <w:r>
        <w:rPr>
          <w:rStyle w:val="Codeattribute"/>
        </w:rPr>
        <w:t>@source</w:t>
      </w:r>
      <w:r>
        <w:t xml:space="preserve"> must be present on the lemma</w:t>
      </w:r>
    </w:p>
    <w:p w14:paraId="2C31BC2E" w14:textId="77777777">
      <w:pPr>
        <w:pStyle w:val="Lista2"/>
      </w:pPr>
      <w:r>
        <w:t>such apparatus entries will be rare; only create them if you feel they are necessary</w:t>
      </w:r>
    </w:p>
    <w:p w14:paraId="0B0CFB6B" w14:textId="77777777">
      <w:pPr>
        <w:pStyle w:val="Cmsor2"/>
      </w:pPr>
      <w:bookmarkStart w:id="806" w:name="_b7x6ivkmyvqo" w:colFirst="0" w:colLast="0"/>
      <w:bookmarkStart w:id="807" w:name="_Ref43989425"/>
      <w:bookmarkStart w:id="808" w:name="_Toc242889591"/>
      <w:bookmarkEnd w:id="806"/>
      <w:r>
        <w:t>Alternative readings, restorations and emendations</w:t>
      </w:r>
      <w:bookmarkEnd w:id="807"/>
      <w:bookmarkEnd w:id="808"/>
    </w:p>
    <w:p w14:paraId="0C15EF06" w14:textId="77777777">
      <w:r>
        <w:t xml:space="preserve">Alternatives to your edited text offered by other editors shall be recorded in </w:t>
      </w:r>
      <w:r>
        <w:rPr>
          <w:rStyle w:val="Code"/>
        </w:rPr>
        <w:t>&lt;rdg&gt;</w:t>
      </w:r>
      <w:r>
        <w:t xml:space="preserve"> elements within an apparatus entry.</w:t>
      </w:r>
    </w:p>
    <w:p w14:paraId="407F60AB" w14:textId="77777777">
      <w:pPr>
        <w:pStyle w:val="Cmsor3"/>
      </w:pPr>
      <w:bookmarkStart w:id="809" w:name="_Ref242886455"/>
      <w:bookmarkStart w:id="810" w:name="_Toc242889592"/>
      <w:r>
        <w:t>The extent of alternative readings</w:t>
      </w:r>
      <w:bookmarkEnd w:id="809"/>
      <w:bookmarkEnd w:id="810"/>
    </w:p>
    <w:p w14:paraId="71AC4F64" w14:textId="77777777">
      <w:r>
        <w:t>The text segments cited as alternative readings must always correspond exactly to the extent of the lemma</w:t>
      </w:r>
    </w:p>
    <w:p w14:paraId="7A6EB645" w14:textId="2603B6DA">
      <w:pPr>
        <w:pStyle w:val="Lista"/>
      </w:pPr>
      <w:r>
        <w:t>as described in §</w:t>
      </w:r>
      <w:r>
        <w:fldChar w:fldCharType="begin"/>
      </w:r>
      <w:r>
        <w:instrText xml:space="preserve"> REF _Ref232168409 \r \h </w:instrText>
      </w:r>
      <w:r>
        <w:fldChar w:fldCharType="separate"/>
      </w:r>
      <w:r>
        <w:t>10.3.1</w:t>
      </w:r>
      <w:r>
        <w:fldChar w:fldCharType="end"/>
      </w:r>
      <w:r>
        <w:t xml:space="preserve"> for lemmas, use ° or a hyphen at the beginning or end of a reading if its boundary does not coincide with the boundary of an independent word of the text</w:t>
      </w:r>
    </w:p>
    <w:p w14:paraId="04537A85" w14:textId="77777777">
      <w:pPr>
        <w:pStyle w:val="Lista"/>
      </w:pPr>
      <w:r>
        <w:t xml:space="preserve">if a previous edition shows nothing </w:t>
      </w:r>
      <w:r>
        <w:rPr>
          <w:noProof/>
        </w:rPr>
        <w:t>(</w:t>
      </w:r>
      <w:r>
        <w:t xml:space="preserve">i.e. not even a lacuna) at a locus where your edition has content </w:t>
      </w:r>
      <w:r>
        <w:rPr>
          <w:noProof/>
        </w:rPr>
        <w:t>(</w:t>
      </w:r>
      <w:r>
        <w:t>including a tentative reading or a lacuna), the reading of that edition may be represented by an empty element</w:t>
      </w:r>
    </w:p>
    <w:p w14:paraId="118FE0C3" w14:textId="77777777">
      <w:pPr>
        <w:pStyle w:val="Lista2"/>
      </w:pPr>
      <w:r>
        <w:t xml:space="preserve">e.g. </w:t>
      </w:r>
      <w:r>
        <w:rPr>
          <w:rStyle w:val="Code"/>
        </w:rPr>
        <w:t xml:space="preserve">&lt;rdg </w:t>
      </w:r>
      <w:r>
        <w:rPr>
          <w:rStyle w:val="Codeattribute"/>
        </w:rPr>
        <w:t>source</w:t>
      </w:r>
      <w:r>
        <w:rPr>
          <w:rStyle w:val="Code"/>
        </w:rPr>
        <w:t>=</w:t>
      </w:r>
      <w:r>
        <w:rPr>
          <w:rStyle w:val="Codevalue"/>
        </w:rPr>
        <w:t>"bib:VenkatasubbaAyyar1943_01"</w:t>
      </w:r>
      <w:r>
        <w:rPr>
          <w:rStyle w:val="Code"/>
        </w:rPr>
        <w:t>/&gt;</w:t>
      </w:r>
    </w:p>
    <w:p w14:paraId="57AE6544" w14:textId="77777777">
      <w:pPr>
        <w:pStyle w:val="Cmsor3"/>
      </w:pPr>
      <w:bookmarkStart w:id="811" w:name="_Ref233988136"/>
      <w:bookmarkStart w:id="812" w:name="_Toc242889593"/>
      <w:r>
        <w:t>The content of alternative readings</w:t>
      </w:r>
      <w:bookmarkEnd w:id="811"/>
      <w:bookmarkEnd w:id="812"/>
    </w:p>
    <w:p w14:paraId="586FC608" w14:textId="77777777">
      <w:pPr>
        <w:pStyle w:val="Lista"/>
      </w:pPr>
      <w:r>
        <w:t xml:space="preserve">text cited within </w:t>
      </w:r>
      <w:r>
        <w:rPr>
          <w:rStyle w:val="Code"/>
        </w:rPr>
        <w:t>&lt;rdg&gt;</w:t>
      </w:r>
      <w:r>
        <w:t xml:space="preserve"> must be Romanised according to the DHARMA transliteration scheme regardless of what transliteration system or script the cited edition employed</w:t>
      </w:r>
    </w:p>
    <w:p w14:paraId="530D0310" w14:textId="77777777">
      <w:pPr>
        <w:pStyle w:val="Lista2"/>
      </w:pPr>
      <w:r>
        <w:t xml:space="preserve">if an earlier editor uses </w:t>
      </w:r>
      <w:r>
        <w:rPr>
          <w:rStyle w:val="Foreign"/>
        </w:rPr>
        <w:t>ś</w:t>
      </w:r>
      <w:r>
        <w:t xml:space="preserve"> to transliterate both Grantha </w:t>
      </w:r>
      <w:r>
        <w:rPr>
          <w:rStyle w:val="Foreign"/>
        </w:rPr>
        <w:t>ś</w:t>
      </w:r>
      <w:r>
        <w:t xml:space="preserve"> and Tamil </w:t>
      </w:r>
      <w:r>
        <w:rPr>
          <w:rStyle w:val="Foreign"/>
        </w:rPr>
        <w:t>c</w:t>
      </w:r>
      <w:r>
        <w:t xml:space="preserve">, and you are unable to determine which is meant, choose in </w:t>
      </w:r>
      <w:r>
        <w:rPr>
          <w:rStyle w:val="Code"/>
        </w:rPr>
        <w:t>&lt;lem&gt;</w:t>
      </w:r>
      <w:r>
        <w:t xml:space="preserve"> the interpretation you favour and add a </w:t>
      </w:r>
      <w:r>
        <w:rPr>
          <w:rStyle w:val="Code"/>
        </w:rPr>
        <w:t>&lt;note&gt;</w:t>
      </w:r>
      <w:r>
        <w:t xml:space="preserve"> to the </w:t>
      </w:r>
      <w:r>
        <w:rPr>
          <w:rStyle w:val="Code"/>
        </w:rPr>
        <w:t>&lt;app&gt;</w:t>
      </w:r>
      <w:r>
        <w:t xml:space="preserve">, such as “The original editor’s reading could also be interpreted as …” (specifying the original editor by name if the </w:t>
      </w:r>
      <w:r>
        <w:rPr>
          <w:rStyle w:val="Code"/>
        </w:rPr>
        <w:t>&lt;app&gt;</w:t>
      </w:r>
      <w:r>
        <w:t xml:space="preserve"> contains several </w:t>
      </w:r>
      <w:r>
        <w:rPr>
          <w:rStyle w:val="Code"/>
        </w:rPr>
        <w:t>&lt;rdg&gt;</w:t>
      </w:r>
      <w:r>
        <w:t>)</w:t>
      </w:r>
    </w:p>
    <w:p w14:paraId="353B54B4" w14:textId="66EAF7F1">
      <w:pPr>
        <w:pStyle w:val="Lista2"/>
      </w:pPr>
      <w:r>
        <w:t>if an earlier editor’s transliteration scheme represents certain details of the script less accurately than ours, make reasonable effort to normalise their reading to the more accurate DHARMA system, e.g.</w:t>
      </w:r>
    </w:p>
    <w:p w14:paraId="402D59B4" w14:textId="77777777">
      <w:pPr>
        <w:pStyle w:val="Lista3"/>
      </w:pPr>
      <w:r>
        <w:t>in particular, initial vowels and final consonants to the uppercase letters used in our transliteration, even if the earlier editor does not indicate these in any way (e.g. by using = adjacent to non-initial vowels and non-final consonants)</w:t>
      </w:r>
    </w:p>
    <w:p w14:paraId="26D71FD7" w14:textId="77777777">
      <w:pPr>
        <w:pStyle w:val="Lista3"/>
      </w:pPr>
      <w:r>
        <w:rPr>
          <w:rStyle w:val="Foreign"/>
        </w:rPr>
        <w:lastRenderedPageBreak/>
        <w:t>ḥ</w:t>
      </w:r>
      <w:r>
        <w:t xml:space="preserve"> to </w:t>
      </w:r>
      <w:r>
        <w:rPr>
          <w:rStyle w:val="Foreign"/>
        </w:rPr>
        <w:t>ḫ</w:t>
      </w:r>
      <w:r>
        <w:t xml:space="preserve"> or </w:t>
      </w:r>
      <w:r>
        <w:rPr>
          <w:rStyle w:val="Foreign"/>
        </w:rPr>
        <w:t>ẖ</w:t>
      </w:r>
      <w:r>
        <w:t xml:space="preserve"> as applicable, if an earlier editor does not (consistently) distinguish </w:t>
      </w:r>
      <w:r>
        <w:rPr>
          <w:rStyle w:val="Foreign"/>
        </w:rPr>
        <w:t>upadhmānīya</w:t>
      </w:r>
      <w:r>
        <w:t xml:space="preserve"> and </w:t>
      </w:r>
      <w:r>
        <w:rPr>
          <w:rStyle w:val="Foreign"/>
        </w:rPr>
        <w:t>jihvāmūlīya</w:t>
      </w:r>
      <w:r>
        <w:t xml:space="preserve"> from </w:t>
      </w:r>
      <w:r>
        <w:rPr>
          <w:rStyle w:val="Foreign"/>
        </w:rPr>
        <w:t>visarga</w:t>
      </w:r>
    </w:p>
    <w:p w14:paraId="25ED3F98" w14:textId="77777777">
      <w:pPr>
        <w:pStyle w:val="Lista"/>
      </w:pPr>
      <w:r>
        <w:t>text within this element must be marked up with XML tags to clearly indicate what the cited editor deemed unclear, emended or supplied</w:t>
      </w:r>
    </w:p>
    <w:p w14:paraId="19AD5E72" w14:textId="77777777">
      <w:pPr>
        <w:pStyle w:val="Lista2"/>
      </w:pPr>
      <w:r>
        <w:t>that is to say, convert the original editor’s markup and/or additional explanation into XML tags endorsed by this guide as best possible</w:t>
      </w:r>
    </w:p>
    <w:p w14:paraId="2B0D060B" w14:textId="77777777">
      <w:pPr>
        <w:pStyle w:val="Lista2"/>
      </w:pPr>
      <w:r>
        <w:t>since the markup found in many printed editions is less expressive and/or less rigorously consistent than our EpiDoc conventions, you may need to interpret the intention of the original editor and mark up alternatives accordingly, for instance by distinguishing correction from normalisation</w:t>
      </w:r>
    </w:p>
    <w:p w14:paraId="2DADAA8A" w14:textId="77777777">
      <w:pPr>
        <w:pStyle w:val="Lista"/>
      </w:pPr>
      <w:r>
        <w:t xml:space="preserve">never retain any traditional editorial markup </w:t>
      </w:r>
      <w:r>
        <w:rPr>
          <w:noProof/>
        </w:rPr>
        <w:t>(</w:t>
      </w:r>
      <w:r>
        <w:t>such as brackets or asterisks)</w:t>
      </w:r>
    </w:p>
    <w:p w14:paraId="7A74421A" w14:textId="77777777">
      <w:pPr>
        <w:pStyle w:val="Lista2"/>
      </w:pPr>
      <w:r>
        <w:t>if you are unable to interpret the intent of an earlier editor, discuss it in an apparatus note instead of citing it as a reading</w:t>
      </w:r>
    </w:p>
    <w:p w14:paraId="5918D4B5" w14:textId="1B3EB1B9">
      <w:pPr>
        <w:pStyle w:val="Lista2"/>
      </w:pPr>
      <w:r>
        <w:t>see also §</w:t>
      </w:r>
      <w:r>
        <w:fldChar w:fldCharType="begin"/>
      </w:r>
      <w:r>
        <w:instrText xml:space="preserve"> REF _Ref43989517 \w \h  \* MERGEFORMAT </w:instrText>
      </w:r>
      <w:r>
        <w:fldChar w:fldCharType="separate"/>
      </w:r>
      <w:r>
        <w:t>10.6</w:t>
      </w:r>
      <w:r>
        <w:fldChar w:fldCharType="end"/>
      </w:r>
      <w:r>
        <w:t xml:space="preserve"> for some concerns pertaining to the use of XML tags in readings, in particular about the encoding of line breaks within a reading</w:t>
      </w:r>
    </w:p>
    <w:p w14:paraId="28A507EF" w14:textId="77777777">
      <w:pPr>
        <w:pStyle w:val="Lista"/>
      </w:pPr>
      <w:r>
        <w:t>feel free to silently correct obvious typographic errors and transliteration inconsistencies when citing an earlier editor’s reading</w:t>
      </w:r>
    </w:p>
    <w:p w14:paraId="5E2E300B" w14:textId="77777777">
      <w:pPr>
        <w:pStyle w:val="Lista2"/>
      </w:pPr>
      <w:r>
        <w:t>but when there is any doubt as to whether you are dealing with a typo or an erroneous reading, it is better to assume the latter</w:t>
      </w:r>
    </w:p>
    <w:p w14:paraId="2CF5F621" w14:textId="77777777">
      <w:pPr>
        <w:pStyle w:val="Lista"/>
      </w:pPr>
      <w:r>
        <w:t xml:space="preserve">keep in mind that all markup within </w:t>
      </w:r>
      <w:r>
        <w:rPr>
          <w:rStyle w:val="Code"/>
        </w:rPr>
        <w:t>&lt;rdg&gt;</w:t>
      </w:r>
      <w:r>
        <w:t xml:space="preserve"> must represent the cited editor’s markup, not your markup pertaining to the cited edition; thus,</w:t>
      </w:r>
    </w:p>
    <w:p w14:paraId="72F02B8C" w14:textId="77777777">
      <w:pPr>
        <w:pStyle w:val="Lista2"/>
      </w:pPr>
      <w:r>
        <w:t>if your copy of the edition is unclear or illegible, this can be indicated in a note, but not with XML markup for unclear text or a lacuna</w:t>
      </w:r>
    </w:p>
    <w:p w14:paraId="02C398B8" w14:textId="354E3A0A">
      <w:pPr>
        <w:pStyle w:val="Lista2"/>
      </w:pPr>
      <w:r>
        <w:t xml:space="preserve">if the previous editor omits some text, this can be indicated by an empty </w:t>
      </w:r>
      <w:r>
        <w:rPr>
          <w:rStyle w:val="Code"/>
        </w:rPr>
        <w:t>&lt;rdg&gt;</w:t>
      </w:r>
      <w:r>
        <w:t xml:space="preserve"> as above (§</w:t>
      </w:r>
      <w:r>
        <w:fldChar w:fldCharType="begin"/>
      </w:r>
      <w:r>
        <w:instrText xml:space="preserve"> REF _Ref242886455 \r \h </w:instrText>
      </w:r>
      <w:r>
        <w:fldChar w:fldCharType="separate"/>
      </w:r>
      <w:r>
        <w:t>10.4.1</w:t>
      </w:r>
      <w:r>
        <w:fldChar w:fldCharType="end"/>
      </w:r>
      <w:r>
        <w:t>), or by choosing a broader lemma that includes some text adjacent to the omission</w:t>
      </w:r>
    </w:p>
    <w:p w14:paraId="24C66BE4" w14:textId="77777777">
      <w:pPr>
        <w:pStyle w:val="Cmsor3"/>
      </w:pPr>
      <w:bookmarkStart w:id="813" w:name="_Ref233625579"/>
      <w:bookmarkStart w:id="814" w:name="_Toc242889594"/>
      <w:r>
        <w:t>The source of alternative readings</w:t>
      </w:r>
      <w:bookmarkEnd w:id="813"/>
      <w:bookmarkEnd w:id="814"/>
    </w:p>
    <w:p w14:paraId="6B25C146" w14:textId="77777777">
      <w:pPr>
        <w:pStyle w:val="Lista"/>
      </w:pPr>
      <w:r>
        <w:t>alternative readings must always be credited to the editor</w:t>
      </w:r>
      <w:r>
        <w:rPr>
          <w:noProof/>
        </w:rPr>
        <w:t>(</w:t>
      </w:r>
      <w:r>
        <w:t xml:space="preserve">s) who proposed or endorsed them, using the attribute </w:t>
      </w:r>
      <w:r>
        <w:rPr>
          <w:rStyle w:val="Codeattribute"/>
        </w:rPr>
        <w:t>@source</w:t>
      </w:r>
      <w:r>
        <w:t xml:space="preserve"> on </w:t>
      </w:r>
      <w:r>
        <w:rPr>
          <w:rStyle w:val="Code"/>
        </w:rPr>
        <w:t>&lt;rdg&gt;</w:t>
      </w:r>
    </w:p>
    <w:p w14:paraId="22749B29" w14:textId="70D19DC0">
      <w:pPr>
        <w:pStyle w:val="Lista2"/>
      </w:pPr>
      <w:r>
        <w:t>the value of this attribute must be a bibliographic identifier as set out in §</w:t>
      </w:r>
      <w:r>
        <w:fldChar w:fldCharType="begin"/>
      </w:r>
      <w:r>
        <w:instrText xml:space="preserve"> REF _Ref43989551 \w \h  \* MERGEFORMAT </w:instrText>
      </w:r>
      <w:r>
        <w:fldChar w:fldCharType="separate"/>
      </w:r>
      <w:r>
        <w:t>14.6.2</w:t>
      </w:r>
      <w:r>
        <w:fldChar w:fldCharType="end"/>
      </w:r>
    </w:p>
    <w:p w14:paraId="6E7129C4" w14:textId="20A6EB9A">
      <w:pPr>
        <w:pStyle w:val="Lista2"/>
      </w:pPr>
      <w:r>
        <w:t>the bibliographic citation of the relevant publication in your bibliography division must include an encoded siglum for use in the apparatus, as per §</w:t>
      </w:r>
      <w:r>
        <w:fldChar w:fldCharType="begin"/>
      </w:r>
      <w:r>
        <w:instrText xml:space="preserve"> REF _Ref43989610 \w \h  \* MERGEFORMAT </w:instrText>
      </w:r>
      <w:r>
        <w:fldChar w:fldCharType="separate"/>
      </w:r>
      <w:r>
        <w:t>13.3.2</w:t>
      </w:r>
      <w:r>
        <w:fldChar w:fldCharType="end"/>
      </w:r>
    </w:p>
    <w:p w14:paraId="065C350D" w14:textId="7E473FF5">
      <w:pPr>
        <w:pStyle w:val="Lista2"/>
      </w:pPr>
      <w:r>
        <w:t>see §</w:t>
      </w:r>
      <w:r>
        <w:fldChar w:fldCharType="begin"/>
      </w:r>
      <w:r>
        <w:instrText xml:space="preserve"> REF _Ref43989583 \w \h  \* MERGEFORMAT </w:instrText>
      </w:r>
      <w:r>
        <w:fldChar w:fldCharType="separate"/>
      </w:r>
      <w:r>
        <w:t>10.5</w:t>
      </w:r>
      <w:r>
        <w:fldChar w:fldCharType="end"/>
      </w:r>
      <w:r>
        <w:t xml:space="preserve"> below for guidance on deciding when two editors’ readings may be deemed identical</w:t>
      </w:r>
    </w:p>
    <w:p w14:paraId="1A6BD61E" w14:textId="77777777">
      <w:pPr>
        <w:pStyle w:val="Lista"/>
      </w:pPr>
      <w:r>
        <w:t>if your apparatus includes at least one lemma with alternative readings and you have consulted more than one previous editor, then your apparatus entries must always be formulated as a positive apparatus</w:t>
      </w:r>
    </w:p>
    <w:p w14:paraId="3601FEB0" w14:textId="77777777">
      <w:pPr>
        <w:pStyle w:val="Lista2"/>
      </w:pPr>
      <w:r>
        <w:t xml:space="preserve">for any lemma with one or more alternative readings, clearly indicate </w:t>
      </w:r>
      <w:r>
        <w:rPr>
          <w:noProof/>
        </w:rPr>
        <w:t>(</w:t>
      </w:r>
      <w:r>
        <w:t>either under the lemma or under one of the alternative readings) what the readings of all previous editors were</w:t>
      </w:r>
    </w:p>
    <w:p w14:paraId="05946BD9" w14:textId="1DB91551">
      <w:pPr>
        <w:pStyle w:val="Lista2"/>
      </w:pPr>
      <w:r>
        <w:t xml:space="preserve">however, keep in mind that your apparatus does not have to list every minor divergence from or between previous editions </w:t>
      </w:r>
      <w:r>
        <w:rPr>
          <w:noProof/>
        </w:rPr>
        <w:t>(</w:t>
      </w:r>
      <w:r>
        <w:t>§</w:t>
      </w:r>
      <w:r>
        <w:fldChar w:fldCharType="begin"/>
      </w:r>
      <w:r>
        <w:instrText xml:space="preserve"> REF _Ref43978773 \r \h </w:instrText>
      </w:r>
      <w:r>
        <w:fldChar w:fldCharType="separate"/>
      </w:r>
      <w:r>
        <w:t>10</w:t>
      </w:r>
      <w:r>
        <w:fldChar w:fldCharType="end"/>
      </w:r>
      <w:r>
        <w:t>)</w:t>
      </w:r>
    </w:p>
    <w:p w14:paraId="29FA295E" w14:textId="77777777">
      <w:pPr>
        <w:pStyle w:val="Cmsor2"/>
      </w:pPr>
      <w:bookmarkStart w:id="815" w:name="_wlnr5yx14afg" w:colFirst="0" w:colLast="0"/>
      <w:bookmarkStart w:id="816" w:name="_Ref43989583"/>
      <w:bookmarkStart w:id="817" w:name="_Toc242889595"/>
      <w:bookmarkEnd w:id="815"/>
      <w:r>
        <w:t>Identical lemmas, identical readings</w:t>
      </w:r>
      <w:bookmarkEnd w:id="816"/>
      <w:bookmarkEnd w:id="817"/>
    </w:p>
    <w:p w14:paraId="7D11C433" w14:textId="77777777">
      <w:pPr>
        <w:pStyle w:val="Lista"/>
      </w:pPr>
      <w:r>
        <w:t>in setting up your apparatus, you will need to judge whether two given readings are to be recognised as different or can be treated as identical</w:t>
      </w:r>
    </w:p>
    <w:p w14:paraId="2DA0DC8D" w14:textId="77777777">
      <w:pPr>
        <w:pStyle w:val="Lista2"/>
      </w:pPr>
      <w:r>
        <w:t>to decide whether a given previous editor’s reading agrees with yours or must be shown as an alternative reading</w:t>
      </w:r>
    </w:p>
    <w:p w14:paraId="0F39E92A" w14:textId="77777777">
      <w:pPr>
        <w:pStyle w:val="Lista2"/>
      </w:pPr>
      <w:r>
        <w:t>to decide whether a given previous editor’s reading agrees with that of another previous editor or must be shown as an additional alternative reading</w:t>
      </w:r>
    </w:p>
    <w:p w14:paraId="3BB29EDD" w14:textId="77777777">
      <w:pPr>
        <w:pStyle w:val="Lista"/>
      </w:pPr>
      <w:r>
        <w:t>in this process, you should primarily consider the actual text shown in each edition, as read by each editor; thus,</w:t>
      </w:r>
    </w:p>
    <w:p w14:paraId="4E855D60" w14:textId="4A94B607">
      <w:pPr>
        <w:pStyle w:val="Lista2"/>
      </w:pPr>
      <w:r>
        <w:t>ignore differences limited to the transliteration system (see also §</w:t>
      </w:r>
      <w:r>
        <w:fldChar w:fldCharType="begin"/>
      </w:r>
      <w:r>
        <w:instrText xml:space="preserve"> REF _Ref233988136 \r \h </w:instrText>
      </w:r>
      <w:r>
        <w:fldChar w:fldCharType="separate"/>
      </w:r>
      <w:r>
        <w:t>10.4.2</w:t>
      </w:r>
      <w:r>
        <w:fldChar w:fldCharType="end"/>
      </w:r>
      <w:r>
        <w:t xml:space="preserve"> above)</w:t>
      </w:r>
    </w:p>
    <w:p w14:paraId="6D5C0496" w14:textId="77777777">
      <w:pPr>
        <w:pStyle w:val="Lista3"/>
      </w:pPr>
      <w:r>
        <w:lastRenderedPageBreak/>
        <w:t xml:space="preserve">if an earlier editor does not distinguish initial vowels from dependent ones, or final consonants from those in </w:t>
      </w:r>
      <w:r>
        <w:rPr>
          <w:rStyle w:val="Foreign"/>
        </w:rPr>
        <w:t>akṣara</w:t>
      </w:r>
      <w:r>
        <w:rPr>
          <w:rStyle w:val="Foreign"/>
          <w:i w:val="0"/>
          <w:iCs w:val="0"/>
        </w:rPr>
        <w:t>s</w:t>
      </w:r>
      <w:r>
        <w:t>, you must still consider the readings identical</w:t>
      </w:r>
    </w:p>
    <w:p w14:paraId="7E28F117" w14:textId="77777777">
      <w:pPr>
        <w:pStyle w:val="Lista2"/>
      </w:pPr>
      <w:r>
        <w:t>feel free to ignore minor orthographic mistakes that do not affect the meaning and that may well be typographic errors in a previous edition</w:t>
      </w:r>
    </w:p>
    <w:p w14:paraId="03B5F047" w14:textId="77777777">
      <w:pPr>
        <w:pStyle w:val="Lista3"/>
      </w:pPr>
      <w:r>
        <w:t>but when there is any doubt as to whether you are dealing with a typo or an erroneous reading, it is better to assume the latter and show it as different from the reading you deem correct</w:t>
      </w:r>
    </w:p>
    <w:p w14:paraId="75CF7D13" w14:textId="77777777">
      <w:pPr>
        <w:pStyle w:val="Lista2"/>
      </w:pPr>
      <w:r>
        <w:t>ignore differences that consist only in the presence or absence of markup for unclear or restored characters</w:t>
      </w:r>
    </w:p>
    <w:p w14:paraId="33FE4554" w14:textId="77777777">
      <w:pPr>
        <w:pStyle w:val="Lista3"/>
      </w:pPr>
      <w:r>
        <w:t xml:space="preserve">if one reading is </w:t>
      </w:r>
      <w:r>
        <w:rPr>
          <w:rStyle w:val="Codetext"/>
        </w:rPr>
        <w:t>ya</w:t>
      </w:r>
      <w:r>
        <w:rPr>
          <w:rStyle w:val="Code"/>
        </w:rPr>
        <w:t>&lt;unclear&gt;</w:t>
      </w:r>
      <w:r>
        <w:rPr>
          <w:rStyle w:val="Codetext"/>
        </w:rPr>
        <w:t>thā</w:t>
      </w:r>
      <w:r>
        <w:rPr>
          <w:rStyle w:val="Code"/>
        </w:rPr>
        <w:t>&lt;/unclear&gt;</w:t>
      </w:r>
      <w:r>
        <w:rPr>
          <w:rStyle w:val="Codetext"/>
        </w:rPr>
        <w:t>smābhiḥ</w:t>
      </w:r>
      <w:r>
        <w:t xml:space="preserve"> and another is </w:t>
      </w:r>
      <w:r>
        <w:rPr>
          <w:rStyle w:val="Codetext"/>
        </w:rPr>
        <w:t>yathāsmābhiḥ</w:t>
      </w:r>
      <w:r>
        <w:t xml:space="preserve"> without any markup, then the two readings shall be deemed identical</w:t>
      </w:r>
    </w:p>
    <w:p w14:paraId="3CB67212" w14:textId="77777777">
      <w:pPr>
        <w:pStyle w:val="Lista3"/>
      </w:pPr>
      <w:r>
        <w:t xml:space="preserve">if one reading is </w:t>
      </w:r>
      <w:r>
        <w:rPr>
          <w:rStyle w:val="Codetext"/>
        </w:rPr>
        <w:t>yathā</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smābhiḥ</w:t>
      </w:r>
      <w:r>
        <w:rPr>
          <w:rStyle w:val="Code"/>
        </w:rPr>
        <w:t>&lt;/supplied&gt;</w:t>
      </w:r>
      <w:r>
        <w:t xml:space="preserve"> and another is </w:t>
      </w:r>
      <w:r>
        <w:rPr>
          <w:rStyle w:val="Codetext"/>
        </w:rPr>
        <w:t>yathāsmābhiḥ</w:t>
      </w:r>
      <w:r>
        <w:t xml:space="preserve"> without any markup, then the two readings may be deemed identical unless you consider it important to show that part of the text was apparently visible to one editor but lost when the document was studied by another</w:t>
      </w:r>
    </w:p>
    <w:p w14:paraId="6432D524" w14:textId="34562F26">
      <w:pPr>
        <w:pStyle w:val="Lista2"/>
      </w:pPr>
      <w:r>
        <w:t>ignore the presence or absence of spaces, which are usually not indicated in printed editions</w:t>
      </w:r>
    </w:p>
    <w:p w14:paraId="2868EAA1" w14:textId="77777777">
      <w:pPr>
        <w:pStyle w:val="Lista2"/>
      </w:pPr>
      <w:r>
        <w:t>ignore previous editors’ emendations or normalisations if they do not affect the interpretation of the text</w:t>
      </w:r>
    </w:p>
    <w:p w14:paraId="5BFDF103" w14:textId="77777777">
      <w:pPr>
        <w:pStyle w:val="Lista3"/>
      </w:pPr>
      <w:r>
        <w:t xml:space="preserve">thus, if you </w:t>
      </w:r>
      <w:r>
        <w:rPr>
          <w:noProof/>
        </w:rPr>
        <w:t>(</w:t>
      </w:r>
      <w:r>
        <w:t>or another editor) have chosen only to flag a phenomenon as erroneous or non-standard, or chosen to ignore one, whereas a previous editor reads the same received text but emends or normalises it, then the readings are still to be deemed as identical</w:t>
      </w:r>
    </w:p>
    <w:p w14:paraId="3813E7B7" w14:textId="77777777">
      <w:pPr>
        <w:pStyle w:val="Lista3"/>
      </w:pPr>
      <w:r>
        <w:t>meaningful or text-critically significant differences in emendation (or lack thereof) must, however, be recorded in the apparatus</w:t>
      </w:r>
    </w:p>
    <w:p w14:paraId="6EAD3956" w14:textId="77777777">
      <w:pPr>
        <w:pStyle w:val="Lista2"/>
      </w:pPr>
      <w:r>
        <w:t>ignore differences in the strategy (or inconsistency) of editorial spacing and hyphenation unless they affect the interpretation of the text</w:t>
      </w:r>
    </w:p>
    <w:p w14:paraId="067D7AA0" w14:textId="77777777">
      <w:pPr>
        <w:pStyle w:val="Lista3"/>
      </w:pPr>
      <w:r>
        <w:t>thus, if a previous edition hyphenates a suffix, prints a clitic without a space between it and the adjacent word, this is not a reason to recognise their reading as different</w:t>
      </w:r>
    </w:p>
    <w:p w14:paraId="16D612A3" w14:textId="77777777">
      <w:pPr>
        <w:pStyle w:val="Lista3"/>
      </w:pPr>
      <w:r>
        <w:t>meaningful differences (e.g. treating a word as in compound or free-standing) must, however, be recorded in the apparatus</w:t>
      </w:r>
    </w:p>
    <w:p w14:paraId="2D95A7C5" w14:textId="77777777">
      <w:pPr>
        <w:pStyle w:val="Lista"/>
      </w:pPr>
      <w:r>
        <w:t>in all of the above cases, the recommendation of ignoring minor differences may be overridden for highly problematic spots of text, where you may find it best to faithfully reproduce each previous editor’s reading down to the last detail</w:t>
      </w:r>
    </w:p>
    <w:p w14:paraId="6151FF04" w14:textId="21E5DB5B">
      <w:pPr>
        <w:pStyle w:val="Lista"/>
      </w:pPr>
      <w:r>
        <w:t>keep in mind that whenever multiple editions are cited as sources for a lemma, their citations must be listed within a single</w:t>
      </w:r>
      <w:r>
        <w:rPr>
          <w:b/>
          <w:bCs/>
        </w:rPr>
        <w:t xml:space="preserve"> </w:t>
      </w:r>
      <w:r>
        <w:rPr>
          <w:rStyle w:val="Codeattribute"/>
        </w:rPr>
        <w:t>@source</w:t>
      </w:r>
      <w:r>
        <w:t xml:space="preserve"> attribute in chronological order </w:t>
      </w:r>
      <w:r>
        <w:rPr>
          <w:noProof/>
        </w:rPr>
        <w:t>(§</w:t>
      </w:r>
      <w:r>
        <w:rPr>
          <w:noProof/>
        </w:rPr>
        <w:fldChar w:fldCharType="begin"/>
      </w:r>
      <w:r>
        <w:rPr>
          <w:noProof/>
        </w:rPr>
        <w:instrText xml:space="preserve"> REF _Ref44490119 \r \h </w:instrText>
      </w:r>
      <w:r>
        <w:rPr>
          <w:noProof/>
        </w:rPr>
      </w:r>
      <w:r>
        <w:rPr>
          <w:noProof/>
        </w:rPr>
        <w:fldChar w:fldCharType="separate"/>
      </w:r>
      <w:r>
        <w:rPr>
          <w:noProof/>
        </w:rPr>
        <w:t>14.6.2</w:t>
      </w:r>
      <w:r>
        <w:rPr>
          <w:noProof/>
        </w:rPr>
        <w:fldChar w:fldCharType="end"/>
      </w:r>
      <w:r>
        <w:t>)</w:t>
      </w:r>
    </w:p>
    <w:p w14:paraId="21B11D1D" w14:textId="77777777">
      <w:pPr>
        <w:pStyle w:val="Lista"/>
      </w:pPr>
      <w:r>
        <w:t>when more than one previous editor supports a reading, but the readings of these editors differ from one another in minor details you ignore as per the above guidelines, by preference show the reading as featured in the first of the cited editions</w:t>
      </w:r>
    </w:p>
    <w:p w14:paraId="22B6A127" w14:textId="77777777">
      <w:pPr>
        <w:pStyle w:val="Cmsor2"/>
      </w:pPr>
      <w:bookmarkStart w:id="818" w:name="_qb0qotwuz8be" w:colFirst="0" w:colLast="0"/>
      <w:bookmarkStart w:id="819" w:name="_Ref43989517"/>
      <w:bookmarkStart w:id="820" w:name="_Ref233640654"/>
      <w:bookmarkStart w:id="821" w:name="_Toc242889596"/>
      <w:bookmarkEnd w:id="818"/>
      <w:r>
        <w:t>XML markup within lemmas</w:t>
      </w:r>
      <w:bookmarkEnd w:id="819"/>
      <w:r>
        <w:t xml:space="preserve"> and readings</w:t>
      </w:r>
      <w:bookmarkEnd w:id="820"/>
      <w:bookmarkEnd w:id="821"/>
    </w:p>
    <w:p w14:paraId="535110CF" w14:textId="77777777">
      <w:r>
        <w:t>When creating lemmas by copying and pasting text from your edition, you must make sure that encoding pertaining to these text snippets is correctly preserved. For readings cited from printed editions, applicable XML encoding must be created by you on the basis of the text-based markup in the editions.</w:t>
      </w:r>
    </w:p>
    <w:p w14:paraId="67FEC584" w14:textId="11D527FD">
      <w:pPr>
        <w:pStyle w:val="Lista"/>
      </w:pPr>
      <w:r>
        <w:t xml:space="preserve">tags of block-level containers for intrinsic structure </w:t>
      </w:r>
      <w:r>
        <w:rPr>
          <w:noProof/>
        </w:rPr>
        <w:t>(§</w:t>
      </w:r>
      <w:r>
        <w:rPr>
          <w:noProof/>
        </w:rPr>
        <w:fldChar w:fldCharType="begin"/>
      </w:r>
      <w:r>
        <w:rPr>
          <w:noProof/>
        </w:rPr>
        <w:instrText xml:space="preserve"> REF _Ref225500627 \r \h </w:instrText>
      </w:r>
      <w:r>
        <w:rPr>
          <w:noProof/>
        </w:rPr>
      </w:r>
      <w:r>
        <w:rPr>
          <w:noProof/>
        </w:rPr>
        <w:fldChar w:fldCharType="separate"/>
      </w:r>
      <w:r>
        <w:rPr>
          <w:noProof/>
        </w:rPr>
        <w:t>3.2</w:t>
      </w:r>
      <w:r>
        <w:rPr>
          <w:noProof/>
        </w:rPr>
        <w:fldChar w:fldCharType="end"/>
      </w:r>
      <w:r>
        <w:t>) must never be included in lemmas or readings</w:t>
      </w:r>
    </w:p>
    <w:p w14:paraId="33EC3D82" w14:textId="77777777">
      <w:pPr>
        <w:pStyle w:val="Lista2"/>
      </w:pPr>
      <w:r>
        <w:t>for a problematic locus extending across a boundary between such containers, preferably create separate lemmas</w:t>
      </w:r>
    </w:p>
    <w:p w14:paraId="090074EE" w14:textId="77777777">
      <w:pPr>
        <w:pStyle w:val="Lista2"/>
      </w:pPr>
      <w:r>
        <w:t xml:space="preserve">if separate lemmas do not seem appropriate, then simply delete from your lemma the </w:t>
      </w:r>
      <w:r>
        <w:rPr>
          <w:noProof/>
        </w:rPr>
        <w:t>(</w:t>
      </w:r>
      <w:r>
        <w:t>start and end) tags belonging to such an element, i.e. cite the text as if the boundary of intrinsic structure were not present</w:t>
      </w:r>
    </w:p>
    <w:p w14:paraId="7192739F" w14:textId="76A5B320">
      <w:pPr>
        <w:pStyle w:val="Lista"/>
      </w:pPr>
      <w:r>
        <w:t xml:space="preserve">milestone elements for extrinsic structure </w:t>
      </w:r>
      <w:r>
        <w:rPr>
          <w:noProof/>
        </w:rPr>
        <w:t>(§</w:t>
      </w:r>
      <w:r>
        <w:rPr>
          <w:noProof/>
        </w:rPr>
        <w:fldChar w:fldCharType="begin"/>
      </w:r>
      <w:r>
        <w:rPr>
          <w:noProof/>
        </w:rPr>
        <w:instrText xml:space="preserve"> REF _Ref225327729 \r \h </w:instrText>
      </w:r>
      <w:r>
        <w:rPr>
          <w:noProof/>
        </w:rPr>
      </w:r>
      <w:r>
        <w:rPr>
          <w:noProof/>
        </w:rPr>
        <w:fldChar w:fldCharType="separate"/>
      </w:r>
      <w:r>
        <w:rPr>
          <w:noProof/>
        </w:rPr>
        <w:t>4.3</w:t>
      </w:r>
      <w:r>
        <w:rPr>
          <w:noProof/>
        </w:rPr>
        <w:fldChar w:fldCharType="end"/>
      </w:r>
      <w:r>
        <w:rPr>
          <w:noProof/>
        </w:rPr>
        <w:t>; including line and page breaks</w:t>
      </w:r>
      <w:r>
        <w:t>) shall, however, be included in both lemmas and readings</w:t>
      </w:r>
    </w:p>
    <w:p w14:paraId="1A6A9E90" w14:textId="77777777">
      <w:pPr>
        <w:pStyle w:val="Lista2"/>
      </w:pPr>
      <w:r>
        <w:lastRenderedPageBreak/>
        <w:t xml:space="preserve">the purpose of this is primarily to show the fact that such a transition is present </w:t>
      </w:r>
      <w:r>
        <w:rPr>
          <w:noProof/>
        </w:rPr>
        <w:t>(</w:t>
      </w:r>
      <w:r>
        <w:t>or was indicated as present, not necessarily always in the right place, by a previous edition)</w:t>
      </w:r>
    </w:p>
    <w:p w14:paraId="0751C146" w14:textId="77777777">
      <w:pPr>
        <w:pStyle w:val="Lista2"/>
      </w:pPr>
      <w:r>
        <w:t>attributes of these elements present in the edition must be retained in the lemma</w:t>
      </w:r>
    </w:p>
    <w:p w14:paraId="66704E6E" w14:textId="77777777">
      <w:pPr>
        <w:pStyle w:val="Lista2"/>
      </w:pPr>
      <w:r>
        <w:t xml:space="preserve">remember that when a lemma extends across a line boundary, the </w:t>
      </w:r>
      <w:r>
        <w:rPr>
          <w:rStyle w:val="Codeattribute"/>
        </w:rPr>
        <w:t>@loc</w:t>
      </w:r>
      <w:r>
        <w:t xml:space="preserve"> of the apparatus entry must be the number of the line where the lemma begins</w:t>
      </w:r>
    </w:p>
    <w:p w14:paraId="598AE543" w14:textId="1E620836">
      <w:pPr>
        <w:pStyle w:val="Lista"/>
      </w:pPr>
      <w:r>
        <w:t>forme work (§</w:t>
      </w:r>
      <w:r>
        <w:fldChar w:fldCharType="begin"/>
      </w:r>
      <w:r>
        <w:instrText xml:space="preserve"> REF _Ref43984607 \r \h </w:instrText>
      </w:r>
      <w:r>
        <w:fldChar w:fldCharType="separate"/>
      </w:r>
      <w:r>
        <w:t>4.7.2</w:t>
      </w:r>
      <w:r>
        <w:fldChar w:fldCharType="end"/>
      </w:r>
      <w:r>
        <w:t>) must not be included in lemmas</w:t>
      </w:r>
    </w:p>
    <w:p w14:paraId="408A328D" w14:textId="77777777">
      <w:pPr>
        <w:pStyle w:val="Lista2"/>
      </w:pPr>
      <w:r>
        <w:t xml:space="preserve">if an </w:t>
      </w:r>
      <w:r>
        <w:rPr>
          <w:rStyle w:val="Code"/>
        </w:rPr>
        <w:t>&lt;fw&gt;</w:t>
      </w:r>
      <w:r>
        <w:t xml:space="preserve"> element is present after a page break that intervenes in your lemma, then delete it (along with its contents) from the contents of the lemma pasted from your edition</w:t>
      </w:r>
    </w:p>
    <w:p w14:paraId="10C224B1" w14:textId="3D5AF1F7">
      <w:pPr>
        <w:pStyle w:val="Lista2"/>
      </w:pPr>
      <w:r>
        <w:t xml:space="preserve">for lemmas </w:t>
      </w:r>
      <w:r>
        <w:rPr>
          <w:i/>
          <w:iCs/>
        </w:rPr>
        <w:t>within</w:t>
      </w:r>
      <w:r>
        <w:t xml:space="preserve"> forme work, see §</w:t>
      </w:r>
      <w:r>
        <w:fldChar w:fldCharType="begin"/>
      </w:r>
      <w:r>
        <w:instrText xml:space="preserve"> REF _Ref43978538 \r \h </w:instrText>
      </w:r>
      <w:r>
        <w:fldChar w:fldCharType="separate"/>
      </w:r>
      <w:r>
        <w:t>10.1.1</w:t>
      </w:r>
      <w:r>
        <w:fldChar w:fldCharType="end"/>
      </w:r>
    </w:p>
    <w:p w14:paraId="03064923" w14:textId="5635E47D">
      <w:pPr>
        <w:pStyle w:val="Lista"/>
      </w:pPr>
      <w:r>
        <w:t>philological markup (§</w:t>
      </w:r>
      <w:r>
        <w:fldChar w:fldCharType="begin"/>
      </w:r>
      <w:r>
        <w:instrText xml:space="preserve"> REF _Ref232171176 \r \h </w:instrText>
      </w:r>
      <w:r>
        <w:fldChar w:fldCharType="separate"/>
      </w:r>
      <w:r>
        <w:t>5</w:t>
      </w:r>
      <w:r>
        <w:fldChar w:fldCharType="end"/>
      </w:r>
      <w:r>
        <w:t xml:space="preserve"> to §</w:t>
      </w:r>
      <w:r>
        <w:fldChar w:fldCharType="begin"/>
      </w:r>
      <w:r>
        <w:instrText xml:space="preserve"> REF _Ref43978565 \r \h </w:instrText>
      </w:r>
      <w:r>
        <w:fldChar w:fldCharType="separate"/>
      </w:r>
      <w:r>
        <w:t>7</w:t>
      </w:r>
      <w:r>
        <w:fldChar w:fldCharType="end"/>
      </w:r>
      <w:r>
        <w:t>) must, as a rule, be retained in lemmas as it appears in your edition, and created in readings to represent the intent of the editor cited as far as possible</w:t>
      </w:r>
    </w:p>
    <w:p w14:paraId="233064FC" w14:textId="77777777">
      <w:pPr>
        <w:pStyle w:val="Lista2"/>
      </w:pPr>
      <w:r>
        <w:t>the start-tag or end-tag of such an element may be outside the range of your locus copied and pasted from your edition, but must be present in the lemma, so take care to</w:t>
      </w:r>
    </w:p>
    <w:p w14:paraId="129EE3E7" w14:textId="77777777">
      <w:pPr>
        <w:pStyle w:val="Lista3"/>
      </w:pPr>
      <w:r>
        <w:t>add the start-tag for markup commencing before and ending inside your lemma</w:t>
      </w:r>
    </w:p>
    <w:p w14:paraId="7499E2EA" w14:textId="77777777">
      <w:pPr>
        <w:pStyle w:val="Lista3"/>
      </w:pPr>
      <w:r>
        <w:t>add the end-tag for markup commencing inside your lemma and ending after it</w:t>
      </w:r>
    </w:p>
    <w:p w14:paraId="4EA32E95" w14:textId="77777777">
      <w:pPr>
        <w:pStyle w:val="Lista3"/>
      </w:pPr>
      <w:r>
        <w:t>add start and end-tags for a lemma snipped from within a longer stretch of phrase-level markup</w:t>
      </w:r>
    </w:p>
    <w:p w14:paraId="653EE278" w14:textId="65DE0CE8">
      <w:pPr>
        <w:pStyle w:val="Lista"/>
      </w:pPr>
      <w:r>
        <w:t>phrase-level markup that encodes additional information (§</w:t>
      </w:r>
      <w:r>
        <w:fldChar w:fldCharType="begin"/>
      </w:r>
      <w:r>
        <w:instrText xml:space="preserve"> REF _Ref122447347 \r \h </w:instrText>
      </w:r>
      <w:r>
        <w:fldChar w:fldCharType="separate"/>
      </w:r>
      <w:r>
        <w:t>14.2.4</w:t>
      </w:r>
      <w:r>
        <w:fldChar w:fldCharType="end"/>
      </w:r>
      <w:r>
        <w:t xml:space="preserve"> and §</w:t>
      </w:r>
      <w:r>
        <w:fldChar w:fldCharType="begin"/>
      </w:r>
      <w:r>
        <w:instrText xml:space="preserve"> REF _Ref232002354 \r \h </w:instrText>
      </w:r>
      <w:r>
        <w:fldChar w:fldCharType="separate"/>
      </w:r>
      <w:r>
        <w:t>9</w:t>
      </w:r>
      <w:r>
        <w:fldChar w:fldCharType="end"/>
      </w:r>
      <w:r>
        <w:t>) is indifferent for the purposes of the apparatus; thus:</w:t>
      </w:r>
    </w:p>
    <w:p w14:paraId="3882F55A" w14:textId="77777777">
      <w:pPr>
        <w:pStyle w:val="Lista2"/>
      </w:pPr>
      <w:r>
        <w:t>it is recommended that you delete any such markup from your lemma in order to reduce code clutter</w:t>
      </w:r>
    </w:p>
    <w:p w14:paraId="130B5CC8" w14:textId="77777777">
      <w:pPr>
        <w:pStyle w:val="Lista2"/>
      </w:pPr>
      <w:r>
        <w:t>but feel free to leave such markup in a copied and pasted lemma if this is more convenient for you, provided that you pay attention to start-tags and end-tags as above</w:t>
      </w:r>
    </w:p>
    <w:p w14:paraId="35F32B64" w14:textId="77777777">
      <w:pPr>
        <w:pStyle w:val="Cmsor2"/>
      </w:pPr>
      <w:bookmarkStart w:id="822" w:name="_1khg88862vrq" w:colFirst="0" w:colLast="0"/>
      <w:bookmarkStart w:id="823" w:name="_Ref43988104"/>
      <w:bookmarkStart w:id="824" w:name="_Toc242889597"/>
      <w:bookmarkEnd w:id="822"/>
      <w:r>
        <w:t>Freeform apparatus notes</w:t>
      </w:r>
      <w:bookmarkEnd w:id="823"/>
      <w:bookmarkEnd w:id="824"/>
    </w:p>
    <w:p w14:paraId="4CD460C9" w14:textId="77777777">
      <w:pPr>
        <w:pStyle w:val="Lista"/>
      </w:pPr>
      <w:r>
        <w:t xml:space="preserve">if you find the encoding within </w:t>
      </w:r>
      <w:r>
        <w:rPr>
          <w:rStyle w:val="Code"/>
        </w:rPr>
        <w:t>&lt;lem&gt;</w:t>
      </w:r>
      <w:r>
        <w:t xml:space="preserve"> and/or </w:t>
      </w:r>
      <w:r>
        <w:rPr>
          <w:rStyle w:val="Code"/>
        </w:rPr>
        <w:t>&lt;rdg&gt;</w:t>
      </w:r>
      <w:r>
        <w:t xml:space="preserve"> insufficient for recording certain details about your base reading or a cited alternative, add a </w:t>
      </w:r>
      <w:r>
        <w:rPr>
          <w:rStyle w:val="Code"/>
        </w:rPr>
        <w:t>&lt;note&gt;</w:t>
      </w:r>
      <w:r>
        <w:t xml:space="preserve"> element as the last child element of the relevant </w:t>
      </w:r>
      <w:r>
        <w:rPr>
          <w:rStyle w:val="Code"/>
        </w:rPr>
        <w:t>&lt;app&gt;</w:t>
      </w:r>
      <w:r>
        <w:t xml:space="preserve"> entry</w:t>
      </w:r>
    </w:p>
    <w:p w14:paraId="0A91E779" w14:textId="706ECA99">
      <w:pPr>
        <w:pStyle w:val="Lista2"/>
      </w:pPr>
      <w:r>
        <w:t>see §</w:t>
      </w:r>
      <w:r>
        <w:fldChar w:fldCharType="begin"/>
      </w:r>
      <w:r>
        <w:instrText xml:space="preserve"> REF _Ref43989684 \w \h  \* MERGEFORMAT </w:instrText>
      </w:r>
      <w:r>
        <w:fldChar w:fldCharType="separate"/>
      </w:r>
      <w:r>
        <w:t>14.5</w:t>
      </w:r>
      <w:r>
        <w:fldChar w:fldCharType="end"/>
      </w:r>
      <w:r>
        <w:t xml:space="preserve"> for general guidance on notes</w:t>
      </w:r>
    </w:p>
    <w:p w14:paraId="1A69C861" w14:textId="77777777">
      <w:pPr>
        <w:pStyle w:val="Lista"/>
      </w:pPr>
      <w:r>
        <w:t>editorial notes concerning a segment of text that cannot be conveniently identified by a line number and lemma should be placed in the commentary, not the apparatus</w:t>
      </w:r>
    </w:p>
    <w:p w14:paraId="6738E649" w14:textId="77777777">
      <w:pPr>
        <w:pStyle w:val="Lista"/>
      </w:pPr>
      <w:r>
        <w:t>if you feel the need to create more than one note to a single apparatus entry, you may do so, but</w:t>
      </w:r>
    </w:p>
    <w:p w14:paraId="0CE76F71" w14:textId="77777777">
      <w:pPr>
        <w:pStyle w:val="Lista2"/>
      </w:pPr>
      <w:r>
        <w:t>all notes must be at the end of the apparatus entry</w:t>
      </w:r>
    </w:p>
    <w:p w14:paraId="25AAEB43" w14:textId="77777777">
      <w:pPr>
        <w:pStyle w:val="Lista2"/>
      </w:pPr>
      <w:r>
        <w:t>a note cannot be nested within another note</w:t>
      </w:r>
    </w:p>
    <w:p w14:paraId="29103F6F" w14:textId="77777777">
      <w:pPr>
        <w:pStyle w:val="Cmsor1"/>
      </w:pPr>
      <w:bookmarkStart w:id="825" w:name="_1vsssow7ypzu" w:colFirst="0" w:colLast="0"/>
      <w:bookmarkStart w:id="826" w:name="_pn0gltowrfhw" w:colFirst="0" w:colLast="0"/>
      <w:bookmarkStart w:id="827" w:name="_95bkq7g4grjl" w:colFirst="0" w:colLast="0"/>
      <w:bookmarkStart w:id="828" w:name="_Ref43978780"/>
      <w:bookmarkStart w:id="829" w:name="_Toc242889598"/>
      <w:bookmarkEnd w:id="825"/>
      <w:bookmarkEnd w:id="826"/>
      <w:bookmarkEnd w:id="827"/>
      <w:r>
        <w:lastRenderedPageBreak/>
        <w:t>The translation</w:t>
      </w:r>
      <w:bookmarkEnd w:id="828"/>
      <w:bookmarkEnd w:id="829"/>
    </w:p>
    <w:p w14:paraId="6F5E53D9" w14:textId="0FFB5804">
      <w:bookmarkStart w:id="830" w:name="_pvxrutfvtymm" w:colFirst="0" w:colLast="0"/>
      <w:bookmarkEnd w:id="830"/>
      <w:r>
        <w:t>Whenever possible, a translation should be included in your XML document along with your edition. Ideally, texts (re-)edited for DHARMA should be accompanied by a fresh translation; however, previously published translations may be optionally encoded in your file as per §</w:t>
      </w:r>
      <w:r>
        <w:fldChar w:fldCharType="begin"/>
      </w:r>
      <w:r>
        <w:instrText xml:space="preserve"> REF _Ref43990725 \r \h </w:instrText>
      </w:r>
      <w:r>
        <w:fldChar w:fldCharType="separate"/>
      </w:r>
      <w:r>
        <w:t>11.5</w:t>
      </w:r>
      <w:r>
        <w:fldChar w:fldCharType="end"/>
      </w:r>
      <w:r>
        <w:t>. Previous translations may be included in addition to a new translation, when such a translation is of particular interest for some reason (e.g. because of its relevance to the history of the scholarly understanding of the text), or used instead of a new translation, when your edition is not a substantive revision of an earlier edition accompanied by a satisfactory published translation.</w:t>
      </w:r>
    </w:p>
    <w:p w14:paraId="10C39376" w14:textId="77777777">
      <w:pPr>
        <w:pStyle w:val="Normlbehzs"/>
      </w:pPr>
      <w:r>
        <w:t>A new translation created for DHARMA should be a convenient representation of the intent of the original. Translate as literally as seems useful, but as freely as seems appropriate. Your translation must reflect the text as you have edited it, including restorations and emendations. Feel free to ignore the original’s superficial irregularities/oddities of punctuation and spelling and in particular, normalise the spelling of original personal names, toponyms and terms.</w:t>
      </w:r>
    </w:p>
    <w:p w14:paraId="39FCD170" w14:textId="77777777">
      <w:pPr>
        <w:pStyle w:val="Cmsor2"/>
      </w:pPr>
      <w:bookmarkStart w:id="831" w:name="_Ref233722818"/>
      <w:bookmarkStart w:id="832" w:name="_Toc242889599"/>
      <w:r>
        <w:t>Encoding the translation</w:t>
      </w:r>
      <w:bookmarkEnd w:id="831"/>
      <w:bookmarkEnd w:id="832"/>
    </w:p>
    <w:p w14:paraId="32FB78AD" w14:textId="77777777">
      <w:pPr>
        <w:pStyle w:val="Lista"/>
      </w:pPr>
      <w:r>
        <w:t xml:space="preserve">the translation must be wrapped in </w:t>
      </w:r>
      <w:r>
        <w:rPr>
          <w:rStyle w:val="Code"/>
        </w:rPr>
        <w:t xml:space="preserve">&lt;div </w:t>
      </w:r>
      <w:r>
        <w:rPr>
          <w:rStyle w:val="Codeattribute"/>
        </w:rPr>
        <w:t>type</w:t>
      </w:r>
      <w:r>
        <w:rPr>
          <w:rStyle w:val="Code"/>
        </w:rPr>
        <w:t>=</w:t>
      </w:r>
      <w:r>
        <w:rPr>
          <w:rStyle w:val="Codevalue"/>
        </w:rPr>
        <w:t>"translation"</w:t>
      </w:r>
      <w:r>
        <w:rPr>
          <w:rStyle w:val="Code"/>
        </w:rPr>
        <w:t>&gt;</w:t>
      </w:r>
      <w:r>
        <w:t>, with the following attributes</w:t>
      </w:r>
    </w:p>
    <w:p w14:paraId="74514728" w14:textId="2FE1AA80">
      <w:pPr>
        <w:pStyle w:val="Lista2"/>
      </w:pPr>
      <w:r>
        <w:t xml:space="preserve">as applicable, </w:t>
      </w:r>
      <w:r>
        <w:rPr>
          <w:rStyle w:val="Codeattribute"/>
        </w:rPr>
        <w:t>@xml:lang</w:t>
      </w:r>
      <w:r>
        <w:t xml:space="preserve"> (as per §</w:t>
      </w:r>
      <w:r>
        <w:fldChar w:fldCharType="begin"/>
      </w:r>
      <w:r>
        <w:instrText xml:space="preserve"> REF _Ref233727317 \r \h </w:instrText>
      </w:r>
      <w:r>
        <w:fldChar w:fldCharType="separate"/>
      </w:r>
      <w:r>
        <w:t>14.4.1</w:t>
      </w:r>
      <w:r>
        <w:fldChar w:fldCharType="end"/>
      </w:r>
      <w:r>
        <w:t>) to encode the target language of translations into a language other than English</w:t>
      </w:r>
    </w:p>
    <w:p w14:paraId="6D23C037" w14:textId="77777777">
      <w:pPr>
        <w:pStyle w:val="Lista3"/>
      </w:pPr>
      <w:r>
        <w:t xml:space="preserve">translations into English do not need and should not carry this attribute, since they by default inherit the English language from the </w:t>
      </w:r>
      <w:r>
        <w:rPr>
          <w:rStyle w:val="Codevalue"/>
        </w:rPr>
        <w:t>&lt;TEI&gt;</w:t>
      </w:r>
      <w:r>
        <w:t xml:space="preserve"> root element</w:t>
      </w:r>
    </w:p>
    <w:p w14:paraId="0F91F365" w14:textId="3E0DAF41">
      <w:pPr>
        <w:pStyle w:val="Lista2"/>
      </w:pPr>
      <w:r>
        <w:t xml:space="preserve">mandatorily, either </w:t>
      </w:r>
      <w:r>
        <w:rPr>
          <w:rStyle w:val="Codeattribute"/>
        </w:rPr>
        <w:t>@source</w:t>
      </w:r>
      <w:r>
        <w:t xml:space="preserve"> </w:t>
      </w:r>
      <w:r>
        <w:rPr>
          <w:noProof/>
        </w:rPr>
        <w:t xml:space="preserve">or </w:t>
      </w:r>
      <w:r>
        <w:rPr>
          <w:rStyle w:val="Codeattribute"/>
        </w:rPr>
        <w:t>@resp</w:t>
      </w:r>
      <w:r>
        <w:t xml:space="preserve"> to encode the author of the translation as per §</w:t>
      </w:r>
      <w:r>
        <w:fldChar w:fldCharType="begin"/>
      </w:r>
      <w:r>
        <w:instrText xml:space="preserve"> REF _Ref233276652 \r \h </w:instrText>
      </w:r>
      <w:r>
        <w:fldChar w:fldCharType="separate"/>
      </w:r>
      <w:r>
        <w:t>11.1.2</w:t>
      </w:r>
      <w:r>
        <w:fldChar w:fldCharType="end"/>
      </w:r>
    </w:p>
    <w:p w14:paraId="6D333571" w14:textId="4CF62BA3">
      <w:pPr>
        <w:pStyle w:val="Lista"/>
      </w:pPr>
      <w:r>
        <w:t>this division follows the edition division and the apparatus division and is already present in our template for editions</w:t>
      </w:r>
    </w:p>
    <w:p w14:paraId="60962264" w14:textId="4F3527C1">
      <w:pPr>
        <w:pStyle w:val="Lista2"/>
      </w:pPr>
      <w:r>
        <w:t>if your edition division includes boxlike partitions (§</w:t>
      </w:r>
      <w:r>
        <w:fldChar w:fldCharType="begin"/>
      </w:r>
      <w:r>
        <w:instrText xml:space="preserve"> REF _Ref225778181 \r \h </w:instrText>
      </w:r>
      <w:r>
        <w:fldChar w:fldCharType="separate"/>
      </w:r>
      <w:r>
        <w:t>4.2</w:t>
      </w:r>
      <w:r>
        <w:fldChar w:fldCharType="end"/>
      </w:r>
      <w:r>
        <w:t xml:space="preserve">), then all corresponding textpart divisions must be replicated within the </w:t>
      </w:r>
      <w:r>
        <w:rPr>
          <w:rStyle w:val="Code"/>
        </w:rPr>
        <w:t xml:space="preserve">&lt;div </w:t>
      </w:r>
      <w:r>
        <w:rPr>
          <w:rStyle w:val="Codeattribute"/>
        </w:rPr>
        <w:t>type</w:t>
      </w:r>
      <w:r>
        <w:rPr>
          <w:rStyle w:val="Code"/>
        </w:rPr>
        <w:t>=</w:t>
      </w:r>
      <w:r>
        <w:rPr>
          <w:rStyle w:val="Codevalue"/>
        </w:rPr>
        <w:t>"translation"</w:t>
      </w:r>
      <w:r>
        <w:rPr>
          <w:rStyle w:val="Code"/>
        </w:rPr>
        <w:t>&gt;</w:t>
      </w:r>
      <w:r>
        <w:t xml:space="preserve"> as described in §</w:t>
      </w:r>
      <w:r>
        <w:fldChar w:fldCharType="begin"/>
      </w:r>
      <w:r>
        <w:instrText xml:space="preserve"> REF _Ref233277694 \r \h </w:instrText>
      </w:r>
      <w:r>
        <w:fldChar w:fldCharType="separate"/>
      </w:r>
      <w:r>
        <w:t>11.1.1</w:t>
      </w:r>
      <w:r>
        <w:fldChar w:fldCharType="end"/>
      </w:r>
    </w:p>
    <w:p w14:paraId="7AB2375B" w14:textId="35E2FE23">
      <w:pPr>
        <w:pStyle w:val="Lista2"/>
      </w:pPr>
      <w:r>
        <w:t>unlike the other content divisions in our files, the translation division may be iterated several times (one after the other) to accommodate multiple translations as per §</w:t>
      </w:r>
      <w:r>
        <w:fldChar w:fldCharType="begin"/>
      </w:r>
      <w:r>
        <w:instrText xml:space="preserve"> REF _Ref233297230 \r \h </w:instrText>
      </w:r>
      <w:r>
        <w:fldChar w:fldCharType="separate"/>
      </w:r>
      <w:r>
        <w:t>11.1.3</w:t>
      </w:r>
      <w:r>
        <w:fldChar w:fldCharType="end"/>
      </w:r>
    </w:p>
    <w:p w14:paraId="2202A6E1" w14:textId="77777777">
      <w:pPr>
        <w:pStyle w:val="Lista"/>
      </w:pPr>
      <w:r>
        <w:t xml:space="preserve">the translation division (or its textpart divisions when applicable) normally contains one or more </w:t>
      </w:r>
      <w:r>
        <w:rPr>
          <w:rStyle w:val="Code"/>
        </w:rPr>
        <w:t>&lt;p&gt;</w:t>
      </w:r>
      <w:r>
        <w:t xml:space="preserve"> elements, which in turn contain the text of the translation</w:t>
      </w:r>
    </w:p>
    <w:p w14:paraId="5AC8D34A" w14:textId="68E77A12">
      <w:pPr>
        <w:pStyle w:val="Lista2"/>
      </w:pPr>
      <w:r>
        <w:t>see §</w:t>
      </w:r>
      <w:r>
        <w:fldChar w:fldCharType="begin"/>
      </w:r>
      <w:r>
        <w:instrText xml:space="preserve"> REF _Ref233278822 \r \h </w:instrText>
      </w:r>
      <w:r>
        <w:fldChar w:fldCharType="separate"/>
      </w:r>
      <w:r>
        <w:t>11.1.3</w:t>
      </w:r>
      <w:r>
        <w:fldChar w:fldCharType="end"/>
      </w:r>
      <w:r>
        <w:t xml:space="preserve"> for further instructions on structuring the content</w:t>
      </w:r>
    </w:p>
    <w:p w14:paraId="655E97A5" w14:textId="77777777">
      <w:pPr>
        <w:pStyle w:val="Cmsor3"/>
      </w:pPr>
      <w:bookmarkStart w:id="833" w:name="_Ref233277694"/>
      <w:bookmarkStart w:id="834" w:name="_Toc242889600"/>
      <w:r>
        <w:t>Textpart divisions in the translation</w:t>
      </w:r>
      <w:bookmarkEnd w:id="833"/>
      <w:bookmarkEnd w:id="834"/>
    </w:p>
    <w:p w14:paraId="78EC8601" w14:textId="0C114A99">
      <w:pPr>
        <w:pStyle w:val="Lista"/>
      </w:pPr>
      <w:r>
        <w:t xml:space="preserve">if your edition includes boxlike partitions </w:t>
      </w:r>
      <w:r>
        <w:rPr>
          <w:noProof/>
        </w:rPr>
        <w:t>(</w:t>
      </w:r>
      <w:r>
        <w:t>§</w:t>
      </w:r>
      <w:r>
        <w:fldChar w:fldCharType="begin"/>
      </w:r>
      <w:r>
        <w:instrText xml:space="preserve"> REF _Ref225778181 \r \h </w:instrText>
      </w:r>
      <w:r>
        <w:fldChar w:fldCharType="separate"/>
      </w:r>
      <w:r>
        <w:t>4.2</w:t>
      </w:r>
      <w:r>
        <w:fldChar w:fldCharType="end"/>
      </w:r>
      <w:r>
        <w:t>), then all corresponding textpart divisions must be replicated within the translation</w:t>
      </w:r>
    </w:p>
    <w:p w14:paraId="24DDD83D" w14:textId="77777777">
      <w:pPr>
        <w:pStyle w:val="Lista"/>
      </w:pPr>
      <w:r>
        <w:t xml:space="preserve">inside </w:t>
      </w:r>
      <w:r>
        <w:rPr>
          <w:rStyle w:val="Code"/>
        </w:rPr>
        <w:t xml:space="preserve">&lt;div </w:t>
      </w:r>
      <w:r>
        <w:rPr>
          <w:rStyle w:val="Codeattribute"/>
        </w:rPr>
        <w:t>type</w:t>
      </w:r>
      <w:r>
        <w:rPr>
          <w:rStyle w:val="Code"/>
        </w:rPr>
        <w:t>=</w:t>
      </w:r>
      <w:r>
        <w:rPr>
          <w:rStyle w:val="Codevalue"/>
        </w:rPr>
        <w:t>"translation"</w:t>
      </w:r>
      <w:r>
        <w:rPr>
          <w:rStyle w:val="Code"/>
        </w:rPr>
        <w:t>&gt;</w:t>
      </w:r>
      <w:r>
        <w:t xml:space="preserve">, create as many </w:t>
      </w:r>
      <w:r>
        <w:rPr>
          <w:rStyle w:val="Code"/>
        </w:rPr>
        <w:t xml:space="preserve">&lt;div </w:t>
      </w:r>
      <w:r>
        <w:rPr>
          <w:rStyle w:val="Codeattribute"/>
        </w:rPr>
        <w:t>type</w:t>
      </w:r>
      <w:r>
        <w:rPr>
          <w:rStyle w:val="Code"/>
        </w:rPr>
        <w:t>=</w:t>
      </w:r>
      <w:r>
        <w:rPr>
          <w:rStyle w:val="Codevalue"/>
        </w:rPr>
        <w:t>"textpart"</w:t>
      </w:r>
      <w:r>
        <w:rPr>
          <w:rStyle w:val="Code"/>
        </w:rPr>
        <w:t>&gt;</w:t>
      </w:r>
      <w:r>
        <w:t xml:space="preserve"> elements as there are in the </w:t>
      </w:r>
      <w:r>
        <w:rPr>
          <w:rStyle w:val="Code"/>
        </w:rPr>
        <w:t xml:space="preserve">&lt;div </w:t>
      </w:r>
      <w:r>
        <w:rPr>
          <w:rStyle w:val="Codeattribute"/>
        </w:rPr>
        <w:t>type</w:t>
      </w:r>
      <w:r>
        <w:rPr>
          <w:rStyle w:val="Code"/>
        </w:rPr>
        <w:t>=</w:t>
      </w:r>
      <w:r>
        <w:rPr>
          <w:rStyle w:val="Codevalue"/>
        </w:rPr>
        <w:t>"edition"</w:t>
      </w:r>
      <w:r>
        <w:rPr>
          <w:rStyle w:val="Code"/>
        </w:rPr>
        <w:t>&gt;</w:t>
      </w:r>
    </w:p>
    <w:p w14:paraId="6DBD6A02" w14:textId="77777777">
      <w:pPr>
        <w:pStyle w:val="Lista2"/>
      </w:pPr>
      <w:r>
        <w:t xml:space="preserve">in the start-tag of these replicated divisions, include the same attributes </w:t>
      </w:r>
      <w:r>
        <w:rPr>
          <w:noProof/>
        </w:rPr>
        <w:t>(</w:t>
      </w:r>
      <w:r>
        <w:rPr>
          <w:rStyle w:val="Codeattribute"/>
        </w:rPr>
        <w:t>@subtype</w:t>
      </w:r>
      <w:r>
        <w:t xml:space="preserve"> and </w:t>
      </w:r>
      <w:r>
        <w:rPr>
          <w:rStyle w:val="Codeattribute"/>
        </w:rPr>
        <w:t>@n</w:t>
      </w:r>
      <w:r>
        <w:t xml:space="preserve"> as applicable) with the same value that they have in the edition division</w:t>
      </w:r>
    </w:p>
    <w:p w14:paraId="1698C45E" w14:textId="77777777">
      <w:pPr>
        <w:pStyle w:val="Lista2"/>
      </w:pPr>
      <w:r>
        <w:t xml:space="preserve">if your edition’s textpart divisions have </w:t>
      </w:r>
      <w:r>
        <w:rPr>
          <w:rStyle w:val="Code"/>
        </w:rPr>
        <w:t>&lt;head&gt;</w:t>
      </w:r>
      <w:r>
        <w:t xml:space="preserve"> elements, likewise replicate these in the translation, immediately after the start-tag of each textpart division</w:t>
      </w:r>
    </w:p>
    <w:p w14:paraId="7DB20484" w14:textId="77777777">
      <w:pPr>
        <w:pStyle w:val="Lista3"/>
      </w:pPr>
      <w:r>
        <w:t xml:space="preserve">the </w:t>
      </w:r>
      <w:r>
        <w:rPr>
          <w:rStyle w:val="Codeattribute"/>
        </w:rPr>
        <w:t>@xml:lang</w:t>
      </w:r>
      <w:r>
        <w:t xml:space="preserve"> attribute of the </w:t>
      </w:r>
      <w:r>
        <w:rPr>
          <w:rStyle w:val="Code"/>
        </w:rPr>
        <w:t>&lt;head&gt;</w:t>
      </w:r>
      <w:r>
        <w:t xml:space="preserve"> element is not necessary within a translation into English (because division’s children inherit the English language from the translation division), but copy-pasting the head and retaining the attribute does no harm</w:t>
      </w:r>
    </w:p>
    <w:p w14:paraId="316428E6" w14:textId="77777777">
      <w:pPr>
        <w:pStyle w:val="Lista3"/>
      </w:pPr>
      <w:r>
        <w:t xml:space="preserve">for translations into another language, either add </w:t>
      </w:r>
      <w:r>
        <w:rPr>
          <w:rStyle w:val="Codeattribute"/>
        </w:rPr>
        <w:t>@xml:lang</w:t>
      </w:r>
      <w:r>
        <w:rPr>
          <w:rStyle w:val="Code"/>
        </w:rPr>
        <w:t>=</w:t>
      </w:r>
      <w:r>
        <w:rPr>
          <w:rStyle w:val="Codevalue"/>
        </w:rPr>
        <w:t>"eng"</w:t>
      </w:r>
      <w:r>
        <w:t xml:space="preserve"> to the </w:t>
      </w:r>
      <w:r>
        <w:rPr>
          <w:rStyle w:val="Code"/>
        </w:rPr>
        <w:t>&lt;head&gt;</w:t>
      </w:r>
      <w:r>
        <w:t xml:space="preserve"> elements or translate their contents to the target language</w:t>
      </w:r>
    </w:p>
    <w:p w14:paraId="6A81DD96" w14:textId="77777777">
      <w:pPr>
        <w:pStyle w:val="Lista"/>
      </w:pPr>
      <w:r>
        <w:t xml:space="preserve">if one or more textparts of the source are not translated, then the textpart division </w:t>
      </w:r>
      <w:r>
        <w:rPr>
          <w:noProof/>
        </w:rPr>
        <w:t>(</w:t>
      </w:r>
      <w:r>
        <w:t xml:space="preserve">with attributes) must still be created for these in the translation division, but such textparts shall not contain anything </w:t>
      </w:r>
      <w:r>
        <w:rPr>
          <w:noProof/>
        </w:rPr>
        <w:t>(</w:t>
      </w:r>
      <w:r>
        <w:t xml:space="preserve">except, if applicable, </w:t>
      </w:r>
      <w:r>
        <w:rPr>
          <w:rStyle w:val="Code"/>
        </w:rPr>
        <w:t>&lt;head&gt;</w:t>
      </w:r>
      <w:r>
        <w:t xml:space="preserve">) </w:t>
      </w:r>
    </w:p>
    <w:p w14:paraId="131EC220" w14:textId="77777777">
      <w:pPr>
        <w:pStyle w:val="Cmsor3"/>
      </w:pPr>
      <w:bookmarkStart w:id="835" w:name="_Ref233276652"/>
      <w:bookmarkStart w:id="836" w:name="_Toc242889601"/>
      <w:r>
        <w:lastRenderedPageBreak/>
        <w:t>Crediting the author of the translation</w:t>
      </w:r>
      <w:bookmarkEnd w:id="835"/>
      <w:bookmarkEnd w:id="836"/>
    </w:p>
    <w:p w14:paraId="1E09F80E" w14:textId="77777777">
      <w:pPr>
        <w:pStyle w:val="Lista"/>
        <w:rPr>
          <w:lang w:eastAsia="en-US" w:bidi="ar-SA"/>
        </w:rPr>
      </w:pPr>
      <w:r>
        <w:rPr>
          <w:lang w:eastAsia="en-US" w:bidi="ar-SA"/>
        </w:rPr>
        <w:t>the author of the translation must be indicated in the encoding using one of the following methods</w:t>
      </w:r>
    </w:p>
    <w:p w14:paraId="7F7DEDED" w14:textId="335DF0A8">
      <w:pPr>
        <w:pStyle w:val="Lista2"/>
      </w:pPr>
      <w:r>
        <w:rPr>
          <w:rStyle w:val="Codeattribute"/>
        </w:rPr>
        <w:t>@resp</w:t>
      </w:r>
      <w:r>
        <w:t xml:space="preserve"> </w:t>
      </w:r>
      <w:r>
        <w:rPr>
          <w:noProof/>
        </w:rPr>
        <w:t>(</w:t>
      </w:r>
      <w:r>
        <w:t>§</w:t>
      </w:r>
      <w:r>
        <w:fldChar w:fldCharType="begin"/>
      </w:r>
      <w:r>
        <w:instrText xml:space="preserve"> REF _Ref43989765 \w \h  \* MERGEFORMAT </w:instrText>
      </w:r>
      <w:r>
        <w:fldChar w:fldCharType="separate"/>
      </w:r>
      <w:r>
        <w:t>14.6.5</w:t>
      </w:r>
      <w:r>
        <w:fldChar w:fldCharType="end"/>
      </w:r>
      <w:r>
        <w:t>) on the translation division, if the translation was at least in part made by you and/or another project member</w:t>
      </w:r>
    </w:p>
    <w:p w14:paraId="1D1D89D2" w14:textId="70440E10">
      <w:pPr>
        <w:pStyle w:val="Lista2"/>
      </w:pPr>
      <w:r>
        <w:rPr>
          <w:rStyle w:val="Codeattribute"/>
        </w:rPr>
        <w:t>@source</w:t>
      </w:r>
      <w:r>
        <w:t xml:space="preserve"> </w:t>
      </w:r>
      <w:r>
        <w:rPr>
          <w:noProof/>
        </w:rPr>
        <w:t>(</w:t>
      </w:r>
      <w:r>
        <w:t>§</w:t>
      </w:r>
      <w:r>
        <w:fldChar w:fldCharType="begin"/>
      </w:r>
      <w:r>
        <w:instrText xml:space="preserve"> REF _Ref43989551 \w \h  \* MERGEFORMAT </w:instrText>
      </w:r>
      <w:r>
        <w:fldChar w:fldCharType="separate"/>
      </w:r>
      <w:r>
        <w:t>14.6.2</w:t>
      </w:r>
      <w:r>
        <w:fldChar w:fldCharType="end"/>
      </w:r>
      <w:r>
        <w:t>) on the translation division, if a published translation is adopted verbatim as per §</w:t>
      </w:r>
      <w:r>
        <w:fldChar w:fldCharType="begin"/>
      </w:r>
      <w:r>
        <w:instrText xml:space="preserve"> REF _Ref43990725 \r \h </w:instrText>
      </w:r>
      <w:r>
        <w:fldChar w:fldCharType="separate"/>
      </w:r>
      <w:r>
        <w:t>11.5</w:t>
      </w:r>
      <w:r>
        <w:fldChar w:fldCharType="end"/>
      </w:r>
    </w:p>
    <w:p w14:paraId="3BF40215" w14:textId="53C8799B">
      <w:pPr>
        <w:pStyle w:val="Cmsor4"/>
      </w:pPr>
      <w:bookmarkStart w:id="837" w:name="_Ref242888161"/>
      <w:r>
        <w:t>Credit notes</w:t>
      </w:r>
      <w:bookmarkEnd w:id="837"/>
    </w:p>
    <w:p w14:paraId="113D0659" w14:textId="51BB2225">
      <w:r>
        <w:t xml:space="preserve">When you feel that credit for a translation cannot be allocated correctly or fairly by using </w:t>
      </w:r>
      <w:r>
        <w:rPr>
          <w:rStyle w:val="Codeattribute"/>
        </w:rPr>
        <w:t>@source</w:t>
      </w:r>
      <w:r>
        <w:t xml:space="preserve"> and </w:t>
      </w:r>
      <w:r>
        <w:rPr>
          <w:rStyle w:val="Codeattribute"/>
        </w:rPr>
        <w:t>@resp</w:t>
      </w:r>
      <w:r>
        <w:t xml:space="preserve"> as above, you may clarify the situation by adding a credit note at the beginning of a translation.</w:t>
      </w:r>
    </w:p>
    <w:p w14:paraId="6D293BA0" w14:textId="77777777">
      <w:pPr>
        <w:pStyle w:val="Lista"/>
      </w:pPr>
      <w:r>
        <w:t xml:space="preserve">create the element </w:t>
      </w:r>
      <w:r>
        <w:rPr>
          <w:rStyle w:val="Code"/>
        </w:rPr>
        <w:t xml:space="preserve">&lt;note </w:t>
      </w:r>
      <w:r>
        <w:rPr>
          <w:rStyle w:val="Codeattribute"/>
        </w:rPr>
        <w:t>type</w:t>
      </w:r>
      <w:r>
        <w:rPr>
          <w:rStyle w:val="Codetext"/>
        </w:rPr>
        <w:t>=</w:t>
      </w:r>
      <w:r>
        <w:rPr>
          <w:rStyle w:val="Codevalue"/>
        </w:rPr>
        <w:t>"credit"</w:t>
      </w:r>
      <w:r>
        <w:rPr>
          <w:rStyle w:val="Code"/>
        </w:rPr>
        <w:t>&gt;</w:t>
      </w:r>
      <w:r>
        <w:t xml:space="preserve"> as the first item within </w:t>
      </w:r>
      <w:r>
        <w:rPr>
          <w:rStyle w:val="Code"/>
        </w:rPr>
        <w:t xml:space="preserve">&lt;div </w:t>
      </w:r>
      <w:r>
        <w:rPr>
          <w:rStyle w:val="Codeattribute"/>
        </w:rPr>
        <w:t>type</w:t>
      </w:r>
      <w:r>
        <w:rPr>
          <w:rStyle w:val="Codetext"/>
        </w:rPr>
        <w:t>=</w:t>
      </w:r>
      <w:r>
        <w:rPr>
          <w:rStyle w:val="Codevalue"/>
        </w:rPr>
        <w:t>"translation"</w:t>
      </w:r>
      <w:r>
        <w:rPr>
          <w:rStyle w:val="Code"/>
        </w:rPr>
        <w:t>&gt;</w:t>
      </w:r>
      <w:r>
        <w:t>, before any textpart divisions, if such are present</w:t>
      </w:r>
    </w:p>
    <w:p w14:paraId="61E16B46" w14:textId="0E54F9CA">
      <w:pPr>
        <w:pStyle w:val="Lista2"/>
      </w:pPr>
      <w:r>
        <w:t xml:space="preserve">or as the second item, immediately after the custom </w:t>
      </w:r>
      <w:r>
        <w:rPr>
          <w:rStyle w:val="Code"/>
        </w:rPr>
        <w:t>&lt;head&gt;</w:t>
      </w:r>
      <w:r>
        <w:t xml:space="preserve"> if one is used as per §</w:t>
      </w:r>
      <w:r>
        <w:fldChar w:fldCharType="begin"/>
      </w:r>
      <w:r>
        <w:instrText xml:space="preserve"> REF _Ref43989787 \r \h </w:instrText>
      </w:r>
      <w:r>
        <w:fldChar w:fldCharType="separate"/>
      </w:r>
      <w:r>
        <w:t>11.2.3</w:t>
      </w:r>
      <w:r>
        <w:fldChar w:fldCharType="end"/>
      </w:r>
      <w:r>
        <w:t xml:space="preserve"> </w:t>
      </w:r>
    </w:p>
    <w:p w14:paraId="1FDD49E7" w14:textId="77777777">
      <w:pPr>
        <w:pStyle w:val="Lista"/>
      </w:pPr>
      <w:r>
        <w:t xml:space="preserve">this </w:t>
      </w:r>
      <w:r>
        <w:rPr>
          <w:rStyle w:val="Codeattribute"/>
        </w:rPr>
        <w:t>@type</w:t>
      </w:r>
      <w:r>
        <w:t xml:space="preserve"> of </w:t>
      </w:r>
      <w:r>
        <w:rPr>
          <w:rStyle w:val="Code"/>
        </w:rPr>
        <w:t>&lt;note&gt;</w:t>
      </w:r>
      <w:r>
        <w:t xml:space="preserve"> will only be used in the translation division, for this particular purpose</w:t>
      </w:r>
    </w:p>
    <w:p w14:paraId="0768E4DC" w14:textId="77777777">
      <w:pPr>
        <w:pStyle w:val="Lista"/>
      </w:pPr>
      <w:r>
        <w:t>the contents of a credit note shall be free text consisting of one or more complete sentences (with a capital initial and final punctuation), clarifying the authorship of the translation in situations such as</w:t>
      </w:r>
    </w:p>
    <w:p w14:paraId="5E207967" w14:textId="77777777">
      <w:pPr>
        <w:pStyle w:val="Lista2"/>
      </w:pPr>
      <w:r>
        <w:t>collaborative translation involving people outside DHARMA</w:t>
      </w:r>
    </w:p>
    <w:p w14:paraId="1EDE4813" w14:textId="77777777">
      <w:pPr>
        <w:pStyle w:val="Lista2"/>
      </w:pPr>
      <w:r>
        <w:t>the partial revision of a previously published translation by you or other DHARMA members</w:t>
      </w:r>
    </w:p>
    <w:p w14:paraId="507FCAB5" w14:textId="1FFDCD63">
      <w:pPr>
        <w:pStyle w:val="Lista3"/>
      </w:pPr>
      <w:r>
        <w:t>the revised previous translation should in this case be properly cited (§</w:t>
      </w:r>
      <w:r>
        <w:fldChar w:fldCharType="begin"/>
      </w:r>
      <w:r>
        <w:instrText xml:space="preserve"> REF _Ref233877601 \r \h </w:instrText>
      </w:r>
      <w:r>
        <w:fldChar w:fldCharType="separate"/>
      </w:r>
      <w:r>
        <w:t>14.6.1</w:t>
      </w:r>
      <w:r>
        <w:fldChar w:fldCharType="end"/>
      </w:r>
      <w:r>
        <w:t>) in the credit note</w:t>
      </w:r>
    </w:p>
    <w:p w14:paraId="5190585F" w14:textId="77777777">
      <w:pPr>
        <w:pStyle w:val="Lista3"/>
      </w:pPr>
      <w:r>
        <w:t>note that if you create a new translation that does not differ in any essential contents from an earlier translation, this is still to be considered as your own new translation (and not a revision of the previous one), unless the majority of your translation is in fact verbatim identical to the previous translation</w:t>
      </w:r>
    </w:p>
    <w:p w14:paraId="299B0D74" w14:textId="77777777">
      <w:pPr>
        <w:pStyle w:val="Lista2"/>
      </w:pPr>
      <w:r>
        <w:t>the use of an unpublished translation by a person outside DHARMA</w:t>
      </w:r>
    </w:p>
    <w:p w14:paraId="251B6D59" w14:textId="3318F2F7">
      <w:pPr>
        <w:pStyle w:val="Lista"/>
      </w:pPr>
      <w:r>
        <w:t xml:space="preserve">when a credit note is present, the translation division shall normally be credited to you, the editor, using </w:t>
      </w:r>
      <w:r>
        <w:rPr>
          <w:rStyle w:val="Codeattribute"/>
        </w:rPr>
        <w:t>@resp</w:t>
      </w:r>
      <w:r>
        <w:t xml:space="preserve">, but depending on the situation, you may instead choose to use </w:t>
      </w:r>
      <w:r>
        <w:rPr>
          <w:rStyle w:val="Codeattribute"/>
        </w:rPr>
        <w:t>@source</w:t>
      </w:r>
      <w:r>
        <w:t xml:space="preserve"> on the translation division, or to use neither of these attributes</w:t>
      </w:r>
    </w:p>
    <w:p w14:paraId="3C5FE5EB" w14:textId="77777777">
      <w:pPr>
        <w:pStyle w:val="Cmsor3"/>
      </w:pPr>
      <w:bookmarkStart w:id="838" w:name="_l9hrq46lm8f5" w:colFirst="0" w:colLast="0"/>
      <w:bookmarkStart w:id="839" w:name="_jki9tbn1nzqo" w:colFirst="0" w:colLast="0"/>
      <w:bookmarkStart w:id="840" w:name="_ikyv2ushnpo2" w:colFirst="0" w:colLast="0"/>
      <w:bookmarkStart w:id="841" w:name="_8oa8esure61" w:colFirst="0" w:colLast="0"/>
      <w:bookmarkStart w:id="842" w:name="_Ref233297230"/>
      <w:bookmarkStart w:id="843" w:name="_Ref233278822"/>
      <w:bookmarkStart w:id="844" w:name="_Toc242889602"/>
      <w:bookmarkEnd w:id="838"/>
      <w:bookmarkEnd w:id="839"/>
      <w:bookmarkEnd w:id="840"/>
      <w:bookmarkEnd w:id="841"/>
      <w:r>
        <w:t>Attaching multiple translations</w:t>
      </w:r>
      <w:bookmarkEnd w:id="842"/>
      <w:bookmarkEnd w:id="844"/>
    </w:p>
    <w:p w14:paraId="46044CDA" w14:textId="41B3C79F">
      <w:pPr>
        <w:pStyle w:val="Lista"/>
      </w:pPr>
      <w:r>
        <w:t xml:space="preserve">if you wish to include more than one translation (e.g. by different persons or to different languages), simply iterate </w:t>
      </w:r>
      <w:r>
        <w:rPr>
          <w:rStyle w:val="Code"/>
        </w:rPr>
        <w:t xml:space="preserve">&lt;div </w:t>
      </w:r>
      <w:r>
        <w:rPr>
          <w:rStyle w:val="Codeattribute"/>
        </w:rPr>
        <w:t>type</w:t>
      </w:r>
      <w:r>
        <w:rPr>
          <w:rStyle w:val="Code"/>
        </w:rPr>
        <w:t>=</w:t>
      </w:r>
      <w:r>
        <w:rPr>
          <w:rStyle w:val="Codevalue"/>
        </w:rPr>
        <w:t>"translation"</w:t>
      </w:r>
      <w:r>
        <w:rPr>
          <w:rStyle w:val="Code"/>
        </w:rPr>
        <w:t>&gt;</w:t>
      </w:r>
      <w:r>
        <w:t xml:space="preserve"> for each of them as in </w:t>
      </w:r>
      <w:r>
        <w:fldChar w:fldCharType="begin"/>
      </w:r>
      <w:r>
        <w:instrText xml:space="preserve"> REF _Ref233297421 \h </w:instrText>
      </w:r>
      <w:r>
        <w:fldChar w:fldCharType="separate"/>
      </w:r>
      <w:r>
        <w:t xml:space="preserve">Exhibit </w:t>
      </w:r>
      <w:r>
        <w:rPr>
          <w:noProof/>
        </w:rPr>
        <w:t>11.1</w:t>
      </w:r>
      <w:r>
        <w:t>.</w:t>
      </w:r>
      <w:r>
        <w:rPr>
          <w:noProof/>
        </w:rPr>
        <w:t>A</w:t>
      </w:r>
      <w:r>
        <w:fldChar w:fldCharType="end"/>
      </w:r>
    </w:p>
    <w:p w14:paraId="2E0510ED" w14:textId="77777777">
      <w:pPr>
        <w:pStyle w:val="Lista"/>
      </w:pPr>
      <w:r>
        <w:t>there is no requirement to include multiple translations just because they are available</w:t>
      </w:r>
    </w:p>
    <w:p w14:paraId="136723C0" w14:textId="77777777">
      <w:pPr>
        <w:pStyle w:val="Lista"/>
      </w:pPr>
      <w:r>
        <w:t>when you include more than one translation in your XML document, these should be presented in an order of decreasing usefulness, prioritising those which are more recent, more accurate, and in more widely spoken languages</w:t>
      </w:r>
    </w:p>
    <w:p w14:paraId="76D33372" w14:textId="77777777"/>
    <w:tbl>
      <w:tblPr>
        <w:tblStyle w:val="CodeSampleTable"/>
        <w:tblW w:w="5000" w:type="pct"/>
        <w:tblLook w:val="04A0" w:firstRow="1" w:lastRow="0" w:firstColumn="1" w:lastColumn="0" w:noHBand="0" w:noVBand="1"/>
      </w:tblPr>
      <w:tblGrid>
        <w:gridCol w:w="9628"/>
      </w:tblGrid>
      <w:tr w14:paraId="2F5A05C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F698D2F" w14:textId="7C569D7F">
            <w:pPr>
              <w:pStyle w:val="Kpalrs"/>
            </w:pPr>
            <w:bookmarkStart w:id="845" w:name="_Ref233297421"/>
            <w:r>
              <w:t xml:space="preserve">Exhibit </w:t>
            </w:r>
            <w:fldSimple w:instr=" STYLEREF 2 \s ">
              <w:r>
                <w:rPr>
                  <w:noProof/>
                </w:rPr>
                <w:t>11.1</w:t>
              </w:r>
            </w:fldSimple>
            <w:r>
              <w:t>.</w:t>
            </w:r>
            <w:fldSimple w:instr=" SEQ Exhibit \* ALPHABETIC \s 2 ">
              <w:r>
                <w:rPr>
                  <w:noProof/>
                </w:rPr>
                <w:t>A</w:t>
              </w:r>
            </w:fldSimple>
            <w:bookmarkEnd w:id="845"/>
            <w:r>
              <w:t>: multiple translations</w:t>
            </w:r>
          </w:p>
        </w:tc>
      </w:tr>
      <w:tr w14:paraId="242FBFE2" w14:textId="77777777">
        <w:tc>
          <w:tcPr>
            <w:tcW w:w="5000" w:type="pct"/>
          </w:tcPr>
          <w:p w14:paraId="2B9CD553" w14:textId="77777777">
            <w:pPr>
              <w:pStyle w:val="CodeParagraph"/>
              <w:rPr>
                <w:rStyle w:val="Codetext"/>
              </w:rPr>
            </w:pPr>
            <w:r>
              <w:rPr>
                <w:rStyle w:val="Code"/>
              </w:rPr>
              <w:t xml:space="preserve">&lt;div </w:t>
            </w:r>
            <w:r>
              <w:rPr>
                <w:rStyle w:val="Codeattribute"/>
              </w:rPr>
              <w:t>type</w:t>
            </w:r>
            <w:r>
              <w:rPr>
                <w:rStyle w:val="Code"/>
              </w:rPr>
              <w:t>=</w:t>
            </w:r>
            <w:r>
              <w:rPr>
                <w:rStyle w:val="Codevalue"/>
              </w:rPr>
              <w:t>"edition"</w:t>
            </w:r>
            <w:r>
              <w:rPr>
                <w:rStyle w:val="Code"/>
              </w:rPr>
              <w:t xml:space="preserve"> </w:t>
            </w:r>
            <w:r>
              <w:rPr>
                <w:rStyle w:val="Codeattribute"/>
              </w:rPr>
              <w:t>xml:lang</w:t>
            </w:r>
            <w:r>
              <w:rPr>
                <w:rStyle w:val="Code"/>
              </w:rPr>
              <w:t>=</w:t>
            </w:r>
            <w:r>
              <w:rPr>
                <w:rStyle w:val="Codevalue"/>
              </w:rPr>
              <w:t>"ocm-Latn"</w:t>
            </w:r>
            <w:r>
              <w:rPr>
                <w:rStyle w:val="Code"/>
              </w:rPr>
              <w:t>&gt;</w:t>
            </w:r>
            <w:r>
              <w:rPr>
                <w:rStyle w:val="Codetext"/>
              </w:rPr>
              <w:br/>
              <w:t xml:space="preserve">  ...</w:t>
            </w:r>
            <w:r>
              <w:rPr>
                <w:rStyle w:val="Codetext"/>
              </w:rPr>
              <w:br/>
              <w:t xml:space="preserve">  </w:t>
            </w:r>
            <w:r>
              <w:rPr>
                <w:rStyle w:val="Code"/>
              </w:rPr>
              <w:t>&lt;ab&gt;</w:t>
            </w:r>
            <w:r>
              <w:rPr>
                <w:rStyle w:val="Codetext"/>
              </w:rPr>
              <w:t>pu vyā</w:t>
            </w:r>
            <w:r>
              <w:rPr>
                <w:rStyle w:val="Code"/>
              </w:rPr>
              <w:t>&lt;/ab&gt;</w:t>
            </w:r>
            <w:r>
              <w:rPr>
                <w:rStyle w:val="Codetext"/>
              </w:rPr>
              <w:br/>
              <w:t xml:space="preserve">  ...</w:t>
            </w:r>
            <w:r>
              <w:rPr>
                <w:rStyle w:val="Codetext"/>
              </w:rPr>
              <w:br/>
            </w:r>
            <w:r>
              <w:rPr>
                <w:rStyle w:val="Code"/>
              </w:rPr>
              <w:t>&lt;/div&gt;</w:t>
            </w:r>
            <w:r>
              <w:rPr>
                <w:rStyle w:val="Codetext"/>
              </w:rPr>
              <w:br/>
              <w:t>...</w:t>
            </w:r>
            <w:r>
              <w:rPr>
                <w:rStyle w:val="Codetext"/>
              </w:rPr>
              <w:br/>
            </w:r>
            <w:r>
              <w:rPr>
                <w:rStyle w:val="Code"/>
              </w:rPr>
              <w:t xml:space="preserve">&lt;div </w:t>
            </w:r>
            <w:r>
              <w:rPr>
                <w:rStyle w:val="Codeattribute"/>
              </w:rPr>
              <w:t>type</w:t>
            </w:r>
            <w:r>
              <w:rPr>
                <w:rStyle w:val="Code"/>
              </w:rPr>
              <w:t>=</w:t>
            </w:r>
            <w:r>
              <w:rPr>
                <w:rStyle w:val="Codevalue"/>
              </w:rPr>
              <w:t>"translation"</w:t>
            </w:r>
            <w:r>
              <w:rPr>
                <w:rStyle w:val="Code"/>
              </w:rPr>
              <w:t>&gt;</w:t>
            </w:r>
            <w:r>
              <w:rPr>
                <w:rStyle w:val="Codetext"/>
              </w:rPr>
              <w:br/>
              <w:t xml:space="preserve">  ...</w:t>
            </w:r>
          </w:p>
          <w:p w14:paraId="3AB09ACF" w14:textId="77777777">
            <w:pPr>
              <w:pStyle w:val="CodeParagraph"/>
            </w:pPr>
            <w:r>
              <w:rPr>
                <w:rStyle w:val="Codetext"/>
              </w:rPr>
              <w:t xml:space="preserve">  </w:t>
            </w:r>
            <w:r>
              <w:rPr>
                <w:rStyle w:val="Code"/>
              </w:rPr>
              <w:t>&lt;p&gt;</w:t>
            </w:r>
            <w:r>
              <w:rPr>
                <w:rStyle w:val="Codetext"/>
              </w:rPr>
              <w:t>Her majesty the queen</w:t>
            </w:r>
            <w:r>
              <w:rPr>
                <w:rStyle w:val="Code"/>
              </w:rPr>
              <w:t>&lt;/p&gt;</w:t>
            </w:r>
            <w:r>
              <w:rPr>
                <w:rStyle w:val="Codetext"/>
              </w:rPr>
              <w:br/>
              <w:t xml:space="preserve">  ...</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"translation"</w:t>
            </w:r>
            <w:r>
              <w:rPr>
                <w:rStyle w:val="Code"/>
              </w:rPr>
              <w:t xml:space="preserve"> </w:t>
            </w:r>
            <w:r>
              <w:rPr>
                <w:rStyle w:val="Codeattribute"/>
              </w:rPr>
              <w:t>xml:lang</w:t>
            </w:r>
            <w:r>
              <w:rPr>
                <w:rStyle w:val="Code"/>
              </w:rPr>
              <w:t>=</w:t>
            </w:r>
            <w:r>
              <w:rPr>
                <w:rStyle w:val="Codevalue"/>
              </w:rPr>
              <w:t>"fra"</w:t>
            </w:r>
            <w:r>
              <w:rPr>
                <w:rStyle w:val="Code"/>
              </w:rPr>
              <w:t>&gt;</w:t>
            </w:r>
            <w:r>
              <w:rPr>
                <w:rStyle w:val="Codetext"/>
              </w:rPr>
              <w:br/>
              <w:t xml:space="preserve">  ...</w:t>
            </w:r>
            <w:r>
              <w:rPr>
                <w:rStyle w:val="Codetext"/>
              </w:rPr>
              <w:br/>
              <w:t xml:space="preserve">  </w:t>
            </w:r>
            <w:r>
              <w:rPr>
                <w:rStyle w:val="Code"/>
              </w:rPr>
              <w:t>&lt;p&gt;</w:t>
            </w:r>
            <w:r>
              <w:rPr>
                <w:rStyle w:val="Codetext"/>
              </w:rPr>
              <w:t>Sa majesté la reine</w:t>
            </w:r>
            <w:r>
              <w:rPr>
                <w:rStyle w:val="Code"/>
              </w:rPr>
              <w:t>&lt;/p&gt;</w:t>
            </w:r>
            <w:r>
              <w:rPr>
                <w:rStyle w:val="Codetext"/>
              </w:rPr>
              <w:br/>
              <w:t xml:space="preserve">  ...</w:t>
            </w:r>
            <w:r>
              <w:rPr>
                <w:rStyle w:val="Codetext"/>
              </w:rPr>
              <w:br/>
            </w:r>
            <w:r>
              <w:rPr>
                <w:rStyle w:val="Code"/>
              </w:rPr>
              <w:t>&lt;/div&gt;</w:t>
            </w:r>
          </w:p>
        </w:tc>
      </w:tr>
      <w:tr w14:paraId="102D56C4" w14:textId="77777777">
        <w:tc>
          <w:tcPr>
            <w:tcW w:w="5000" w:type="pct"/>
          </w:tcPr>
          <w:p w14:paraId="56E0FBEB" w14:textId="334AF134">
            <w:pPr>
              <w:pStyle w:val="TableNote"/>
              <w:rPr>
                <w:rStyle w:val="Code"/>
              </w:rPr>
            </w:pPr>
            <w:r>
              <w:lastRenderedPageBreak/>
              <w:t>the framework illustrated here must be completed with attributes indicating the author of each translation as per §</w:t>
            </w:r>
            <w:r>
              <w:fldChar w:fldCharType="begin"/>
            </w:r>
            <w:r>
              <w:instrText xml:space="preserve"> REF _Ref233276652 \r \h </w:instrText>
            </w:r>
            <w:r>
              <w:fldChar w:fldCharType="separate"/>
            </w:r>
            <w:r>
              <w:t>11.1.2</w:t>
            </w:r>
            <w:r>
              <w:fldChar w:fldCharType="end"/>
            </w:r>
          </w:p>
        </w:tc>
      </w:tr>
    </w:tbl>
    <w:p w14:paraId="3666625D" w14:textId="77777777">
      <w:pPr>
        <w:pStyle w:val="Cmsor2"/>
      </w:pPr>
      <w:bookmarkStart w:id="846" w:name="_Toc242889603"/>
      <w:r>
        <w:t>Structuring the translation</w:t>
      </w:r>
      <w:bookmarkEnd w:id="843"/>
      <w:bookmarkEnd w:id="846"/>
    </w:p>
    <w:p w14:paraId="10D8565D" w14:textId="4A25B6D0">
      <w:r>
        <w:t>The overall structure of a translation should, as far as practicable, imitate the intrinsic structure (§</w:t>
      </w:r>
      <w:r>
        <w:fldChar w:fldCharType="begin"/>
      </w:r>
      <w:r>
        <w:instrText xml:space="preserve"> REF _Ref43978632 \r \h </w:instrText>
      </w:r>
      <w:r>
        <w:fldChar w:fldCharType="separate"/>
      </w:r>
      <w:r>
        <w:t>3</w:t>
      </w:r>
      <w:r>
        <w:fldChar w:fldCharType="end"/>
      </w:r>
      <w:r>
        <w:t>) of the original document, as clarified in the following subsections. When the edition contains textpart divisions, these must always be replicated in the translation as per §</w:t>
      </w:r>
      <w:r>
        <w:fldChar w:fldCharType="begin"/>
      </w:r>
      <w:r>
        <w:instrText xml:space="preserve"> REF _Ref233277694 \r \h </w:instrText>
      </w:r>
      <w:r>
        <w:fldChar w:fldCharType="separate"/>
      </w:r>
      <w:r>
        <w:t>11.1.1</w:t>
      </w:r>
      <w:r>
        <w:fldChar w:fldCharType="end"/>
      </w:r>
      <w:r>
        <w:t>.</w:t>
      </w:r>
    </w:p>
    <w:p w14:paraId="5675F9B0" w14:textId="77777777">
      <w:pPr>
        <w:pStyle w:val="Cmsor3"/>
      </w:pPr>
      <w:bookmarkStart w:id="847" w:name="_Ref233279561"/>
      <w:bookmarkStart w:id="848" w:name="_Toc242889604"/>
      <w:r>
        <w:t>Reflecting extrinsic structure in the translation</w:t>
      </w:r>
      <w:bookmarkEnd w:id="847"/>
      <w:bookmarkEnd w:id="848"/>
    </w:p>
    <w:p w14:paraId="06F8AEDB" w14:textId="0A64B94A">
      <w:pPr>
        <w:rPr>
          <w:lang w:eastAsia="en-US" w:bidi="ar-SA"/>
        </w:rPr>
      </w:pPr>
      <w:r>
        <w:rPr>
          <w:lang w:eastAsia="en-US" w:bidi="ar-SA"/>
        </w:rPr>
        <w:t>The extrinsic structure (§</w:t>
      </w:r>
      <w:r>
        <w:rPr>
          <w:lang w:eastAsia="en-US" w:bidi="ar-SA"/>
        </w:rPr>
        <w:fldChar w:fldCharType="begin"/>
      </w:r>
      <w:r>
        <w:rPr>
          <w:lang w:eastAsia="en-US" w:bidi="ar-SA"/>
        </w:rPr>
        <w:instrText xml:space="preserve"> REF _Ref225261475 \r \h </w:instrText>
      </w:r>
      <w:r>
        <w:rPr>
          <w:lang w:eastAsia="en-US" w:bidi="ar-SA"/>
        </w:rPr>
      </w:r>
      <w:r>
        <w:rPr>
          <w:lang w:eastAsia="en-US" w:bidi="ar-SA"/>
        </w:rPr>
        <w:fldChar w:fldCharType="separate"/>
      </w:r>
      <w:r>
        <w:rPr>
          <w:lang w:eastAsia="en-US" w:bidi="ar-SA"/>
        </w:rPr>
        <w:t>4</w:t>
      </w:r>
      <w:r>
        <w:rPr>
          <w:lang w:eastAsia="en-US" w:bidi="ar-SA"/>
        </w:rPr>
        <w:fldChar w:fldCharType="end"/>
      </w:r>
      <w:r>
        <w:rPr>
          <w:lang w:eastAsia="en-US" w:bidi="ar-SA"/>
        </w:rPr>
        <w:t xml:space="preserve">) of the original document should generally not be reflected in the translation, except that </w:t>
      </w:r>
      <w:r>
        <w:t>textpart divisions must be replicated as per §</w:t>
      </w:r>
      <w:r>
        <w:fldChar w:fldCharType="begin"/>
      </w:r>
      <w:r>
        <w:instrText xml:space="preserve"> REF _Ref233277694 \r \h </w:instrText>
      </w:r>
      <w:r>
        <w:fldChar w:fldCharType="separate"/>
      </w:r>
      <w:r>
        <w:t>11.1.1</w:t>
      </w:r>
      <w:r>
        <w:fldChar w:fldCharType="end"/>
      </w:r>
      <w:r>
        <w:t xml:space="preserve"> and </w:t>
      </w:r>
      <w:r>
        <w:rPr>
          <w:lang w:eastAsia="en-US" w:bidi="ar-SA"/>
        </w:rPr>
        <w:t>the correspondence of translation passages to source line numbers should generally be encoded as per §</w:t>
      </w:r>
      <w:r>
        <w:rPr>
          <w:lang w:eastAsia="en-US" w:bidi="ar-SA"/>
        </w:rPr>
        <w:fldChar w:fldCharType="begin"/>
      </w:r>
      <w:r>
        <w:rPr>
          <w:lang w:eastAsia="en-US" w:bidi="ar-SA"/>
        </w:rPr>
        <w:instrText xml:space="preserve"> REF _Ref182309743 \r \h </w:instrText>
      </w:r>
      <w:r>
        <w:rPr>
          <w:lang w:eastAsia="en-US" w:bidi="ar-SA"/>
        </w:rPr>
      </w:r>
      <w:r>
        <w:rPr>
          <w:lang w:eastAsia="en-US" w:bidi="ar-SA"/>
        </w:rPr>
        <w:fldChar w:fldCharType="separate"/>
      </w:r>
      <w:r>
        <w:rPr>
          <w:lang w:eastAsia="en-US" w:bidi="ar-SA"/>
        </w:rPr>
        <w:t>11.3</w:t>
      </w:r>
      <w:r>
        <w:rPr>
          <w:lang w:eastAsia="en-US" w:bidi="ar-SA"/>
        </w:rPr>
        <w:fldChar w:fldCharType="end"/>
      </w:r>
      <w:r>
        <w:rPr>
          <w:lang w:eastAsia="en-US" w:bidi="ar-SA"/>
        </w:rPr>
        <w:t>. Should you find it necessary to do so, other transition points in extrinsic structure can be optionally indicated in the translation as follows.</w:t>
      </w:r>
    </w:p>
    <w:p w14:paraId="0D58B9D7" w14:textId="06EF6366">
      <w:pPr>
        <w:pStyle w:val="Lista"/>
      </w:pPr>
      <w:r>
        <w:t xml:space="preserve">pagelike partitions </w:t>
      </w:r>
      <w:r>
        <w:rPr>
          <w:noProof/>
        </w:rPr>
        <w:t>(</w:t>
      </w:r>
      <w:r>
        <w:t>§</w:t>
      </w:r>
      <w:r>
        <w:fldChar w:fldCharType="begin"/>
      </w:r>
      <w:r>
        <w:instrText xml:space="preserve"> REF _Ref233982406 \r \h </w:instrText>
      </w:r>
      <w:r>
        <w:fldChar w:fldCharType="separate"/>
      </w:r>
      <w:r>
        <w:t>4.4</w:t>
      </w:r>
      <w:r>
        <w:fldChar w:fldCharType="end"/>
      </w:r>
      <w:r>
        <w:t>) may be replicated by using the same milestone element with the same attributes as that used in your edition</w:t>
      </w:r>
    </w:p>
    <w:p w14:paraId="1FDE1C03" w14:textId="77777777">
      <w:pPr>
        <w:pStyle w:val="Lista2"/>
      </w:pPr>
      <w:r>
        <w:t xml:space="preserve">if </w:t>
      </w:r>
      <w:r>
        <w:rPr>
          <w:rStyle w:val="Code"/>
        </w:rPr>
        <w:t>&lt;label&gt;</w:t>
      </w:r>
      <w:r>
        <w:t xml:space="preserve"> elements are present in the edition, replicate these along with the milestones</w:t>
      </w:r>
    </w:p>
    <w:p w14:paraId="26E56DB1" w14:textId="77777777">
      <w:pPr>
        <w:pStyle w:val="Lista3"/>
      </w:pPr>
      <w:r>
        <w:t xml:space="preserve">if the label is in the same language as that of the translation as a whole, then the </w:t>
      </w:r>
      <w:r>
        <w:rPr>
          <w:rStyle w:val="Codeattribute"/>
        </w:rPr>
        <w:t>@xml:lang</w:t>
      </w:r>
      <w:r>
        <w:t xml:space="preserve"> attribute of the </w:t>
      </w:r>
      <w:r>
        <w:rPr>
          <w:rStyle w:val="Code"/>
        </w:rPr>
        <w:t>&lt;label&gt;</w:t>
      </w:r>
      <w:r>
        <w:t xml:space="preserve"> element does not need to be present (but does no harm)</w:t>
      </w:r>
    </w:p>
    <w:p w14:paraId="4AADE788" w14:textId="77777777">
      <w:pPr>
        <w:pStyle w:val="Lista3"/>
      </w:pPr>
      <w:r>
        <w:t xml:space="preserve">if the translation is into a different language than the label, then either use </w:t>
      </w:r>
      <w:r>
        <w:rPr>
          <w:rStyle w:val="Codeattribute"/>
        </w:rPr>
        <w:t>@xml:lang</w:t>
      </w:r>
      <w:r>
        <w:t xml:space="preserve"> on the label or translate it</w:t>
      </w:r>
    </w:p>
    <w:p w14:paraId="0C982A25" w14:textId="77777777">
      <w:pPr>
        <w:pStyle w:val="Lista"/>
      </w:pPr>
      <w:r>
        <w:t>never replicate the following details of the source’s extrinsic structure:</w:t>
      </w:r>
    </w:p>
    <w:p w14:paraId="449589D5" w14:textId="29014016">
      <w:pPr>
        <w:pStyle w:val="Lista2"/>
      </w:pPr>
      <w:r>
        <w:t xml:space="preserve">gridlike partitions </w:t>
      </w:r>
      <w:r>
        <w:rPr>
          <w:noProof/>
        </w:rPr>
        <w:t>(</w:t>
      </w:r>
      <w:r>
        <w:t>§</w:t>
      </w:r>
      <w:r>
        <w:fldChar w:fldCharType="begin"/>
      </w:r>
      <w:r>
        <w:instrText xml:space="preserve"> REF _Ref43984651 \w \h  \* MERGEFORMAT </w:instrText>
      </w:r>
      <w:r>
        <w:fldChar w:fldCharType="separate"/>
      </w:r>
      <w:r>
        <w:t>4.6</w:t>
      </w:r>
      <w:r>
        <w:fldChar w:fldCharType="end"/>
      </w:r>
      <w:r>
        <w:t xml:space="preserve">) </w:t>
      </w:r>
    </w:p>
    <w:p w14:paraId="37D599A7" w14:textId="304B3604">
      <w:pPr>
        <w:pStyle w:val="Lista2"/>
      </w:pPr>
      <w:r>
        <w:t>offset opening and closing lines (§</w:t>
      </w:r>
      <w:r>
        <w:fldChar w:fldCharType="begin"/>
      </w:r>
      <w:r>
        <w:instrText xml:space="preserve"> REF _Ref225779703 \r \h </w:instrText>
      </w:r>
      <w:r>
        <w:fldChar w:fldCharType="separate"/>
      </w:r>
      <w:r>
        <w:t>4.7.1</w:t>
      </w:r>
      <w:r>
        <w:fldChar w:fldCharType="end"/>
      </w:r>
      <w:r>
        <w:t>)</w:t>
      </w:r>
    </w:p>
    <w:p w14:paraId="18747D61" w14:textId="2543D21C">
      <w:pPr>
        <w:pStyle w:val="Lista2"/>
      </w:pPr>
      <w:r>
        <w:t xml:space="preserve">forme work </w:t>
      </w:r>
      <w:r>
        <w:rPr>
          <w:noProof/>
        </w:rPr>
        <w:t>(</w:t>
      </w:r>
      <w:r>
        <w:t>§</w:t>
      </w:r>
      <w:r>
        <w:fldChar w:fldCharType="begin"/>
      </w:r>
      <w:r>
        <w:instrText xml:space="preserve"> REF _Ref43984607 \w \h  \* MERGEFORMAT </w:instrText>
      </w:r>
      <w:r>
        <w:fldChar w:fldCharType="separate"/>
      </w:r>
      <w:r>
        <w:t>4.7.2</w:t>
      </w:r>
      <w:r>
        <w:fldChar w:fldCharType="end"/>
      </w:r>
      <w:r>
        <w:t>)</w:t>
      </w:r>
    </w:p>
    <w:p w14:paraId="47FAA052" w14:textId="748DE51A">
      <w:pPr>
        <w:pStyle w:val="Lista2"/>
      </w:pPr>
      <w:r>
        <w:t>line beginnings (correspondence to which can be encoded as per §</w:t>
      </w:r>
      <w:r>
        <w:rPr>
          <w:lang w:eastAsia="en-US" w:bidi="ar-SA"/>
        </w:rPr>
        <w:fldChar w:fldCharType="begin"/>
      </w:r>
      <w:r>
        <w:rPr>
          <w:lang w:eastAsia="en-US" w:bidi="ar-SA"/>
        </w:rPr>
        <w:instrText xml:space="preserve"> REF _Ref182309743 \r \h </w:instrText>
      </w:r>
      <w:r>
        <w:rPr>
          <w:lang w:eastAsia="en-US" w:bidi="ar-SA"/>
        </w:rPr>
      </w:r>
      <w:r>
        <w:rPr>
          <w:lang w:eastAsia="en-US" w:bidi="ar-SA"/>
        </w:rPr>
        <w:fldChar w:fldCharType="separate"/>
      </w:r>
      <w:r>
        <w:rPr>
          <w:lang w:eastAsia="en-US" w:bidi="ar-SA"/>
        </w:rPr>
        <w:t>11.3</w:t>
      </w:r>
      <w:r>
        <w:rPr>
          <w:lang w:eastAsia="en-US" w:bidi="ar-SA"/>
        </w:rPr>
        <w:fldChar w:fldCharType="end"/>
      </w:r>
      <w:r>
        <w:rPr>
          <w:lang w:eastAsia="en-US" w:bidi="ar-SA"/>
        </w:rPr>
        <w:t>)</w:t>
      </w:r>
    </w:p>
    <w:p w14:paraId="74E53876" w14:textId="77777777">
      <w:pPr>
        <w:pStyle w:val="Cmsor3"/>
      </w:pPr>
      <w:bookmarkStart w:id="849" w:name="_Ref233792737"/>
      <w:bookmarkStart w:id="850" w:name="_Toc242889605"/>
      <w:r>
        <w:t>Reflecting intrinsic structure in the translation</w:t>
      </w:r>
      <w:bookmarkEnd w:id="849"/>
      <w:bookmarkEnd w:id="850"/>
    </w:p>
    <w:p w14:paraId="18B3FC6F" w14:textId="5E27C584">
      <w:pPr>
        <w:rPr>
          <w:lang w:eastAsia="en-US" w:bidi="ar-SA"/>
        </w:rPr>
      </w:pPr>
      <w:r>
        <w:rPr>
          <w:lang w:eastAsia="en-US" w:bidi="ar-SA"/>
        </w:rPr>
        <w:t>The translation should be structured by block-level containers in a manner resembling the intrinsic structure of the source as far as feasible.</w:t>
      </w:r>
    </w:p>
    <w:p w14:paraId="4BE7E1A6" w14:textId="77777777">
      <w:pPr>
        <w:pStyle w:val="Lista"/>
      </w:pPr>
      <w:r>
        <w:t>the basic block-level container for translated text is the paragraph (</w:t>
      </w:r>
      <w:r>
        <w:rPr>
          <w:rStyle w:val="Code"/>
        </w:rPr>
        <w:t>&lt;p&gt;</w:t>
      </w:r>
      <w:r>
        <w:t xml:space="preserve"> element) </w:t>
      </w:r>
    </w:p>
    <w:p w14:paraId="19C88768" w14:textId="77777777">
      <w:pPr>
        <w:pStyle w:val="Lista2"/>
      </w:pPr>
      <w:r>
        <w:t xml:space="preserve">other block-level containers in the edition (viz. </w:t>
      </w:r>
      <w:r>
        <w:rPr>
          <w:rStyle w:val="Code"/>
        </w:rPr>
        <w:t>&lt;ab&gt;</w:t>
      </w:r>
      <w:r>
        <w:t xml:space="preserve"> and </w:t>
      </w:r>
      <w:r>
        <w:rPr>
          <w:rStyle w:val="Code"/>
        </w:rPr>
        <w:t>&lt;lg&gt;</w:t>
      </w:r>
      <w:r>
        <w:t xml:space="preserve">) shall be rendered as </w:t>
      </w:r>
      <w:r>
        <w:rPr>
          <w:rStyle w:val="Code"/>
        </w:rPr>
        <w:t>&lt;p&gt;</w:t>
      </w:r>
      <w:r>
        <w:t xml:space="preserve"> elements in the translation</w:t>
      </w:r>
    </w:p>
    <w:p w14:paraId="3CFF5C0D" w14:textId="77777777">
      <w:pPr>
        <w:pStyle w:val="Lista2"/>
      </w:pPr>
      <w:r>
        <w:t xml:space="preserve">for paragraphs translating verse, add the attribute </w:t>
      </w:r>
      <w:r>
        <w:rPr>
          <w:rStyle w:val="Codeattribute"/>
        </w:rPr>
        <w:t>@rend</w:t>
      </w:r>
      <w:r>
        <w:t xml:space="preserve"> with the value </w:t>
      </w:r>
      <w:r>
        <w:rPr>
          <w:rStyle w:val="Codevalue"/>
        </w:rPr>
        <w:t>"stanza"</w:t>
      </w:r>
      <w:r>
        <w:t xml:space="preserve"> to the </w:t>
      </w:r>
      <w:r>
        <w:rPr>
          <w:rStyle w:val="Code"/>
        </w:rPr>
        <w:t>&lt;p&gt;</w:t>
      </w:r>
      <w:r>
        <w:t xml:space="preserve"> element</w:t>
      </w:r>
    </w:p>
    <w:p w14:paraId="2B7B2C33" w14:textId="77777777">
      <w:pPr>
        <w:pStyle w:val="Lista"/>
      </w:pPr>
      <w:r>
        <w:t xml:space="preserve">normally, each and every block-level container of the edition (i.e. </w:t>
      </w:r>
      <w:r>
        <w:rPr>
          <w:rStyle w:val="Code"/>
        </w:rPr>
        <w:t>&lt;p&gt;</w:t>
      </w:r>
      <w:r>
        <w:t xml:space="preserve">, </w:t>
      </w:r>
      <w:r>
        <w:rPr>
          <w:rStyle w:val="Code"/>
        </w:rPr>
        <w:t>&lt;ab&gt;</w:t>
      </w:r>
      <w:r>
        <w:t xml:space="preserve"> and </w:t>
      </w:r>
      <w:r>
        <w:rPr>
          <w:rStyle w:val="Code"/>
        </w:rPr>
        <w:t>&lt;lg&gt;</w:t>
      </w:r>
      <w:r>
        <w:t xml:space="preserve">) should have exactly one corresponding </w:t>
      </w:r>
      <w:r>
        <w:rPr>
          <w:rStyle w:val="Code"/>
        </w:rPr>
        <w:t>&lt;p&gt;</w:t>
      </w:r>
      <w:r>
        <w:t xml:space="preserve"> element in the translation</w:t>
      </w:r>
    </w:p>
    <w:p w14:paraId="2F5B7353" w14:textId="77777777">
      <w:pPr>
        <w:pStyle w:val="Lista2"/>
      </w:pPr>
      <w:r>
        <w:t>however, feel free to use more or fewer containers at your discretion</w:t>
      </w:r>
    </w:p>
    <w:p w14:paraId="626405FA" w14:textId="77777777">
      <w:pPr>
        <w:pStyle w:val="Lista2"/>
      </w:pPr>
      <w:r>
        <w:t>should the intelligibility of the translation demand it, feel free to translate items in a different order than that in which they appear in the original</w:t>
      </w:r>
    </w:p>
    <w:p w14:paraId="324624F5" w14:textId="77777777">
      <w:pPr>
        <w:pStyle w:val="Lista"/>
      </w:pPr>
      <w:r>
        <w:t>finer structural divisions may be encoded in the translation as follows</w:t>
      </w:r>
    </w:p>
    <w:p w14:paraId="48049C60" w14:textId="134D89A5">
      <w:pPr>
        <w:pStyle w:val="Lista2"/>
      </w:pPr>
      <w:r>
        <w:t xml:space="preserve">if you translate verse line by line, optionally wrap each translated line in an </w:t>
      </w:r>
      <w:r>
        <w:rPr>
          <w:rStyle w:val="Code"/>
        </w:rPr>
        <w:t>&lt;l&gt;</w:t>
      </w:r>
      <w:r>
        <w:t xml:space="preserve"> element within the </w:t>
      </w:r>
      <w:r>
        <w:rPr>
          <w:rStyle w:val="Code"/>
        </w:rPr>
        <w:t>&lt;p&gt;</w:t>
      </w:r>
      <w:r>
        <w:t xml:space="preserve"> element corresponding to a stanza as per §</w:t>
      </w:r>
      <w:r>
        <w:fldChar w:fldCharType="begin"/>
      </w:r>
      <w:r>
        <w:instrText xml:space="preserve"> REF _Ref233988137 \r \h </w:instrText>
      </w:r>
      <w:r>
        <w:fldChar w:fldCharType="separate"/>
      </w:r>
      <w:r>
        <w:t>14.3.2.2</w:t>
      </w:r>
      <w:r>
        <w:fldChar w:fldCharType="end"/>
      </w:r>
      <w:r>
        <w:t xml:space="preserve"> </w:t>
      </w:r>
    </w:p>
    <w:p w14:paraId="73EFF2C0" w14:textId="300791CD">
      <w:pPr>
        <w:pStyle w:val="Lista2"/>
      </w:pPr>
      <w:r>
        <w:t xml:space="preserve">if a paragraph of the original text is, or contains, a list (such as a list of donees or boundaries), optionally use a </w:t>
      </w:r>
      <w:r>
        <w:rPr>
          <w:rStyle w:val="Code"/>
        </w:rPr>
        <w:t>&lt;list&gt;</w:t>
      </w:r>
      <w:r>
        <w:t xml:space="preserve"> element with </w:t>
      </w:r>
      <w:r>
        <w:rPr>
          <w:rStyle w:val="Code"/>
        </w:rPr>
        <w:t>&lt;item&gt;</w:t>
      </w:r>
      <w:r>
        <w:t xml:space="preserve">s within the corresponding </w:t>
      </w:r>
      <w:r>
        <w:rPr>
          <w:rStyle w:val="Code"/>
        </w:rPr>
        <w:t>&lt;p&gt;</w:t>
      </w:r>
      <w:r>
        <w:t xml:space="preserve"> element of your translation as described in §</w:t>
      </w:r>
      <w:r>
        <w:fldChar w:fldCharType="begin"/>
      </w:r>
      <w:r>
        <w:instrText xml:space="preserve"> REF _Ref56419954 \r \h </w:instrText>
      </w:r>
      <w:r>
        <w:fldChar w:fldCharType="separate"/>
      </w:r>
      <w:r>
        <w:t>14.2.4</w:t>
      </w:r>
      <w:r>
        <w:fldChar w:fldCharType="end"/>
      </w:r>
    </w:p>
    <w:p w14:paraId="5740B4D2" w14:textId="77777777">
      <w:pPr>
        <w:pStyle w:val="Lista3"/>
      </w:pPr>
      <w:r>
        <w:t>you may encode a list in the translation even if a corresponding list is not encoded in the edition and you may choose to translate a list encoded in the edition with running prose</w:t>
      </w:r>
    </w:p>
    <w:p w14:paraId="6865CCE7" w14:textId="77777777">
      <w:pPr>
        <w:pStyle w:val="Cmsor3"/>
      </w:pPr>
      <w:bookmarkStart w:id="851" w:name="_tofxidp3cso" w:colFirst="0" w:colLast="0"/>
      <w:bookmarkStart w:id="852" w:name="_Ref43989787"/>
      <w:bookmarkStart w:id="853" w:name="_Ref151372539"/>
      <w:bookmarkStart w:id="854" w:name="_Ref43990179"/>
      <w:bookmarkStart w:id="855" w:name="_Toc242889606"/>
      <w:bookmarkEnd w:id="851"/>
      <w:r>
        <w:lastRenderedPageBreak/>
        <w:t>Headings in translation</w:t>
      </w:r>
      <w:bookmarkEnd w:id="852"/>
      <w:r>
        <w:t>s</w:t>
      </w:r>
      <w:bookmarkEnd w:id="853"/>
      <w:bookmarkEnd w:id="855"/>
    </w:p>
    <w:p w14:paraId="2DC82F7D" w14:textId="77777777">
      <w:pPr>
        <w:pStyle w:val="Lista"/>
      </w:pPr>
      <w:r>
        <w:t xml:space="preserve">headings for translations as a whole will be generated automatically on the basis of the </w:t>
      </w:r>
      <w:r>
        <w:rPr>
          <w:rStyle w:val="Codeattribute"/>
        </w:rPr>
        <w:t>@xml:lang</w:t>
      </w:r>
      <w:r>
        <w:t xml:space="preserve"> and </w:t>
      </w:r>
      <w:r>
        <w:rPr>
          <w:rStyle w:val="Codeattribute"/>
        </w:rPr>
        <w:t>@source</w:t>
      </w:r>
      <w:r>
        <w:t xml:space="preserve"> or </w:t>
      </w:r>
      <w:r>
        <w:rPr>
          <w:rStyle w:val="Codeattribute"/>
        </w:rPr>
        <w:t>@resp</w:t>
      </w:r>
      <w:r>
        <w:t xml:space="preserve"> attributes of the translation division</w:t>
      </w:r>
    </w:p>
    <w:p w14:paraId="2472BA59" w14:textId="5DE4C194">
      <w:pPr>
        <w:pStyle w:val="Lista2"/>
      </w:pPr>
      <w:r>
        <w:t>containing the language of the translation if it is encoded</w:t>
      </w:r>
    </w:p>
    <w:p w14:paraId="4D2E4A58" w14:textId="481C62BC">
      <w:pPr>
        <w:pStyle w:val="Lista2"/>
      </w:pPr>
      <w:r>
        <w:t>containing the author of the translation unless it is identical to the creator of the edition (§</w:t>
      </w:r>
      <w:r>
        <w:fldChar w:fldCharType="begin"/>
      </w:r>
      <w:r>
        <w:instrText xml:space="preserve"> REF _Ref239687105 \r \h </w:instrText>
      </w:r>
      <w:r>
        <w:fldChar w:fldCharType="separate"/>
      </w:r>
      <w:r>
        <w:t>15.1.2.1</w:t>
      </w:r>
      <w:r>
        <w:fldChar w:fldCharType="end"/>
      </w:r>
      <w:r>
        <w:t>)</w:t>
      </w:r>
    </w:p>
    <w:p w14:paraId="134506D1" w14:textId="77777777">
      <w:pPr>
        <w:pStyle w:val="Lista"/>
      </w:pPr>
      <w:r>
        <w:t>if this basic header is insufficient, you may optionally create a custom heading for the translation as a hole</w:t>
      </w:r>
    </w:p>
    <w:p w14:paraId="5A23411D" w14:textId="77777777">
      <w:pPr>
        <w:pStyle w:val="Lista2"/>
      </w:pPr>
      <w:r>
        <w:t xml:space="preserve">to do so, include the element </w:t>
      </w:r>
      <w:r>
        <w:rPr>
          <w:rStyle w:val="Code"/>
        </w:rPr>
        <w:t>&lt;head&gt;</w:t>
      </w:r>
      <w:r>
        <w:t xml:space="preserve"> as the first item within </w:t>
      </w:r>
      <w:r>
        <w:rPr>
          <w:rStyle w:val="Code"/>
        </w:rPr>
        <w:t xml:space="preserve">&lt;div </w:t>
      </w:r>
      <w:r>
        <w:rPr>
          <w:rStyle w:val="Codeattribute"/>
        </w:rPr>
        <w:t>type</w:t>
      </w:r>
      <w:r>
        <w:rPr>
          <w:rStyle w:val="Code"/>
        </w:rPr>
        <w:t>=</w:t>
      </w:r>
      <w:r>
        <w:rPr>
          <w:rStyle w:val="Codevalue"/>
        </w:rPr>
        <w:t>"translation"</w:t>
      </w:r>
      <w:r>
        <w:rPr>
          <w:rStyle w:val="Code"/>
        </w:rPr>
        <w:t>&gt;</w:t>
      </w:r>
    </w:p>
    <w:p w14:paraId="1585D06D" w14:textId="77777777">
      <w:pPr>
        <w:pStyle w:val="Lista3"/>
      </w:pPr>
      <w:r>
        <w:t>containing free text that is to be displayed as a heading above the translation</w:t>
      </w:r>
    </w:p>
    <w:p w14:paraId="4999A5BC" w14:textId="77777777">
      <w:pPr>
        <w:pStyle w:val="Lista2"/>
      </w:pPr>
      <w:r>
        <w:t>such headings, if present, will replace the auto-generated heading, so it is recommended that you include the word “Translation” and a specification of the target language</w:t>
      </w:r>
    </w:p>
    <w:p w14:paraId="267809B8" w14:textId="6A0F160A">
      <w:pPr>
        <w:pStyle w:val="Lista"/>
      </w:pPr>
      <w:r>
        <w:t>when textparts (§</w:t>
      </w:r>
      <w:r>
        <w:fldChar w:fldCharType="begin"/>
      </w:r>
      <w:r>
        <w:instrText xml:space="preserve"> REF _Ref233277694 \r \h </w:instrText>
      </w:r>
      <w:r>
        <w:fldChar w:fldCharType="separate"/>
      </w:r>
      <w:r>
        <w:t>11.1.1</w:t>
      </w:r>
      <w:r>
        <w:fldChar w:fldCharType="end"/>
      </w:r>
      <w:r>
        <w:t>) or elements representing extrinsic structure (§</w:t>
      </w:r>
      <w:r>
        <w:fldChar w:fldCharType="begin"/>
      </w:r>
      <w:r>
        <w:instrText xml:space="preserve"> REF _Ref233279561 \r \h </w:instrText>
      </w:r>
      <w:r>
        <w:fldChar w:fldCharType="separate"/>
      </w:r>
      <w:r>
        <w:t>11.2.1</w:t>
      </w:r>
      <w:r>
        <w:fldChar w:fldCharType="end"/>
      </w:r>
      <w:r>
        <w:t xml:space="preserve">) are encoded in the translation, headings will be automatically generated from their attribute values or their </w:t>
      </w:r>
      <w:r>
        <w:rPr>
          <w:rStyle w:val="Code"/>
        </w:rPr>
        <w:t>&lt;head&gt;</w:t>
      </w:r>
      <w:r>
        <w:t xml:space="preserve"> or </w:t>
      </w:r>
      <w:r>
        <w:rPr>
          <w:rStyle w:val="Code"/>
        </w:rPr>
        <w:t>&lt;label&gt;</w:t>
      </w:r>
      <w:r>
        <w:t xml:space="preserve"> elements as in the edition</w:t>
      </w:r>
    </w:p>
    <w:p w14:paraId="6619AB50" w14:textId="77777777">
      <w:pPr>
        <w:pStyle w:val="Lista"/>
      </w:pPr>
      <w:r>
        <w:t xml:space="preserve">to add secondary headings to segments of a translation that do not correspond to a structural part of the edition, you may use the </w:t>
      </w:r>
      <w:r>
        <w:rPr>
          <w:rStyle w:val="Code"/>
        </w:rPr>
        <w:t>&lt;label&gt;</w:t>
      </w:r>
      <w:r>
        <w:t xml:space="preserve"> element at any arbitrary point between two </w:t>
      </w:r>
      <w:r>
        <w:rPr>
          <w:rStyle w:val="Code"/>
        </w:rPr>
        <w:t>&lt;p&gt;</w:t>
      </w:r>
      <w:r>
        <w:t xml:space="preserve"> elements</w:t>
      </w:r>
    </w:p>
    <w:p w14:paraId="01CE033E" w14:textId="77777777">
      <w:pPr>
        <w:pStyle w:val="Lista2"/>
      </w:pPr>
      <w:r>
        <w:t>these will be displayed as headings</w:t>
      </w:r>
    </w:p>
    <w:p w14:paraId="575F1992" w14:textId="77777777">
      <w:pPr>
        <w:pStyle w:val="Lista2"/>
      </w:pPr>
      <w:r>
        <w:t xml:space="preserve">the attribute </w:t>
      </w:r>
      <w:r>
        <w:rPr>
          <w:rStyle w:val="Codeattribute"/>
        </w:rPr>
        <w:t>@xml:lang</w:t>
      </w:r>
      <w:r>
        <w:t xml:space="preserve"> should only be added to this </w:t>
      </w:r>
      <w:r>
        <w:rPr>
          <w:rStyle w:val="Code"/>
        </w:rPr>
        <w:t>&lt;label&gt;</w:t>
      </w:r>
      <w:r>
        <w:t xml:space="preserve"> element if the label is in a different language than that of translation as a whole</w:t>
      </w:r>
    </w:p>
    <w:p w14:paraId="7664CAC8" w14:textId="77777777">
      <w:pPr>
        <w:pStyle w:val="Cmsor2"/>
      </w:pPr>
      <w:bookmarkStart w:id="856" w:name="_Ref182309743"/>
      <w:bookmarkStart w:id="857" w:name="_Toc242889607"/>
      <w:r>
        <w:t xml:space="preserve">Indicating correspondence to the </w:t>
      </w:r>
      <w:bookmarkEnd w:id="854"/>
      <w:bookmarkEnd w:id="856"/>
      <w:r>
        <w:t>source</w:t>
      </w:r>
      <w:bookmarkEnd w:id="857"/>
    </w:p>
    <w:p w14:paraId="13C45C36" w14:textId="77777777">
      <w:pPr>
        <w:rPr>
          <w:lang w:eastAsia="en-US" w:bidi="ar-SA"/>
        </w:rPr>
      </w:pPr>
      <w:r>
        <w:rPr>
          <w:lang w:eastAsia="en-US" w:bidi="ar-SA"/>
        </w:rPr>
        <w:t xml:space="preserve">Correspondence of segments of the translation to the source document shall normally be indicated in a loose, human-readable manner using the </w:t>
      </w:r>
      <w:r>
        <w:t xml:space="preserve">attribute </w:t>
      </w:r>
      <w:r>
        <w:rPr>
          <w:rStyle w:val="Codeattribute"/>
        </w:rPr>
        <w:t>@n</w:t>
      </w:r>
      <w:r>
        <w:t xml:space="preserve"> </w:t>
      </w:r>
      <w:r>
        <w:rPr>
          <w:lang w:eastAsia="en-US" w:bidi="ar-SA"/>
        </w:rPr>
        <w:t xml:space="preserve">on the </w:t>
      </w:r>
      <w:r>
        <w:rPr>
          <w:rStyle w:val="Code"/>
        </w:rPr>
        <w:t>&lt;p&gt;</w:t>
      </w:r>
      <w:r>
        <w:t xml:space="preserve"> elements of the translation as follows</w:t>
      </w:r>
      <w:r>
        <w:rPr>
          <w:lang w:eastAsia="en-US" w:bidi="ar-SA"/>
        </w:rPr>
        <w:t>.</w:t>
      </w:r>
    </w:p>
    <w:p w14:paraId="6F123957" w14:textId="77777777">
      <w:pPr>
        <w:pStyle w:val="Lista"/>
      </w:pPr>
      <w:r>
        <w:t>in short texts best translated as a single paragraph of prose, you may choose at your discretion to omit numbering</w:t>
      </w:r>
    </w:p>
    <w:p w14:paraId="292EA183" w14:textId="77777777">
      <w:pPr>
        <w:pStyle w:val="Lista"/>
      </w:pPr>
      <w:r>
        <w:t xml:space="preserve">for </w:t>
      </w:r>
      <w:r>
        <w:rPr>
          <w:rStyle w:val="Code"/>
        </w:rPr>
        <w:t>&lt;p&gt;</w:t>
      </w:r>
      <w:r>
        <w:t xml:space="preserve"> elements translating prose (i.e. corresponding to </w:t>
      </w:r>
      <w:r>
        <w:rPr>
          <w:rStyle w:val="Code"/>
        </w:rPr>
        <w:t>&lt;p&gt;</w:t>
      </w:r>
      <w:r>
        <w:t xml:space="preserve"> or </w:t>
      </w:r>
      <w:r>
        <w:rPr>
          <w:rStyle w:val="Code"/>
        </w:rPr>
        <w:t>&lt;ab&gt;</w:t>
      </w:r>
      <w:r>
        <w:t xml:space="preserve"> elements in the source), the value of </w:t>
      </w:r>
      <w:r>
        <w:rPr>
          <w:rStyle w:val="Codeattribute"/>
        </w:rPr>
        <w:t>@n</w:t>
      </w:r>
      <w:r>
        <w:t xml:space="preserve"> shall indicate line numbers, i.e. reflect the value(s) of </w:t>
      </w:r>
      <w:r>
        <w:rPr>
          <w:rStyle w:val="Codeattribute"/>
        </w:rPr>
        <w:t>@n</w:t>
      </w:r>
      <w:r>
        <w:t xml:space="preserve"> on the </w:t>
      </w:r>
      <w:r>
        <w:rPr>
          <w:rStyle w:val="Code"/>
        </w:rPr>
        <w:t>&lt;lb/&gt;</w:t>
      </w:r>
      <w:r>
        <w:t xml:space="preserve"> element(s) of the corresponding line(s) in the original </w:t>
      </w:r>
    </w:p>
    <w:p w14:paraId="7CF6EF6F" w14:textId="77777777">
      <w:pPr>
        <w:pStyle w:val="Lista2"/>
      </w:pPr>
      <w:r>
        <w:t>these numbers will be displayed as inline labels in the translation</w:t>
      </w:r>
    </w:p>
    <w:p w14:paraId="284C7527" w14:textId="77777777">
      <w:pPr>
        <w:pStyle w:val="Lista"/>
      </w:pPr>
      <w:r>
        <w:t xml:space="preserve">for </w:t>
      </w:r>
      <w:r>
        <w:rPr>
          <w:rStyle w:val="Code"/>
        </w:rPr>
        <w:t>&lt;p&gt;</w:t>
      </w:r>
      <w:r>
        <w:t xml:space="preserve"> elements translating verse (i.e. corresponding to </w:t>
      </w:r>
      <w:r>
        <w:rPr>
          <w:rStyle w:val="Code"/>
        </w:rPr>
        <w:t>&lt;lg&gt;</w:t>
      </w:r>
      <w:r>
        <w:t xml:space="preserve"> elements in the source), the value of </w:t>
      </w:r>
      <w:r>
        <w:rPr>
          <w:rStyle w:val="Codeattribute"/>
        </w:rPr>
        <w:t>@n</w:t>
      </w:r>
      <w:r>
        <w:t xml:space="preserve"> shall indicate stanza numbers, i.e. reflect the value(s) of </w:t>
      </w:r>
      <w:r>
        <w:rPr>
          <w:rStyle w:val="Codeattribute"/>
        </w:rPr>
        <w:t>@n</w:t>
      </w:r>
      <w:r>
        <w:t xml:space="preserve"> on the </w:t>
      </w:r>
      <w:r>
        <w:rPr>
          <w:rStyle w:val="Code"/>
        </w:rPr>
        <w:t>&lt;lg/&gt;</w:t>
      </w:r>
      <w:r>
        <w:t xml:space="preserve"> element(s) of the corresponding stanza(s) in the original</w:t>
      </w:r>
    </w:p>
    <w:p w14:paraId="18372E84" w14:textId="77777777">
      <w:pPr>
        <w:pStyle w:val="Lista2"/>
      </w:pPr>
      <w:r>
        <w:t xml:space="preserve">these numbers, distinguishable to the processing algorithm by the presence of </w:t>
      </w:r>
      <w:r>
        <w:rPr>
          <w:rStyle w:val="Codeattribute"/>
        </w:rPr>
        <w:t>@rend</w:t>
      </w:r>
      <w:r>
        <w:rPr>
          <w:rStyle w:val="Codetext"/>
        </w:rPr>
        <w:t>=</w:t>
      </w:r>
      <w:r>
        <w:rPr>
          <w:rStyle w:val="Codevalue"/>
        </w:rPr>
        <w:t>"stanza"</w:t>
      </w:r>
      <w:r>
        <w:t xml:space="preserve"> on the </w:t>
      </w:r>
      <w:r>
        <w:rPr>
          <w:rStyle w:val="Code"/>
        </w:rPr>
        <w:t>&lt;p&gt;</w:t>
      </w:r>
      <w:r>
        <w:t xml:space="preserve"> elements, will be shown in display as a heading for a numbered stanza</w:t>
      </w:r>
    </w:p>
    <w:p w14:paraId="18002D29" w14:textId="48D53850">
      <w:pPr>
        <w:pStyle w:val="Lista"/>
      </w:pPr>
      <w:r>
        <w:t xml:space="preserve">the acceptable values of </w:t>
      </w:r>
      <w:r>
        <w:rPr>
          <w:rStyle w:val="Codeattribute"/>
        </w:rPr>
        <w:t>@n</w:t>
      </w:r>
      <w:r>
        <w:t xml:space="preserve"> for both of the above are detailed in §</w:t>
      </w:r>
      <w:r>
        <w:fldChar w:fldCharType="begin"/>
      </w:r>
      <w:r>
        <w:instrText xml:space="preserve"> REF _Ref233620814 \r \h </w:instrText>
      </w:r>
      <w:r>
        <w:fldChar w:fldCharType="separate"/>
      </w:r>
      <w:r>
        <w:t>11.3.1</w:t>
      </w:r>
      <w:r>
        <w:fldChar w:fldCharType="end"/>
      </w:r>
      <w:r>
        <w:t xml:space="preserve"> and illustrated in </w:t>
      </w:r>
      <w:r>
        <w:fldChar w:fldCharType="begin"/>
      </w:r>
      <w:r>
        <w:instrText xml:space="preserve"> REF _Ref233282157 \h </w:instrText>
      </w:r>
      <w:r>
        <w:fldChar w:fldCharType="separate"/>
      </w:r>
      <w:r>
        <w:t xml:space="preserve">Exhibit </w:t>
      </w:r>
      <w:r>
        <w:rPr>
          <w:noProof/>
        </w:rPr>
        <w:t>11.3</w:t>
      </w:r>
      <w:r>
        <w:t>.</w:t>
      </w:r>
      <w:r>
        <w:rPr>
          <w:noProof/>
        </w:rPr>
        <w:t>A</w:t>
      </w:r>
      <w:r>
        <w:fldChar w:fldCharType="end"/>
      </w:r>
    </w:p>
    <w:p w14:paraId="59D14201" w14:textId="77777777">
      <w:pPr>
        <w:pStyle w:val="Cmsor3"/>
      </w:pPr>
      <w:bookmarkStart w:id="858" w:name="_Ref233620814"/>
      <w:bookmarkStart w:id="859" w:name="_Toc242889608"/>
      <w:r>
        <w:t>Referring to lines and stanzas of the source</w:t>
      </w:r>
      <w:bookmarkEnd w:id="858"/>
      <w:bookmarkEnd w:id="859"/>
    </w:p>
    <w:p w14:paraId="4BDDFE79" w14:textId="77777777">
      <w:pPr>
        <w:rPr>
          <w:lang w:eastAsia="en-US" w:bidi="ar-SA"/>
        </w:rPr>
      </w:pPr>
      <w:r>
        <w:rPr>
          <w:lang w:eastAsia="en-US" w:bidi="ar-SA"/>
        </w:rPr>
        <w:t xml:space="preserve">When using </w:t>
      </w:r>
      <w:r>
        <w:rPr>
          <w:rStyle w:val="Codeattribute"/>
        </w:rPr>
        <w:t>@n</w:t>
      </w:r>
      <w:r>
        <w:t xml:space="preserve"> </w:t>
      </w:r>
      <w:r>
        <w:rPr>
          <w:lang w:eastAsia="en-US" w:bidi="ar-SA"/>
        </w:rPr>
        <w:t xml:space="preserve">on the </w:t>
      </w:r>
      <w:r>
        <w:rPr>
          <w:rStyle w:val="Code"/>
        </w:rPr>
        <w:t>&lt;p&gt;</w:t>
      </w:r>
      <w:r>
        <w:t xml:space="preserve"> elements of the translation to refer to line or stanza numbers of the source, all of the following variations are permitted.</w:t>
      </w:r>
    </w:p>
    <w:p w14:paraId="1E784731" w14:textId="77777777">
      <w:pPr>
        <w:pStyle w:val="Lista"/>
      </w:pPr>
      <w:r>
        <w:t>single values, for a translation paragraph coterminous with or smaller than an epigraphic line or stanza of the source, e.g.</w:t>
      </w:r>
    </w:p>
    <w:p w14:paraId="074FF779" w14:textId="77777777">
      <w:pPr>
        <w:pStyle w:val="Lista2"/>
      </w:pPr>
      <w:r>
        <w:rPr>
          <w:rStyle w:val="Code"/>
        </w:rPr>
        <w:t xml:space="preserve">&lt;p </w:t>
      </w:r>
      <w:r>
        <w:rPr>
          <w:rStyle w:val="Codeattribute"/>
        </w:rPr>
        <w:t>n</w:t>
      </w:r>
      <w:r>
        <w:rPr>
          <w:rStyle w:val="Codetext"/>
        </w:rPr>
        <w:t>=</w:t>
      </w:r>
      <w:r>
        <w:rPr>
          <w:rStyle w:val="Codevalue"/>
        </w:rPr>
        <w:t>"1"</w:t>
      </w:r>
      <w:r>
        <w:rPr>
          <w:rStyle w:val="Code"/>
        </w:rPr>
        <w:t>&gt;</w:t>
      </w:r>
      <w:r>
        <w:t xml:space="preserve"> a paragraph translating prose that begins and ends within line 1 (without necessarily taking up all of line 1)</w:t>
      </w:r>
    </w:p>
    <w:p w14:paraId="21D59A2D" w14:textId="77777777">
      <w:pPr>
        <w:pStyle w:val="Lista2"/>
      </w:pPr>
      <w:r>
        <w:rPr>
          <w:rStyle w:val="Code"/>
        </w:rPr>
        <w:t xml:space="preserve">&lt;p </w:t>
      </w:r>
      <w:r>
        <w:rPr>
          <w:rStyle w:val="Codeattribute"/>
        </w:rPr>
        <w:t>rend</w:t>
      </w:r>
      <w:r>
        <w:rPr>
          <w:rStyle w:val="Codetext"/>
        </w:rPr>
        <w:t>=</w:t>
      </w:r>
      <w:r>
        <w:rPr>
          <w:rStyle w:val="Codevalue"/>
        </w:rPr>
        <w:t>"stanza"</w:t>
      </w:r>
      <w:r>
        <w:rPr>
          <w:rStyle w:val="Code"/>
        </w:rPr>
        <w:t xml:space="preserve"> </w:t>
      </w:r>
      <w:r>
        <w:rPr>
          <w:rStyle w:val="Codeattribute"/>
        </w:rPr>
        <w:t>n</w:t>
      </w:r>
      <w:r>
        <w:rPr>
          <w:rStyle w:val="Codetext"/>
        </w:rPr>
        <w:t>=</w:t>
      </w:r>
      <w:r>
        <w:rPr>
          <w:rStyle w:val="Codevalue"/>
        </w:rPr>
        <w:t>"6"</w:t>
      </w:r>
      <w:r>
        <w:rPr>
          <w:rStyle w:val="Code"/>
        </w:rPr>
        <w:t>&gt;</w:t>
      </w:r>
      <w:r>
        <w:t xml:space="preserve"> a paragraph translating verse that begins and ends within stanza 6 (usually, but not necessarily, taking up all of stanza 6)</w:t>
      </w:r>
    </w:p>
    <w:p w14:paraId="1A887330" w14:textId="77777777">
      <w:pPr>
        <w:pStyle w:val="Lista"/>
      </w:pPr>
      <w:r>
        <w:t>a range of values separated by a hyphen, for a translation paragraph corresponding to text that begins in one line or stanza and ends in a different, subsequent line or stanza, e.g.</w:t>
      </w:r>
    </w:p>
    <w:p w14:paraId="7FB7ACCF" w14:textId="566620C3">
      <w:pPr>
        <w:pStyle w:val="Lista2"/>
      </w:pPr>
      <w:r>
        <w:rPr>
          <w:rStyle w:val="Code"/>
        </w:rPr>
        <w:t xml:space="preserve">&lt;p </w:t>
      </w:r>
      <w:r>
        <w:rPr>
          <w:rStyle w:val="Codeattribute"/>
        </w:rPr>
        <w:t>n</w:t>
      </w:r>
      <w:r>
        <w:rPr>
          <w:rStyle w:val="Codetext"/>
        </w:rPr>
        <w:t>=</w:t>
      </w:r>
      <w:r>
        <w:rPr>
          <w:rStyle w:val="Codevalue"/>
        </w:rPr>
        <w:t>"1-3"</w:t>
      </w:r>
      <w:r>
        <w:rPr>
          <w:rStyle w:val="Code"/>
        </w:rPr>
        <w:t>&gt;</w:t>
      </w:r>
      <w:r>
        <w:t xml:space="preserve"> a paragraph translating prose located in lines 1 to 3 (not necessarily from the beginning of line 1 to the end of line 3)</w:t>
      </w:r>
    </w:p>
    <w:p w14:paraId="446D8021" w14:textId="77777777">
      <w:pPr>
        <w:pStyle w:val="Lista2"/>
      </w:pPr>
      <w:r>
        <w:rPr>
          <w:rStyle w:val="Code"/>
        </w:rPr>
        <w:lastRenderedPageBreak/>
        <w:t xml:space="preserve">&lt;p </w:t>
      </w:r>
      <w:r>
        <w:rPr>
          <w:rStyle w:val="Codeattribute"/>
        </w:rPr>
        <w:t>rend</w:t>
      </w:r>
      <w:r>
        <w:rPr>
          <w:rStyle w:val="Codetext"/>
        </w:rPr>
        <w:t>=</w:t>
      </w:r>
      <w:r>
        <w:rPr>
          <w:rStyle w:val="Codevalue"/>
        </w:rPr>
        <w:t>"stanza"</w:t>
      </w:r>
      <w:r>
        <w:rPr>
          <w:rStyle w:val="Code"/>
        </w:rPr>
        <w:t xml:space="preserve"> </w:t>
      </w:r>
      <w:r>
        <w:rPr>
          <w:rStyle w:val="Codeattribute"/>
        </w:rPr>
        <w:t>n</w:t>
      </w:r>
      <w:r>
        <w:rPr>
          <w:rStyle w:val="Codetext"/>
        </w:rPr>
        <w:t>=</w:t>
      </w:r>
      <w:r>
        <w:rPr>
          <w:rStyle w:val="Codevalue"/>
        </w:rPr>
        <w:t>"8-9"</w:t>
      </w:r>
      <w:r>
        <w:rPr>
          <w:rStyle w:val="Code"/>
        </w:rPr>
        <w:t>&gt;</w:t>
      </w:r>
      <w:r>
        <w:t xml:space="preserve"> a single paragraph translating verse that begins in stanza 8 and ends in stanza 9 (usually, but not necessarily, corresponding to the full text of both stanzas)</w:t>
      </w:r>
    </w:p>
    <w:p w14:paraId="37D94070" w14:textId="77777777">
      <w:pPr>
        <w:pStyle w:val="Lista"/>
      </w:pPr>
      <w:r>
        <w:t>a set of values delimited by commas and spaces, for a translation paragraph corresponding to text found in two or more non-contiguous lines or stanzas of the source, e.g.</w:t>
      </w:r>
    </w:p>
    <w:p w14:paraId="2489E959" w14:textId="77777777">
      <w:pPr>
        <w:pStyle w:val="Lista2"/>
      </w:pPr>
      <w:r>
        <w:rPr>
          <w:rStyle w:val="Code"/>
        </w:rPr>
        <w:t xml:space="preserve">&lt;p </w:t>
      </w:r>
      <w:r>
        <w:rPr>
          <w:rStyle w:val="Codeattribute"/>
        </w:rPr>
        <w:t>n</w:t>
      </w:r>
      <w:r>
        <w:rPr>
          <w:rStyle w:val="Codetext"/>
        </w:rPr>
        <w:t>=</w:t>
      </w:r>
      <w:r>
        <w:rPr>
          <w:rStyle w:val="Codevalue"/>
        </w:rPr>
        <w:t>"1, 3"</w:t>
      </w:r>
      <w:r>
        <w:rPr>
          <w:rStyle w:val="Code"/>
        </w:rPr>
        <w:t>&gt;</w:t>
      </w:r>
      <w:r>
        <w:t xml:space="preserve"> a paragraph translating prose from lines 1 and 3 </w:t>
      </w:r>
      <w:r>
        <w:rPr>
          <w:noProof/>
        </w:rPr>
        <w:t>(</w:t>
      </w:r>
      <w:r>
        <w:t>but not 2)</w:t>
      </w:r>
    </w:p>
    <w:p w14:paraId="59C9BAF2" w14:textId="77777777">
      <w:pPr>
        <w:pStyle w:val="Lista2"/>
      </w:pPr>
      <w:r>
        <w:rPr>
          <w:rStyle w:val="Code"/>
        </w:rPr>
        <w:t xml:space="preserve">&lt;p </w:t>
      </w:r>
      <w:r>
        <w:rPr>
          <w:rStyle w:val="Codeattribute"/>
        </w:rPr>
        <w:t>rend</w:t>
      </w:r>
      <w:r>
        <w:rPr>
          <w:rStyle w:val="Codetext"/>
        </w:rPr>
        <w:t>=</w:t>
      </w:r>
      <w:r>
        <w:rPr>
          <w:rStyle w:val="Codevalue"/>
        </w:rPr>
        <w:t>"stanza"</w:t>
      </w:r>
      <w:r>
        <w:rPr>
          <w:rStyle w:val="Code"/>
        </w:rPr>
        <w:t xml:space="preserve"> </w:t>
      </w:r>
      <w:r>
        <w:rPr>
          <w:rStyle w:val="Codeattribute"/>
        </w:rPr>
        <w:t>n</w:t>
      </w:r>
      <w:r>
        <w:rPr>
          <w:rStyle w:val="Codetext"/>
        </w:rPr>
        <w:t>=</w:t>
      </w:r>
      <w:r>
        <w:rPr>
          <w:rStyle w:val="Codevalue"/>
        </w:rPr>
        <w:t>"8, 10"</w:t>
      </w:r>
      <w:r>
        <w:rPr>
          <w:rStyle w:val="Code"/>
        </w:rPr>
        <w:t>&gt;</w:t>
      </w:r>
      <w:r>
        <w:t xml:space="preserve"> a paragraph translating </w:t>
      </w:r>
      <w:r>
        <w:rPr>
          <w:noProof/>
        </w:rPr>
        <w:t>(</w:t>
      </w:r>
      <w:r>
        <w:t>parts of) stanzas 8 and 10 together</w:t>
      </w:r>
    </w:p>
    <w:p w14:paraId="2B15B7EC" w14:textId="77777777">
      <w:pPr>
        <w:pStyle w:val="Lista"/>
      </w:pPr>
      <w:r>
        <w:t>all of these references are for human readers and are not meant to be machine-actionable, therefore</w:t>
      </w:r>
    </w:p>
    <w:p w14:paraId="7B3DA2AF" w14:textId="77777777">
      <w:pPr>
        <w:pStyle w:val="Lista2"/>
      </w:pPr>
      <w:r>
        <w:t>feel free to refer to larger ranges of lines or to several stanzas for passages best translated in larger chunks</w:t>
      </w:r>
    </w:p>
    <w:p w14:paraId="06971E7F" w14:textId="77777777">
      <w:pPr>
        <w:pStyle w:val="Lista2"/>
      </w:pPr>
      <w:r>
        <w:t>feel free to refer to the same line or stanza number in several translation elements, each of which includes parts of a single line or stanza of the original</w:t>
      </w:r>
    </w:p>
    <w:p w14:paraId="6E79989E" w14:textId="77777777"/>
    <w:tbl>
      <w:tblPr>
        <w:tblStyle w:val="CodeSampleTable"/>
        <w:tblW w:w="5000" w:type="pct"/>
        <w:tblLook w:val="04A0" w:firstRow="1" w:lastRow="0" w:firstColumn="1" w:lastColumn="0" w:noHBand="0" w:noVBand="1"/>
      </w:tblPr>
      <w:tblGrid>
        <w:gridCol w:w="9628"/>
      </w:tblGrid>
      <w:tr w14:paraId="53C6B76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9E0E53A" w14:textId="2ABFB158">
            <w:pPr>
              <w:pStyle w:val="Kpalrs"/>
            </w:pPr>
            <w:bookmarkStart w:id="860" w:name="_Ref233282157"/>
            <w:bookmarkStart w:id="861" w:name="_Ref233282153"/>
            <w:r>
              <w:t xml:space="preserve">Exhibit </w:t>
            </w:r>
            <w:fldSimple w:instr=" STYLEREF 2 \s ">
              <w:r>
                <w:rPr>
                  <w:noProof/>
                </w:rPr>
                <w:t>11.3</w:t>
              </w:r>
            </w:fldSimple>
            <w:r>
              <w:t>.</w:t>
            </w:r>
            <w:fldSimple w:instr=" SEQ Exhibit \* ALPHABETIC \s 2 ">
              <w:r>
                <w:rPr>
                  <w:noProof/>
                </w:rPr>
                <w:t>A</w:t>
              </w:r>
            </w:fldSimple>
            <w:bookmarkEnd w:id="860"/>
            <w:r>
              <w:t>: numbering in translation to indicate correspondence to the original</w:t>
            </w:r>
            <w:bookmarkEnd w:id="861"/>
          </w:p>
        </w:tc>
      </w:tr>
      <w:tr w14:paraId="3CEF4A60" w14:textId="77777777">
        <w:tc>
          <w:tcPr>
            <w:tcW w:w="5000" w:type="pct"/>
          </w:tcPr>
          <w:p w14:paraId="09773314" w14:textId="77777777">
            <w:pPr>
              <w:pStyle w:val="CodeParagraph"/>
            </w:pPr>
            <w:r>
              <w:rPr>
                <w:rStyle w:val="Code"/>
              </w:rPr>
              <w:t xml:space="preserve">&lt;div </w:t>
            </w:r>
            <w:r>
              <w:rPr>
                <w:rStyle w:val="Codeattribute"/>
              </w:rPr>
              <w:t>type</w:t>
            </w:r>
            <w:r>
              <w:rPr>
                <w:rStyle w:val="Code"/>
              </w:rPr>
              <w:t>=</w:t>
            </w:r>
            <w:r>
              <w:rPr>
                <w:rStyle w:val="Codevalue"/>
              </w:rPr>
              <w:t>"translation"</w:t>
            </w:r>
            <w:r>
              <w:rPr>
                <w:rStyle w:val="Code"/>
              </w:rPr>
              <w:t>&gt;</w:t>
            </w:r>
            <w:r>
              <w:rPr>
                <w:rStyle w:val="Codetext"/>
              </w:rPr>
              <w:br/>
              <w:t xml:space="preserve">  </w:t>
            </w:r>
            <w:r>
              <w:rPr>
                <w:rStyle w:val="Code"/>
              </w:rPr>
              <w:t xml:space="preserve">&lt;p </w:t>
            </w:r>
            <w:r>
              <w:rPr>
                <w:rStyle w:val="Codeattribute"/>
              </w:rPr>
              <w:t>n</w:t>
            </w:r>
            <w:r>
              <w:rPr>
                <w:rStyle w:val="Code"/>
              </w:rPr>
              <w:t>=</w:t>
            </w:r>
            <w:r>
              <w:rPr>
                <w:rStyle w:val="Codevalue"/>
              </w:rPr>
              <w:t>"1-9"</w:t>
            </w:r>
            <w:r>
              <w:rPr>
                <w:rStyle w:val="Code"/>
              </w:rPr>
              <w:t>&gt;</w:t>
            </w:r>
            <w:r>
              <w:rPr>
                <w:rStyle w:val="Codetext"/>
              </w:rPr>
              <w:t xml:space="preserve">Hail! From the victorious [...] </w:t>
            </w:r>
            <w:r>
              <w:rPr>
                <w:rStyle w:val="Code"/>
              </w:rPr>
              <w:t>&lt;/p&gt;</w:t>
            </w:r>
            <w:r>
              <w:rPr>
                <w:rStyle w:val="Codetext"/>
              </w:rPr>
              <w:br/>
              <w:t xml:space="preserve">  </w:t>
            </w:r>
            <w:r>
              <w:rPr>
                <w:rStyle w:val="Code"/>
              </w:rPr>
              <w:t xml:space="preserve">&lt;p </w:t>
            </w:r>
            <w:r>
              <w:rPr>
                <w:rStyle w:val="Codeattribute"/>
              </w:rPr>
              <w:t>n</w:t>
            </w:r>
            <w:r>
              <w:rPr>
                <w:rStyle w:val="Code"/>
              </w:rPr>
              <w:t>=</w:t>
            </w:r>
            <w:r>
              <w:rPr>
                <w:rStyle w:val="Codevalue"/>
              </w:rPr>
              <w:t>"9-15"</w:t>
            </w:r>
            <w:r>
              <w:rPr>
                <w:rStyle w:val="Code"/>
              </w:rPr>
              <w:t>&gt;</w:t>
            </w:r>
            <w:r>
              <w:rPr>
                <w:rStyle w:val="Codetext"/>
              </w:rPr>
              <w:t xml:space="preserve">There is this village [...] </w:t>
            </w:r>
            <w:r>
              <w:rPr>
                <w:rStyle w:val="Code"/>
              </w:rPr>
              <w:t>&lt;/p&gt;</w:t>
            </w:r>
            <w:r>
              <w:rPr>
                <w:rStyle w:val="Codetext"/>
              </w:rPr>
              <w:br/>
              <w:t xml:space="preserve">  </w:t>
            </w:r>
            <w:r>
              <w:rPr>
                <w:rStyle w:val="Code"/>
              </w:rPr>
              <w:t xml:space="preserve">&lt;p </w:t>
            </w:r>
            <w:r>
              <w:rPr>
                <w:rStyle w:val="Codeattribute"/>
              </w:rPr>
              <w:t>n</w:t>
            </w:r>
            <w:r>
              <w:rPr>
                <w:rStyle w:val="Code"/>
              </w:rPr>
              <w:t>=</w:t>
            </w:r>
            <w:r>
              <w:rPr>
                <w:rStyle w:val="Codevalue"/>
              </w:rPr>
              <w:t>"15-17"</w:t>
            </w:r>
            <w:r>
              <w:rPr>
                <w:rStyle w:val="Code"/>
              </w:rPr>
              <w:t>&gt;</w:t>
            </w:r>
            <w:r>
              <w:rPr>
                <w:rStyle w:val="Codetext"/>
              </w:rPr>
              <w:t xml:space="preserve">In the first year [...] </w:t>
            </w:r>
            <w:r>
              <w:rPr>
                <w:rStyle w:val="Code"/>
              </w:rPr>
              <w:t>&lt;/p&gt;</w:t>
            </w:r>
            <w:r>
              <w:rPr>
                <w:rStyle w:val="Codetext"/>
              </w:rPr>
              <w:t xml:space="preserve"> </w:t>
            </w:r>
            <w:r>
              <w:rPr>
                <w:rStyle w:val="Codetext"/>
              </w:rPr>
              <w:br/>
              <w:t xml:space="preserve">  </w:t>
            </w:r>
            <w:r>
              <w:rPr>
                <w:rStyle w:val="Code"/>
              </w:rPr>
              <w:t xml:space="preserve">&lt;p </w:t>
            </w:r>
            <w:r>
              <w:rPr>
                <w:rStyle w:val="Codeattribute"/>
              </w:rPr>
              <w:t>rend</w:t>
            </w:r>
            <w:r>
              <w:rPr>
                <w:rStyle w:val="Code"/>
              </w:rPr>
              <w:t>=</w:t>
            </w:r>
            <w:r>
              <w:rPr>
                <w:rStyle w:val="Codevalue"/>
              </w:rPr>
              <w:t>"stanza"</w:t>
            </w:r>
            <w:r>
              <w:rPr>
                <w:rStyle w:val="Code"/>
              </w:rPr>
              <w:t xml:space="preserve"> </w:t>
            </w:r>
            <w:r>
              <w:rPr>
                <w:rStyle w:val="Codeattribute"/>
              </w:rPr>
              <w:t>n</w:t>
            </w:r>
            <w:r>
              <w:rPr>
                <w:rStyle w:val="Code"/>
              </w:rPr>
              <w:t>=</w:t>
            </w:r>
            <w:r>
              <w:rPr>
                <w:rStyle w:val="Codevalue"/>
              </w:rPr>
              <w:t>"1"</w:t>
            </w:r>
            <w:r>
              <w:rPr>
                <w:rStyle w:val="Code"/>
              </w:rPr>
              <w:t>&gt;</w:t>
            </w:r>
            <w:r>
              <w:rPr>
                <w:rStyle w:val="Codetext"/>
              </w:rPr>
              <w:t>By numerous kings, many times land has been given. Whoever holds land at a given moment, to him does the fruit then belong.</w:t>
            </w:r>
            <w:r>
              <w:rPr>
                <w:rStyle w:val="Code"/>
              </w:rPr>
              <w:t>&lt;/p&gt;</w:t>
            </w:r>
            <w:r>
              <w:rPr>
                <w:rStyle w:val="Codetext"/>
              </w:rPr>
              <w:br/>
            </w:r>
            <w:r>
              <w:rPr>
                <w:rStyle w:val="Code"/>
              </w:rPr>
              <w:t>&lt;/div&gt;</w:t>
            </w:r>
          </w:p>
        </w:tc>
      </w:tr>
    </w:tbl>
    <w:p w14:paraId="430522FC" w14:textId="77777777"/>
    <w:p w14:paraId="371BFCC8" w14:textId="77777777">
      <w:pPr>
        <w:pStyle w:val="Cmsor2"/>
      </w:pPr>
      <w:bookmarkStart w:id="862" w:name="_1959vvmyvc8" w:colFirst="0" w:colLast="0"/>
      <w:bookmarkStart w:id="863" w:name="_Ref233640670"/>
      <w:bookmarkStart w:id="864" w:name="_Ref43990269"/>
      <w:bookmarkStart w:id="865" w:name="_Ref151371819"/>
      <w:bookmarkStart w:id="866" w:name="_Toc242889609"/>
      <w:bookmarkEnd w:id="862"/>
      <w:r>
        <w:t>Markup within translations</w:t>
      </w:r>
      <w:bookmarkEnd w:id="863"/>
      <w:bookmarkEnd w:id="866"/>
    </w:p>
    <w:p w14:paraId="47BD5953" w14:textId="77777777">
      <w:r>
        <w:t xml:space="preserve">Within the text (i.e. within the </w:t>
      </w:r>
      <w:r>
        <w:rPr>
          <w:rStyle w:val="Code"/>
        </w:rPr>
        <w:t>&lt;p&gt;</w:t>
      </w:r>
      <w:r>
        <w:t xml:space="preserve"> elements) of the translation, all of the encoding methods listed in this section are available, but no other encoding may be used. Keep in mind that these encoding methods replace the text-based markup (such as brackets and asterisks) commonly used in scholarly translations. </w:t>
      </w:r>
    </w:p>
    <w:p w14:paraId="4618A8BB" w14:textId="77777777">
      <w:pPr>
        <w:pStyle w:val="Cmsor3"/>
      </w:pPr>
      <w:bookmarkStart w:id="867" w:name="_13vab39mftla" w:colFirst="0" w:colLast="0"/>
      <w:bookmarkStart w:id="868" w:name="_Ref233295189"/>
      <w:bookmarkStart w:id="869" w:name="_Toc242889610"/>
      <w:bookmarkEnd w:id="867"/>
      <w:r>
        <w:t>Globally available markup</w:t>
      </w:r>
      <w:bookmarkEnd w:id="868"/>
      <w:bookmarkEnd w:id="869"/>
    </w:p>
    <w:p w14:paraId="3B0DF722" w14:textId="45221202">
      <w:pPr>
        <w:rPr>
          <w:lang w:eastAsia="en-US" w:bidi="ar-SA"/>
        </w:rPr>
      </w:pPr>
      <w:r>
        <w:rPr>
          <w:lang w:eastAsia="en-US" w:bidi="ar-SA"/>
        </w:rPr>
        <w:t xml:space="preserve">Translations may include the </w:t>
      </w:r>
      <w:r>
        <w:t>globally permitted miscellaneous markup elements discussed in §</w:t>
      </w:r>
      <w:r>
        <w:fldChar w:fldCharType="begin"/>
      </w:r>
      <w:r>
        <w:instrText xml:space="preserve"> REF _Ref43990225 \w \h  \* MERGEFORMAT </w:instrText>
      </w:r>
      <w:r>
        <w:fldChar w:fldCharType="separate"/>
      </w:r>
      <w:r>
        <w:t>14</w:t>
      </w:r>
      <w:r>
        <w:fldChar w:fldCharType="end"/>
      </w:r>
      <w:r>
        <w:t xml:space="preserve">. These include in particular the element </w:t>
      </w:r>
      <w:r>
        <w:rPr>
          <w:rStyle w:val="Code"/>
        </w:rPr>
        <w:t>&lt;foreign&gt;</w:t>
      </w:r>
      <w:r>
        <w:t xml:space="preserve"> for marking up words or phrases in a different language as per §</w:t>
      </w:r>
      <w:r>
        <w:fldChar w:fldCharType="begin"/>
      </w:r>
      <w:r>
        <w:instrText xml:space="preserve"> REF _Ref43986658 \w \h  \* MERGEFORMAT </w:instrText>
      </w:r>
      <w:r>
        <w:fldChar w:fldCharType="separate"/>
      </w:r>
      <w:r>
        <w:t>14.4.2</w:t>
      </w:r>
      <w:r>
        <w:fldChar w:fldCharType="end"/>
      </w:r>
      <w:r>
        <w:t>. Because foreign words are common in translations, we summarise the key details here.</w:t>
      </w:r>
    </w:p>
    <w:p w14:paraId="21CEAE18" w14:textId="77777777">
      <w:pPr>
        <w:pStyle w:val="Lista"/>
      </w:pPr>
      <w:r>
        <w:t xml:space="preserve">all words in a language other than the language of the translation must be tagged as </w:t>
      </w:r>
      <w:r>
        <w:rPr>
          <w:rStyle w:val="Code"/>
        </w:rPr>
        <w:t>&lt;foreign&gt;</w:t>
      </w:r>
    </w:p>
    <w:p w14:paraId="10F980ED" w14:textId="77777777">
      <w:pPr>
        <w:pStyle w:val="Lista"/>
      </w:pPr>
      <w:r>
        <w:t xml:space="preserve">words in a relevant source language do not require the attribute </w:t>
      </w:r>
      <w:r>
        <w:rPr>
          <w:rStyle w:val="Codeattribute"/>
        </w:rPr>
        <w:t>@xml:lang</w:t>
      </w:r>
      <w:r>
        <w:t>, but words in another modern language do</w:t>
      </w:r>
    </w:p>
    <w:p w14:paraId="4ED3AC09" w14:textId="77777777">
      <w:pPr>
        <w:pStyle w:val="Lista"/>
      </w:pPr>
      <w:r>
        <w:t>source-language words generally appear in translations in the following ways</w:t>
      </w:r>
    </w:p>
    <w:p w14:paraId="297BA7FE" w14:textId="77777777">
      <w:pPr>
        <w:pStyle w:val="Lista2"/>
      </w:pPr>
      <w:r>
        <w:t>as technical terms which are not translated at all and thus require no additional markup</w:t>
      </w:r>
    </w:p>
    <w:p w14:paraId="07E88322" w14:textId="77777777">
      <w:pPr>
        <w:pStyle w:val="Lista3"/>
      </w:pPr>
      <w:r>
        <w:t xml:space="preserve">e.g. </w:t>
      </w:r>
      <w:r>
        <w:rPr>
          <w:rStyle w:val="Codetext"/>
        </w:rPr>
        <w:t xml:space="preserve">one </w:t>
      </w:r>
      <w:r>
        <w:rPr>
          <w:rStyle w:val="Code"/>
        </w:rPr>
        <w:t>&lt;foreign&gt;</w:t>
      </w:r>
      <w:r>
        <w:rPr>
          <w:rStyle w:val="Codetext"/>
        </w:rPr>
        <w:t>kulyavāpa</w:t>
      </w:r>
      <w:r>
        <w:rPr>
          <w:rStyle w:val="Code"/>
        </w:rPr>
        <w:t>&lt;/foreign&gt;</w:t>
      </w:r>
      <w:r>
        <w:rPr>
          <w:rStyle w:val="Codetext"/>
        </w:rPr>
        <w:t xml:space="preserve"> of land</w:t>
      </w:r>
    </w:p>
    <w:p w14:paraId="7DFB6A3E" w14:textId="3E21CD29">
      <w:pPr>
        <w:pStyle w:val="Lista2"/>
      </w:pPr>
      <w:r>
        <w:t>as words of the source inserted for clarification as explanatory additions as per §</w:t>
      </w:r>
      <w:r>
        <w:fldChar w:fldCharType="begin"/>
      </w:r>
      <w:r>
        <w:instrText xml:space="preserve"> REF _Ref233288292 \r \h </w:instrText>
      </w:r>
      <w:r>
        <w:fldChar w:fldCharType="separate"/>
      </w:r>
      <w:r>
        <w:t>11.4.2.2</w:t>
      </w:r>
      <w:r>
        <w:fldChar w:fldCharType="end"/>
      </w:r>
    </w:p>
    <w:p w14:paraId="3127C3E3" w14:textId="72613C12">
      <w:pPr>
        <w:pStyle w:val="Lista2"/>
      </w:pPr>
      <w:r>
        <w:t>as unintelligible text that is not translated, represented by a gap accompanied by an explanatory addition as per §</w:t>
      </w:r>
      <w:r>
        <w:fldChar w:fldCharType="begin"/>
      </w:r>
      <w:r>
        <w:instrText xml:space="preserve"> REF _Ref233295555 \r \h </w:instrText>
      </w:r>
      <w:r>
        <w:fldChar w:fldCharType="separate"/>
      </w:r>
      <w:r>
        <w:t>11.4.3.2</w:t>
      </w:r>
      <w:r>
        <w:fldChar w:fldCharType="end"/>
      </w:r>
    </w:p>
    <w:p w14:paraId="5D929C93" w14:textId="77777777">
      <w:pPr>
        <w:pStyle w:val="Cmsor3"/>
      </w:pPr>
      <w:bookmarkStart w:id="870" w:name="_Ref233295943"/>
      <w:bookmarkStart w:id="871" w:name="_Toc242889611"/>
      <w:r>
        <w:t>Supplied text in the translation</w:t>
      </w:r>
      <w:bookmarkEnd w:id="864"/>
      <w:bookmarkEnd w:id="870"/>
      <w:bookmarkEnd w:id="871"/>
    </w:p>
    <w:p w14:paraId="5C8DADAF" w14:textId="3B7F158F">
      <w:r>
        <w:t xml:space="preserve">Words, phrases and other chunks of text present in the translation that do not correspond to anything in the source text as received shall as a rule be tagged with the element </w:t>
      </w:r>
      <w:r>
        <w:rPr>
          <w:rStyle w:val="Code"/>
        </w:rPr>
        <w:t>&lt;supplied&gt;</w:t>
      </w:r>
      <w:r>
        <w:t xml:space="preserve">. The usage of this element is illustrated in in </w:t>
      </w:r>
      <w:r>
        <w:fldChar w:fldCharType="begin"/>
      </w:r>
      <w:r>
        <w:instrText xml:space="preserve"> REF _Ref233286760 \h </w:instrText>
      </w:r>
      <w:r>
        <w:fldChar w:fldCharType="separate"/>
      </w:r>
      <w:r>
        <w:t xml:space="preserve">Exhibit </w:t>
      </w:r>
      <w:r>
        <w:rPr>
          <w:noProof/>
        </w:rPr>
        <w:t>13.3</w:t>
      </w:r>
      <w:r>
        <w:t>.</w:t>
      </w:r>
      <w:r>
        <w:rPr>
          <w:noProof/>
        </w:rPr>
        <w:t>B</w:t>
      </w:r>
      <w:r>
        <w:fldChar w:fldCharType="end"/>
      </w:r>
      <w:r>
        <w:t>.</w:t>
      </w:r>
    </w:p>
    <w:p w14:paraId="424CFD33" w14:textId="77777777">
      <w:pPr>
        <w:pStyle w:val="Lista"/>
      </w:pPr>
      <w:r>
        <w:t xml:space="preserve">in the translation division, </w:t>
      </w:r>
      <w:r>
        <w:rPr>
          <w:rStyle w:val="Code"/>
        </w:rPr>
        <w:t>&lt;supplied&gt;</w:t>
      </w:r>
      <w:r>
        <w:t xml:space="preserve"> shall be used with the following attributes:</w:t>
      </w:r>
    </w:p>
    <w:p w14:paraId="1E9A5337" w14:textId="77777777">
      <w:pPr>
        <w:pStyle w:val="Lista2"/>
      </w:pPr>
      <w:r>
        <w:t xml:space="preserve">mandatorily, </w:t>
      </w:r>
      <w:r>
        <w:rPr>
          <w:rStyle w:val="Codeattribute"/>
        </w:rPr>
        <w:t>@reason</w:t>
      </w:r>
      <w:r>
        <w:t xml:space="preserve"> to indicate the nature of the editorial addition, as outlined in the following subsections </w:t>
      </w:r>
    </w:p>
    <w:p w14:paraId="2177159C" w14:textId="42BBF02F">
      <w:pPr>
        <w:pStyle w:val="Lista2"/>
      </w:pPr>
      <w:r>
        <w:t xml:space="preserve">as applicable, </w:t>
      </w:r>
      <w:r>
        <w:rPr>
          <w:rStyle w:val="Codeattribute"/>
        </w:rPr>
        <w:t>@cert</w:t>
      </w:r>
      <w:r>
        <w:rPr>
          <w:rStyle w:val="Code"/>
        </w:rPr>
        <w:t>=</w:t>
      </w:r>
      <w:r>
        <w:rPr>
          <w:rStyle w:val="Codevalue"/>
        </w:rPr>
        <w:t>"low"</w:t>
      </w:r>
      <w:r>
        <w:t xml:space="preserve"> to segments supplied tentatively (cf. §</w:t>
      </w:r>
      <w:r>
        <w:fldChar w:fldCharType="begin"/>
      </w:r>
      <w:r>
        <w:instrText xml:space="preserve"> REF _Ref233988179 \r \h </w:instrText>
      </w:r>
      <w:r>
        <w:fldChar w:fldCharType="separate"/>
      </w:r>
      <w:r>
        <w:t>11.4.4</w:t>
      </w:r>
      <w:r>
        <w:fldChar w:fldCharType="end"/>
      </w:r>
      <w:r>
        <w:t>)</w:t>
      </w:r>
    </w:p>
    <w:p w14:paraId="7084D716" w14:textId="77777777"/>
    <w:tbl>
      <w:tblPr>
        <w:tblStyle w:val="CodeSampleTable"/>
        <w:tblW w:w="5000" w:type="pct"/>
        <w:tblLook w:val="04A0" w:firstRow="1" w:lastRow="0" w:firstColumn="1" w:lastColumn="0" w:noHBand="0" w:noVBand="1"/>
      </w:tblPr>
      <w:tblGrid>
        <w:gridCol w:w="9628"/>
      </w:tblGrid>
      <w:tr w14:paraId="2FB7364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33C69E5" w14:textId="10964A23">
            <w:pPr>
              <w:pStyle w:val="Kpalrs"/>
            </w:pPr>
            <w:r>
              <w:lastRenderedPageBreak/>
              <w:t xml:space="preserve">Exhibit </w:t>
            </w:r>
            <w:fldSimple w:instr=" STYLEREF 2 \s ">
              <w:r>
                <w:rPr>
                  <w:noProof/>
                </w:rPr>
                <w:t>11.4</w:t>
              </w:r>
            </w:fldSimple>
            <w:r>
              <w:t>.</w:t>
            </w:r>
            <w:fldSimple w:instr=" SEQ Exhibit \* ALPHABETIC \s 2 ">
              <w:r>
                <w:rPr>
                  <w:noProof/>
                </w:rPr>
                <w:t>A</w:t>
              </w:r>
            </w:fldSimple>
            <w:r>
              <w:t>: phrase-level markup in translation</w:t>
            </w:r>
          </w:p>
        </w:tc>
      </w:tr>
      <w:tr w14:paraId="523200C4" w14:textId="77777777">
        <w:tc>
          <w:tcPr>
            <w:tcW w:w="5000" w:type="pct"/>
          </w:tcPr>
          <w:p w14:paraId="22A94111" w14:textId="77777777">
            <w:pPr>
              <w:pStyle w:val="CodeParagraph"/>
            </w:pPr>
            <w:r>
              <w:rPr>
                <w:rStyle w:val="Code"/>
              </w:rPr>
              <w:t xml:space="preserve">&lt;div </w:t>
            </w:r>
            <w:r>
              <w:rPr>
                <w:rStyle w:val="Codeattribute"/>
              </w:rPr>
              <w:t>type</w:t>
            </w:r>
            <w:r>
              <w:rPr>
                <w:rStyle w:val="Code"/>
              </w:rPr>
              <w:t>=</w:t>
            </w:r>
            <w:r>
              <w:rPr>
                <w:rStyle w:val="Codevalue"/>
              </w:rPr>
              <w:t>"translation"</w:t>
            </w:r>
            <w:r>
              <w:rPr>
                <w:rStyle w:val="Code"/>
              </w:rPr>
              <w:t>&gt;</w:t>
            </w:r>
            <w:r>
              <w:rPr>
                <w:rStyle w:val="Codetext"/>
              </w:rPr>
              <w:br/>
            </w:r>
            <w:r>
              <w:rPr>
                <w:rStyle w:val="Code"/>
              </w:rPr>
              <w:t xml:space="preserve">  &lt;p&gt;</w:t>
            </w:r>
            <w:r>
              <w:rPr>
                <w:rStyle w:val="Codetext"/>
              </w:rPr>
              <w:t xml:space="preserve">Indeed </w:t>
            </w:r>
            <w:r>
              <w:rPr>
                <w:rStyle w:val="Code"/>
              </w:rPr>
              <w:t xml:space="preserve">&lt;supplied </w:t>
            </w:r>
            <w:r>
              <w:rPr>
                <w:rStyle w:val="Codeattribute"/>
              </w:rPr>
              <w:t>reason</w:t>
            </w:r>
            <w:r>
              <w:rPr>
                <w:rStyle w:val="Code"/>
              </w:rPr>
              <w:t>=</w:t>
            </w:r>
            <w:r>
              <w:rPr>
                <w:rStyle w:val="Codevalue"/>
              </w:rPr>
              <w:t>"explanation"</w:t>
            </w:r>
            <w:r>
              <w:rPr>
                <w:rStyle w:val="Code"/>
              </w:rPr>
              <w:t>&gt;&lt;foreign&gt;</w:t>
            </w:r>
            <w:r>
              <w:rPr>
                <w:rStyle w:val="Codetext"/>
              </w:rPr>
              <w:t>asti</w:t>
            </w:r>
            <w:r>
              <w:rPr>
                <w:rStyle w:val="Code"/>
              </w:rPr>
              <w:t>&lt;/foreign&gt;&lt;/supplied&gt;</w:t>
            </w:r>
            <w:r>
              <w:rPr>
                <w:rStyle w:val="Codetext"/>
              </w:rPr>
              <w:t xml:space="preserve">, with respect to vendible properties in this division, the sale of </w:t>
            </w:r>
            <w:r>
              <w:rPr>
                <w:rStyle w:val="Code"/>
              </w:rPr>
              <w:t xml:space="preserve">&lt;supplied </w:t>
            </w:r>
            <w:r>
              <w:rPr>
                <w:rStyle w:val="Codeattribute"/>
              </w:rPr>
              <w:t>reason</w:t>
            </w:r>
            <w:r>
              <w:rPr>
                <w:rStyle w:val="Code"/>
              </w:rPr>
              <w:t>=</w:t>
            </w:r>
            <w:r>
              <w:rPr>
                <w:rStyle w:val="Codevalue"/>
              </w:rPr>
              <w:t>"explanation"</w:t>
            </w:r>
            <w:r>
              <w:rPr>
                <w:rStyle w:val="Code"/>
              </w:rPr>
              <w:t>&gt;</w:t>
            </w:r>
            <w:r>
              <w:rPr>
                <w:rStyle w:val="Codetext"/>
              </w:rPr>
              <w:t xml:space="preserve">a </w:t>
            </w:r>
            <w:r>
              <w:rPr>
                <w:rStyle w:val="Code"/>
              </w:rPr>
              <w:t>&lt;foreign&gt;</w:t>
            </w:r>
            <w:r>
              <w:rPr>
                <w:rStyle w:val="Codetext"/>
              </w:rPr>
              <w:t>kulyavāpa</w:t>
            </w:r>
            <w:r>
              <w:rPr>
                <w:rStyle w:val="Code"/>
              </w:rPr>
              <w:t>&lt;/foreign&gt;</w:t>
            </w:r>
            <w:r>
              <w:rPr>
                <w:rStyle w:val="Codetext"/>
              </w:rPr>
              <w:t xml:space="preserve"> of</w:t>
            </w:r>
            <w:r>
              <w:rPr>
                <w:rStyle w:val="Code"/>
              </w:rPr>
              <w:t>&lt;/supplied&gt;</w:t>
            </w:r>
            <w:r>
              <w:rPr>
                <w:rStyle w:val="Codetext"/>
              </w:rPr>
              <w:t xml:space="preserve"> waste land that is without revenue charges and yields no tax, to be enjoyed in perpetuity in accordance with the law on permanent endowments, is customary for one hundred </w:t>
            </w:r>
            <w:r>
              <w:rPr>
                <w:rStyle w:val="Code"/>
              </w:rPr>
              <w:t>&lt;foreign&gt;</w:t>
            </w:r>
            <w:r>
              <w:rPr>
                <w:rStyle w:val="Codetext"/>
              </w:rPr>
              <w:t>kārṣāpaṇa</w:t>
            </w:r>
            <w:r>
              <w:rPr>
                <w:rStyle w:val="Code"/>
              </w:rPr>
              <w:t>&lt;/foreign&gt;</w:t>
            </w:r>
            <w:r>
              <w:rPr>
                <w:rStyle w:val="Codetext"/>
              </w:rPr>
              <w:t xml:space="preserve">s. And no conflict of interest </w:t>
            </w:r>
            <w:r>
              <w:rPr>
                <w:rStyle w:val="Code"/>
              </w:rPr>
              <w:t xml:space="preserve">&lt;supplied </w:t>
            </w:r>
            <w:r>
              <w:rPr>
                <w:rStyle w:val="Codeattribute"/>
              </w:rPr>
              <w:t>reason</w:t>
            </w:r>
            <w:r>
              <w:rPr>
                <w:rStyle w:val="Code"/>
              </w:rPr>
              <w:t>=</w:t>
            </w:r>
            <w:r>
              <w:rPr>
                <w:rStyle w:val="Codevalue"/>
              </w:rPr>
              <w:t>"explanation"</w:t>
            </w:r>
            <w:r>
              <w:rPr>
                <w:rStyle w:val="Code"/>
              </w:rPr>
              <w:t>&gt;&lt;foreign&gt;</w:t>
            </w:r>
            <w:r>
              <w:rPr>
                <w:rStyle w:val="Codetext"/>
              </w:rPr>
              <w:t>virodha</w:t>
            </w:r>
            <w:r>
              <w:rPr>
                <w:rStyle w:val="Code"/>
              </w:rPr>
              <w:t>&lt;/foreign&gt;&lt;/supplied&gt;</w:t>
            </w:r>
            <w:r>
              <w:rPr>
                <w:rStyle w:val="Codetext"/>
              </w:rPr>
              <w:t xml:space="preserve"> whatsoever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will result</w:t>
            </w:r>
            <w:r>
              <w:rPr>
                <w:rStyle w:val="Code"/>
              </w:rPr>
              <w:t>&lt;/supplied&gt;</w:t>
            </w:r>
            <w:r>
              <w:rPr>
                <w:rStyle w:val="Codetext"/>
              </w:rPr>
              <w:t xml:space="preserve"> through its sale: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on the contrary,</w:t>
            </w:r>
            <w:r>
              <w:rPr>
                <w:rStyle w:val="Code"/>
              </w:rPr>
              <w:t>&lt;/supplied&gt;</w:t>
            </w:r>
            <w:r>
              <w:rPr>
                <w:rStyle w:val="Codetext"/>
              </w:rPr>
              <w:t xml:space="preserve"> for His Majesty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there will be</w:t>
            </w:r>
            <w:r>
              <w:rPr>
                <w:rStyle w:val="Code"/>
              </w:rPr>
              <w:t>&lt;/supplied&gt;</w:t>
            </w:r>
            <w:r>
              <w:rPr>
                <w:rStyle w:val="Codetext"/>
              </w:rPr>
              <w:t xml:space="preserve"> increase of wealth and attainment of one sixth of the merit.</w:t>
            </w:r>
            <w:r>
              <w:rPr>
                <w:rStyle w:val="Code"/>
              </w:rPr>
              <w:t>&lt;/p&gt;</w:t>
            </w:r>
            <w:r>
              <w:rPr>
                <w:rStyle w:val="Codetext"/>
              </w:rPr>
              <w:br/>
            </w:r>
            <w:r>
              <w:rPr>
                <w:rStyle w:val="Code"/>
              </w:rPr>
              <w:t>&lt;/div&gt;</w:t>
            </w:r>
          </w:p>
        </w:tc>
      </w:tr>
    </w:tbl>
    <w:p w14:paraId="63544601" w14:textId="77777777"/>
    <w:p w14:paraId="330E764C" w14:textId="77777777">
      <w:pPr>
        <w:pStyle w:val="Cmsor4"/>
      </w:pPr>
      <w:bookmarkStart w:id="872" w:name="_Ref233289446"/>
      <w:r>
        <w:t>Essential additions</w:t>
      </w:r>
      <w:bookmarkEnd w:id="872"/>
    </w:p>
    <w:p w14:paraId="4CDD0498" w14:textId="4B74C9FB">
      <w:pPr>
        <w:rPr>
          <w:lang w:eastAsia="en-US" w:bidi="ar-SA"/>
        </w:rPr>
      </w:pPr>
      <w:r>
        <w:rPr>
          <w:lang w:eastAsia="en-US" w:bidi="ar-SA"/>
        </w:rPr>
        <w:t>By essential additions we mean words which are not present in the source but have been added to a translation because the syntax of the target language requires them, or because they improve the fluency or clarity of the text in the target language. Unlike explanatory additions (§</w:t>
      </w:r>
      <w:r>
        <w:rPr>
          <w:lang w:eastAsia="en-US" w:bidi="ar-SA"/>
        </w:rPr>
        <w:fldChar w:fldCharType="begin"/>
      </w:r>
      <w:r>
        <w:rPr>
          <w:lang w:eastAsia="en-US" w:bidi="ar-SA"/>
        </w:rPr>
        <w:instrText xml:space="preserve"> REF _Ref233288292 \r \h </w:instrText>
      </w:r>
      <w:r>
        <w:rPr>
          <w:lang w:eastAsia="en-US" w:bidi="ar-SA"/>
        </w:rPr>
      </w:r>
      <w:r>
        <w:rPr>
          <w:lang w:eastAsia="en-US" w:bidi="ar-SA"/>
        </w:rPr>
        <w:fldChar w:fldCharType="separate"/>
      </w:r>
      <w:r>
        <w:rPr>
          <w:lang w:eastAsia="en-US" w:bidi="ar-SA"/>
        </w:rPr>
        <w:t>11.4.2.2</w:t>
      </w:r>
      <w:r>
        <w:rPr>
          <w:lang w:eastAsia="en-US" w:bidi="ar-SA"/>
        </w:rPr>
        <w:fldChar w:fldCharType="end"/>
      </w:r>
      <w:r>
        <w:rPr>
          <w:lang w:eastAsia="en-US" w:bidi="ar-SA"/>
        </w:rPr>
        <w:t>), essential additions are an integral part of the text in the target language. Such additions are often indicated in scholarly translations by square brackets, and this is how they will be displayed in our system.</w:t>
      </w:r>
    </w:p>
    <w:p w14:paraId="560623E4" w14:textId="77777777">
      <w:pPr>
        <w:pStyle w:val="Normlbehzs"/>
        <w:rPr>
          <w:lang w:eastAsia="en-US" w:bidi="ar-SA"/>
        </w:rPr>
      </w:pPr>
      <w:r>
        <w:rPr>
          <w:lang w:eastAsia="en-US" w:bidi="ar-SA"/>
        </w:rPr>
        <w:t>As DHARMA translations are expected to sound natural in the target language and to prioritise readability over meticulousness, there is no requirement to mark up every minor essential addition such as articles, conjunctions and pronouns.</w:t>
      </w:r>
    </w:p>
    <w:p w14:paraId="449BD884" w14:textId="77777777">
      <w:pPr>
        <w:pStyle w:val="Lista"/>
      </w:pPr>
      <w:r>
        <w:t xml:space="preserve">for </w:t>
      </w:r>
      <w:r>
        <w:rPr>
          <w:lang w:eastAsia="en-US" w:bidi="ar-SA"/>
        </w:rPr>
        <w:t>essential</w:t>
      </w:r>
      <w:r>
        <w:t xml:space="preserve"> additions in the translation, use </w:t>
      </w:r>
      <w:r>
        <w:rPr>
          <w:rStyle w:val="Code"/>
        </w:rPr>
        <w:t xml:space="preserve">&lt;supplied </w:t>
      </w:r>
      <w:r>
        <w:rPr>
          <w:rStyle w:val="Codeattribute"/>
        </w:rPr>
        <w:t>reason</w:t>
      </w:r>
      <w:r>
        <w:rPr>
          <w:rStyle w:val="Code"/>
        </w:rPr>
        <w:t>=</w:t>
      </w:r>
      <w:r>
        <w:rPr>
          <w:rStyle w:val="Codevalue"/>
        </w:rPr>
        <w:t>"subaudible"</w:t>
      </w:r>
      <w:r>
        <w:rPr>
          <w:rStyle w:val="Code"/>
        </w:rPr>
        <w:t>&gt;</w:t>
      </w:r>
      <w:r>
        <w:t>, for example</w:t>
      </w:r>
    </w:p>
    <w:p w14:paraId="29CE0F01" w14:textId="77777777">
      <w:pPr>
        <w:pStyle w:val="Lista2"/>
        <w:rPr>
          <w:rStyle w:val="Code"/>
          <w:rFonts w:ascii="Gentium" w:hAnsi="Gentium" w:cs="Tiro Devanagari Sanskrit"/>
          <w:noProof w:val="0"/>
          <w:color w:val="auto"/>
          <w:shd w:val="clear" w:color="auto" w:fill="auto"/>
        </w:rPr>
      </w:pPr>
      <w:r>
        <w:rPr>
          <w:rStyle w:val="Code"/>
        </w:rPr>
        <w:t>&lt;p&gt;</w:t>
      </w:r>
      <w:r>
        <w:rPr>
          <w:rStyle w:val="Codetext"/>
        </w:rPr>
        <w:t xml:space="preserve">He was generous to his subjects and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therefore</w:t>
      </w:r>
      <w:r>
        <w:rPr>
          <w:rStyle w:val="Code"/>
        </w:rPr>
        <w:t>&lt;/supplied&gt;</w:t>
      </w:r>
      <w:r>
        <w:rPr>
          <w:rStyle w:val="Codetext"/>
        </w:rPr>
        <w:t xml:space="preserve"> loved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by them</w:t>
      </w:r>
      <w:r>
        <w:rPr>
          <w:rStyle w:val="Code"/>
        </w:rPr>
        <w:t xml:space="preserve">&lt;/supplied&gt; </w:t>
      </w:r>
      <w:r>
        <w:rPr>
          <w:rStyle w:val="Codetext"/>
        </w:rPr>
        <w:t xml:space="preserve">... </w:t>
      </w:r>
      <w:r>
        <w:rPr>
          <w:rStyle w:val="Code"/>
        </w:rPr>
        <w:t>&lt;/p&gt;</w:t>
      </w:r>
    </w:p>
    <w:p w14:paraId="6122650A" w14:textId="68A7FDE6">
      <w:pPr>
        <w:pStyle w:val="Lista"/>
      </w:pPr>
      <w:r>
        <w:t>as per §</w:t>
      </w:r>
      <w:r>
        <w:fldChar w:fldCharType="begin"/>
      </w:r>
      <w:r>
        <w:instrText xml:space="preserve"> REF _Ref233988179 \r \h </w:instrText>
      </w:r>
      <w:r>
        <w:fldChar w:fldCharType="separate"/>
      </w:r>
      <w:r>
        <w:t>11.4.4</w:t>
      </w:r>
      <w:r>
        <w:fldChar w:fldCharType="end"/>
      </w:r>
      <w:r>
        <w:t xml:space="preserve">, distinguish tentative additions by using </w:t>
      </w:r>
      <w:r>
        <w:rPr>
          <w:rStyle w:val="Codeattribute"/>
        </w:rPr>
        <w:t>@cert</w:t>
      </w:r>
      <w:r>
        <w:rPr>
          <w:rStyle w:val="Code"/>
        </w:rPr>
        <w:t>=</w:t>
      </w:r>
      <w:r>
        <w:rPr>
          <w:rStyle w:val="Codevalue"/>
        </w:rPr>
        <w:t>"low"</w:t>
      </w:r>
      <w:r>
        <w:t xml:space="preserve"> </w:t>
      </w:r>
    </w:p>
    <w:p w14:paraId="7F8B1C00" w14:textId="77777777">
      <w:pPr>
        <w:pStyle w:val="Cmsor4"/>
      </w:pPr>
      <w:bookmarkStart w:id="873" w:name="_Ref233288292"/>
      <w:r>
        <w:t>Explanatory additions</w:t>
      </w:r>
      <w:bookmarkEnd w:id="873"/>
    </w:p>
    <w:p w14:paraId="16BE375F" w14:textId="7C05C10B">
      <w:pPr>
        <w:rPr>
          <w:lang w:eastAsia="en-US" w:bidi="ar-SA"/>
        </w:rPr>
      </w:pPr>
      <w:r>
        <w:rPr>
          <w:lang w:eastAsia="en-US" w:bidi="ar-SA"/>
        </w:rPr>
        <w:t>By explanatory additions we mean words which are not present in the source but have been added to a translation in order to clarify, elaborate or disambiguate the meaning (or your interpretation) of another word or phrase in the translation. Unlike essential additions (§</w:t>
      </w:r>
      <w:r>
        <w:rPr>
          <w:lang w:eastAsia="en-US" w:bidi="ar-SA"/>
        </w:rPr>
        <w:fldChar w:fldCharType="begin"/>
      </w:r>
      <w:r>
        <w:rPr>
          <w:lang w:eastAsia="en-US" w:bidi="ar-SA"/>
        </w:rPr>
        <w:instrText xml:space="preserve"> REF _Ref233289446 \r \h </w:instrText>
      </w:r>
      <w:r>
        <w:rPr>
          <w:lang w:eastAsia="en-US" w:bidi="ar-SA"/>
        </w:rPr>
      </w:r>
      <w:r>
        <w:rPr>
          <w:lang w:eastAsia="en-US" w:bidi="ar-SA"/>
        </w:rPr>
        <w:fldChar w:fldCharType="separate"/>
      </w:r>
      <w:r>
        <w:rPr>
          <w:lang w:eastAsia="en-US" w:bidi="ar-SA"/>
        </w:rPr>
        <w:t>11.4.2.1</w:t>
      </w:r>
      <w:r>
        <w:rPr>
          <w:lang w:eastAsia="en-US" w:bidi="ar-SA"/>
        </w:rPr>
        <w:fldChar w:fldCharType="end"/>
      </w:r>
      <w:r>
        <w:rPr>
          <w:lang w:eastAsia="en-US" w:bidi="ar-SA"/>
        </w:rPr>
        <w:t>), explanatory additions need not be an integral part of the text in the target language (though they may be set up to be readable without interruption). Such additions are often indicated in scholarly translations by round parentheses, and this is how they will be displayed in our system.</w:t>
      </w:r>
    </w:p>
    <w:p w14:paraId="1A5EE54C" w14:textId="77777777">
      <w:pPr>
        <w:pStyle w:val="Lista"/>
      </w:pPr>
      <w:r>
        <w:t xml:space="preserve">for explanatory additions to the translation, use </w:t>
      </w:r>
      <w:r>
        <w:rPr>
          <w:rStyle w:val="Code"/>
        </w:rPr>
        <w:t xml:space="preserve">&lt;supplied </w:t>
      </w:r>
      <w:r>
        <w:rPr>
          <w:rStyle w:val="Codeattribute"/>
        </w:rPr>
        <w:t>reason</w:t>
      </w:r>
      <w:r>
        <w:rPr>
          <w:rStyle w:val="Code"/>
        </w:rPr>
        <w:t>=</w:t>
      </w:r>
      <w:r>
        <w:rPr>
          <w:rStyle w:val="Codevalue"/>
        </w:rPr>
        <w:t>"explanation"</w:t>
      </w:r>
      <w:r>
        <w:rPr>
          <w:rStyle w:val="Code"/>
        </w:rPr>
        <w:t>&gt;</w:t>
      </w:r>
      <w:r>
        <w:t>, for example</w:t>
      </w:r>
    </w:p>
    <w:p w14:paraId="458F4769" w14:textId="77777777">
      <w:pPr>
        <w:pStyle w:val="Lista2"/>
      </w:pPr>
      <w:r>
        <w:rPr>
          <w:rStyle w:val="Code"/>
        </w:rPr>
        <w:t>&lt;p&gt;</w:t>
      </w:r>
      <w:r>
        <w:rPr>
          <w:rStyle w:val="Codetext"/>
        </w:rPr>
        <w:t xml:space="preserve">... devotion to </w:t>
      </w:r>
      <w:r>
        <w:rPr>
          <w:rStyle w:val="Code"/>
        </w:rPr>
        <w:t xml:space="preserve">&lt;supplied </w:t>
      </w:r>
      <w:r>
        <w:rPr>
          <w:rStyle w:val="Codeattribute"/>
        </w:rPr>
        <w:t>reason</w:t>
      </w:r>
      <w:r>
        <w:rPr>
          <w:rStyle w:val="Code"/>
        </w:rPr>
        <w:t>=</w:t>
      </w:r>
      <w:r>
        <w:rPr>
          <w:rStyle w:val="Codevalue"/>
        </w:rPr>
        <w:t>"explanation"</w:t>
      </w:r>
      <w:r>
        <w:rPr>
          <w:rStyle w:val="Code"/>
        </w:rPr>
        <w:t>&gt;</w:t>
      </w:r>
      <w:r>
        <w:rPr>
          <w:rStyle w:val="Codetext"/>
        </w:rPr>
        <w:t>Viṣṇu</w:t>
      </w:r>
      <w:r>
        <w:rPr>
          <w:rStyle w:val="Code"/>
        </w:rPr>
        <w:t>&lt;/supplied&gt;</w:t>
      </w:r>
      <w:r>
        <w:rPr>
          <w:rStyle w:val="Codetext"/>
        </w:rPr>
        <w:t xml:space="preserve"> the bearer of the discus and the mace ... </w:t>
      </w:r>
      <w:r>
        <w:rPr>
          <w:rStyle w:val="Code"/>
        </w:rPr>
        <w:t>&lt;/p&gt;</w:t>
      </w:r>
      <w:r>
        <w:t xml:space="preserve"> </w:t>
      </w:r>
    </w:p>
    <w:p w14:paraId="24B366D4" w14:textId="77777777">
      <w:pPr>
        <w:pStyle w:val="Lista2"/>
      </w:pPr>
      <w:r>
        <w:rPr>
          <w:rStyle w:val="Codetext"/>
        </w:rPr>
        <w:t xml:space="preserve">in order to protect her </w:t>
      </w:r>
      <w:r>
        <w:rPr>
          <w:rStyle w:val="Code"/>
        </w:rPr>
        <w:t xml:space="preserve">&lt;supplied </w:t>
      </w:r>
      <w:r>
        <w:rPr>
          <w:rStyle w:val="Codeattribute"/>
        </w:rPr>
        <w:t>reason=</w:t>
      </w:r>
      <w:r>
        <w:rPr>
          <w:rStyle w:val="Codevalue"/>
        </w:rPr>
        <w:t>"explanation"</w:t>
      </w:r>
      <w:r>
        <w:rPr>
          <w:rStyle w:val="Code"/>
        </w:rPr>
        <w:t>&gt;</w:t>
      </w:r>
      <w:r>
        <w:rPr>
          <w:rStyle w:val="Codetext"/>
        </w:rPr>
        <w:t>the earth</w:t>
      </w:r>
      <w:r>
        <w:rPr>
          <w:rStyle w:val="Code"/>
        </w:rPr>
        <w:t>&lt;/supplied&gt;</w:t>
      </w:r>
      <w:r>
        <w:rPr>
          <w:rStyle w:val="Codetext"/>
        </w:rPr>
        <w:t xml:space="preserve"> with his arms ...</w:t>
      </w:r>
      <w:r>
        <w:t xml:space="preserve"> </w:t>
      </w:r>
    </w:p>
    <w:p w14:paraId="117CAB22" w14:textId="77777777">
      <w:pPr>
        <w:pStyle w:val="Lista"/>
      </w:pPr>
      <w:r>
        <w:t>when words of the source language are added next to a translated word in order to highlight the specific terminology of the source or to help the reader match parts of the translation to parts of a difficult or ambiguous passage, these are also explanatory additions</w:t>
      </w:r>
    </w:p>
    <w:p w14:paraId="76BE0234" w14:textId="37A83455">
      <w:pPr>
        <w:pStyle w:val="Lista2"/>
      </w:pPr>
      <w:r>
        <w:t>as per §</w:t>
      </w:r>
      <w:r>
        <w:fldChar w:fldCharType="begin"/>
      </w:r>
      <w:r>
        <w:instrText xml:space="preserve"> REF _Ref233295189 \r \h </w:instrText>
      </w:r>
      <w:r>
        <w:fldChar w:fldCharType="separate"/>
      </w:r>
      <w:r>
        <w:t>11.4.1</w:t>
      </w:r>
      <w:r>
        <w:fldChar w:fldCharType="end"/>
      </w:r>
      <w:r>
        <w:t xml:space="preserve">, such additions must be encoded as </w:t>
      </w:r>
      <w:r>
        <w:rPr>
          <w:rStyle w:val="Code"/>
        </w:rPr>
        <w:t>&lt;foreign&gt;</w:t>
      </w:r>
      <w:r>
        <w:t xml:space="preserve"> in addition to being encoded as explanatory additions</w:t>
      </w:r>
    </w:p>
    <w:p w14:paraId="72677056" w14:textId="77777777">
      <w:pPr>
        <w:pStyle w:val="Lista2"/>
      </w:pPr>
      <w:r>
        <w:t xml:space="preserve">e.g. </w:t>
      </w:r>
      <w:r>
        <w:rPr>
          <w:rStyle w:val="Code"/>
        </w:rPr>
        <w:t>&lt;p&gt;</w:t>
      </w:r>
      <w:r>
        <w:rPr>
          <w:rStyle w:val="Codetext"/>
        </w:rPr>
        <w:t xml:space="preserve">Homage to that thousand-headed Person </w:t>
      </w:r>
      <w:r>
        <w:rPr>
          <w:rStyle w:val="Code"/>
        </w:rPr>
        <w:t xml:space="preserve">&lt;supplied </w:t>
      </w:r>
      <w:r>
        <w:rPr>
          <w:rStyle w:val="Codeattribute"/>
        </w:rPr>
        <w:t>reason</w:t>
      </w:r>
      <w:r>
        <w:rPr>
          <w:rStyle w:val="Code"/>
        </w:rPr>
        <w:t>=</w:t>
      </w:r>
      <w:r>
        <w:rPr>
          <w:rStyle w:val="Codevalue"/>
        </w:rPr>
        <w:t>"explanation"</w:t>
      </w:r>
      <w:r>
        <w:rPr>
          <w:rStyle w:val="Code"/>
        </w:rPr>
        <w:t>&gt;&lt;foreign&gt;</w:t>
      </w:r>
      <w:r>
        <w:rPr>
          <w:rStyle w:val="Codetext"/>
        </w:rPr>
        <w:t>puruṣa</w:t>
      </w:r>
      <w:r>
        <w:rPr>
          <w:rStyle w:val="Code"/>
        </w:rPr>
        <w:t>&lt;/foreign&gt;&lt;/supplied&gt;</w:t>
      </w:r>
      <w:r>
        <w:rPr>
          <w:rStyle w:val="Codetext"/>
        </w:rPr>
        <w:t xml:space="preserve"> ... </w:t>
      </w:r>
      <w:r>
        <w:rPr>
          <w:rStyle w:val="Code"/>
        </w:rPr>
        <w:t>&lt;/p&gt;</w:t>
      </w:r>
    </w:p>
    <w:p w14:paraId="054D7F5E" w14:textId="6AF0B040">
      <w:pPr>
        <w:pStyle w:val="Lista"/>
      </w:pPr>
      <w:r>
        <w:t>as per §</w:t>
      </w:r>
      <w:r>
        <w:fldChar w:fldCharType="begin"/>
      </w:r>
      <w:r>
        <w:instrText xml:space="preserve"> REF _Ref233988179 \r \h </w:instrText>
      </w:r>
      <w:r>
        <w:fldChar w:fldCharType="separate"/>
      </w:r>
      <w:r>
        <w:t>11.4.4</w:t>
      </w:r>
      <w:r>
        <w:fldChar w:fldCharType="end"/>
      </w:r>
      <w:r>
        <w:t xml:space="preserve">, distinguish tentative additions by using </w:t>
      </w:r>
      <w:r>
        <w:rPr>
          <w:rStyle w:val="Codeattribute"/>
        </w:rPr>
        <w:t>@cert</w:t>
      </w:r>
      <w:r>
        <w:rPr>
          <w:rStyle w:val="Code"/>
        </w:rPr>
        <w:t>=</w:t>
      </w:r>
      <w:r>
        <w:rPr>
          <w:rStyle w:val="Codevalue"/>
        </w:rPr>
        <w:t>"low"</w:t>
      </w:r>
      <w:r>
        <w:t xml:space="preserve"> </w:t>
      </w:r>
    </w:p>
    <w:p w14:paraId="091BF0D3" w14:textId="77777777">
      <w:pPr>
        <w:pStyle w:val="Cmsor4"/>
      </w:pPr>
      <w:bookmarkStart w:id="874" w:name="_Ref233292320"/>
      <w:r>
        <w:lastRenderedPageBreak/>
        <w:t>Restoration of lost text</w:t>
      </w:r>
      <w:bookmarkEnd w:id="874"/>
    </w:p>
    <w:p w14:paraId="0FF2808F" w14:textId="420108FE">
      <w:pPr>
        <w:rPr>
          <w:b/>
          <w:bCs/>
          <w:lang w:eastAsia="en-US" w:bidi="ar-SA"/>
        </w:rPr>
      </w:pPr>
      <w:r>
        <w:rPr>
          <w:lang w:eastAsia="en-US" w:bidi="ar-SA"/>
        </w:rPr>
        <w:t xml:space="preserve">From the perspective of the translation, lost text is any meaningful and translatable segment that is not present in the source as received but which was presumably written and subsequently lost or rendered illegible. While restored text in a translation usually corresponds to text restored in the edition, this is not necessarily the case. On the one hand, lacunae smaller than words do not have to be indicated in translations, although you may choose to mark up parts of translated words (and especially of names in the translation) as restored when you deem this useful. Otherwise, either forgo markup altogether (if the lacuna is inconsequential) or mark up an entire translated word as supplied (if the lacuna is substantial). On the other hand, it is sometimes possible and expedient to restore key words or notions in the translation even where your edition does not include a restoration because the choice of synonym or phrasing used in the original text cannot be predicted. A translation may thus contain supplied text where an edition contains a </w:t>
      </w:r>
      <w:r>
        <w:rPr>
          <w:rStyle w:val="Code"/>
        </w:rPr>
        <w:t>&lt;gap&gt;</w:t>
      </w:r>
      <w:r>
        <w:t xml:space="preserve"> element instead of a restoration. In this latter case, the </w:t>
      </w:r>
      <w:r>
        <w:rPr>
          <w:rStyle w:val="Code"/>
        </w:rPr>
        <w:t>&lt;gap&gt;</w:t>
      </w:r>
      <w:r>
        <w:t xml:space="preserve"> element in the edition may be illegible rather than lost </w:t>
      </w:r>
      <w:r>
        <w:rPr>
          <w:lang w:eastAsia="en-US" w:bidi="ar-SA"/>
        </w:rPr>
        <w:t>(§</w:t>
      </w:r>
      <w:r>
        <w:rPr>
          <w:lang w:eastAsia="en-US" w:bidi="ar-SA"/>
        </w:rPr>
        <w:fldChar w:fldCharType="begin"/>
      </w:r>
      <w:r>
        <w:rPr>
          <w:lang w:eastAsia="en-US" w:bidi="ar-SA"/>
        </w:rPr>
        <w:instrText xml:space="preserve"> REF _Ref43987758 \r \h </w:instrText>
      </w:r>
      <w:r>
        <w:rPr>
          <w:lang w:eastAsia="en-US" w:bidi="ar-SA"/>
        </w:rPr>
      </w:r>
      <w:r>
        <w:rPr>
          <w:lang w:eastAsia="en-US" w:bidi="ar-SA"/>
        </w:rPr>
        <w:fldChar w:fldCharType="separate"/>
      </w:r>
      <w:r>
        <w:rPr>
          <w:lang w:eastAsia="en-US" w:bidi="ar-SA"/>
        </w:rPr>
        <w:t>6.5.1.1</w:t>
      </w:r>
      <w:r>
        <w:rPr>
          <w:lang w:eastAsia="en-US" w:bidi="ar-SA"/>
        </w:rPr>
        <w:fldChar w:fldCharType="end"/>
      </w:r>
      <w:r>
        <w:rPr>
          <w:lang w:eastAsia="en-US" w:bidi="ar-SA"/>
        </w:rPr>
        <w:t>), but the encoding for the two is identical in the translation.</w:t>
      </w:r>
    </w:p>
    <w:p w14:paraId="653AA060" w14:textId="77777777">
      <w:pPr>
        <w:pStyle w:val="Lista"/>
      </w:pPr>
      <w:r>
        <w:t xml:space="preserve">for lost text restored in the translation, use </w:t>
      </w:r>
      <w:r>
        <w:rPr>
          <w:rStyle w:val="Code"/>
        </w:rPr>
        <w:t xml:space="preserve">&lt;supplied </w:t>
      </w:r>
      <w:r>
        <w:rPr>
          <w:rStyle w:val="Codeattribute"/>
        </w:rPr>
        <w:t>reason</w:t>
      </w:r>
      <w:r>
        <w:rPr>
          <w:rStyle w:val="Code"/>
        </w:rPr>
        <w:t>=</w:t>
      </w:r>
      <w:r>
        <w:rPr>
          <w:rStyle w:val="Codevalue"/>
        </w:rPr>
        <w:t>"lost"</w:t>
      </w:r>
      <w:r>
        <w:rPr>
          <w:rStyle w:val="Code"/>
        </w:rPr>
        <w:t>&gt;</w:t>
      </w:r>
      <w:r>
        <w:t>, for example</w:t>
      </w:r>
    </w:p>
    <w:p w14:paraId="15276615" w14:textId="77777777">
      <w:pPr>
        <w:pStyle w:val="Lista2"/>
      </w:pPr>
      <w:r>
        <w:rPr>
          <w:rStyle w:val="Codetext"/>
        </w:rPr>
        <w:t xml:space="preserve">The truest of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kings</w:t>
      </w:r>
      <w:r>
        <w:rPr>
          <w:rStyle w:val="Code"/>
        </w:rPr>
        <w:t>&lt;/supplied&gt;</w:t>
      </w:r>
      <w:r>
        <w:rPr>
          <w:rStyle w:val="Codetext"/>
        </w:rPr>
        <w:t>...</w:t>
      </w:r>
      <w:r>
        <w:t xml:space="preserve"> </w:t>
      </w:r>
    </w:p>
    <w:p w14:paraId="2383F9FD" w14:textId="77777777">
      <w:pPr>
        <w:pStyle w:val="Lista3"/>
      </w:pPr>
      <w:r>
        <w:t xml:space="preserve">corresponding to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nr̥pa</w:t>
      </w:r>
      <w:r>
        <w:rPr>
          <w:rStyle w:val="Code"/>
        </w:rPr>
        <w:t>&lt;/supplied&gt;</w:t>
      </w:r>
      <w:r>
        <w:rPr>
          <w:rStyle w:val="Codetext"/>
        </w:rPr>
        <w:t>-sattamaḥ</w:t>
      </w:r>
      <w:r>
        <w:t xml:space="preserve"> in the edition</w:t>
      </w:r>
    </w:p>
    <w:p w14:paraId="191A27E5" w14:textId="77777777">
      <w:pPr>
        <w:pStyle w:val="Lista2"/>
      </w:pPr>
      <w:r>
        <w:t xml:space="preserve"> </w:t>
      </w:r>
      <w:r>
        <w:rPr>
          <w:rStyle w:val="Codetext"/>
        </w:rPr>
        <w:t xml:space="preserve">The village named Vaṭatīrtha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was granted</w:t>
      </w:r>
      <w:r>
        <w:rPr>
          <w:rStyle w:val="Code"/>
        </w:rPr>
        <w:t>&lt;/supplied&gt;</w:t>
      </w:r>
      <w:r>
        <w:rPr>
          <w:rStyle w:val="Codetext"/>
        </w:rPr>
        <w:t>...</w:t>
      </w:r>
      <w:r>
        <w:t xml:space="preserve"> </w:t>
      </w:r>
    </w:p>
    <w:p w14:paraId="1B792C86" w14:textId="77777777">
      <w:pPr>
        <w:pStyle w:val="Lista3"/>
      </w:pPr>
      <w:r>
        <w:t xml:space="preserve">corresponding to </w:t>
      </w:r>
      <w:r>
        <w:rPr>
          <w:rStyle w:val="Codetext"/>
        </w:rPr>
        <w:t xml:space="preserve">...vaṭatīrthaṁ nāma grāmaḥ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/&gt;</w:t>
      </w:r>
      <w:r>
        <w:t xml:space="preserve"> in the edition</w:t>
      </w:r>
    </w:p>
    <w:p w14:paraId="12ADCA3A" w14:textId="77777777">
      <w:pPr>
        <w:pStyle w:val="Lista3"/>
      </w:pPr>
      <w:r>
        <w:t xml:space="preserve">as well as to </w:t>
      </w:r>
      <w:r>
        <w:rPr>
          <w:rStyle w:val="Codetext"/>
        </w:rPr>
        <w:t xml:space="preserve">...vaṭatīrthaṁ nāma grāmaḥ </w:t>
      </w:r>
      <w:r>
        <w:rPr>
          <w:rStyle w:val="Code"/>
        </w:rPr>
        <w:t xml:space="preserve">&lt;gap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/&gt;</w:t>
      </w:r>
      <w:r>
        <w:t xml:space="preserve"> in the edition</w:t>
      </w:r>
    </w:p>
    <w:p w14:paraId="3033D9BB" w14:textId="1A8782C0">
      <w:pPr>
        <w:pStyle w:val="Lista"/>
      </w:pPr>
      <w:r>
        <w:t>as per §</w:t>
      </w:r>
      <w:r>
        <w:fldChar w:fldCharType="begin"/>
      </w:r>
      <w:r>
        <w:instrText xml:space="preserve"> REF _Ref233988179 \r \h </w:instrText>
      </w:r>
      <w:r>
        <w:fldChar w:fldCharType="separate"/>
      </w:r>
      <w:r>
        <w:t>11.4.4</w:t>
      </w:r>
      <w:r>
        <w:fldChar w:fldCharType="end"/>
      </w:r>
      <w:r>
        <w:t xml:space="preserve">, distinguish tentative restorations by using </w:t>
      </w:r>
      <w:r>
        <w:rPr>
          <w:rStyle w:val="Codeattribute"/>
        </w:rPr>
        <w:t>@cert</w:t>
      </w:r>
      <w:r>
        <w:rPr>
          <w:rStyle w:val="Code"/>
        </w:rPr>
        <w:t>=</w:t>
      </w:r>
      <w:r>
        <w:rPr>
          <w:rStyle w:val="Codevalue"/>
        </w:rPr>
        <w:t>"low"</w:t>
      </w:r>
      <w:r>
        <w:t xml:space="preserve"> </w:t>
      </w:r>
    </w:p>
    <w:p w14:paraId="5034996C" w14:textId="77777777">
      <w:pPr>
        <w:pStyle w:val="Cmsor4"/>
      </w:pPr>
      <w:r>
        <w:t>Restoration of omitted text</w:t>
      </w:r>
    </w:p>
    <w:p w14:paraId="0CEEB0CF" w14:textId="0147498B">
      <w:pPr>
        <w:rPr>
          <w:lang w:eastAsia="en-US" w:bidi="ar-SA"/>
        </w:rPr>
      </w:pPr>
      <w:r>
        <w:rPr>
          <w:lang w:eastAsia="en-US" w:bidi="ar-SA"/>
        </w:rPr>
        <w:t>From the perspective of the translation, omitted text is any meaningful and translatable segment that is not present in the source as received but, according to the editor, should have been written and was omitted due to scribal mistake. As with the restoration of lost text (§</w:t>
      </w:r>
      <w:r>
        <w:rPr>
          <w:lang w:eastAsia="en-US" w:bidi="ar-SA"/>
        </w:rPr>
        <w:fldChar w:fldCharType="begin"/>
      </w:r>
      <w:r>
        <w:rPr>
          <w:lang w:eastAsia="en-US" w:bidi="ar-SA"/>
        </w:rPr>
        <w:instrText xml:space="preserve"> REF _Ref233292320 \r \h </w:instrText>
      </w:r>
      <w:r>
        <w:rPr>
          <w:lang w:eastAsia="en-US" w:bidi="ar-SA"/>
        </w:rPr>
      </w:r>
      <w:r>
        <w:rPr>
          <w:lang w:eastAsia="en-US" w:bidi="ar-SA"/>
        </w:rPr>
        <w:fldChar w:fldCharType="separate"/>
      </w:r>
      <w:r>
        <w:rPr>
          <w:lang w:eastAsia="en-US" w:bidi="ar-SA"/>
        </w:rPr>
        <w:t>11.4.2.3</w:t>
      </w:r>
      <w:r>
        <w:rPr>
          <w:lang w:eastAsia="en-US" w:bidi="ar-SA"/>
        </w:rPr>
        <w:fldChar w:fldCharType="end"/>
      </w:r>
      <w:r>
        <w:rPr>
          <w:lang w:eastAsia="en-US" w:bidi="ar-SA"/>
        </w:rPr>
        <w:t>), omissions smaller than words do not necessarily require markup in translation, and words may be restored in a translation even if they are not restored in the edition.</w:t>
      </w:r>
    </w:p>
    <w:p w14:paraId="3C01B03E" w14:textId="77777777">
      <w:pPr>
        <w:pStyle w:val="Lista"/>
      </w:pPr>
      <w:r>
        <w:t xml:space="preserve">for omitted text restored in the translation, use </w:t>
      </w:r>
      <w:r>
        <w:rPr>
          <w:rStyle w:val="Code"/>
        </w:rPr>
        <w:t xml:space="preserve">&lt;supplied </w:t>
      </w:r>
      <w:r>
        <w:rPr>
          <w:rStyle w:val="Codeattribute"/>
        </w:rPr>
        <w:t>reason</w:t>
      </w:r>
      <w:r>
        <w:rPr>
          <w:rStyle w:val="Code"/>
        </w:rPr>
        <w:t>=</w:t>
      </w:r>
      <w:r>
        <w:rPr>
          <w:rStyle w:val="Codevalue"/>
        </w:rPr>
        <w:t>"omitted"</w:t>
      </w:r>
      <w:r>
        <w:rPr>
          <w:rStyle w:val="Code"/>
        </w:rPr>
        <w:t>&gt;</w:t>
      </w:r>
      <w:r>
        <w:t>, for example</w:t>
      </w:r>
    </w:p>
    <w:p w14:paraId="27D31976" w14:textId="77777777">
      <w:pPr>
        <w:pStyle w:val="Lista2"/>
      </w:pPr>
      <w:r>
        <w:rPr>
          <w:rStyle w:val="Codetext"/>
        </w:rPr>
        <w:t xml:space="preserve">The truest of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kings</w:t>
      </w:r>
      <w:r>
        <w:rPr>
          <w:rStyle w:val="Code"/>
        </w:rPr>
        <w:t>&lt;/supplied&gt;</w:t>
      </w:r>
      <w:r>
        <w:rPr>
          <w:rStyle w:val="Codetext"/>
        </w:rPr>
        <w:t>...</w:t>
      </w:r>
      <w:r>
        <w:t xml:space="preserve"> </w:t>
      </w:r>
    </w:p>
    <w:p w14:paraId="68847CA9" w14:textId="77777777">
      <w:pPr>
        <w:pStyle w:val="Lista3"/>
      </w:pPr>
      <w:r>
        <w:t xml:space="preserve">corresponding to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nr̥pa</w:t>
      </w:r>
      <w:r>
        <w:rPr>
          <w:rStyle w:val="Code"/>
        </w:rPr>
        <w:t>&lt;/supplied&gt;</w:t>
      </w:r>
      <w:r>
        <w:rPr>
          <w:rStyle w:val="Codetext"/>
        </w:rPr>
        <w:t>-sattamaḥ</w:t>
      </w:r>
      <w:r>
        <w:t xml:space="preserve"> in the edition</w:t>
      </w:r>
    </w:p>
    <w:p w14:paraId="3DAF5375" w14:textId="0AA90E3A">
      <w:pPr>
        <w:pStyle w:val="Lista"/>
      </w:pPr>
      <w:r>
        <w:t>as per §</w:t>
      </w:r>
      <w:r>
        <w:fldChar w:fldCharType="begin"/>
      </w:r>
      <w:r>
        <w:instrText xml:space="preserve"> REF _Ref233988179 \r \h </w:instrText>
      </w:r>
      <w:r>
        <w:fldChar w:fldCharType="separate"/>
      </w:r>
      <w:r>
        <w:t>11.4.4</w:t>
      </w:r>
      <w:r>
        <w:fldChar w:fldCharType="end"/>
      </w:r>
      <w:r>
        <w:t xml:space="preserve">, distinguish tentative restorations by using </w:t>
      </w:r>
      <w:r>
        <w:rPr>
          <w:rStyle w:val="Codeattribute"/>
        </w:rPr>
        <w:t>@cert</w:t>
      </w:r>
      <w:r>
        <w:rPr>
          <w:rStyle w:val="Code"/>
        </w:rPr>
        <w:t>=</w:t>
      </w:r>
      <w:r>
        <w:rPr>
          <w:rStyle w:val="Codevalue"/>
        </w:rPr>
        <w:t>"low"</w:t>
      </w:r>
      <w:r>
        <w:t xml:space="preserve"> </w:t>
      </w:r>
    </w:p>
    <w:p w14:paraId="0A219735" w14:textId="77777777">
      <w:pPr>
        <w:pStyle w:val="Cmsor3"/>
      </w:pPr>
      <w:bookmarkStart w:id="875" w:name="_Ref43990112"/>
      <w:bookmarkStart w:id="876" w:name="_Toc242889612"/>
      <w:r>
        <w:t>Gaps in the translation</w:t>
      </w:r>
      <w:bookmarkEnd w:id="875"/>
      <w:bookmarkEnd w:id="876"/>
    </w:p>
    <w:p w14:paraId="45B28EB7" w14:textId="77777777">
      <w:pPr>
        <w:rPr>
          <w:lang w:eastAsia="en-US" w:bidi="ar-SA"/>
        </w:rPr>
      </w:pPr>
      <w:r>
        <w:rPr>
          <w:lang w:eastAsia="en-US" w:bidi="ar-SA"/>
        </w:rPr>
        <w:t xml:space="preserve">Gaps in the translation, i.e. spots where there is no translated text even though text is or once was present in the source, are encoded using the element </w:t>
      </w:r>
      <w:r>
        <w:rPr>
          <w:rStyle w:val="Code"/>
        </w:rPr>
        <w:t>&lt;gap&gt;</w:t>
      </w:r>
      <w:r>
        <w:t>, with attributes as described in the following subsections.</w:t>
      </w:r>
    </w:p>
    <w:p w14:paraId="6E19E0BD" w14:textId="77777777">
      <w:pPr>
        <w:pStyle w:val="Cmsor4"/>
      </w:pPr>
      <w:r>
        <w:t>Lacunae in the translated text</w:t>
      </w:r>
    </w:p>
    <w:p w14:paraId="71CF9FD4" w14:textId="3F3FC98D">
      <w:pPr>
        <w:pStyle w:val="Lista"/>
      </w:pPr>
      <w:r>
        <w:t xml:space="preserve">when a translation has a gap because there is a lacuna in the source, use the element </w:t>
      </w:r>
      <w:r>
        <w:rPr>
          <w:rStyle w:val="Code"/>
        </w:rPr>
        <w:t>&lt;gap&gt;</w:t>
      </w:r>
      <w:r>
        <w:t xml:space="preserve"> with the same values of </w:t>
      </w:r>
      <w:r>
        <w:rPr>
          <w:rStyle w:val="Codeattribute"/>
        </w:rPr>
        <w:t>@reason</w:t>
      </w:r>
      <w:r>
        <w:t xml:space="preserve"> as those encoded on the lacuna in the edition (as per §</w:t>
      </w:r>
      <w:r>
        <w:fldChar w:fldCharType="begin"/>
      </w:r>
      <w:r>
        <w:instrText xml:space="preserve"> REF _Ref43987758 \w \h  \* MERGEFORMAT </w:instrText>
      </w:r>
      <w:r>
        <w:fldChar w:fldCharType="separate"/>
      </w:r>
      <w:r>
        <w:t>6.5.1.1</w:t>
      </w:r>
      <w:r>
        <w:fldChar w:fldCharType="end"/>
      </w:r>
      <w:r>
        <w:t xml:space="preserve">), namely </w:t>
      </w:r>
      <w:r>
        <w:rPr>
          <w:rStyle w:val="Codevalue"/>
        </w:rPr>
        <w:t>"lost"</w:t>
      </w:r>
      <w:r>
        <w:t xml:space="preserve">, </w:t>
      </w:r>
      <w:r>
        <w:rPr>
          <w:rStyle w:val="Codevalue"/>
        </w:rPr>
        <w:t>"illegible"</w:t>
      </w:r>
      <w:r>
        <w:t xml:space="preserve"> or </w:t>
      </w:r>
      <w:r>
        <w:rPr>
          <w:rStyle w:val="Codevalue"/>
        </w:rPr>
        <w:t>"undefined"</w:t>
      </w:r>
    </w:p>
    <w:p w14:paraId="45337AE1" w14:textId="77777777">
      <w:pPr>
        <w:pStyle w:val="Lista2"/>
      </w:pPr>
      <w:r>
        <w:t xml:space="preserve">it is not mandatory to encode the size of the lacuna in the edition, so </w:t>
      </w:r>
      <w:r>
        <w:rPr>
          <w:rStyle w:val="Code"/>
        </w:rPr>
        <w:t>&lt;gap&gt;</w:t>
      </w:r>
      <w:r>
        <w:t xml:space="preserve"> may be used without any additional attributes</w:t>
      </w:r>
    </w:p>
    <w:p w14:paraId="62FDF51C" w14:textId="3B2A101B">
      <w:pPr>
        <w:pStyle w:val="Lista2"/>
      </w:pPr>
      <w:r>
        <w:t xml:space="preserve">however, when you deem it essential to present accurate details of a lacuna in the translated text, you may optionally use the attributes </w:t>
      </w:r>
      <w:r>
        <w:rPr>
          <w:rStyle w:val="Codeattribute"/>
        </w:rPr>
        <w:t>@unit</w:t>
      </w:r>
      <w:r>
        <w:t xml:space="preserve">, </w:t>
      </w:r>
      <w:r>
        <w:rPr>
          <w:rStyle w:val="Codeattribute"/>
        </w:rPr>
        <w:t>@quantity</w:t>
      </w:r>
      <w:r>
        <w:t xml:space="preserve"> and </w:t>
      </w:r>
      <w:r>
        <w:rPr>
          <w:rStyle w:val="Codeattribute"/>
        </w:rPr>
        <w:t>@precision</w:t>
      </w:r>
      <w:r>
        <w:t xml:space="preserve"> as set out in §</w:t>
      </w:r>
      <w:r>
        <w:fldChar w:fldCharType="begin"/>
      </w:r>
      <w:r>
        <w:instrText xml:space="preserve"> REF _Ref228262228 \r \h </w:instrText>
      </w:r>
      <w:r>
        <w:fldChar w:fldCharType="separate"/>
      </w:r>
      <w:r>
        <w:t>6.5.1.2</w:t>
      </w:r>
      <w:r>
        <w:fldChar w:fldCharType="end"/>
      </w:r>
      <w:r>
        <w:t>, with the following additional considerations:</w:t>
      </w:r>
    </w:p>
    <w:p w14:paraId="43B1182D" w14:textId="77777777">
      <w:pPr>
        <w:pStyle w:val="Lista3"/>
      </w:pPr>
      <w:r>
        <w:t xml:space="preserve">fractional numbers </w:t>
      </w:r>
      <w:r>
        <w:rPr>
          <w:noProof/>
        </w:rPr>
        <w:t>(</w:t>
      </w:r>
      <w:r>
        <w:t xml:space="preserve">decimal fractions) for </w:t>
      </w:r>
      <w:r>
        <w:rPr>
          <w:rStyle w:val="Codeattribute"/>
        </w:rPr>
        <w:t>@quantity</w:t>
      </w:r>
      <w:r>
        <w:t xml:space="preserve"> are permitted in this case, even though they cannot be used in the edition</w:t>
      </w:r>
    </w:p>
    <w:p w14:paraId="7BF94A7D" w14:textId="77777777">
      <w:pPr>
        <w:pStyle w:val="Lista3"/>
      </w:pPr>
      <w:r>
        <w:rPr>
          <w:rStyle w:val="Codeattribute"/>
        </w:rPr>
        <w:lastRenderedPageBreak/>
        <w:t>@unit</w:t>
      </w:r>
      <w:r>
        <w:t xml:space="preserve"> may be </w:t>
      </w:r>
      <w:r>
        <w:rPr>
          <w:rStyle w:val="Codevalue"/>
        </w:rPr>
        <w:t>"line"</w:t>
      </w:r>
      <w:r>
        <w:t xml:space="preserve"> even if a multiline lacuna is represented in the edition as a series of inline lacunae</w:t>
      </w:r>
    </w:p>
    <w:p w14:paraId="25AB9CF1" w14:textId="77777777">
      <w:pPr>
        <w:pStyle w:val="Lista3"/>
      </w:pPr>
      <w:r>
        <w:t xml:space="preserve">no other methods of lacuna markup shall be used in translations, i.e. avoid the use of </w:t>
      </w:r>
      <w:r>
        <w:rPr>
          <w:rStyle w:val="Codeattribute"/>
        </w:rPr>
        <w:t>@extent</w:t>
      </w:r>
      <w:r>
        <w:t xml:space="preserve"> and the encoding of </w:t>
      </w:r>
      <w:r>
        <w:rPr>
          <w:noProof/>
        </w:rPr>
        <w:t>sub-</w:t>
      </w:r>
      <w:r>
        <w:rPr>
          <w:rStyle w:val="Foreign"/>
        </w:rPr>
        <w:t>akṣara</w:t>
      </w:r>
      <w:r>
        <w:t xml:space="preserve"> lacunae</w:t>
      </w:r>
    </w:p>
    <w:p w14:paraId="43B08305" w14:textId="77777777">
      <w:pPr>
        <w:pStyle w:val="Cmsor4"/>
      </w:pPr>
      <w:bookmarkStart w:id="877" w:name="_Ref233295555"/>
      <w:r>
        <w:t>Unintelligible source text</w:t>
      </w:r>
      <w:bookmarkEnd w:id="877"/>
    </w:p>
    <w:p w14:paraId="659F3CDE" w14:textId="77777777">
      <w:pPr>
        <w:pStyle w:val="Lista"/>
      </w:pPr>
      <w:r>
        <w:t xml:space="preserve">when a translation has a gap because part of the source text cannot be interpreted to produce even a tentative translation, use the element </w:t>
      </w:r>
      <w:r>
        <w:rPr>
          <w:rStyle w:val="Code"/>
        </w:rPr>
        <w:t>&lt;gap&gt;</w:t>
      </w:r>
      <w:r>
        <w:t xml:space="preserve"> with </w:t>
      </w:r>
      <w:r>
        <w:rPr>
          <w:rStyle w:val="Codeattribute"/>
        </w:rPr>
        <w:t>@reason=</w:t>
      </w:r>
      <w:r>
        <w:rPr>
          <w:rStyle w:val="Codevalue"/>
        </w:rPr>
        <w:t>"ellipsis"</w:t>
      </w:r>
      <w:r>
        <w:t xml:space="preserve">, without any further attributes </w:t>
      </w:r>
    </w:p>
    <w:p w14:paraId="28EEF9A0" w14:textId="77777777">
      <w:pPr>
        <w:pStyle w:val="Lista"/>
      </w:pPr>
      <w:r>
        <w:t>after this element, insert either or both of the following</w:t>
      </w:r>
    </w:p>
    <w:p w14:paraId="72EB34F5" w14:textId="61491391">
      <w:pPr>
        <w:pStyle w:val="Lista2"/>
      </w:pPr>
      <w:r>
        <w:t>the verbatim received text encoded as an explanatory addition to the translation (§</w:t>
      </w:r>
      <w:r>
        <w:fldChar w:fldCharType="begin"/>
      </w:r>
      <w:r>
        <w:instrText xml:space="preserve"> REF _Ref233288292 \r \h </w:instrText>
      </w:r>
      <w:r>
        <w:fldChar w:fldCharType="separate"/>
      </w:r>
      <w:r>
        <w:t>11.4.2.2</w:t>
      </w:r>
      <w:r>
        <w:fldChar w:fldCharType="end"/>
      </w:r>
      <w:r>
        <w:t>)</w:t>
      </w:r>
    </w:p>
    <w:p w14:paraId="445B7FEF" w14:textId="77777777">
      <w:pPr>
        <w:pStyle w:val="Lista3"/>
      </w:pPr>
      <w:r>
        <w:t xml:space="preserve">e.g. </w:t>
      </w:r>
      <w:r>
        <w:rPr>
          <w:rStyle w:val="Codetext"/>
        </w:rPr>
        <w:t>To the east, the</w:t>
      </w:r>
      <w:r>
        <w:rPr>
          <w:rStyle w:val="Code"/>
        </w:rPr>
        <w:t xml:space="preserve"> &lt;gap </w:t>
      </w:r>
      <w:r>
        <w:rPr>
          <w:rStyle w:val="Codeattribute"/>
        </w:rPr>
        <w:t>reason=</w:t>
      </w:r>
      <w:r>
        <w:rPr>
          <w:rStyle w:val="Codevalue"/>
        </w:rPr>
        <w:t>"ellipsis"</w:t>
      </w:r>
      <w:r>
        <w:rPr>
          <w:rStyle w:val="Code"/>
        </w:rPr>
        <w:t>/&gt;</w:t>
      </w:r>
      <w:r>
        <w:rPr>
          <w:rStyle w:val="Codetext"/>
        </w:rPr>
        <w:t xml:space="preserve"> </w:t>
      </w:r>
      <w:r>
        <w:rPr>
          <w:rStyle w:val="Code"/>
        </w:rPr>
        <w:t xml:space="preserve">&lt;supplied </w:t>
      </w:r>
      <w:r>
        <w:rPr>
          <w:rStyle w:val="Codeattribute"/>
        </w:rPr>
        <w:t>reason=</w:t>
      </w:r>
      <w:r>
        <w:rPr>
          <w:rStyle w:val="Codevalue"/>
        </w:rPr>
        <w:t>"explanation"</w:t>
      </w:r>
      <w:r>
        <w:rPr>
          <w:rStyle w:val="Code"/>
        </w:rPr>
        <w:t>&gt;&lt;foreign&gt;majjaya-paṭu&lt;/foreign&gt;&lt;/supplied&gt;</w:t>
      </w:r>
      <w:r>
        <w:rPr>
          <w:rStyle w:val="Codetext"/>
        </w:rPr>
        <w:t xml:space="preserve"> of Badirāla</w:t>
      </w:r>
    </w:p>
    <w:p w14:paraId="0547C114" w14:textId="1B6584BF">
      <w:pPr>
        <w:pStyle w:val="Lista2"/>
      </w:pPr>
      <w:r>
        <w:t xml:space="preserve">a </w:t>
      </w:r>
      <w:r>
        <w:rPr>
          <w:rStyle w:val="Code"/>
        </w:rPr>
        <w:t>&lt;note&gt;</w:t>
      </w:r>
      <w:r>
        <w:t xml:space="preserve"> element (§</w:t>
      </w:r>
      <w:r>
        <w:fldChar w:fldCharType="begin"/>
      </w:r>
      <w:r>
        <w:instrText xml:space="preserve"> REF _Ref43989684 \r \h </w:instrText>
      </w:r>
      <w:r>
        <w:fldChar w:fldCharType="separate"/>
      </w:r>
      <w:r>
        <w:t>14.5</w:t>
      </w:r>
      <w:r>
        <w:fldChar w:fldCharType="end"/>
      </w:r>
      <w:r>
        <w:t>) to explain the nature of the unintelligible segment</w:t>
      </w:r>
    </w:p>
    <w:p w14:paraId="2CC6DA28" w14:textId="77777777">
      <w:pPr>
        <w:pStyle w:val="Cmsor4"/>
      </w:pPr>
      <w:bookmarkStart w:id="878" w:name="_Ref233298630"/>
      <w:r>
        <w:t>Passages omitted from translation</w:t>
      </w:r>
      <w:bookmarkEnd w:id="878"/>
    </w:p>
    <w:p w14:paraId="63AC0BB8" w14:textId="77777777">
      <w:r>
        <w:rPr>
          <w:lang w:eastAsia="en-US" w:bidi="ar-SA"/>
        </w:rPr>
        <w:t xml:space="preserve">Translations, especially previously published translations, may contain gaps for no particular reason, primarily when a segment of the text was considered </w:t>
      </w:r>
      <w:r>
        <w:t>too trivial to translate.</w:t>
      </w:r>
    </w:p>
    <w:p w14:paraId="5A4A6DDB" w14:textId="78C7CA25">
      <w:pPr>
        <w:pStyle w:val="Lista"/>
      </w:pPr>
      <w:r>
        <w:t xml:space="preserve">when a translation has a gap for reasons other than a lacuna in the source or unintelligible source text, use the element </w:t>
      </w:r>
      <w:r>
        <w:rPr>
          <w:rStyle w:val="Code"/>
        </w:rPr>
        <w:t>&lt;gap&gt;</w:t>
      </w:r>
      <w:r>
        <w:t xml:space="preserve"> with </w:t>
      </w:r>
      <w:r>
        <w:rPr>
          <w:rStyle w:val="Codeattribute"/>
        </w:rPr>
        <w:t>@reason=</w:t>
      </w:r>
      <w:r>
        <w:rPr>
          <w:rStyle w:val="Codevalue"/>
        </w:rPr>
        <w:t>"ellipsis"</w:t>
      </w:r>
      <w:r>
        <w:t>, without any further attributes</w:t>
      </w:r>
    </w:p>
    <w:p w14:paraId="7465467E" w14:textId="10EC2B44">
      <w:pPr>
        <w:pStyle w:val="Lista"/>
      </w:pPr>
      <w:r>
        <w:t xml:space="preserve">preferably, after the </w:t>
      </w:r>
      <w:r>
        <w:rPr>
          <w:rStyle w:val="Code"/>
        </w:rPr>
        <w:t>&lt;supplied&gt;</w:t>
      </w:r>
      <w:r>
        <w:t xml:space="preserve"> element, add a </w:t>
      </w:r>
      <w:r>
        <w:rPr>
          <w:rStyle w:val="Code"/>
        </w:rPr>
        <w:t>&lt;note&gt;</w:t>
      </w:r>
      <w:r>
        <w:t xml:space="preserve"> element (§</w:t>
      </w:r>
      <w:r>
        <w:fldChar w:fldCharType="begin"/>
      </w:r>
      <w:r>
        <w:instrText xml:space="preserve"> REF _Ref43989684 \r \h </w:instrText>
      </w:r>
      <w:r>
        <w:fldChar w:fldCharType="separate"/>
      </w:r>
      <w:r>
        <w:t>14.5</w:t>
      </w:r>
      <w:r>
        <w:fldChar w:fldCharType="end"/>
      </w:r>
      <w:r>
        <w:t>) with an explanation of why the text has not been translated</w:t>
      </w:r>
    </w:p>
    <w:p w14:paraId="6C4E4B1A" w14:textId="77777777">
      <w:pPr>
        <w:pStyle w:val="Cmsor3"/>
      </w:pPr>
      <w:bookmarkStart w:id="879" w:name="_ch9cnmcz0pvb" w:colFirst="0" w:colLast="0"/>
      <w:bookmarkStart w:id="880" w:name="_lqyt4grwngxw" w:colFirst="0" w:colLast="0"/>
      <w:bookmarkStart w:id="881" w:name="_Ref233988179"/>
      <w:bookmarkStart w:id="882" w:name="_Toc242889613"/>
      <w:bookmarkEnd w:id="865"/>
      <w:bookmarkEnd w:id="879"/>
      <w:bookmarkEnd w:id="880"/>
      <w:r>
        <w:t>Tentative translation</w:t>
      </w:r>
      <w:bookmarkEnd w:id="881"/>
      <w:bookmarkEnd w:id="882"/>
    </w:p>
    <w:p w14:paraId="12A4240D" w14:textId="77777777">
      <w:pPr>
        <w:rPr>
          <w:lang w:eastAsia="en-US" w:bidi="ar-SA"/>
        </w:rPr>
      </w:pPr>
      <w:r>
        <w:rPr>
          <w:lang w:eastAsia="en-US" w:bidi="ar-SA"/>
        </w:rPr>
        <w:t>When the source is difficult to interpret and a word, phrase or passage of your translation is tentative or reflects only one of several possible interpretations, encode this as follows.</w:t>
      </w:r>
    </w:p>
    <w:p w14:paraId="3E07C716" w14:textId="77777777">
      <w:pPr>
        <w:pStyle w:val="Lista"/>
      </w:pPr>
      <w:r>
        <w:t xml:space="preserve">for the tentative translation of words and phrases present in the source as received, wrap the relevant part of the translation in the element </w:t>
      </w:r>
      <w:r>
        <w:rPr>
          <w:rStyle w:val="Code"/>
        </w:rPr>
        <w:t>&lt;seg&gt;</w:t>
      </w:r>
      <w:r>
        <w:t xml:space="preserve"> with the mandatory attribute </w:t>
      </w:r>
      <w:r>
        <w:rPr>
          <w:rStyle w:val="Codeattribute"/>
        </w:rPr>
        <w:t>@cert</w:t>
      </w:r>
      <w:r>
        <w:rPr>
          <w:rStyle w:val="Code"/>
        </w:rPr>
        <w:t>=</w:t>
      </w:r>
      <w:r>
        <w:rPr>
          <w:rStyle w:val="Codevalue"/>
        </w:rPr>
        <w:t>"low"</w:t>
      </w:r>
    </w:p>
    <w:p w14:paraId="4B6D71F4" w14:textId="77777777">
      <w:pPr>
        <w:pStyle w:val="Lista2"/>
      </w:pPr>
      <w:r>
        <w:t xml:space="preserve">e.g.  </w:t>
      </w:r>
      <w:r>
        <w:rPr>
          <w:rStyle w:val="Code"/>
        </w:rPr>
        <w:t>&lt;p&gt;</w:t>
      </w:r>
      <w:r>
        <w:rPr>
          <w:rStyle w:val="Codetext"/>
        </w:rPr>
        <w:t xml:space="preserve">Out of the hundred and </w:t>
      </w:r>
      <w:r>
        <w:rPr>
          <w:rStyle w:val="Code"/>
        </w:rPr>
        <w:t xml:space="preserve">&lt;seg </w:t>
      </w:r>
      <w:r>
        <w:rPr>
          <w:rStyle w:val="Codeattribute"/>
        </w:rPr>
        <w:t>cert</w:t>
      </w:r>
      <w:r>
        <w:rPr>
          <w:rStyle w:val="Code"/>
        </w:rPr>
        <w:t>=</w:t>
      </w:r>
      <w:r>
        <w:rPr>
          <w:rStyle w:val="Codevalue"/>
        </w:rPr>
        <w:t>"low"</w:t>
      </w:r>
      <w:r>
        <w:rPr>
          <w:rStyle w:val="Code"/>
        </w:rPr>
        <w:t>&gt;</w:t>
      </w:r>
      <w:r>
        <w:rPr>
          <w:rStyle w:val="Codetext"/>
        </w:rPr>
        <w:t>twenty</w:t>
      </w:r>
      <w:r>
        <w:rPr>
          <w:rStyle w:val="Code"/>
        </w:rPr>
        <w:t>&lt;/seg&gt;</w:t>
      </w:r>
      <w:r>
        <w:rPr>
          <w:rStyle w:val="Codetext"/>
        </w:rPr>
        <w:t xml:space="preserve"> shares comprising this village ... </w:t>
      </w:r>
      <w:r>
        <w:rPr>
          <w:rStyle w:val="Code"/>
        </w:rPr>
        <w:t>&lt;/p&gt;</w:t>
      </w:r>
    </w:p>
    <w:p w14:paraId="40B98B1C" w14:textId="77777777">
      <w:pPr>
        <w:pStyle w:val="Lista2"/>
      </w:pPr>
      <w:r>
        <w:t xml:space="preserve">use this method regardless of whether the tentativeness of your translation stems from the condition of the original </w:t>
      </w:r>
      <w:r>
        <w:rPr>
          <w:noProof/>
        </w:rPr>
        <w:t>(</w:t>
      </w:r>
      <w:r>
        <w:t>e.g. partly or wholly unclear, illegible or restored) or from the obscurity of its language</w:t>
      </w:r>
    </w:p>
    <w:p w14:paraId="291A9979" w14:textId="11B71567">
      <w:pPr>
        <w:pStyle w:val="Lista"/>
      </w:pPr>
      <w:r>
        <w:t>for words and phrases not present in the received source but supplied in the translation (§</w:t>
      </w:r>
      <w:r>
        <w:fldChar w:fldCharType="begin"/>
      </w:r>
      <w:r>
        <w:instrText xml:space="preserve"> REF _Ref233295943 \r \h </w:instrText>
      </w:r>
      <w:r>
        <w:fldChar w:fldCharType="separate"/>
      </w:r>
      <w:r>
        <w:t>11.4.2</w:t>
      </w:r>
      <w:r>
        <w:fldChar w:fldCharType="end"/>
      </w:r>
      <w:r>
        <w:t xml:space="preserve">), add </w:t>
      </w:r>
      <w:bookmarkStart w:id="883" w:name="_Hlk233290745"/>
      <w:r>
        <w:rPr>
          <w:rStyle w:val="Codeattribute"/>
        </w:rPr>
        <w:t>@cert</w:t>
      </w:r>
      <w:r>
        <w:rPr>
          <w:rStyle w:val="Code"/>
        </w:rPr>
        <w:t>=</w:t>
      </w:r>
      <w:r>
        <w:rPr>
          <w:rStyle w:val="Codevalue"/>
        </w:rPr>
        <w:t>"low"</w:t>
      </w:r>
      <w:bookmarkEnd w:id="883"/>
      <w:r>
        <w:t xml:space="preserve"> to the relevant </w:t>
      </w:r>
      <w:r>
        <w:rPr>
          <w:rStyle w:val="Code"/>
        </w:rPr>
        <w:t>&lt;supplied&gt;</w:t>
      </w:r>
      <w:r>
        <w:t xml:space="preserve"> element to indicate its tentative nature</w:t>
      </w:r>
    </w:p>
    <w:p w14:paraId="7C7E8ACC" w14:textId="77777777">
      <w:pPr>
        <w:pStyle w:val="Lista2"/>
      </w:pPr>
      <w:r>
        <w:t xml:space="preserve">e.g. </w:t>
      </w:r>
      <w:r>
        <w:rPr>
          <w:rStyle w:val="Code"/>
        </w:rPr>
        <w:t>&lt;p&gt;</w:t>
      </w:r>
      <w:r>
        <w:rPr>
          <w:rStyle w:val="Codetext"/>
        </w:rPr>
        <w:t xml:space="preserve">On this day he </w:t>
      </w:r>
      <w:r>
        <w:rPr>
          <w:rStyle w:val="Code"/>
        </w:rPr>
        <w:t xml:space="preserve">&lt;supplied </w:t>
      </w:r>
      <w:r>
        <w:rPr>
          <w:rStyle w:val="Codeattribute"/>
        </w:rPr>
        <w:t>reason</w:t>
      </w:r>
      <w:r>
        <w:rPr>
          <w:rStyle w:val="Code"/>
        </w:rPr>
        <w:t>=</w:t>
      </w:r>
      <w:r>
        <w:rPr>
          <w:rStyle w:val="Codevalue"/>
        </w:rPr>
        <w:t>"explanation"</w:t>
      </w:r>
      <w:r>
        <w:rPr>
          <w:rStyle w:val="Code"/>
        </w:rPr>
        <w:t xml:space="preserve"> </w:t>
      </w:r>
      <w:r>
        <w:rPr>
          <w:rStyle w:val="Codeattribute"/>
        </w:rPr>
        <w:t>cert</w:t>
      </w:r>
      <w:r>
        <w:rPr>
          <w:rStyle w:val="Code"/>
        </w:rPr>
        <w:t>=</w:t>
      </w:r>
      <w:r>
        <w:rPr>
          <w:rStyle w:val="Codevalue"/>
        </w:rPr>
        <w:t>"low"</w:t>
      </w:r>
      <w:r>
        <w:rPr>
          <w:rStyle w:val="Code"/>
        </w:rPr>
        <w:t>&gt;</w:t>
      </w:r>
      <w:r>
        <w:rPr>
          <w:rStyle w:val="Codetext"/>
        </w:rPr>
        <w:t>Viṣṇuvardhana III</w:t>
      </w:r>
      <w:r>
        <w:rPr>
          <w:rStyle w:val="Code"/>
        </w:rPr>
        <w:t>&lt;/supplied&gt;</w:t>
      </w:r>
      <w:r>
        <w:rPr>
          <w:rStyle w:val="Codetext"/>
        </w:rPr>
        <w:t xml:space="preserve"> donated … </w:t>
      </w:r>
      <w:r>
        <w:rPr>
          <w:rStyle w:val="Code"/>
        </w:rPr>
        <w:t>&lt;/p&gt;</w:t>
      </w:r>
    </w:p>
    <w:p w14:paraId="1D9FBE21" w14:textId="77777777">
      <w:pPr>
        <w:pStyle w:val="Cmsor3"/>
      </w:pPr>
      <w:bookmarkStart w:id="884" w:name="_7koll7kvgjet" w:colFirst="0" w:colLast="0"/>
      <w:bookmarkStart w:id="885" w:name="_Ref43990147"/>
      <w:bookmarkStart w:id="886" w:name="_Toc242889614"/>
      <w:bookmarkEnd w:id="884"/>
      <w:r>
        <w:t>Incorrect or unexpected text</w:t>
      </w:r>
      <w:bookmarkEnd w:id="885"/>
      <w:bookmarkEnd w:id="886"/>
    </w:p>
    <w:p w14:paraId="144DC1F2" w14:textId="77777777">
      <w:r>
        <w:t xml:space="preserve">When the source text is semantically inappropriate, incorrect or unexpected (e.g. on the basis of parallel texts) and you translate it literally, optionally wrap the corresponding translation in the element </w:t>
      </w:r>
      <w:r>
        <w:rPr>
          <w:rStyle w:val="Code"/>
        </w:rPr>
        <w:t>&lt;sic&gt;</w:t>
      </w:r>
      <w:r>
        <w:t xml:space="preserve"> to indicate that the translation corresponds to the source even though it is problematic.</w:t>
      </w:r>
    </w:p>
    <w:p w14:paraId="06161F1C" w14:textId="77777777">
      <w:pPr>
        <w:pStyle w:val="Cmsor3"/>
      </w:pPr>
      <w:bookmarkStart w:id="887" w:name="_nmj09iowt53z" w:colFirst="0" w:colLast="0"/>
      <w:bookmarkStart w:id="888" w:name="_uuedk8qhkcii" w:colFirst="0" w:colLast="0"/>
      <w:bookmarkStart w:id="889" w:name="_Toc242889615"/>
      <w:bookmarkEnd w:id="887"/>
      <w:bookmarkEnd w:id="888"/>
      <w:r>
        <w:t>Bitextual translation</w:t>
      </w:r>
      <w:bookmarkEnd w:id="889"/>
    </w:p>
    <w:p w14:paraId="19B41F82" w14:textId="5B7B3066">
      <w:r>
        <w:rPr>
          <w:lang w:eastAsia="en-US" w:bidi="ar-SA"/>
        </w:rPr>
        <w:t xml:space="preserve">Our source texts frequently employ </w:t>
      </w:r>
      <w:r>
        <w:t xml:space="preserve">bitextuality </w:t>
      </w:r>
      <w:r>
        <w:rPr>
          <w:noProof/>
        </w:rPr>
        <w:t xml:space="preserve">(double entendre, </w:t>
      </w:r>
      <w:r>
        <w:rPr>
          <w:rStyle w:val="Foreign"/>
        </w:rPr>
        <w:t>śleṣa</w:t>
      </w:r>
      <w:r>
        <w:t xml:space="preserve">) as a poetic device. Depending on the nature of the bitextual phrase at hand and your personal translation style, double (or additional) meanings may be rendered in translation either as alternatives to specific parts of the translated text (as in </w:t>
      </w:r>
      <w:r>
        <w:fldChar w:fldCharType="begin"/>
      </w:r>
      <w:r>
        <w:instrText xml:space="preserve"> REF _Ref233296405 \h </w:instrText>
      </w:r>
      <w:r>
        <w:fldChar w:fldCharType="separate"/>
      </w:r>
      <w:r>
        <w:t xml:space="preserve">Exhibit </w:t>
      </w:r>
      <w:r>
        <w:rPr>
          <w:noProof/>
        </w:rPr>
        <w:t>11.4</w:t>
      </w:r>
      <w:r>
        <w:t>.</w:t>
      </w:r>
      <w:r>
        <w:rPr>
          <w:noProof/>
        </w:rPr>
        <w:t>B</w:t>
      </w:r>
      <w:r>
        <w:fldChar w:fldCharType="end"/>
      </w:r>
      <w:r>
        <w:t xml:space="preserve">) or integrated into a semantic whole (as in </w:t>
      </w:r>
      <w:r>
        <w:fldChar w:fldCharType="begin"/>
      </w:r>
      <w:r>
        <w:instrText xml:space="preserve"> REF _Ref233296432 \h </w:instrText>
      </w:r>
      <w:r>
        <w:fldChar w:fldCharType="separate"/>
      </w:r>
      <w:r>
        <w:t xml:space="preserve">Exhibit </w:t>
      </w:r>
      <w:r>
        <w:rPr>
          <w:noProof/>
        </w:rPr>
        <w:t>11.4</w:t>
      </w:r>
      <w:r>
        <w:t>.</w:t>
      </w:r>
      <w:r>
        <w:rPr>
          <w:noProof/>
        </w:rPr>
        <w:t>C</w:t>
      </w:r>
      <w:r>
        <w:fldChar w:fldCharType="end"/>
      </w:r>
      <w:r>
        <w:t>). Because of the potential complexity of such poetic expressions, we provide a single method for encoding the translation of bitextual readings. This encoding will not be machine-actionable and will occasionally leave some ambiguity that will have to be resolved by the human reader.</w:t>
      </w:r>
    </w:p>
    <w:p w14:paraId="2E2989C1" w14:textId="77777777">
      <w:pPr>
        <w:pStyle w:val="Lista"/>
      </w:pPr>
      <w:r>
        <w:t>in your translation, select one translation of the double entendre as the primary or more literal one</w:t>
      </w:r>
    </w:p>
    <w:p w14:paraId="0A968E8D" w14:textId="77777777">
      <w:pPr>
        <w:pStyle w:val="Lista2"/>
      </w:pPr>
      <w:r>
        <w:lastRenderedPageBreak/>
        <w:t>apply no markup to the primary translation</w:t>
      </w:r>
    </w:p>
    <w:p w14:paraId="4CE77E1B" w14:textId="77777777">
      <w:pPr>
        <w:pStyle w:val="Lista"/>
      </w:pPr>
      <w:r>
        <w:t>any alternative translations of the same word or phrase will be designated as secondary</w:t>
      </w:r>
    </w:p>
    <w:p w14:paraId="67DDA534" w14:textId="77777777">
      <w:pPr>
        <w:pStyle w:val="Lista2"/>
      </w:pPr>
      <w:r>
        <w:rPr>
          <w:noProof/>
        </w:rPr>
        <w:t xml:space="preserve">wrap the translations of all </w:t>
      </w:r>
      <w:r>
        <w:t xml:space="preserve">secondary meanings in </w:t>
      </w:r>
      <w:r>
        <w:rPr>
          <w:rStyle w:val="Code"/>
        </w:rPr>
        <w:t xml:space="preserve">&lt;seg </w:t>
      </w:r>
      <w:r>
        <w:rPr>
          <w:rStyle w:val="Codeattribute"/>
        </w:rPr>
        <w:t>rend</w:t>
      </w:r>
      <w:r>
        <w:rPr>
          <w:rStyle w:val="Code"/>
        </w:rPr>
        <w:t>=</w:t>
      </w:r>
      <w:r>
        <w:rPr>
          <w:rStyle w:val="Codevalue"/>
        </w:rPr>
        <w:t>"pun"</w:t>
      </w:r>
      <w:r>
        <w:rPr>
          <w:rStyle w:val="Code"/>
        </w:rPr>
        <w:t>&gt;</w:t>
      </w:r>
    </w:p>
    <w:p w14:paraId="3D179C19" w14:textId="77777777"/>
    <w:tbl>
      <w:tblPr>
        <w:tblStyle w:val="CodeSampleTable"/>
        <w:tblW w:w="5000" w:type="pct"/>
        <w:tblLook w:val="04A0" w:firstRow="1" w:lastRow="0" w:firstColumn="1" w:lastColumn="0" w:noHBand="0" w:noVBand="1"/>
      </w:tblPr>
      <w:tblGrid>
        <w:gridCol w:w="9628"/>
      </w:tblGrid>
      <w:tr w14:paraId="31CA546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DCC4D9D" w14:textId="463E40F2">
            <w:pPr>
              <w:pStyle w:val="Kpalrs"/>
            </w:pPr>
            <w:bookmarkStart w:id="890" w:name="_Ref233296405"/>
            <w:r>
              <w:t xml:space="preserve">Exhibit </w:t>
            </w:r>
            <w:fldSimple w:instr=" STYLEREF 2 \s ">
              <w:r>
                <w:rPr>
                  <w:noProof/>
                </w:rPr>
                <w:t>11.4</w:t>
              </w:r>
            </w:fldSimple>
            <w:r>
              <w:t>.</w:t>
            </w:r>
            <w:fldSimple w:instr=" SEQ Exhibit \* ALPHABETIC \s 2 ">
              <w:r>
                <w:rPr>
                  <w:noProof/>
                </w:rPr>
                <w:t>B</w:t>
              </w:r>
            </w:fldSimple>
            <w:bookmarkEnd w:id="890"/>
            <w:r>
              <w:t>: translation with bitextual words dispersed across a stretch of text</w:t>
            </w:r>
          </w:p>
        </w:tc>
      </w:tr>
      <w:tr w14:paraId="4E1B4BBB" w14:textId="77777777">
        <w:tc>
          <w:tcPr>
            <w:tcW w:w="5000" w:type="pct"/>
          </w:tcPr>
          <w:p w14:paraId="3A14E17D" w14:textId="77777777">
            <w:pPr>
              <w:pStyle w:val="Tabletext"/>
              <w:rPr>
                <w:rStyle w:val="Foreign"/>
              </w:rPr>
            </w:pPr>
            <w:r>
              <w:rPr>
                <w:rStyle w:val="Foreign"/>
              </w:rPr>
              <w:t>meruṁ vividha-budha-samāśrayatayānukurvvaN</w:t>
            </w:r>
          </w:p>
        </w:tc>
      </w:tr>
      <w:tr w14:paraId="78D364A2" w14:textId="77777777">
        <w:tc>
          <w:tcPr>
            <w:tcW w:w="5000" w:type="pct"/>
          </w:tcPr>
          <w:p w14:paraId="08351E2D" w14:textId="77777777">
            <w:pPr>
              <w:pStyle w:val="CodeParagraph"/>
            </w:pPr>
            <w:r>
              <w:rPr>
                <w:rStyle w:val="Codetext"/>
              </w:rPr>
              <w:t xml:space="preserve">... he resembles Mount Meru in being a supporter </w:t>
            </w:r>
            <w:r>
              <w:rPr>
                <w:rStyle w:val="Code"/>
              </w:rPr>
              <w:t xml:space="preserve">&lt;seg </w:t>
            </w:r>
            <w:r>
              <w:rPr>
                <w:rStyle w:val="Codeattribute"/>
              </w:rPr>
              <w:t>rend</w:t>
            </w:r>
            <w:r>
              <w:rPr>
                <w:rStyle w:val="Code"/>
              </w:rPr>
              <w:t>=</w:t>
            </w:r>
            <w:r>
              <w:rPr>
                <w:rStyle w:val="Codevalue"/>
              </w:rPr>
              <w:t>"pun"</w:t>
            </w:r>
            <w:r>
              <w:rPr>
                <w:rStyle w:val="Code"/>
              </w:rPr>
              <w:t>&gt;</w:t>
            </w:r>
            <w:r>
              <w:rPr>
                <w:rStyle w:val="Codetext"/>
              </w:rPr>
              <w:t>the abode</w:t>
            </w:r>
            <w:r>
              <w:rPr>
                <w:rStyle w:val="Code"/>
              </w:rPr>
              <w:t>&lt;/seg&gt;</w:t>
            </w:r>
            <w:r>
              <w:rPr>
                <w:rStyle w:val="Codetext"/>
              </w:rPr>
              <w:t xml:space="preserve"> of diverse learned men </w:t>
            </w:r>
            <w:r>
              <w:rPr>
                <w:rStyle w:val="Code"/>
              </w:rPr>
              <w:t xml:space="preserve">&lt;seg </w:t>
            </w:r>
            <w:r>
              <w:rPr>
                <w:rStyle w:val="Codeattribute"/>
              </w:rPr>
              <w:t>rend</w:t>
            </w:r>
            <w:r>
              <w:rPr>
                <w:rStyle w:val="Code"/>
              </w:rPr>
              <w:t>=</w:t>
            </w:r>
            <w:r>
              <w:rPr>
                <w:rStyle w:val="Codevalue"/>
              </w:rPr>
              <w:t>"pun"</w:t>
            </w:r>
            <w:r>
              <w:rPr>
                <w:rStyle w:val="Code"/>
              </w:rPr>
              <w:t>&gt;</w:t>
            </w:r>
            <w:r>
              <w:rPr>
                <w:rStyle w:val="Codetext"/>
              </w:rPr>
              <w:t>gods</w:t>
            </w:r>
            <w:r>
              <w:rPr>
                <w:rStyle w:val="Code"/>
              </w:rPr>
              <w:t>&lt;/seg&gt; ...</w:t>
            </w:r>
          </w:p>
        </w:tc>
      </w:tr>
      <w:tr w14:paraId="0A1103EC" w14:textId="77777777">
        <w:tc>
          <w:tcPr>
            <w:tcW w:w="5000" w:type="pct"/>
          </w:tcPr>
          <w:p w14:paraId="60C89535" w14:textId="77777777">
            <w:pPr>
              <w:pStyle w:val="TableNote"/>
            </w:pPr>
            <w:r>
              <w:t>display: … he resembles Mount Meru in being a supporter {the abode} of diverse learned men {gods} …</w:t>
            </w:r>
          </w:p>
        </w:tc>
      </w:tr>
    </w:tbl>
    <w:p w14:paraId="49D03D44" w14:textId="77777777"/>
    <w:tbl>
      <w:tblPr>
        <w:tblStyle w:val="CodeSampleTable"/>
        <w:tblW w:w="5000" w:type="pct"/>
        <w:tblLook w:val="04A0" w:firstRow="1" w:lastRow="0" w:firstColumn="1" w:lastColumn="0" w:noHBand="0" w:noVBand="1"/>
      </w:tblPr>
      <w:tblGrid>
        <w:gridCol w:w="9628"/>
      </w:tblGrid>
      <w:tr w14:paraId="1188388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4CB2CF3" w14:textId="79B67FFA">
            <w:pPr>
              <w:pStyle w:val="Kpalrs"/>
            </w:pPr>
            <w:bookmarkStart w:id="891" w:name="_Ref233296432"/>
            <w:r>
              <w:t xml:space="preserve">Exhibit </w:t>
            </w:r>
            <w:fldSimple w:instr=" STYLEREF 2 \s ">
              <w:r>
                <w:rPr>
                  <w:noProof/>
                </w:rPr>
                <w:t>11.4</w:t>
              </w:r>
            </w:fldSimple>
            <w:r>
              <w:t>.</w:t>
            </w:r>
            <w:fldSimple w:instr=" SEQ Exhibit \* ALPHABETIC \s 2 ">
              <w:r>
                <w:rPr>
                  <w:noProof/>
                </w:rPr>
                <w:t>C</w:t>
              </w:r>
            </w:fldSimple>
            <w:bookmarkEnd w:id="891"/>
            <w:r>
              <w:t>: translation with bitextual interpretation integrated into one sentence</w:t>
            </w:r>
          </w:p>
        </w:tc>
      </w:tr>
      <w:tr w14:paraId="1BBF4379" w14:textId="77777777">
        <w:tc>
          <w:tcPr>
            <w:tcW w:w="5000" w:type="pct"/>
          </w:tcPr>
          <w:p w14:paraId="31EE3DA2" w14:textId="77777777">
            <w:pPr>
              <w:pStyle w:val="Tabletext"/>
              <w:rPr>
                <w:rStyle w:val="Foreign"/>
              </w:rPr>
            </w:pPr>
            <w:r>
              <w:rPr>
                <w:rStyle w:val="Foreign"/>
              </w:rPr>
              <w:t>droṇa Iva kr̥pānugataḥ</w:t>
            </w:r>
          </w:p>
        </w:tc>
      </w:tr>
      <w:tr w14:paraId="07A7C0ED" w14:textId="77777777">
        <w:tc>
          <w:tcPr>
            <w:tcW w:w="5000" w:type="pct"/>
          </w:tcPr>
          <w:p w14:paraId="138C47B6" w14:textId="77777777">
            <w:pPr>
              <w:pStyle w:val="CodeParagraph"/>
              <w:keepNext/>
            </w:pPr>
            <w:r>
              <w:rPr>
                <w:rStyle w:val="Codetext"/>
              </w:rPr>
              <w:t xml:space="preserve">... who is attended by mercy just as Droṇa </w:t>
            </w:r>
            <w:r>
              <w:rPr>
                <w:rStyle w:val="Code"/>
              </w:rPr>
              <w:t xml:space="preserve">&lt;seg </w:t>
            </w:r>
            <w:r>
              <w:rPr>
                <w:rStyle w:val="Codeattribute"/>
              </w:rPr>
              <w:t>rend</w:t>
            </w:r>
            <w:r>
              <w:rPr>
                <w:rStyle w:val="Code"/>
              </w:rPr>
              <w:t>=</w:t>
            </w:r>
            <w:r>
              <w:rPr>
                <w:rStyle w:val="Codevalue"/>
              </w:rPr>
              <w:t>"pun"</w:t>
            </w:r>
            <w:r>
              <w:rPr>
                <w:rStyle w:val="Code"/>
              </w:rPr>
              <w:t>&gt;</w:t>
            </w:r>
            <w:r>
              <w:rPr>
                <w:rStyle w:val="Codetext"/>
              </w:rPr>
              <w:t>is followed by Kr̥pā</w:t>
            </w:r>
            <w:r>
              <w:rPr>
                <w:rStyle w:val="Code"/>
              </w:rPr>
              <w:t>&lt;/seg&gt; ...</w:t>
            </w:r>
          </w:p>
        </w:tc>
      </w:tr>
      <w:tr w14:paraId="3E9FDB93" w14:textId="77777777">
        <w:tc>
          <w:tcPr>
            <w:tcW w:w="5000" w:type="pct"/>
          </w:tcPr>
          <w:p w14:paraId="49A0F33A" w14:textId="77777777">
            <w:pPr>
              <w:pStyle w:val="TableNote"/>
            </w:pPr>
            <w:r>
              <w:t xml:space="preserve">display: … who is attended by mercy just as </w:t>
            </w:r>
            <w:r>
              <w:rPr>
                <w:rStyle w:val="ForeignIndic"/>
              </w:rPr>
              <w:t>Droṇa</w:t>
            </w:r>
            <w:r>
              <w:t xml:space="preserve"> {is followed by </w:t>
            </w:r>
            <w:r>
              <w:rPr>
                <w:rStyle w:val="ForeignIndic"/>
              </w:rPr>
              <w:t>Kr̥pā</w:t>
            </w:r>
            <w:r>
              <w:t>} …</w:t>
            </w:r>
          </w:p>
        </w:tc>
      </w:tr>
    </w:tbl>
    <w:p w14:paraId="15B778A3" w14:textId="77777777">
      <w:pPr>
        <w:pStyle w:val="Cmsor3"/>
      </w:pPr>
      <w:bookmarkStart w:id="892" w:name="_r5nlq6s8z4nw" w:colFirst="0" w:colLast="0"/>
      <w:bookmarkStart w:id="893" w:name="_Ref53128241"/>
      <w:bookmarkStart w:id="894" w:name="_Ref43978788"/>
      <w:bookmarkStart w:id="895" w:name="_Toc242889616"/>
      <w:bookmarkEnd w:id="892"/>
      <w:r>
        <w:t>Original space in the translation</w:t>
      </w:r>
      <w:bookmarkEnd w:id="895"/>
    </w:p>
    <w:p w14:paraId="3A9BBDB6" w14:textId="3EDB532E">
      <w:r>
        <w:t>Spaces encoded in the edition (§</w:t>
      </w:r>
      <w:r>
        <w:fldChar w:fldCharType="begin"/>
      </w:r>
      <w:r>
        <w:instrText xml:space="preserve"> REF _Ref43989284 \r \h </w:instrText>
      </w:r>
      <w:r>
        <w:fldChar w:fldCharType="separate"/>
      </w:r>
      <w:r>
        <w:t>5.4.5</w:t>
      </w:r>
      <w:r>
        <w:fldChar w:fldCharType="end"/>
      </w:r>
      <w:r>
        <w:t>) generally need not and must not be preserved in the translation. However, spaces left blank in the original with the intent of subsequent filling (</w:t>
      </w:r>
      <w:r>
        <w:rPr>
          <w:rStyle w:val="Foreign"/>
        </w:rPr>
        <w:t>vacat</w:t>
      </w:r>
      <w:r>
        <w:t>, §</w:t>
      </w:r>
      <w:r>
        <w:fldChar w:fldCharType="begin"/>
      </w:r>
      <w:r>
        <w:instrText xml:space="preserve"> REF _Ref43987728 \r \h </w:instrText>
      </w:r>
      <w:r>
        <w:fldChar w:fldCharType="separate"/>
      </w:r>
      <w:r>
        <w:t>5.5.2.1</w:t>
      </w:r>
      <w:r>
        <w:fldChar w:fldCharType="end"/>
      </w:r>
      <w:r>
        <w:t>) may be optionally represented in the translation if you feel that this serves a useful purpose.</w:t>
      </w:r>
    </w:p>
    <w:p w14:paraId="03C9C750" w14:textId="77777777">
      <w:pPr>
        <w:pStyle w:val="Lista"/>
      </w:pPr>
      <w:r>
        <w:t xml:space="preserve">in this case, use the </w:t>
      </w:r>
      <w:r>
        <w:rPr>
          <w:rStyle w:val="Code"/>
        </w:rPr>
        <w:t>&lt;space/&gt;</w:t>
      </w:r>
      <w:r>
        <w:t xml:space="preserve"> element exactly as encoded in the edition division, e.g. </w:t>
      </w:r>
      <w:r>
        <w:rPr>
          <w:rStyle w:val="Code"/>
        </w:rPr>
        <w:t xml:space="preserve">&lt;space </w:t>
      </w:r>
      <w:r>
        <w:rPr>
          <w:rStyle w:val="Codeattribute"/>
        </w:rPr>
        <w:t>type</w:t>
      </w:r>
      <w:r>
        <w:rPr>
          <w:rStyle w:val="Code"/>
        </w:rPr>
        <w:t>=</w:t>
      </w:r>
      <w:r>
        <w:rPr>
          <w:rStyle w:val="Codevalue"/>
        </w:rPr>
        <w:t>"vacat"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p>
    <w:p w14:paraId="6EEFF385" w14:textId="77777777">
      <w:pPr>
        <w:pStyle w:val="Cmsor2"/>
      </w:pPr>
      <w:bookmarkStart w:id="896" w:name="_Ref43990725"/>
      <w:bookmarkStart w:id="897" w:name="_Toc242889617"/>
      <w:bookmarkEnd w:id="893"/>
      <w:r>
        <w:t>Reproducing a published translation</w:t>
      </w:r>
      <w:bookmarkEnd w:id="896"/>
      <w:bookmarkEnd w:id="897"/>
    </w:p>
    <w:p w14:paraId="065E1CA5" w14:textId="77777777">
      <w:pPr>
        <w:pStyle w:val="Cmsor3"/>
      </w:pPr>
      <w:bookmarkStart w:id="898" w:name="_Ref233299001"/>
      <w:bookmarkStart w:id="899" w:name="_Toc242889618"/>
      <w:r>
        <w:t>Adapting a previous translation</w:t>
      </w:r>
      <w:bookmarkEnd w:id="898"/>
      <w:bookmarkEnd w:id="899"/>
    </w:p>
    <w:p w14:paraId="637DABFF" w14:textId="77777777">
      <w:pPr>
        <w:rPr>
          <w:lang w:eastAsia="en-US" w:bidi="ar-SA"/>
        </w:rPr>
      </w:pPr>
      <w:r>
        <w:rPr>
          <w:lang w:eastAsia="en-US" w:bidi="ar-SA"/>
        </w:rPr>
        <w:t>When you make any improvement to a previously published translation, for instance by adding parts not translated there, revising parts based on a reading you have revised in the edition or on a new interpretation of the same reading, or simply increasing its accuracy or fluency, then for practical purposes you are the intellectual author of the new translation.</w:t>
      </w:r>
    </w:p>
    <w:p w14:paraId="673C4F78" w14:textId="5300D62C">
      <w:pPr>
        <w:pStyle w:val="Lista"/>
        <w:rPr>
          <w:lang w:eastAsia="en-US" w:bidi="ar-SA"/>
        </w:rPr>
      </w:pPr>
      <w:r>
        <w:rPr>
          <w:lang w:eastAsia="en-US" w:bidi="ar-SA"/>
        </w:rPr>
        <w:t xml:space="preserve">encode your authorship with </w:t>
      </w:r>
      <w:r>
        <w:rPr>
          <w:rStyle w:val="Codeattribute"/>
        </w:rPr>
        <w:t>@resp</w:t>
      </w:r>
      <w:r>
        <w:t xml:space="preserve"> (</w:t>
      </w:r>
      <w:r>
        <w:rPr>
          <w:lang w:eastAsia="en-US" w:bidi="ar-SA"/>
        </w:rPr>
        <w:t>§</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r>
        <w:t>) and add a credit note (§</w:t>
      </w:r>
      <w:r>
        <w:fldChar w:fldCharType="begin"/>
      </w:r>
      <w:r>
        <w:instrText xml:space="preserve"> REF _Ref242888161 \r \h </w:instrText>
      </w:r>
      <w:r>
        <w:fldChar w:fldCharType="separate"/>
      </w:r>
      <w:r>
        <w:t>11.1.2.1</w:t>
      </w:r>
      <w:r>
        <w:fldChar w:fldCharType="end"/>
      </w:r>
      <w:r>
        <w:t>) to name the original translator and clarify the nature and extent of your contribution</w:t>
      </w:r>
    </w:p>
    <w:p w14:paraId="109B84FB" w14:textId="77777777">
      <w:pPr>
        <w:pStyle w:val="Cmsor3"/>
      </w:pPr>
      <w:bookmarkStart w:id="900" w:name="_Ref233887001"/>
      <w:bookmarkStart w:id="901" w:name="_Toc242889619"/>
      <w:r>
        <w:t>Adopting a previous translation verbatim</w:t>
      </w:r>
      <w:bookmarkEnd w:id="900"/>
      <w:bookmarkEnd w:id="901"/>
    </w:p>
    <w:p w14:paraId="39493F91" w14:textId="77777777">
      <w:pPr>
        <w:rPr>
          <w:lang w:eastAsia="en-US" w:bidi="ar-SA"/>
        </w:rPr>
      </w:pPr>
      <w:r>
        <w:rPr>
          <w:lang w:eastAsia="en-US" w:bidi="ar-SA"/>
        </w:rPr>
        <w:t>It is sometimes desirable to create a “digital facsimile” of a previously published translation. When doing so, be mindful of the following considerations.</w:t>
      </w:r>
    </w:p>
    <w:p w14:paraId="4A1861DC" w14:textId="20EE522C">
      <w:pPr>
        <w:pStyle w:val="Lista"/>
      </w:pPr>
      <w:r>
        <w:t xml:space="preserve">the author of the translation must be credited with the attribute </w:t>
      </w:r>
      <w:r>
        <w:rPr>
          <w:rStyle w:val="Codeattribute"/>
        </w:rPr>
        <w:t>@source</w:t>
      </w:r>
      <w:r>
        <w:t xml:space="preserve"> as per §</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r>
        <w:rPr>
          <w:lang w:eastAsia="en-US" w:bidi="ar-SA"/>
        </w:rPr>
        <w:t xml:space="preserve"> and </w:t>
      </w:r>
      <w:r>
        <w:t>§</w:t>
      </w:r>
      <w:r>
        <w:fldChar w:fldCharType="begin"/>
      </w:r>
      <w:r>
        <w:instrText xml:space="preserve"> REF _Ref43989551 \w \h  \* MERGEFORMAT </w:instrText>
      </w:r>
      <w:r>
        <w:fldChar w:fldCharType="separate"/>
      </w:r>
      <w:r>
        <w:t>14.6.2</w:t>
      </w:r>
      <w:r>
        <w:fldChar w:fldCharType="end"/>
      </w:r>
    </w:p>
    <w:p w14:paraId="246F1A01" w14:textId="77777777">
      <w:pPr>
        <w:pStyle w:val="Lista"/>
      </w:pPr>
      <w:r>
        <w:t>any character-based markup (brackets, etc.) in the translation must be converted to its encoding equivalent as far as feasible</w:t>
      </w:r>
    </w:p>
    <w:p w14:paraId="55454D1D" w14:textId="77777777">
      <w:pPr>
        <w:pStyle w:val="Lista2"/>
      </w:pPr>
      <w:r>
        <w:t>translator’s markup for which our encoding provides no equivalent, or which cannot be interpreted confidently, may be exceptionally retained</w:t>
      </w:r>
    </w:p>
    <w:p w14:paraId="5EAC2694" w14:textId="4AD11731">
      <w:pPr>
        <w:pStyle w:val="Lista3"/>
      </w:pPr>
      <w:r>
        <w:t>clarify any such markup within a credit note (</w:t>
      </w:r>
      <w:r>
        <w:rPr>
          <w:lang w:eastAsia="en-US" w:bidi="ar-SA"/>
        </w:rPr>
        <w:t>§</w:t>
      </w:r>
      <w:r>
        <w:t>§</w:t>
      </w:r>
      <w:r>
        <w:fldChar w:fldCharType="begin"/>
      </w:r>
      <w:r>
        <w:instrText xml:space="preserve"> REF _Ref242888161 \r \h </w:instrText>
      </w:r>
      <w:r>
        <w:fldChar w:fldCharType="separate"/>
      </w:r>
      <w:r>
        <w:t>11.1.2.1</w:t>
      </w:r>
      <w:r>
        <w:fldChar w:fldCharType="end"/>
      </w:r>
      <w:r>
        <w:t>) attached to the translation</w:t>
      </w:r>
    </w:p>
    <w:p w14:paraId="0D50DBD4" w14:textId="77777777">
      <w:pPr>
        <w:pStyle w:val="Lista"/>
      </w:pPr>
      <w:r>
        <w:t>the transliteration of any words in a source language must be silently converted to the DHARMA transliteration whenever feasible</w:t>
      </w:r>
    </w:p>
    <w:p w14:paraId="720E023E" w14:textId="3831A6DE">
      <w:pPr>
        <w:pStyle w:val="Lista"/>
      </w:pPr>
      <w:r>
        <w:t>when a published translation you are encoding omits a stretch of the text (for example because it is unintelligible or because the original translator considered a part of the text not worthy of attention), this shall be indicated in your encoding as per §</w:t>
      </w:r>
      <w:r>
        <w:fldChar w:fldCharType="begin"/>
      </w:r>
      <w:r>
        <w:instrText xml:space="preserve"> REF _Ref233298630 \r \h </w:instrText>
      </w:r>
      <w:r>
        <w:fldChar w:fldCharType="separate"/>
      </w:r>
      <w:r>
        <w:t>11.4.3.3</w:t>
      </w:r>
      <w:r>
        <w:fldChar w:fldCharType="end"/>
      </w:r>
    </w:p>
    <w:p w14:paraId="1E790780" w14:textId="744B042A">
      <w:pPr>
        <w:pStyle w:val="Lista"/>
      </w:pPr>
      <w:r>
        <w:t>if a published translation is based on a reading, restoration or emendation different from what you show in your edition, it is highly recommended that you point this out in a note of your own (§</w:t>
      </w:r>
      <w:r>
        <w:fldChar w:fldCharType="begin"/>
      </w:r>
      <w:r>
        <w:instrText xml:space="preserve"> REF _Ref233298582 \r \h </w:instrText>
      </w:r>
      <w:r>
        <w:fldChar w:fldCharType="separate"/>
      </w:r>
      <w:r>
        <w:t>11.5.3</w:t>
      </w:r>
      <w:r>
        <w:fldChar w:fldCharType="end"/>
      </w:r>
      <w:r>
        <w:t>), attached to the spot where the translation is based on divergent text</w:t>
      </w:r>
    </w:p>
    <w:p w14:paraId="24218076" w14:textId="77777777">
      <w:pPr>
        <w:pStyle w:val="Lista"/>
      </w:pPr>
      <w:r>
        <w:lastRenderedPageBreak/>
        <w:t>obvious typographic mistakes and errors of transliteration in a previous translation should be corrected silently in your digital version</w:t>
      </w:r>
    </w:p>
    <w:p w14:paraId="3449E2DE" w14:textId="7A92E9D1">
      <w:pPr>
        <w:pStyle w:val="Lista2"/>
      </w:pPr>
      <w:r>
        <w:t>unusual mistakes or anomalies, especially if they affect the interpretation of the text, should be left as in the original translation and preferably accompanied by a note of your own (§</w:t>
      </w:r>
      <w:r>
        <w:fldChar w:fldCharType="begin"/>
      </w:r>
      <w:r>
        <w:instrText xml:space="preserve"> REF _Ref233298582 \r \h </w:instrText>
      </w:r>
      <w:r>
        <w:fldChar w:fldCharType="separate"/>
      </w:r>
      <w:r>
        <w:t>11.5.3</w:t>
      </w:r>
      <w:r>
        <w:fldChar w:fldCharType="end"/>
      </w:r>
      <w:r>
        <w:t>)</w:t>
      </w:r>
    </w:p>
    <w:p w14:paraId="11913ABD" w14:textId="77777777">
      <w:pPr>
        <w:pStyle w:val="Cmsor3"/>
      </w:pPr>
      <w:bookmarkStart w:id="902" w:name="_Ref233298582"/>
      <w:bookmarkStart w:id="903" w:name="_Toc242889620"/>
      <w:r>
        <w:t>Adopting and adapting notes to a translation</w:t>
      </w:r>
      <w:bookmarkEnd w:id="902"/>
      <w:bookmarkEnd w:id="903"/>
    </w:p>
    <w:p w14:paraId="0B872135" w14:textId="1A986903">
      <w:r>
        <w:rPr>
          <w:lang w:eastAsia="en-US" w:bidi="ar-SA"/>
        </w:rPr>
        <w:t xml:space="preserve">Any notes in a translation will by default be considered to have been written by the author of the translation indicated with </w:t>
      </w:r>
      <w:r>
        <w:rPr>
          <w:rStyle w:val="Codeattribute"/>
        </w:rPr>
        <w:t>@source</w:t>
      </w:r>
      <w:r>
        <w:t xml:space="preserve"> </w:t>
      </w:r>
      <w:r>
        <w:rPr>
          <w:noProof/>
        </w:rPr>
        <w:t xml:space="preserve">or </w:t>
      </w:r>
      <w:r>
        <w:rPr>
          <w:rStyle w:val="Codeattribute"/>
        </w:rPr>
        <w:t>@resp</w:t>
      </w:r>
      <w:r>
        <w:t xml:space="preserve"> on the translation division (§</w:t>
      </w:r>
      <w:r>
        <w:fldChar w:fldCharType="begin"/>
      </w:r>
      <w:r>
        <w:instrText xml:space="preserve"> REF _Ref233276652 \r \h </w:instrText>
      </w:r>
      <w:r>
        <w:fldChar w:fldCharType="separate"/>
      </w:r>
      <w:r>
        <w:t>11.1.2</w:t>
      </w:r>
      <w:r>
        <w:fldChar w:fldCharType="end"/>
      </w:r>
      <w:r>
        <w:t>). Complications shall be handled as follows.</w:t>
      </w:r>
    </w:p>
    <w:p w14:paraId="5A1198BD" w14:textId="2174C313">
      <w:pPr>
        <w:pStyle w:val="Lista"/>
        <w:rPr>
          <w:lang w:eastAsia="en-US" w:bidi="ar-SA"/>
        </w:rPr>
      </w:pPr>
      <w:r>
        <w:t>if you are technically the author of the translation (either because the translation is fully yours or because you have adapted a previous translation as per §</w:t>
      </w:r>
      <w:r>
        <w:fldChar w:fldCharType="begin"/>
      </w:r>
      <w:r>
        <w:instrText xml:space="preserve"> REF _Ref233299001 \r \h </w:instrText>
      </w:r>
      <w:r>
        <w:fldChar w:fldCharType="separate"/>
      </w:r>
      <w:r>
        <w:t>11.5.1</w:t>
      </w:r>
      <w:r>
        <w:fldChar w:fldCharType="end"/>
      </w:r>
      <w:r>
        <w:t>), but you wish to include a note written by someone else (who may be, but need not be the author of a translation you are adapting)</w:t>
      </w:r>
    </w:p>
    <w:p w14:paraId="701D641F" w14:textId="77777777">
      <w:pPr>
        <w:pStyle w:val="Lista2"/>
        <w:rPr>
          <w:lang w:eastAsia="en-US" w:bidi="ar-SA"/>
        </w:rPr>
      </w:pPr>
      <w:r>
        <w:rPr>
          <w:lang w:eastAsia="en-US" w:bidi="ar-SA"/>
        </w:rPr>
        <w:t>preferably paraphrase the note instead of using it verbatim, thus making it your own note</w:t>
      </w:r>
    </w:p>
    <w:p w14:paraId="3296F4D2" w14:textId="77777777">
      <w:pPr>
        <w:pStyle w:val="Lista3"/>
        <w:rPr>
          <w:lang w:eastAsia="en-US" w:bidi="ar-SA"/>
        </w:rPr>
      </w:pPr>
      <w:r>
        <w:rPr>
          <w:lang w:eastAsia="en-US" w:bidi="ar-SA"/>
        </w:rPr>
        <w:t>in the paraphrased note, credit the original author of the note</w:t>
      </w:r>
    </w:p>
    <w:p w14:paraId="643AE3FE" w14:textId="77777777">
      <w:pPr>
        <w:pStyle w:val="Lista4"/>
        <w:rPr>
          <w:lang w:eastAsia="en-US" w:bidi="ar-SA"/>
        </w:rPr>
      </w:pPr>
      <w:r>
        <w:rPr>
          <w:lang w:eastAsia="en-US" w:bidi="ar-SA"/>
        </w:rPr>
        <w:t>simply by name if the note is from a published translation you are adapting and have specified in the credit note of your translation</w:t>
      </w:r>
      <w:r>
        <w:t>, e.g. “Fleet observes that…”</w:t>
      </w:r>
    </w:p>
    <w:p w14:paraId="424980F5" w14:textId="34D40A69">
      <w:pPr>
        <w:pStyle w:val="Lista4"/>
        <w:rPr>
          <w:lang w:eastAsia="en-US" w:bidi="ar-SA"/>
        </w:rPr>
      </w:pPr>
      <w:r>
        <w:t>by an encoded bibliographic citation (§</w:t>
      </w:r>
      <w:r>
        <w:fldChar w:fldCharType="begin"/>
      </w:r>
      <w:r>
        <w:instrText xml:space="preserve"> REF _Ref233877601 \r \h </w:instrText>
      </w:r>
      <w:r>
        <w:fldChar w:fldCharType="separate"/>
      </w:r>
      <w:r>
        <w:t>14.6.1</w:t>
      </w:r>
      <w:r>
        <w:fldChar w:fldCharType="end"/>
      </w:r>
      <w:r>
        <w:t>) otherwise</w:t>
      </w:r>
    </w:p>
    <w:p w14:paraId="18E5103F" w14:textId="2D2C2042">
      <w:pPr>
        <w:pStyle w:val="Lista2"/>
        <w:rPr>
          <w:lang w:eastAsia="en-US" w:bidi="ar-SA"/>
        </w:rPr>
      </w:pPr>
      <w:r>
        <w:rPr>
          <w:lang w:eastAsia="en-US" w:bidi="ar-SA"/>
        </w:rPr>
        <w:t xml:space="preserve">if you wish to reproduce a note from a previous translation verbatim, you must add </w:t>
      </w:r>
      <w:r>
        <w:rPr>
          <w:rStyle w:val="Codeattribute"/>
        </w:rPr>
        <w:t>@source</w:t>
      </w:r>
      <w:r>
        <w:t xml:space="preserve"> to the </w:t>
      </w:r>
      <w:r>
        <w:rPr>
          <w:rStyle w:val="Code"/>
        </w:rPr>
        <w:t>&lt;note&gt;</w:t>
      </w:r>
      <w:r>
        <w:t xml:space="preserve"> element as per §</w:t>
      </w:r>
      <w:r>
        <w:fldChar w:fldCharType="begin"/>
      </w:r>
      <w:r>
        <w:instrText xml:space="preserve"> REF _Ref44490119 \r \h </w:instrText>
      </w:r>
      <w:r>
        <w:fldChar w:fldCharType="separate"/>
      </w:r>
      <w:r>
        <w:t>14.6.2</w:t>
      </w:r>
      <w:r>
        <w:fldChar w:fldCharType="end"/>
      </w:r>
    </w:p>
    <w:p w14:paraId="26AD012D" w14:textId="77777777">
      <w:pPr>
        <w:pStyle w:val="Lista"/>
      </w:pPr>
      <w:r>
        <w:t xml:space="preserve">if the translation is from a previous publication (encoded as the </w:t>
      </w:r>
      <w:r>
        <w:rPr>
          <w:rStyle w:val="Codeattribute"/>
        </w:rPr>
        <w:t>@source</w:t>
      </w:r>
      <w:r>
        <w:t xml:space="preserve"> of the translation division),</w:t>
      </w:r>
    </w:p>
    <w:p w14:paraId="5612EF57" w14:textId="77777777">
      <w:pPr>
        <w:pStyle w:val="Lista2"/>
      </w:pPr>
      <w:r>
        <w:t>notes from that publication can and must be duplicated verbatim and without any additional attribution</w:t>
      </w:r>
    </w:p>
    <w:p w14:paraId="2F74CE33" w14:textId="77777777">
      <w:pPr>
        <w:pStyle w:val="Lista3"/>
      </w:pPr>
      <w:r>
        <w:t>it is, however, not mandatory to reproduce all notes by the original translator</w:t>
      </w:r>
    </w:p>
    <w:p w14:paraId="2F173C17" w14:textId="39C85A61">
      <w:pPr>
        <w:pStyle w:val="Lista2"/>
      </w:pPr>
      <w:r>
        <w:t xml:space="preserve">notes of your own added to a previously published translation must be credited explicitly to you, using </w:t>
      </w:r>
      <w:r>
        <w:rPr>
          <w:rStyle w:val="Codeattribute"/>
        </w:rPr>
        <w:t>@resp</w:t>
      </w:r>
      <w:r>
        <w:t xml:space="preserve"> </w:t>
      </w:r>
      <w:r>
        <w:rPr>
          <w:noProof/>
        </w:rPr>
        <w:t>(</w:t>
      </w:r>
      <w:r>
        <w:t>§</w:t>
      </w:r>
      <w:r>
        <w:fldChar w:fldCharType="begin"/>
      </w:r>
      <w:r>
        <w:instrText xml:space="preserve"> REF _Ref43989765 \w \h  \* MERGEFORMAT </w:instrText>
      </w:r>
      <w:r>
        <w:fldChar w:fldCharType="separate"/>
      </w:r>
      <w:r>
        <w:t>14.6.5</w:t>
      </w:r>
      <w:r>
        <w:fldChar w:fldCharType="end"/>
      </w:r>
      <w:r>
        <w:t>) on each such note</w:t>
      </w:r>
    </w:p>
    <w:p w14:paraId="296915B9" w14:textId="77777777">
      <w:pPr>
        <w:pStyle w:val="Lista2"/>
      </w:pPr>
      <w:r>
        <w:t>should you wish to include notes from a different previously published translation, do one of the following</w:t>
      </w:r>
    </w:p>
    <w:p w14:paraId="3F732C1B" w14:textId="77777777">
      <w:pPr>
        <w:pStyle w:val="Lista3"/>
      </w:pPr>
      <w:r>
        <w:t xml:space="preserve">paraphrase the original note, encode it as your own note with </w:t>
      </w:r>
      <w:r>
        <w:rPr>
          <w:rStyle w:val="Codeattribute"/>
        </w:rPr>
        <w:t>@resp</w:t>
      </w:r>
      <w:r>
        <w:t>, and credit its original author with a bibliographic citation</w:t>
      </w:r>
    </w:p>
    <w:p w14:paraId="406FCFBD" w14:textId="77777777">
      <w:pPr>
        <w:pStyle w:val="Lista3"/>
      </w:pPr>
      <w:r>
        <w:t xml:space="preserve">reproduce the note verbatim and credit it with </w:t>
      </w:r>
      <w:r>
        <w:rPr>
          <w:lang w:eastAsia="en-US" w:bidi="ar-SA"/>
        </w:rPr>
        <w:t xml:space="preserve">add </w:t>
      </w:r>
      <w:r>
        <w:rPr>
          <w:rStyle w:val="Codeattribute"/>
        </w:rPr>
        <w:t>@source</w:t>
      </w:r>
      <w:r>
        <w:t xml:space="preserve"> on the </w:t>
      </w:r>
      <w:r>
        <w:rPr>
          <w:rStyle w:val="Code"/>
        </w:rPr>
        <w:t>&lt;note&gt;</w:t>
      </w:r>
      <w:r>
        <w:t xml:space="preserve"> element</w:t>
      </w:r>
    </w:p>
    <w:p w14:paraId="1C816DE3" w14:textId="77777777">
      <w:pPr>
        <w:pStyle w:val="Cmsor1"/>
      </w:pPr>
      <w:bookmarkStart w:id="904" w:name="_Ref181352286"/>
      <w:bookmarkStart w:id="905" w:name="_Toc242889621"/>
      <w:r>
        <w:lastRenderedPageBreak/>
        <w:t>The commentary</w:t>
      </w:r>
      <w:bookmarkEnd w:id="894"/>
      <w:bookmarkEnd w:id="904"/>
      <w:bookmarkEnd w:id="905"/>
    </w:p>
    <w:p w14:paraId="2C616A58" w14:textId="362FB68D">
      <w:pPr>
        <w:rPr>
          <w:lang w:eastAsia="en-US" w:bidi="ar-SA"/>
        </w:rPr>
      </w:pPr>
      <w:bookmarkStart w:id="906" w:name="_5cjqjha8yozn" w:colFirst="0" w:colLast="0"/>
      <w:bookmarkEnd w:id="906"/>
      <w:r>
        <w:rPr>
          <w:lang w:eastAsia="en-US" w:bidi="ar-SA"/>
        </w:rPr>
        <w:t>A scholarly commentary on any aspect of the edition may be included as a separate division of the XML file.</w:t>
      </w:r>
    </w:p>
    <w:p w14:paraId="30397362" w14:textId="77777777">
      <w:pPr>
        <w:pStyle w:val="Lista"/>
      </w:pPr>
      <w:r>
        <w:t>the commentary is not the ideal place for</w:t>
      </w:r>
    </w:p>
    <w:p w14:paraId="270C4008" w14:textId="77777777">
      <w:pPr>
        <w:pStyle w:val="Lista2"/>
      </w:pPr>
      <w:r>
        <w:t>palaeographic observations on the document as a whole</w:t>
      </w:r>
    </w:p>
    <w:p w14:paraId="1C014D0C" w14:textId="738C70E6">
      <w:pPr>
        <w:pStyle w:val="Lista3"/>
      </w:pPr>
      <w:r>
        <w:t xml:space="preserve">which belong in the </w:t>
      </w:r>
      <w:r>
        <w:rPr>
          <w:rStyle w:val="Code"/>
        </w:rPr>
        <w:t>&lt;handDesc&gt;</w:t>
      </w:r>
      <w:r>
        <w:t xml:space="preserve"> section of the TEI header (§</w:t>
      </w:r>
      <w:r>
        <w:fldChar w:fldCharType="begin"/>
      </w:r>
      <w:r>
        <w:instrText xml:space="preserve"> REF _Ref43987455 \w \h  \* MERGEFORMAT </w:instrText>
      </w:r>
      <w:r>
        <w:fldChar w:fldCharType="separate"/>
      </w:r>
      <w:r>
        <w:t>15.2.1</w:t>
      </w:r>
      <w:r>
        <w:fldChar w:fldCharType="end"/>
      </w:r>
      <w:r>
        <w:t>)</w:t>
      </w:r>
    </w:p>
    <w:p w14:paraId="78F58C8A" w14:textId="0C6D5039">
      <w:pPr>
        <w:pStyle w:val="Lista2"/>
      </w:pPr>
      <w:r>
        <w:t>remarks concerning specific small-scale loci in the text</w:t>
      </w:r>
    </w:p>
    <w:p w14:paraId="7F1D7966" w14:textId="7FC3C6AF">
      <w:pPr>
        <w:pStyle w:val="Lista3"/>
      </w:pPr>
      <w:r>
        <w:t xml:space="preserve">which are better recorded in the apparatus as notes </w:t>
      </w:r>
      <w:r>
        <w:rPr>
          <w:noProof/>
        </w:rPr>
        <w:t>(</w:t>
      </w:r>
      <w:r>
        <w:t>§</w:t>
      </w:r>
      <w:r>
        <w:fldChar w:fldCharType="begin"/>
      </w:r>
      <w:r>
        <w:instrText xml:space="preserve"> REF _Ref43988104 \w \h  \* MERGEFORMAT </w:instrText>
      </w:r>
      <w:r>
        <w:fldChar w:fldCharType="separate"/>
      </w:r>
      <w:r>
        <w:t>10.7</w:t>
      </w:r>
      <w:r>
        <w:fldChar w:fldCharType="end"/>
      </w:r>
      <w:r>
        <w:t>), unless they are so long that they would disrupt the apparatus</w:t>
      </w:r>
    </w:p>
    <w:p w14:paraId="28C73438" w14:textId="77777777">
      <w:pPr>
        <w:pStyle w:val="Lista"/>
      </w:pPr>
      <w:r>
        <w:t>typical topics that do belong in the commentary include</w:t>
      </w:r>
    </w:p>
    <w:p w14:paraId="7D2B0D0D" w14:textId="77777777">
      <w:pPr>
        <w:pStyle w:val="Lista2"/>
      </w:pPr>
      <w:r>
        <w:t>remarks pertaining to specific loci when they are too long to put in the apparatus</w:t>
      </w:r>
    </w:p>
    <w:p w14:paraId="77A09B36" w14:textId="77777777">
      <w:pPr>
        <w:pStyle w:val="Lista2"/>
      </w:pPr>
      <w:r>
        <w:t>discussion of metrical phenomena and uncertainty about verse metres</w:t>
      </w:r>
    </w:p>
    <w:p w14:paraId="676F719B" w14:textId="77777777">
      <w:pPr>
        <w:pStyle w:val="Lista2"/>
      </w:pPr>
      <w:r>
        <w:t>discussion of the interpretation as reflected in your translation and any alternatives</w:t>
      </w:r>
    </w:p>
    <w:p w14:paraId="3966456A" w14:textId="77777777">
      <w:pPr>
        <w:pStyle w:val="Lista2"/>
      </w:pPr>
      <w:r>
        <w:t>literal translations of phrases more elegantly translated in your translation, but for this reason, possibly obscure</w:t>
      </w:r>
    </w:p>
    <w:p w14:paraId="2381C1E3" w14:textId="77777777">
      <w:pPr>
        <w:pStyle w:val="Lista2"/>
      </w:pPr>
      <w:r>
        <w:t>pointing out parallel passages in other sources, especially if these are used as the basis of restoration in the present text</w:t>
      </w:r>
    </w:p>
    <w:p w14:paraId="43F7D4CA" w14:textId="77777777">
      <w:pPr>
        <w:pStyle w:val="Cmsor2"/>
      </w:pPr>
      <w:bookmarkStart w:id="907" w:name="_Ref233792738"/>
      <w:bookmarkStart w:id="908" w:name="_Toc242889622"/>
      <w:r>
        <w:t>Encoding the commentary</w:t>
      </w:r>
      <w:bookmarkEnd w:id="907"/>
      <w:bookmarkEnd w:id="908"/>
    </w:p>
    <w:p w14:paraId="15AB337C" w14:textId="77777777">
      <w:pPr>
        <w:pStyle w:val="Lista"/>
      </w:pPr>
      <w:r>
        <w:t xml:space="preserve">the commentary to your text must be wrapped in </w:t>
      </w:r>
      <w:r>
        <w:rPr>
          <w:rStyle w:val="Code"/>
        </w:rPr>
        <w:t xml:space="preserve">&lt;div </w:t>
      </w:r>
      <w:r>
        <w:rPr>
          <w:rStyle w:val="Codeattribute"/>
        </w:rPr>
        <w:t>type</w:t>
      </w:r>
      <w:r>
        <w:rPr>
          <w:rStyle w:val="Code"/>
        </w:rPr>
        <w:t>=</w:t>
      </w:r>
      <w:r>
        <w:rPr>
          <w:rStyle w:val="Codevalue"/>
        </w:rPr>
        <w:t>"commentary"</w:t>
      </w:r>
      <w:r>
        <w:rPr>
          <w:rStyle w:val="Code"/>
        </w:rPr>
        <w:t>&gt;</w:t>
      </w:r>
      <w:r>
        <w:t>, without any attributes</w:t>
      </w:r>
    </w:p>
    <w:p w14:paraId="63E2D750" w14:textId="77777777">
      <w:pPr>
        <w:pStyle w:val="Lista2"/>
      </w:pPr>
      <w:r>
        <w:t>this division follows the translation division</w:t>
      </w:r>
      <w:r>
        <w:rPr>
          <w:noProof/>
        </w:rPr>
        <w:t>(</w:t>
      </w:r>
      <w:r>
        <w:t>s) and is already present in our templates</w:t>
      </w:r>
    </w:p>
    <w:p w14:paraId="106B0BE8" w14:textId="77777777">
      <w:pPr>
        <w:pStyle w:val="Lista"/>
      </w:pPr>
      <w:r>
        <w:t xml:space="preserve">the commentary division shall contain only one or more </w:t>
      </w:r>
      <w:r>
        <w:rPr>
          <w:rStyle w:val="Code"/>
        </w:rPr>
        <w:t>&lt;p&gt;</w:t>
      </w:r>
      <w:r>
        <w:t xml:space="preserve"> elements, which in turn contain freeform discursive English text</w:t>
      </w:r>
    </w:p>
    <w:p w14:paraId="75B46FB6" w14:textId="77777777">
      <w:pPr>
        <w:pStyle w:val="Cmsor3"/>
      </w:pPr>
      <w:bookmarkStart w:id="909" w:name="_Toc242889623"/>
      <w:r>
        <w:t>Textpart divisions within the commentary</w:t>
      </w:r>
      <w:bookmarkEnd w:id="909"/>
    </w:p>
    <w:p w14:paraId="262E8E4F" w14:textId="77777777">
      <w:r>
        <w:rPr>
          <w:lang w:eastAsia="en-US" w:bidi="ar-SA"/>
        </w:rPr>
        <w:t xml:space="preserve">Unlike the apparatus and the translation, the commentary accompanying an edition segmented into textpart divisions does not have to be likewise segmented. However, textpart divisions may be created as desired to </w:t>
      </w:r>
      <w:r>
        <w:t>break up a long commentary into sections (chapters).</w:t>
      </w:r>
    </w:p>
    <w:p w14:paraId="63162378" w14:textId="5F3D899B">
      <w:pPr>
        <w:pStyle w:val="Lista"/>
      </w:pPr>
      <w:r>
        <w:t xml:space="preserve">use any arbitrary number of textpart divisions, keeping in mind the requirement of tessellation </w:t>
      </w:r>
      <w:r>
        <w:rPr>
          <w:noProof/>
        </w:rPr>
        <w:t>(</w:t>
      </w:r>
      <w:r>
        <w:t>§</w:t>
      </w:r>
      <w:r>
        <w:fldChar w:fldCharType="begin"/>
      </w:r>
      <w:r>
        <w:instrText xml:space="preserve"> REF _Ref43990385 \r \h  \* MERGEFORMAT </w:instrText>
      </w:r>
      <w:r>
        <w:fldChar w:fldCharType="separate"/>
      </w:r>
      <w:r>
        <w:t>4.7.3.4</w:t>
      </w:r>
      <w:r>
        <w:fldChar w:fldCharType="end"/>
      </w:r>
      <w:r>
        <w:t>), i.e. that if a textpart division is present within your commentary, then all your commentarial text must be contained within textpart divisions</w:t>
      </w:r>
    </w:p>
    <w:p w14:paraId="635BAA54" w14:textId="77777777">
      <w:pPr>
        <w:pStyle w:val="Lista"/>
      </w:pPr>
      <w:r>
        <w:t xml:space="preserve">always add the attribute </w:t>
      </w:r>
      <w:r>
        <w:rPr>
          <w:rStyle w:val="Codeattribute"/>
        </w:rPr>
        <w:t>@n</w:t>
      </w:r>
      <w:r>
        <w:t xml:space="preserve"> to number commentarial textparts, using plain Arabic numerals as values</w:t>
      </w:r>
    </w:p>
    <w:p w14:paraId="4EA23C65" w14:textId="77777777">
      <w:pPr>
        <w:pStyle w:val="Lista"/>
      </w:pPr>
      <w:r>
        <w:t xml:space="preserve">always add a heading to commentarial textparts, by creating the element </w:t>
      </w:r>
      <w:r>
        <w:rPr>
          <w:rStyle w:val="Code"/>
        </w:rPr>
        <w:t>&lt;head&gt;</w:t>
      </w:r>
      <w:r>
        <w:t xml:space="preserve"> </w:t>
      </w:r>
      <w:r>
        <w:rPr>
          <w:noProof/>
        </w:rPr>
        <w:t>(</w:t>
      </w:r>
      <w:r>
        <w:t>containing free text to be displayed as a heading) as the first item within each textpart division</w:t>
      </w:r>
    </w:p>
    <w:p w14:paraId="40F3CD67" w14:textId="77777777">
      <w:pPr>
        <w:pStyle w:val="Lista2"/>
      </w:pPr>
      <w:r>
        <w:t xml:space="preserve">the attribute </w:t>
      </w:r>
      <w:r>
        <w:rPr>
          <w:rStyle w:val="Codeattribute"/>
        </w:rPr>
        <w:t>@xml:lang</w:t>
      </w:r>
      <w:r>
        <w:t xml:space="preserve"> is not required on these </w:t>
      </w:r>
      <w:r>
        <w:rPr>
          <w:rStyle w:val="Code"/>
        </w:rPr>
        <w:t>&lt;head&gt;</w:t>
      </w:r>
      <w:r>
        <w:t xml:space="preserve"> elements, since they are in the same language as the rest of the commentary</w:t>
      </w:r>
    </w:p>
    <w:p w14:paraId="641BB2AC" w14:textId="77777777">
      <w:pPr>
        <w:pStyle w:val="Cmsor2"/>
      </w:pPr>
      <w:bookmarkStart w:id="910" w:name="_Toc242889624"/>
      <w:r>
        <w:t>Indicating reference to the text</w:t>
      </w:r>
      <w:bookmarkEnd w:id="910"/>
    </w:p>
    <w:p w14:paraId="15A24A8D" w14:textId="77777777">
      <w:pPr>
        <w:rPr>
          <w:lang w:eastAsia="en-US" w:bidi="ar-SA"/>
        </w:rPr>
      </w:pPr>
      <w:r>
        <w:rPr>
          <w:lang w:eastAsia="en-US" w:bidi="ar-SA"/>
        </w:rPr>
        <w:t>We are not implementing any machine-actionable linking between the text and the commentary. As and when desired, commentarial passages may include human-readable references to the edition.</w:t>
      </w:r>
    </w:p>
    <w:p w14:paraId="0E12C371" w14:textId="77777777">
      <w:pPr>
        <w:pStyle w:val="Lista"/>
      </w:pPr>
      <w:r>
        <w:t xml:space="preserve">as in any written commentary, refer to lines, stanzas, </w:t>
      </w:r>
      <w:r>
        <w:rPr>
          <w:rStyle w:val="Foreign"/>
        </w:rPr>
        <w:t>pāda</w:t>
      </w:r>
      <w:r>
        <w:rPr>
          <w:noProof/>
        </w:rPr>
        <w:t>s</w:t>
      </w:r>
      <w:r>
        <w:t xml:space="preserve"> or particular words/phrases as and when necessary, spelling out such references in a clear human-readable manner</w:t>
      </w:r>
    </w:p>
    <w:p w14:paraId="00E06CB8" w14:textId="42640CE5">
      <w:pPr>
        <w:pStyle w:val="Lista"/>
      </w:pPr>
      <w:r>
        <w:t>should you wish to create a structured commentary with entries referred to particular sections of the text, you may employ the human-readable linking method described for translations in §</w:t>
      </w:r>
      <w:r>
        <w:fldChar w:fldCharType="begin"/>
      </w:r>
      <w:r>
        <w:instrText xml:space="preserve"> REF _Ref233620814 \r \h </w:instrText>
      </w:r>
      <w:r>
        <w:fldChar w:fldCharType="separate"/>
      </w:r>
      <w:r>
        <w:t>11.3.1</w:t>
      </w:r>
      <w:r>
        <w:fldChar w:fldCharType="end"/>
      </w:r>
      <w:r>
        <w:t xml:space="preserve"> above, i.e.</w:t>
      </w:r>
    </w:p>
    <w:p w14:paraId="3CB777D4" w14:textId="77777777">
      <w:pPr>
        <w:pStyle w:val="Lista2"/>
      </w:pPr>
      <w:r>
        <w:t xml:space="preserve">add to any </w:t>
      </w:r>
      <w:r>
        <w:rPr>
          <w:rStyle w:val="Code"/>
        </w:rPr>
        <w:t>&lt;p&gt;</w:t>
      </w:r>
      <w:r>
        <w:t xml:space="preserve"> element in the commentary the attribute </w:t>
      </w:r>
      <w:r>
        <w:rPr>
          <w:rStyle w:val="Codeattribute"/>
        </w:rPr>
        <w:t>@n</w:t>
      </w:r>
      <w:r>
        <w:t>, corresponding to a line number, a range of line numbers, or a set of non-contiguous line numbers in the text</w:t>
      </w:r>
    </w:p>
    <w:p w14:paraId="657CE791" w14:textId="77777777">
      <w:pPr>
        <w:pStyle w:val="Lista2"/>
      </w:pPr>
      <w:r>
        <w:lastRenderedPageBreak/>
        <w:t xml:space="preserve">add to any </w:t>
      </w:r>
      <w:r>
        <w:rPr>
          <w:rStyle w:val="Code"/>
        </w:rPr>
        <w:t>&lt;p&gt;</w:t>
      </w:r>
      <w:r>
        <w:t xml:space="preserve"> element in the commentary the attribute </w:t>
      </w:r>
      <w:r>
        <w:rPr>
          <w:rStyle w:val="Codeattribute"/>
        </w:rPr>
        <w:t>@rend</w:t>
      </w:r>
      <w:r>
        <w:t xml:space="preserve"> with the value </w:t>
      </w:r>
      <w:r>
        <w:rPr>
          <w:rStyle w:val="Codevalue"/>
        </w:rPr>
        <w:t>"stanza"</w:t>
      </w:r>
      <w:r>
        <w:t xml:space="preserve"> and the attribute </w:t>
      </w:r>
      <w:r>
        <w:rPr>
          <w:rStyle w:val="Codeattribute"/>
        </w:rPr>
        <w:t>@n</w:t>
      </w:r>
      <w:r>
        <w:t>, corresponding to a stanza number, a range of stanza numbers, or a set of non-contiguous stanza numbers in the text</w:t>
      </w:r>
    </w:p>
    <w:p w14:paraId="03CC8C08" w14:textId="77777777">
      <w:pPr>
        <w:pStyle w:val="Cmsor2"/>
      </w:pPr>
      <w:bookmarkStart w:id="911" w:name="_Toc242889625"/>
      <w:r>
        <w:t>Markup within the commentary</w:t>
      </w:r>
      <w:bookmarkEnd w:id="911"/>
    </w:p>
    <w:p w14:paraId="5924C707" w14:textId="6BC2BDAC">
      <w:pPr>
        <w:pStyle w:val="Lista"/>
      </w:pPr>
      <w:r>
        <w:t xml:space="preserve">the commentary </w:t>
      </w:r>
      <w:r>
        <w:rPr>
          <w:lang w:eastAsia="en-US" w:bidi="ar-SA"/>
        </w:rPr>
        <w:t xml:space="preserve">may include the </w:t>
      </w:r>
      <w:r>
        <w:t>globally permitted miscellaneous markup elements discussed in §</w:t>
      </w:r>
      <w:r>
        <w:fldChar w:fldCharType="begin"/>
      </w:r>
      <w:r>
        <w:instrText xml:space="preserve"> REF _Ref43990225 \w \h  \* MERGEFORMAT </w:instrText>
      </w:r>
      <w:r>
        <w:fldChar w:fldCharType="separate"/>
      </w:r>
      <w:r>
        <w:t>14</w:t>
      </w:r>
      <w:r>
        <w:fldChar w:fldCharType="end"/>
      </w:r>
      <w:r>
        <w:t>, including in particular</w:t>
      </w:r>
    </w:p>
    <w:p w14:paraId="72F43341" w14:textId="1C52F8A8">
      <w:pPr>
        <w:pStyle w:val="Lista2"/>
      </w:pPr>
      <w:r>
        <w:t>lemmas and excerpts from the edition (§</w:t>
      </w:r>
      <w:r>
        <w:fldChar w:fldCharType="begin"/>
      </w:r>
      <w:r>
        <w:instrText xml:space="preserve"> REF _Ref43990337 \r \h </w:instrText>
      </w:r>
      <w:r>
        <w:fldChar w:fldCharType="separate"/>
      </w:r>
      <w:r>
        <w:t>14.1</w:t>
      </w:r>
      <w:r>
        <w:fldChar w:fldCharType="end"/>
      </w:r>
      <w:r>
        <w:t>)</w:t>
      </w:r>
    </w:p>
    <w:p w14:paraId="1D5F2B0B" w14:textId="210B5A9C">
      <w:pPr>
        <w:pStyle w:val="Lista2"/>
      </w:pPr>
      <w:r>
        <w:t>bibliographic citations (§</w:t>
      </w:r>
      <w:r>
        <w:fldChar w:fldCharType="begin"/>
      </w:r>
      <w:r>
        <w:instrText xml:space="preserve"> REF _Ref233877601 \r \h </w:instrText>
      </w:r>
      <w:r>
        <w:fldChar w:fldCharType="separate"/>
      </w:r>
      <w:r>
        <w:t>14.6.1</w:t>
      </w:r>
      <w:r>
        <w:fldChar w:fldCharType="end"/>
      </w:r>
      <w:r>
        <w:t>)</w:t>
      </w:r>
    </w:p>
    <w:p w14:paraId="67030429" w14:textId="77777777">
      <w:pPr>
        <w:pStyle w:val="Lista"/>
      </w:pPr>
      <w:r>
        <w:t>the commentary should not contain text-based markup such as brackets, asterisks and other signs</w:t>
      </w:r>
    </w:p>
    <w:p w14:paraId="79C37773" w14:textId="77777777">
      <w:pPr>
        <w:pStyle w:val="Cmsor1"/>
      </w:pPr>
      <w:bookmarkStart w:id="912" w:name="_lvf2agfolatw" w:colFirst="0" w:colLast="0"/>
      <w:bookmarkStart w:id="913" w:name="_l90e8jlwm99j" w:colFirst="0" w:colLast="0"/>
      <w:bookmarkStart w:id="914" w:name="_Ref43978796"/>
      <w:bookmarkStart w:id="915" w:name="_Toc242889626"/>
      <w:bookmarkEnd w:id="912"/>
      <w:bookmarkEnd w:id="913"/>
      <w:r>
        <w:lastRenderedPageBreak/>
        <w:t>The bibliography</w:t>
      </w:r>
      <w:bookmarkEnd w:id="914"/>
      <w:bookmarkEnd w:id="915"/>
    </w:p>
    <w:p w14:paraId="5ACA7FD2" w14:textId="77777777">
      <w:pPr>
        <w:rPr>
          <w:lang w:eastAsia="en-US" w:bidi="ar-SA"/>
        </w:rPr>
      </w:pPr>
      <w:r>
        <w:rPr>
          <w:lang w:eastAsia="en-US" w:bidi="ar-SA"/>
        </w:rPr>
        <w:t xml:space="preserve">DHARMA editions must always be accompanied by a bibliography, with the encoding structure and content specified in this section. The present section of the Guide is </w:t>
      </w:r>
      <w:r>
        <w:rPr>
          <w:i/>
          <w:iCs/>
          <w:lang w:eastAsia="en-US" w:bidi="ar-SA"/>
        </w:rPr>
        <w:t>not</w:t>
      </w:r>
      <w:r>
        <w:rPr>
          <w:lang w:eastAsia="en-US" w:bidi="ar-SA"/>
        </w:rPr>
        <w:t xml:space="preserve"> concerned with other bibliographic details such as</w:t>
      </w:r>
    </w:p>
    <w:p w14:paraId="25967DAC" w14:textId="77777777">
      <w:pPr>
        <w:pStyle w:val="Lista"/>
        <w:rPr>
          <w:lang w:eastAsia="en-US" w:bidi="ar-SA"/>
        </w:rPr>
      </w:pPr>
      <w:r>
        <w:rPr>
          <w:lang w:eastAsia="en-US" w:bidi="ar-SA"/>
        </w:rPr>
        <w:t>the project’s master bibliography, which is maintained in Zotero and discussed in the ZG</w:t>
      </w:r>
    </w:p>
    <w:p w14:paraId="195FF5EB" w14:textId="50751871">
      <w:pPr>
        <w:pStyle w:val="Lista"/>
      </w:pPr>
      <w:r>
        <w:t>bibliographic citations, which are treated in §</w:t>
      </w:r>
      <w:r>
        <w:fldChar w:fldCharType="begin"/>
      </w:r>
      <w:r>
        <w:instrText xml:space="preserve"> REF _Ref233877601 \r \h </w:instrText>
      </w:r>
      <w:r>
        <w:fldChar w:fldCharType="separate"/>
      </w:r>
      <w:r>
        <w:t>14.6.1</w:t>
      </w:r>
      <w:r>
        <w:fldChar w:fldCharType="end"/>
      </w:r>
      <w:r>
        <w:t xml:space="preserve"> </w:t>
      </w:r>
    </w:p>
    <w:p w14:paraId="116A0853" w14:textId="77777777">
      <w:pPr>
        <w:pStyle w:val="Cmsor2"/>
      </w:pPr>
      <w:bookmarkStart w:id="916" w:name="_Toc242889627"/>
      <w:r>
        <w:t>Encoding the bibliography</w:t>
      </w:r>
      <w:bookmarkEnd w:id="916"/>
    </w:p>
    <w:p w14:paraId="2BCE045D" w14:textId="77777777">
      <w:pPr>
        <w:pStyle w:val="Lista"/>
      </w:pPr>
      <w:r>
        <w:t xml:space="preserve">the bibliography must be wrapped in </w:t>
      </w:r>
      <w:r>
        <w:rPr>
          <w:rStyle w:val="Code"/>
        </w:rPr>
        <w:t xml:space="preserve">&lt;div </w:t>
      </w:r>
      <w:r>
        <w:rPr>
          <w:rStyle w:val="Codeattribute"/>
        </w:rPr>
        <w:t>type</w:t>
      </w:r>
      <w:r>
        <w:rPr>
          <w:rStyle w:val="Code"/>
        </w:rPr>
        <w:t>=</w:t>
      </w:r>
      <w:r>
        <w:rPr>
          <w:rStyle w:val="Codevalue"/>
        </w:rPr>
        <w:t>"bibliography"</w:t>
      </w:r>
      <w:r>
        <w:rPr>
          <w:rStyle w:val="Code"/>
        </w:rPr>
        <w:t>&gt;</w:t>
      </w:r>
      <w:r>
        <w:t xml:space="preserve"> without any attributes</w:t>
      </w:r>
    </w:p>
    <w:p w14:paraId="198A1DB5" w14:textId="77777777">
      <w:pPr>
        <w:pStyle w:val="Lista"/>
      </w:pPr>
      <w:r>
        <w:t xml:space="preserve">this division follows the commentary and is the last element within the </w:t>
      </w:r>
      <w:r>
        <w:rPr>
          <w:rStyle w:val="Code"/>
        </w:rPr>
        <w:t>&lt;body&gt;</w:t>
      </w:r>
      <w:r>
        <w:t xml:space="preserve"> of your document, where its skeleton structure is already present in our templates</w:t>
      </w:r>
    </w:p>
    <w:p w14:paraId="62A26BE3" w14:textId="2C0F9F2B">
      <w:pPr>
        <w:pStyle w:val="Lista"/>
      </w:pPr>
      <w:r>
        <w:t xml:space="preserve">in all DHARMA editions, the bibliography division mandatorily contains each of the following items, in this order, as pre-structured in our template and as illustrated in </w:t>
      </w:r>
      <w:r>
        <w:fldChar w:fldCharType="begin"/>
      </w:r>
      <w:r>
        <w:instrText xml:space="preserve"> REF _Ref233623329 \h </w:instrText>
      </w:r>
      <w:r>
        <w:fldChar w:fldCharType="separate"/>
      </w:r>
      <w:r>
        <w:t xml:space="preserve">Exhibit </w:t>
      </w:r>
      <w:r>
        <w:rPr>
          <w:noProof/>
        </w:rPr>
        <w:t>13.1</w:t>
      </w:r>
      <w:r>
        <w:t>.</w:t>
      </w:r>
      <w:r>
        <w:rPr>
          <w:noProof/>
        </w:rPr>
        <w:t>A</w:t>
      </w:r>
      <w:r>
        <w:fldChar w:fldCharType="end"/>
      </w:r>
    </w:p>
    <w:p w14:paraId="0C11DA14" w14:textId="0C51BFED">
      <w:pPr>
        <w:pStyle w:val="Lista2"/>
      </w:pPr>
      <w:r>
        <w:t>an “epigraphic lemma”, §</w:t>
      </w:r>
      <w:r>
        <w:fldChar w:fldCharType="begin"/>
      </w:r>
      <w:r>
        <w:instrText xml:space="preserve"> REF _Ref233623221 \r \h </w:instrText>
      </w:r>
      <w:r>
        <w:fldChar w:fldCharType="separate"/>
      </w:r>
      <w:r>
        <w:t>13.2</w:t>
      </w:r>
      <w:r>
        <w:fldChar w:fldCharType="end"/>
      </w:r>
    </w:p>
    <w:p w14:paraId="23E7F959" w14:textId="2D1F32C3">
      <w:pPr>
        <w:pStyle w:val="Lista2"/>
      </w:pPr>
      <w:r>
        <w:t>a structured bibliography (§</w:t>
      </w:r>
      <w:r>
        <w:fldChar w:fldCharType="begin"/>
      </w:r>
      <w:r>
        <w:instrText xml:space="preserve"> REF _Ref63676627 \r \h </w:instrText>
      </w:r>
      <w:r>
        <w:fldChar w:fldCharType="separate"/>
      </w:r>
      <w:r>
        <w:t>13.3</w:t>
      </w:r>
      <w:r>
        <w:fldChar w:fldCharType="end"/>
      </w:r>
      <w:r>
        <w:t>) subdivided into</w:t>
      </w:r>
    </w:p>
    <w:p w14:paraId="15559B22" w14:textId="7A52FE97">
      <w:pPr>
        <w:pStyle w:val="Lista3"/>
      </w:pPr>
      <w:r>
        <w:t>a primary bibliography, §</w:t>
      </w:r>
      <w:r>
        <w:fldChar w:fldCharType="begin"/>
      </w:r>
      <w:r>
        <w:instrText xml:space="preserve"> REF _Ref233625697 \r \h </w:instrText>
      </w:r>
      <w:r>
        <w:fldChar w:fldCharType="separate"/>
      </w:r>
      <w:r>
        <w:t>13.3.1</w:t>
      </w:r>
      <w:r>
        <w:fldChar w:fldCharType="end"/>
      </w:r>
    </w:p>
    <w:p w14:paraId="102D2BFD" w14:textId="0FFE2595">
      <w:pPr>
        <w:pStyle w:val="Lista3"/>
      </w:pPr>
      <w:r>
        <w:t>a secondary bibliography, §</w:t>
      </w:r>
      <w:r>
        <w:fldChar w:fldCharType="begin"/>
      </w:r>
      <w:r>
        <w:instrText xml:space="preserve"> REF _Ref233623410 \r \h </w:instrText>
      </w:r>
      <w:r>
        <w:fldChar w:fldCharType="separate"/>
      </w:r>
      <w:r>
        <w:t>13.3.2</w:t>
      </w:r>
      <w:r>
        <w:fldChar w:fldCharType="end"/>
      </w:r>
    </w:p>
    <w:p w14:paraId="2FFD4B13" w14:textId="77777777"/>
    <w:tbl>
      <w:tblPr>
        <w:tblStyle w:val="CodeSampleTable"/>
        <w:tblW w:w="5000" w:type="pct"/>
        <w:tblLook w:val="04A0" w:firstRow="1" w:lastRow="0" w:firstColumn="1" w:lastColumn="0" w:noHBand="0" w:noVBand="1"/>
      </w:tblPr>
      <w:tblGrid>
        <w:gridCol w:w="9628"/>
      </w:tblGrid>
      <w:tr w14:paraId="6404202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335DA4A" w14:textId="5334EB7B">
            <w:pPr>
              <w:pStyle w:val="Kpalrs"/>
            </w:pPr>
            <w:bookmarkStart w:id="917" w:name="_Ref233623329"/>
            <w:bookmarkStart w:id="918" w:name="_Ref233623325"/>
            <w:r>
              <w:t xml:space="preserve">Exhibit </w:t>
            </w:r>
            <w:fldSimple w:instr=" STYLEREF 2 \s ">
              <w:r>
                <w:rPr>
                  <w:noProof/>
                </w:rPr>
                <w:t>13.1</w:t>
              </w:r>
            </w:fldSimple>
            <w:r>
              <w:t>.</w:t>
            </w:r>
            <w:fldSimple w:instr=" SEQ Exhibit \* ALPHABETIC \s 2 ">
              <w:r>
                <w:rPr>
                  <w:noProof/>
                </w:rPr>
                <w:t>A</w:t>
              </w:r>
            </w:fldSimple>
            <w:bookmarkEnd w:id="917"/>
            <w:r>
              <w:t>: encoding the bibliography division</w:t>
            </w:r>
            <w:bookmarkEnd w:id="918"/>
          </w:p>
        </w:tc>
      </w:tr>
      <w:tr w14:paraId="5FBACA51" w14:textId="77777777">
        <w:tc>
          <w:tcPr>
            <w:tcW w:w="5000" w:type="pct"/>
          </w:tcPr>
          <w:p w14:paraId="0D532948" w14:textId="77777777">
            <w:pPr>
              <w:pStyle w:val="CodeParagraph"/>
            </w:pPr>
            <w:r>
              <w:rPr>
                <w:rStyle w:val="Code"/>
              </w:rPr>
              <w:t xml:space="preserve">&lt;div </w:t>
            </w:r>
            <w:r>
              <w:rPr>
                <w:rStyle w:val="Codeattribute"/>
              </w:rPr>
              <w:t>type</w:t>
            </w:r>
            <w:r>
              <w:rPr>
                <w:rStyle w:val="Code"/>
              </w:rPr>
              <w:t>=</w:t>
            </w:r>
            <w:r>
              <w:rPr>
                <w:rStyle w:val="Codevalue"/>
              </w:rPr>
              <w:t>"bibliography"</w:t>
            </w:r>
            <w:r>
              <w:rPr>
                <w:rStyle w:val="Code"/>
              </w:rPr>
              <w:t>&gt;</w:t>
            </w:r>
            <w:r>
              <w:rPr>
                <w:rStyle w:val="Codetext"/>
              </w:rPr>
              <w:br/>
              <w:t xml:space="preserve">  </w:t>
            </w:r>
            <w:r>
              <w:rPr>
                <w:rStyle w:val="Code"/>
              </w:rPr>
              <w:t>&lt;p&gt;</w:t>
            </w:r>
            <w:r>
              <w:rPr>
                <w:rStyle w:val="Codetext"/>
              </w:rPr>
              <w:t xml:space="preserve">First edited by Cohen Stuart </w:t>
            </w:r>
            <w:r>
              <w:rPr>
                <w:rStyle w:val="Code"/>
              </w:rPr>
              <w:t xml:space="preserve">&lt;bibl </w:t>
            </w:r>
            <w:r>
              <w:rPr>
                <w:rStyle w:val="Codeattribute"/>
              </w:rPr>
              <w:t>rend</w:t>
            </w:r>
            <w:r>
              <w:rPr>
                <w:rStyle w:val="Code"/>
              </w:rPr>
              <w:t>=</w:t>
            </w:r>
            <w:r>
              <w:rPr>
                <w:rStyle w:val="Codevalue"/>
              </w:rPr>
              <w:t>"omitname"</w:t>
            </w:r>
            <w:r>
              <w:rPr>
                <w:rStyle w:val="Code"/>
              </w:rPr>
              <w:t xml:space="preserve">&gt;&lt;ptr </w:t>
            </w:r>
            <w:r>
              <w:rPr>
                <w:rStyle w:val="Codeattribute"/>
              </w:rPr>
              <w:t>target</w:t>
            </w:r>
            <w:r>
              <w:rPr>
                <w:rStyle w:val="Code"/>
              </w:rPr>
              <w:t>=</w:t>
            </w:r>
            <w:r>
              <w:rPr>
                <w:rStyle w:val="Codevalue"/>
              </w:rPr>
              <w:t>"bib:CohenStuart1875_01"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23</w:t>
            </w:r>
            <w:r>
              <w:rPr>
                <w:rStyle w:val="Code"/>
              </w:rPr>
              <w:t xml:space="preserve">&lt;/citedRange&gt;&lt;citedRange </w:t>
            </w:r>
            <w:r>
              <w:rPr>
                <w:rStyle w:val="Codeattribute"/>
              </w:rPr>
              <w:t>unit</w:t>
            </w:r>
            <w:r>
              <w:rPr>
                <w:rStyle w:val="Code"/>
              </w:rPr>
              <w:t>=</w:t>
            </w:r>
            <w:r>
              <w:rPr>
                <w:rStyle w:val="Codevalue"/>
              </w:rPr>
              <w:t>"item"</w:t>
            </w:r>
            <w:r>
              <w:rPr>
                <w:rStyle w:val="Code"/>
              </w:rPr>
              <w:t>&gt;</w:t>
            </w:r>
            <w:r>
              <w:rPr>
                <w:rStyle w:val="Codetext"/>
              </w:rPr>
              <w:t>XIII</w:t>
            </w:r>
            <w:r>
              <w:rPr>
                <w:rStyle w:val="Code"/>
              </w:rPr>
              <w:t>&lt;/citedRange&gt;&lt;/bibl&gt;</w:t>
            </w:r>
            <w:r>
              <w:rPr>
                <w:rStyle w:val="Codetext"/>
              </w:rPr>
              <w:t xml:space="preserve"> with a lithographic reproduction in the accompanying volume of plates </w:t>
            </w:r>
            <w:r>
              <w:rPr>
                <w:rStyle w:val="Code"/>
              </w:rPr>
              <w:t xml:space="preserve">&lt;bibl&gt;&lt;ptr </w:t>
            </w:r>
            <w:r>
              <w:rPr>
                <w:rStyle w:val="Codeattribute"/>
              </w:rPr>
              <w:t>target</w:t>
            </w:r>
            <w:r>
              <w:rPr>
                <w:rStyle w:val="Code"/>
              </w:rPr>
              <w:t>=</w:t>
            </w:r>
            <w:r>
              <w:rPr>
                <w:rStyle w:val="Codevalue"/>
              </w:rPr>
              <w:t>"bib:Huart+Hooiberg1875_01"</w:t>
            </w:r>
            <w:r>
              <w:rPr>
                <w:rStyle w:val="Code"/>
              </w:rPr>
              <w:t>/&gt;&lt;/bibl&gt;</w:t>
            </w:r>
            <w:r>
              <w:rPr>
                <w:rStyle w:val="Codetext"/>
              </w:rPr>
              <w:t xml:space="preserve">; edited again by Boechari </w:t>
            </w:r>
            <w:r>
              <w:rPr>
                <w:rStyle w:val="Code"/>
              </w:rPr>
              <w:t xml:space="preserve">&lt;bibl </w:t>
            </w:r>
            <w:r>
              <w:rPr>
                <w:rStyle w:val="Codeattribute"/>
              </w:rPr>
              <w:t>rend</w:t>
            </w:r>
            <w:r>
              <w:rPr>
                <w:rStyle w:val="Code"/>
              </w:rPr>
              <w:t>=</w:t>
            </w:r>
            <w:r>
              <w:rPr>
                <w:rStyle w:val="Codevalue"/>
              </w:rPr>
              <w:t>"omitname"</w:t>
            </w:r>
            <w:r>
              <w:rPr>
                <w:rStyle w:val="Code"/>
              </w:rPr>
              <w:t xml:space="preserve">&gt;&lt;ptr </w:t>
            </w:r>
            <w:r>
              <w:rPr>
                <w:rStyle w:val="Codeattribute"/>
              </w:rPr>
              <w:t>target</w:t>
            </w:r>
            <w:r>
              <w:rPr>
                <w:rStyle w:val="Code"/>
              </w:rPr>
              <w:t>=</w:t>
            </w:r>
            <w:r>
              <w:rPr>
                <w:rStyle w:val="Codevalue"/>
              </w:rPr>
              <w:t>"bib:Boechari1985-1986_01"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53</w:t>
            </w:r>
            <w:r>
              <w:rPr>
                <w:rStyle w:val="Code"/>
              </w:rPr>
              <w:t>&lt;/citedRange&gt;</w:t>
            </w:r>
            <w:r>
              <w:rPr>
                <w:rStyle w:val="Codetext"/>
              </w:rP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E.16</w:t>
            </w:r>
            <w:r>
              <w:rPr>
                <w:rStyle w:val="Code"/>
              </w:rPr>
              <w:t>&lt;/citedRange&gt;&lt;/bibl&gt;</w:t>
            </w:r>
            <w:r>
              <w:rPr>
                <w:rStyle w:val="Codetext"/>
              </w:rPr>
              <w:t>; re-edited here by Arlo Griffiths from the Leiden estampage of the plate.</w:t>
            </w:r>
            <w:r>
              <w:rPr>
                <w:rStyle w:val="Codetext"/>
              </w:rPr>
              <w:br/>
              <w:t xml:space="preserve">  </w:t>
            </w:r>
            <w:r>
              <w:rPr>
                <w:rStyle w:val="Code"/>
              </w:rPr>
              <w:t>&lt;/p&gt;</w:t>
            </w:r>
            <w:r>
              <w:rPr>
                <w:rStyle w:val="Codetext"/>
              </w:rPr>
              <w:br/>
              <w:t xml:space="preserve">  </w:t>
            </w:r>
            <w:r>
              <w:rPr>
                <w:rStyle w:val="Code"/>
              </w:rPr>
              <w:t xml:space="preserve">&lt;listBibl </w:t>
            </w:r>
            <w:r>
              <w:rPr>
                <w:rStyle w:val="Codeattribute"/>
              </w:rPr>
              <w:t>type</w:t>
            </w:r>
            <w:r>
              <w:rPr>
                <w:rStyle w:val="Code"/>
              </w:rPr>
              <w:t>=</w:t>
            </w:r>
            <w:r>
              <w:rPr>
                <w:rStyle w:val="Codevalue"/>
              </w:rPr>
              <w:t>"primary"</w:t>
            </w:r>
            <w:r>
              <w:rPr>
                <w:rStyle w:val="Code"/>
              </w:rPr>
              <w:t>&gt;</w:t>
            </w:r>
            <w:r>
              <w:rPr>
                <w:rStyle w:val="Codetext"/>
              </w:rPr>
              <w:br/>
              <w:t xml:space="preserve">    </w:t>
            </w:r>
            <w:r>
              <w:rPr>
                <w:rStyle w:val="Code"/>
              </w:rPr>
              <w:t xml:space="preserve">&lt;bibl </w:t>
            </w:r>
            <w:r>
              <w:rPr>
                <w:rStyle w:val="Codeattribute"/>
              </w:rPr>
              <w:t>n</w:t>
            </w:r>
            <w:r>
              <w:rPr>
                <w:rStyle w:val="Code"/>
              </w:rPr>
              <w:t>=</w:t>
            </w:r>
            <w:r>
              <w:rPr>
                <w:rStyle w:val="Codevalue"/>
              </w:rPr>
              <w:t>"B"</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"bib:Boechari1985-1986_01"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53</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E.16</w:t>
            </w:r>
            <w:r>
              <w:rPr>
                <w:rStyle w:val="Code"/>
              </w:rPr>
              <w:t>&lt;/citedRange&gt;</w:t>
            </w:r>
            <w:r>
              <w:rPr>
                <w:rStyle w:val="Codetext"/>
              </w:rPr>
              <w:br/>
              <w:t xml:space="preserve">    </w:t>
            </w:r>
            <w:r>
              <w:rPr>
                <w:rStyle w:val="Code"/>
              </w:rPr>
              <w:t>&lt;/bibl&gt;</w:t>
            </w:r>
            <w:r>
              <w:rPr>
                <w:rStyle w:val="Codetext"/>
              </w:rPr>
              <w:br/>
              <w:t xml:space="preserve">    </w:t>
            </w:r>
            <w:r>
              <w:rPr>
                <w:rStyle w:val="Code"/>
              </w:rPr>
              <w:t xml:space="preserve">&lt;bibl </w:t>
            </w:r>
            <w:r>
              <w:rPr>
                <w:rStyle w:val="Codeattribute"/>
              </w:rPr>
              <w:t>n</w:t>
            </w:r>
            <w:r>
              <w:rPr>
                <w:rStyle w:val="Code"/>
              </w:rPr>
              <w:t>=</w:t>
            </w:r>
            <w:r>
              <w:rPr>
                <w:rStyle w:val="Codevalue"/>
              </w:rPr>
              <w:t>"CS"</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"bib:CohenStuart1875_01"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23</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XIII</w:t>
            </w:r>
            <w:r>
              <w:rPr>
                <w:rStyle w:val="Code"/>
              </w:rPr>
              <w:t>&lt;/citedRange&gt;</w:t>
            </w:r>
            <w:r>
              <w:rPr>
                <w:rStyle w:val="Codetext"/>
              </w:rPr>
              <w:br/>
              <w:t xml:space="preserve">    </w:t>
            </w:r>
            <w:r>
              <w:rPr>
                <w:rStyle w:val="Code"/>
              </w:rPr>
              <w:t>&lt;/bibl&gt;</w:t>
            </w:r>
            <w:r>
              <w:rPr>
                <w:rStyle w:val="Codetext"/>
              </w:rPr>
              <w:br/>
              <w:t xml:space="preserve">    </w:t>
            </w:r>
            <w:r>
              <w:rPr>
                <w:rStyle w:val="Code"/>
              </w:rPr>
              <w:t xml:space="preserve">&lt;bibl </w:t>
            </w:r>
            <w:r>
              <w:rPr>
                <w:rStyle w:val="Codeattribute"/>
              </w:rPr>
              <w:t>n</w:t>
            </w:r>
            <w:r>
              <w:rPr>
                <w:rStyle w:val="Code"/>
              </w:rPr>
              <w:t>=</w:t>
            </w:r>
            <w:r>
              <w:rPr>
                <w:rStyle w:val="Codevalue"/>
              </w:rPr>
              <w:t>"HH"</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"bib:Huart+Hooiberg1875_01"</w:t>
            </w:r>
            <w:r>
              <w:rPr>
                <w:rStyle w:val="Code"/>
              </w:rPr>
              <w:t>/&gt;</w:t>
            </w:r>
            <w:r>
              <w:rPr>
                <w:rStyle w:val="Codetext"/>
              </w:rPr>
              <w:br/>
              <w:t xml:space="preserve">    </w:t>
            </w:r>
            <w:r>
              <w:rPr>
                <w:rStyle w:val="Code"/>
              </w:rPr>
              <w:t>&lt;/bibl&gt;</w:t>
            </w:r>
            <w:r>
              <w:rPr>
                <w:rStyle w:val="Codetext"/>
              </w:rPr>
              <w:br/>
              <w:t xml:space="preserve">  </w:t>
            </w:r>
            <w:r>
              <w:rPr>
                <w:rStyle w:val="Code"/>
              </w:rPr>
              <w:t>&lt;/listBibl&gt;</w:t>
            </w:r>
            <w:r>
              <w:rPr>
                <w:rStyle w:val="Codetext"/>
              </w:rPr>
              <w:br/>
              <w:t xml:space="preserve">  </w:t>
            </w:r>
            <w:r>
              <w:rPr>
                <w:rStyle w:val="Code"/>
              </w:rPr>
              <w:t xml:space="preserve">&lt;listBibl </w:t>
            </w:r>
            <w:r>
              <w:rPr>
                <w:rStyle w:val="Codeattribute"/>
              </w:rPr>
              <w:t>type</w:t>
            </w:r>
            <w:r>
              <w:rPr>
                <w:rStyle w:val="Code"/>
              </w:rPr>
              <w:t>=</w:t>
            </w:r>
            <w:r>
              <w:rPr>
                <w:rStyle w:val="Codevalue"/>
              </w:rPr>
              <w:t>"secondary"</w:t>
            </w:r>
            <w:r>
              <w:rPr>
                <w:rStyle w:val="Code"/>
              </w:rPr>
              <w:t>&gt;</w:t>
            </w:r>
            <w:r>
              <w:rPr>
                <w:rStyle w:val="Codetext"/>
              </w:rPr>
              <w:br/>
              <w:t xml:space="preserve">    </w:t>
            </w:r>
            <w:r>
              <w:rPr>
                <w:rStyle w:val="Code"/>
              </w:rPr>
              <w:t xml:space="preserve">&lt;bibl&gt;&lt;ptr </w:t>
            </w:r>
            <w:r>
              <w:rPr>
                <w:rStyle w:val="Codeattribute"/>
              </w:rPr>
              <w:t>target</w:t>
            </w:r>
            <w:r>
              <w:rPr>
                <w:rStyle w:val="Code"/>
              </w:rPr>
              <w:t>=</w:t>
            </w:r>
            <w:r>
              <w:rPr>
                <w:rStyle w:val="Codevalue"/>
              </w:rPr>
              <w:t>"bib:NBG08_1870"</w:t>
            </w:r>
            <w:r>
              <w:rPr>
                <w:rStyle w:val="Code"/>
              </w:rPr>
              <w:t>/&gt;&lt;date&gt;</w:t>
            </w:r>
            <w:r>
              <w:rPr>
                <w:rStyle w:val="Codetext"/>
              </w:rPr>
              <w:t>1870</w:t>
            </w:r>
            <w:r>
              <w:rPr>
                <w:rStyle w:val="Code"/>
              </w:rPr>
              <w:t>&lt;/date&gt;&lt;citedRange&gt;</w:t>
            </w:r>
            <w:r>
              <w:rPr>
                <w:rStyle w:val="Codetext"/>
              </w:rPr>
              <w:t>72, 78</w:t>
            </w:r>
            <w:r>
              <w:rPr>
                <w:rStyle w:val="Code"/>
              </w:rPr>
              <w:t>&lt;/citedRange&gt;&lt;/bibl&gt;</w:t>
            </w:r>
            <w:r>
              <w:rPr>
                <w:rStyle w:val="Codetext"/>
              </w:rPr>
              <w:br/>
              <w:t xml:space="preserve">    </w:t>
            </w:r>
            <w:r>
              <w:rPr>
                <w:rStyle w:val="Code"/>
              </w:rPr>
              <w:t xml:space="preserve">&lt;bibl&gt;&lt;ptr </w:t>
            </w:r>
            <w:r>
              <w:rPr>
                <w:rStyle w:val="Codeattribute"/>
              </w:rPr>
              <w:t>target</w:t>
            </w:r>
            <w:r>
              <w:rPr>
                <w:rStyle w:val="Code"/>
              </w:rPr>
              <w:t>=</w:t>
            </w:r>
            <w:r>
              <w:rPr>
                <w:rStyle w:val="Codevalue"/>
              </w:rPr>
              <w:t>"bib:Verbeek1891_01"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149-150</w:t>
            </w:r>
            <w:r>
              <w:rPr>
                <w:rStyle w:val="Code"/>
              </w:rPr>
              <w:t>&lt;/citedRange&gt;</w:t>
            </w:r>
            <w:r>
              <w:rPr>
                <w:rStyle w:val="Codetext"/>
              </w:rP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276</w:t>
            </w:r>
            <w:r>
              <w:rPr>
                <w:rStyle w:val="Code"/>
              </w:rPr>
              <w:t>&lt;/citedRange&gt;&lt;/bibl&gt;</w:t>
            </w:r>
            <w:r>
              <w:rPr>
                <w:rStyle w:val="Codetext"/>
              </w:rPr>
              <w:br/>
              <w:t xml:space="preserve">    </w:t>
            </w:r>
            <w:r>
              <w:rPr>
                <w:rStyle w:val="Code"/>
              </w:rPr>
              <w:t xml:space="preserve">&lt;bibl&gt;&lt;ptr </w:t>
            </w:r>
            <w:r>
              <w:rPr>
                <w:rStyle w:val="Codeattribute"/>
              </w:rPr>
              <w:t>target</w:t>
            </w:r>
            <w:r>
              <w:rPr>
                <w:rStyle w:val="Code"/>
              </w:rPr>
              <w:t>=</w:t>
            </w:r>
            <w:r>
              <w:rPr>
                <w:rStyle w:val="Codevalue"/>
              </w:rPr>
              <w:t>"bib:Damais1970_01"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48</w:t>
            </w:r>
            <w:r>
              <w:rPr>
                <w:rStyle w:val="Code"/>
              </w:rPr>
              <w:t xml:space="preserve">&lt;/citedRange&gt;&lt;citedRange </w:t>
            </w:r>
            <w:r>
              <w:rPr>
                <w:rStyle w:val="Codeattribute"/>
              </w:rPr>
              <w:t>unit</w:t>
            </w:r>
            <w:r>
              <w:rPr>
                <w:rStyle w:val="Code"/>
              </w:rPr>
              <w:t>=</w:t>
            </w:r>
            <w:r>
              <w:rPr>
                <w:rStyle w:val="Codevalue"/>
              </w:rPr>
              <w:t>"item"</w:t>
            </w:r>
            <w:r>
              <w:rPr>
                <w:rStyle w:val="Code"/>
              </w:rPr>
              <w:t>&gt;</w:t>
            </w:r>
            <w:r>
              <w:rPr>
                <w:rStyle w:val="Codetext"/>
              </w:rPr>
              <w:t>86</w:t>
            </w:r>
            <w:r>
              <w:rPr>
                <w:rStyle w:val="Code"/>
              </w:rPr>
              <w:t xml:space="preserve">&lt;/citedRange&gt;&lt;citedRange </w:t>
            </w:r>
            <w:r>
              <w:rPr>
                <w:rStyle w:val="Codeattribute"/>
              </w:rPr>
              <w:t>unit</w:t>
            </w:r>
            <w:r>
              <w:rPr>
                <w:rStyle w:val="Code"/>
              </w:rPr>
              <w:t>=</w:t>
            </w:r>
            <w:r>
              <w:rPr>
                <w:rStyle w:val="Codevalue"/>
              </w:rPr>
              <w:t>"note"</w:t>
            </w:r>
            <w:r>
              <w:rPr>
                <w:rStyle w:val="Code"/>
              </w:rPr>
              <w:t>&gt;</w:t>
            </w:r>
            <w:r>
              <w:rPr>
                <w:rStyle w:val="Codetext"/>
              </w:rPr>
              <w:t>13</w:t>
            </w:r>
            <w:r>
              <w:rPr>
                <w:rStyle w:val="Code"/>
              </w:rPr>
              <w:t>&lt;/citedRange&gt;&lt;/bibl&gt;</w:t>
            </w:r>
          </w:p>
          <w:p w14:paraId="4A6354D8" w14:textId="77777777">
            <w:pPr>
              <w:pStyle w:val="CodeParagraph"/>
            </w:pPr>
            <w:r>
              <w:rPr>
                <w:rStyle w:val="Codetext"/>
              </w:rPr>
              <w:t xml:space="preserve">  </w:t>
            </w:r>
            <w:r>
              <w:rPr>
                <w:rStyle w:val="Code"/>
              </w:rPr>
              <w:t>&lt;/listBibl&gt;</w:t>
            </w:r>
            <w:r>
              <w:rPr>
                <w:rStyle w:val="Codetext"/>
              </w:rPr>
              <w:br/>
            </w:r>
            <w:r>
              <w:rPr>
                <w:rStyle w:val="Code"/>
              </w:rPr>
              <w:t>&lt;/div&gt;</w:t>
            </w:r>
          </w:p>
        </w:tc>
      </w:tr>
    </w:tbl>
    <w:p w14:paraId="1BF07C31" w14:textId="77777777"/>
    <w:p w14:paraId="73D91374" w14:textId="77777777">
      <w:pPr>
        <w:pStyle w:val="Cmsor2"/>
      </w:pPr>
      <w:bookmarkStart w:id="919" w:name="_Ref233623221"/>
      <w:bookmarkStart w:id="920" w:name="_Toc242889628"/>
      <w:r>
        <w:lastRenderedPageBreak/>
        <w:t>The epigraphic lemma</w:t>
      </w:r>
      <w:bookmarkEnd w:id="919"/>
      <w:bookmarkEnd w:id="920"/>
    </w:p>
    <w:p w14:paraId="69CC370F" w14:textId="2CCE3C9D">
      <w:r>
        <w:rPr>
          <w:lang w:eastAsia="en-US" w:bidi="ar-SA"/>
        </w:rPr>
        <w:t xml:space="preserve">An epigraphic lemma (called by this name in Greek and Roman epigraphy) </w:t>
      </w:r>
      <w:r>
        <w:t xml:space="preserve">is a paragraph which explains the history of research leading up the present edition. Our epigraphic lemmas shall be encoded as a single </w:t>
      </w:r>
      <w:r>
        <w:rPr>
          <w:rStyle w:val="Code"/>
        </w:rPr>
        <w:t>&lt;p&gt;</w:t>
      </w:r>
      <w:r>
        <w:t xml:space="preserve"> element that is the first child of the bibliography division, containing freeform discursive English text, as illustrated in </w:t>
      </w:r>
      <w:r>
        <w:fldChar w:fldCharType="begin"/>
      </w:r>
      <w:r>
        <w:instrText xml:space="preserve"> REF _Ref233623329 \h </w:instrText>
      </w:r>
      <w:r>
        <w:fldChar w:fldCharType="separate"/>
      </w:r>
      <w:r>
        <w:t xml:space="preserve">Exhibit </w:t>
      </w:r>
      <w:r>
        <w:rPr>
          <w:noProof/>
        </w:rPr>
        <w:t>13.1</w:t>
      </w:r>
      <w:r>
        <w:t>.</w:t>
      </w:r>
      <w:r>
        <w:rPr>
          <w:noProof/>
        </w:rPr>
        <w:t>A</w:t>
      </w:r>
      <w:r>
        <w:fldChar w:fldCharType="end"/>
      </w:r>
      <w:r>
        <w:t xml:space="preserve">. </w:t>
      </w:r>
    </w:p>
    <w:p w14:paraId="5A692645" w14:textId="77777777">
      <w:pPr>
        <w:pStyle w:val="Lista"/>
      </w:pPr>
      <w:r>
        <w:t>the epigraphic lemma will normally be centred around a list of the principal publications pertaining to the study of the text and its translation, in ascending chronological order up to the one that most immediately precedes the present edition</w:t>
      </w:r>
    </w:p>
    <w:p w14:paraId="0EEE0D85" w14:textId="1020D318">
      <w:pPr>
        <w:pStyle w:val="Lista2"/>
      </w:pPr>
      <w:r>
        <w:t>principal publications are typically the same as the items of the primary bibliography (§</w:t>
      </w:r>
      <w:r>
        <w:fldChar w:fldCharType="begin"/>
      </w:r>
      <w:r>
        <w:instrText xml:space="preserve"> REF _Ref63676627 \r \h </w:instrText>
      </w:r>
      <w:r>
        <w:fldChar w:fldCharType="separate"/>
      </w:r>
      <w:r>
        <w:t>13.3</w:t>
      </w:r>
      <w:r>
        <w:fldChar w:fldCharType="end"/>
      </w:r>
      <w:r>
        <w:t>), but early reports, facsimiles and translations without an accompanying edition may also be mentioned here</w:t>
      </w:r>
    </w:p>
    <w:p w14:paraId="5D8962BC" w14:textId="31836C6B">
      <w:pPr>
        <w:pStyle w:val="Lista2"/>
      </w:pPr>
      <w:r>
        <w:t xml:space="preserve">each reference must be encoded as a bibliographic citation </w:t>
      </w:r>
      <w:r>
        <w:rPr>
          <w:noProof/>
        </w:rPr>
        <w:t>(</w:t>
      </w:r>
      <w:r>
        <w:t>§</w:t>
      </w:r>
      <w:r>
        <w:fldChar w:fldCharType="begin"/>
      </w:r>
      <w:r>
        <w:instrText xml:space="preserve"> REF _Ref233877601 \r \h </w:instrText>
      </w:r>
      <w:r>
        <w:fldChar w:fldCharType="separate"/>
      </w:r>
      <w:r>
        <w:t>14.6.1</w:t>
      </w:r>
      <w:r>
        <w:fldChar w:fldCharType="end"/>
      </w:r>
      <w:r>
        <w:t xml:space="preserve">) </w:t>
      </w:r>
    </w:p>
    <w:p w14:paraId="7A9DA1B5" w14:textId="77777777">
      <w:pPr>
        <w:pStyle w:val="Lista3"/>
      </w:pPr>
      <w:r>
        <w:t>the encoding can be copied and pasted from or to the structured bibliography, then edited as needed</w:t>
      </w:r>
    </w:p>
    <w:p w14:paraId="0C518DAD" w14:textId="77777777">
      <w:pPr>
        <w:pStyle w:val="Lista2"/>
      </w:pPr>
      <w:r>
        <w:t>each reference must be integrated into a sentence explaining the relevance of the item</w:t>
      </w:r>
    </w:p>
    <w:p w14:paraId="2FB4CF22" w14:textId="77777777">
      <w:pPr>
        <w:pStyle w:val="Lista3"/>
      </w:pPr>
      <w:r>
        <w:t>specify whether the item includes an edition, a facsimile or a translation of the text</w:t>
      </w:r>
    </w:p>
    <w:p w14:paraId="467B286A" w14:textId="77777777">
      <w:pPr>
        <w:pStyle w:val="Lista3"/>
      </w:pPr>
      <w:r>
        <w:t>for any publication that includes visual documentation, give a full account of such documentation in the epigraphic lemma (reproduction method, print quality, missing parts, etc.)</w:t>
      </w:r>
    </w:p>
    <w:p w14:paraId="7DCA34E8" w14:textId="77777777">
      <w:pPr>
        <w:pStyle w:val="Lista3"/>
      </w:pPr>
      <w:r>
        <w:t>for editions, specify the kind and source of the visual documentation on which the edition was based</w:t>
      </w:r>
    </w:p>
    <w:p w14:paraId="515CB6A5" w14:textId="77777777">
      <w:pPr>
        <w:pStyle w:val="Lista"/>
      </w:pPr>
      <w:r>
        <w:t>the epigraphic lemma shall end with the introduction of the present edition</w:t>
      </w:r>
    </w:p>
    <w:p w14:paraId="6CD7B646" w14:textId="77777777">
      <w:pPr>
        <w:pStyle w:val="Lista2"/>
      </w:pPr>
      <w:r>
        <w:t>this will be the only item of the epigraphic lemma for texts which have not been published before</w:t>
      </w:r>
    </w:p>
    <w:p w14:paraId="2A788F92" w14:textId="37B3CE16">
      <w:pPr>
        <w:pStyle w:val="Lista2"/>
      </w:pPr>
      <w:r>
        <w:t xml:space="preserve">include your name (along with the names of any collaborators) in this item, stating in human-readable form the same information that has been encoded in the </w:t>
      </w:r>
      <w:r>
        <w:rPr>
          <w:rStyle w:val="Code"/>
        </w:rPr>
        <w:t>&lt;respStmt&gt;</w:t>
      </w:r>
      <w:r>
        <w:t xml:space="preserve"> (§</w:t>
      </w:r>
      <w:r>
        <w:fldChar w:fldCharType="begin"/>
      </w:r>
      <w:r>
        <w:instrText xml:space="preserve"> REF _Ref43990001 \w \h  \* MERGEFORMAT </w:instrText>
      </w:r>
      <w:r>
        <w:fldChar w:fldCharType="separate"/>
      </w:r>
      <w:r>
        <w:t>15.1.2</w:t>
      </w:r>
      <w:r>
        <w:fldChar w:fldCharType="end"/>
      </w:r>
      <w:r>
        <w:t>) and, if applicable, elaborating it</w:t>
      </w:r>
    </w:p>
    <w:p w14:paraId="6E289C7E" w14:textId="77777777">
      <w:pPr>
        <w:pStyle w:val="Lista2"/>
      </w:pPr>
      <w:r>
        <w:t>specify the kind and source of the visual documentation on which your edition is based</w:t>
      </w:r>
    </w:p>
    <w:p w14:paraId="2708806A" w14:textId="2AF2B251">
      <w:pPr>
        <w:pStyle w:val="Lista3"/>
      </w:pPr>
      <w:r>
        <w:t>see also §</w:t>
      </w:r>
      <w:r>
        <w:fldChar w:fldCharType="begin"/>
      </w:r>
      <w:r>
        <w:instrText xml:space="preserve"> REF _Ref240361060 \r \h </w:instrText>
      </w:r>
      <w:r>
        <w:fldChar w:fldCharType="separate"/>
      </w:r>
      <w:r>
        <w:t>13.2.1</w:t>
      </w:r>
      <w:r>
        <w:fldChar w:fldCharType="end"/>
      </w:r>
      <w:r>
        <w:t xml:space="preserve"> and </w:t>
      </w:r>
      <w:r>
        <w:fldChar w:fldCharType="begin"/>
      </w:r>
      <w:r>
        <w:instrText xml:space="preserve"> REF _Ref240361012 \h </w:instrText>
      </w:r>
      <w:r>
        <w:fldChar w:fldCharType="separate"/>
      </w:r>
      <w:r>
        <w:t xml:space="preserve">Exhibit </w:t>
      </w:r>
      <w:r>
        <w:rPr>
          <w:noProof/>
        </w:rPr>
        <w:t>13.2</w:t>
      </w:r>
      <w:r>
        <w:t>.</w:t>
      </w:r>
      <w:r>
        <w:rPr>
          <w:noProof/>
        </w:rPr>
        <w:t>A</w:t>
      </w:r>
      <w:r>
        <w:fldChar w:fldCharType="end"/>
      </w:r>
    </w:p>
    <w:p w14:paraId="0C33390E" w14:textId="77777777">
      <w:pPr>
        <w:pStyle w:val="Cmsor3"/>
      </w:pPr>
      <w:bookmarkStart w:id="921" w:name="_Ref240361060"/>
      <w:bookmarkStart w:id="922" w:name="_Toc242889629"/>
      <w:r>
        <w:t>Markup within the epigraphic lemma</w:t>
      </w:r>
      <w:bookmarkEnd w:id="921"/>
      <w:bookmarkEnd w:id="922"/>
    </w:p>
    <w:p w14:paraId="242079B2" w14:textId="578668DD">
      <w:pPr>
        <w:pStyle w:val="Lista"/>
      </w:pPr>
      <w:r>
        <w:rPr>
          <w:lang w:eastAsia="en-US" w:bidi="ar-SA"/>
        </w:rPr>
        <w:t xml:space="preserve">as free text, the epigraphic lemma may include the </w:t>
      </w:r>
      <w:r>
        <w:t>globally permitted miscellaneous markup elements discussed in §</w:t>
      </w:r>
      <w:r>
        <w:fldChar w:fldCharType="begin"/>
      </w:r>
      <w:r>
        <w:instrText xml:space="preserve"> REF _Ref43990225 \w \h  \* MERGEFORMAT </w:instrText>
      </w:r>
      <w:r>
        <w:fldChar w:fldCharType="separate"/>
      </w:r>
      <w:r>
        <w:t>14</w:t>
      </w:r>
      <w:r>
        <w:fldChar w:fldCharType="end"/>
      </w:r>
      <w:r>
        <w:t>, including in particular</w:t>
      </w:r>
    </w:p>
    <w:p w14:paraId="0CE97091" w14:textId="7A4785FE">
      <w:pPr>
        <w:pStyle w:val="Lista2"/>
        <w:rPr>
          <w:lang w:eastAsia="en-US" w:bidi="ar-SA"/>
        </w:rPr>
      </w:pPr>
      <w:r>
        <w:t>bibliographic citations (§</w:t>
      </w:r>
      <w:r>
        <w:fldChar w:fldCharType="begin"/>
      </w:r>
      <w:r>
        <w:instrText xml:space="preserve"> REF _Ref233877601 \r \h </w:instrText>
      </w:r>
      <w:r>
        <w:fldChar w:fldCharType="separate"/>
      </w:r>
      <w:r>
        <w:t>14.6.1</w:t>
      </w:r>
      <w:r>
        <w:fldChar w:fldCharType="end"/>
      </w:r>
      <w:r>
        <w:t>), which are mandatory as described in §</w:t>
      </w:r>
      <w:r>
        <w:fldChar w:fldCharType="begin"/>
      </w:r>
      <w:r>
        <w:instrText xml:space="preserve"> REF _Ref233623221 \r \h </w:instrText>
      </w:r>
      <w:r>
        <w:fldChar w:fldCharType="separate"/>
      </w:r>
      <w:r>
        <w:t>13.2</w:t>
      </w:r>
      <w:r>
        <w:fldChar w:fldCharType="end"/>
      </w:r>
      <w:r>
        <w:t xml:space="preserve"> above</w:t>
      </w:r>
    </w:p>
    <w:p w14:paraId="7290286A" w14:textId="19CC296F">
      <w:pPr>
        <w:pStyle w:val="Lista2"/>
      </w:pPr>
      <w:r>
        <w:t>notes (§</w:t>
      </w:r>
      <w:r>
        <w:fldChar w:fldCharType="begin"/>
      </w:r>
      <w:r>
        <w:instrText xml:space="preserve"> REF _Ref43989684 \r \h </w:instrText>
      </w:r>
      <w:r>
        <w:fldChar w:fldCharType="separate"/>
      </w:r>
      <w:r>
        <w:t>14.5</w:t>
      </w:r>
      <w:r>
        <w:fldChar w:fldCharType="end"/>
      </w:r>
      <w:r>
        <w:t xml:space="preserve">) </w:t>
      </w:r>
    </w:p>
    <w:p w14:paraId="1F6B5E20" w14:textId="77777777">
      <w:pPr>
        <w:pStyle w:val="Lista3"/>
      </w:pPr>
      <w:r>
        <w:t xml:space="preserve">if you wish to add a note to a particular bibliographic citation, remember to place the </w:t>
      </w:r>
      <w:r>
        <w:rPr>
          <w:rStyle w:val="Code"/>
        </w:rPr>
        <w:t>&lt;note&gt;</w:t>
      </w:r>
      <w:r>
        <w:t xml:space="preserve"> element outside, and immediately after, the </w:t>
      </w:r>
      <w:r>
        <w:rPr>
          <w:rStyle w:val="Code"/>
        </w:rPr>
        <w:t>&lt;bibl&gt;</w:t>
      </w:r>
      <w:r>
        <w:t xml:space="preserve"> element</w:t>
      </w:r>
    </w:p>
    <w:p w14:paraId="7506AF96" w14:textId="64726014">
      <w:pPr>
        <w:pStyle w:val="Lista2"/>
      </w:pPr>
      <w:r>
        <w:t>reference to websites (§</w:t>
      </w:r>
      <w:r>
        <w:fldChar w:fldCharType="begin"/>
      </w:r>
      <w:r>
        <w:instrText xml:space="preserve"> REF _Ref155689459 \r \h </w:instrText>
      </w:r>
      <w:r>
        <w:fldChar w:fldCharType="separate"/>
      </w:r>
      <w:r>
        <w:t>14.6.4.2</w:t>
      </w:r>
      <w:r>
        <w:fldChar w:fldCharType="end"/>
      </w:r>
      <w:r>
        <w:t>), especially when visual documentation or metadata have been made available in a public repository</w:t>
      </w:r>
    </w:p>
    <w:p w14:paraId="1C8B1604" w14:textId="7E76E9B7">
      <w:pPr>
        <w:pStyle w:val="Lista2"/>
      </w:pPr>
      <w:r>
        <w:t xml:space="preserve">see </w:t>
      </w:r>
      <w:r>
        <w:fldChar w:fldCharType="begin"/>
      </w:r>
      <w:r>
        <w:instrText xml:space="preserve"> REF _Ref240361012 \h </w:instrText>
      </w:r>
      <w:r>
        <w:fldChar w:fldCharType="separate"/>
      </w:r>
      <w:r>
        <w:t xml:space="preserve">Exhibit </w:t>
      </w:r>
      <w:r>
        <w:rPr>
          <w:noProof/>
        </w:rPr>
        <w:t>13.2</w:t>
      </w:r>
      <w:r>
        <w:t>.</w:t>
      </w:r>
      <w:r>
        <w:rPr>
          <w:noProof/>
        </w:rPr>
        <w:t>A</w:t>
      </w:r>
      <w:r>
        <w:fldChar w:fldCharType="end"/>
      </w:r>
      <w:r>
        <w:t xml:space="preserve"> for an illustration with various references</w:t>
      </w:r>
    </w:p>
    <w:tbl>
      <w:tblPr>
        <w:tblStyle w:val="CodeSampleTable"/>
        <w:tblW w:w="5000" w:type="pct"/>
        <w:tblLook w:val="04A0" w:firstRow="1" w:lastRow="0" w:firstColumn="1" w:lastColumn="0" w:noHBand="0" w:noVBand="1"/>
      </w:tblPr>
      <w:tblGrid>
        <w:gridCol w:w="9628"/>
      </w:tblGrid>
      <w:tr w14:paraId="6A7A613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ED84922" w14:textId="3EA4C48C">
            <w:pPr>
              <w:pStyle w:val="Kpalrs"/>
            </w:pPr>
            <w:bookmarkStart w:id="923" w:name="_Ref240361012"/>
            <w:r>
              <w:t xml:space="preserve">Exhibit </w:t>
            </w:r>
            <w:fldSimple w:instr=" STYLEREF 2 \s ">
              <w:r>
                <w:rPr>
                  <w:noProof/>
                </w:rPr>
                <w:t>13.2</w:t>
              </w:r>
            </w:fldSimple>
            <w:r>
              <w:t>.</w:t>
            </w:r>
            <w:fldSimple w:instr=" SEQ Exhibit \* ALPHABETIC \s 2 ">
              <w:r>
                <w:rPr>
                  <w:noProof/>
                </w:rPr>
                <w:t>A</w:t>
              </w:r>
            </w:fldSimple>
            <w:bookmarkEnd w:id="923"/>
            <w:r>
              <w:t>: epigraphic lemma with encoded external links</w:t>
            </w:r>
          </w:p>
        </w:tc>
      </w:tr>
      <w:tr w14:paraId="5ABB0C25" w14:textId="77777777">
        <w:tc>
          <w:tcPr>
            <w:tcW w:w="5000" w:type="pct"/>
          </w:tcPr>
          <w:p w14:paraId="73F12A5D" w14:textId="77777777">
            <w:pPr>
              <w:pStyle w:val="CodeParagraph"/>
              <w:rPr>
                <w:rStyle w:val="Code"/>
              </w:rPr>
            </w:pPr>
            <w:r>
              <w:rPr>
                <w:rStyle w:val="Code"/>
              </w:rPr>
              <w:t xml:space="preserve">&lt;div </w:t>
            </w:r>
            <w:r>
              <w:rPr>
                <w:rStyle w:val="Codeattribute"/>
              </w:rPr>
              <w:t>type</w:t>
            </w:r>
            <w:r>
              <w:rPr>
                <w:rStyle w:val="Code"/>
              </w:rPr>
              <w:t>=</w:t>
            </w:r>
            <w:r>
              <w:rPr>
                <w:rStyle w:val="Codevalue"/>
              </w:rPr>
              <w:t>"bibliography"</w:t>
            </w:r>
            <w:r>
              <w:rPr>
                <w:rStyle w:val="Code"/>
              </w:rPr>
              <w:t>&gt;</w:t>
            </w:r>
            <w:r>
              <w:rPr>
                <w:rStyle w:val="Codetext"/>
              </w:rPr>
              <w:br/>
              <w:t xml:space="preserve">  </w:t>
            </w:r>
            <w:r>
              <w:rPr>
                <w:rStyle w:val="Code"/>
              </w:rPr>
              <w:t>&lt;p&gt;</w:t>
            </w:r>
            <w:r>
              <w:rPr>
                <w:rStyle w:val="Codetext"/>
              </w:rPr>
              <w:t>First published, with translation into Dutch, by F. D. K. Bosch (</w:t>
            </w:r>
            <w:r>
              <w:rPr>
                <w:rStyle w:val="Code"/>
              </w:rPr>
              <w:t xml:space="preserve">&lt;bibl </w:t>
            </w:r>
            <w:r>
              <w:rPr>
                <w:rStyle w:val="Codeattribute"/>
              </w:rPr>
              <w:t>rend=</w:t>
            </w:r>
            <w:r>
              <w:rPr>
                <w:rStyle w:val="Codevalue"/>
              </w:rPr>
              <w:t>"omitname"</w:t>
            </w:r>
            <w:r>
              <w:rPr>
                <w:rStyle w:val="Code"/>
              </w:rPr>
              <w:t xml:space="preserve">&gt;&lt;ptr </w:t>
            </w:r>
            <w:r>
              <w:rPr>
                <w:rStyle w:val="Codeattribute"/>
              </w:rPr>
              <w:t>target=</w:t>
            </w:r>
            <w:r>
              <w:rPr>
                <w:rStyle w:val="Codevalue"/>
              </w:rPr>
              <w:t>"bib:Bosch1919-1921_02"</w:t>
            </w:r>
            <w:r>
              <w:rPr>
                <w:rStyle w:val="Code"/>
              </w:rPr>
              <w:t>/&gt;&lt;/bibl&gt;</w:t>
            </w:r>
            <w:r>
              <w:rPr>
                <w:rStyle w:val="Codetext"/>
              </w:rPr>
              <w:t xml:space="preserve">). A new edition by Arlo Griffiths was published, with translation into Indonesian, in </w:t>
            </w:r>
            <w:r>
              <w:rPr>
                <w:rStyle w:val="Code"/>
              </w:rPr>
              <w:t xml:space="preserve">&lt;bibl&gt;&lt;ptr </w:t>
            </w:r>
            <w:r>
              <w:rPr>
                <w:rStyle w:val="Codeattribute"/>
              </w:rPr>
              <w:t>target=</w:t>
            </w:r>
            <w:r>
              <w:rPr>
                <w:rStyle w:val="Codevalue"/>
              </w:rPr>
              <w:t>"bib:TitiSurtiNastiti+al2025_01"</w:t>
            </w:r>
            <w:r>
              <w:rPr>
                <w:rStyle w:val="Code"/>
              </w:rPr>
              <w:t>/&gt;&lt;/bibl&gt;</w:t>
            </w:r>
            <w:r>
              <w:rPr>
                <w:rStyle w:val="Codetext"/>
              </w:rPr>
              <w:t xml:space="preserve">, making use of available surrogates, notably the OD estampage (447, captured in photograph </w:t>
            </w:r>
            <w:r>
              <w:rPr>
                <w:rStyle w:val="Code"/>
              </w:rPr>
              <w:t xml:space="preserve">&lt;ref </w:t>
            </w:r>
            <w:r>
              <w:rPr>
                <w:rStyle w:val="Codeattribute"/>
              </w:rPr>
              <w:t>target=</w:t>
            </w:r>
            <w:r>
              <w:rPr>
                <w:rStyle w:val="Codevalue"/>
              </w:rPr>
              <w:t>"http://hdl.handle.net/1887.1/item:4101102"</w:t>
            </w:r>
            <w:r>
              <w:rPr>
                <w:rStyle w:val="Code"/>
              </w:rPr>
              <w:t>&gt;</w:t>
            </w:r>
            <w:r>
              <w:rPr>
                <w:rStyle w:val="Codetext"/>
              </w:rPr>
              <w:t>OD 3809</w:t>
            </w:r>
            <w:r>
              <w:rPr>
                <w:rStyle w:val="Code"/>
              </w:rPr>
              <w:t>&lt;/ref&gt;</w:t>
            </w:r>
            <w:r>
              <w:rPr>
                <w:rStyle w:val="Codetext"/>
              </w:rPr>
              <w:t xml:space="preserve">), the EFEO estampage (n. 2247), and BRIN-EFEO </w:t>
            </w:r>
            <w:r>
              <w:rPr>
                <w:rStyle w:val="Code"/>
              </w:rPr>
              <w:t xml:space="preserve">&lt;ref </w:t>
            </w:r>
            <w:r>
              <w:rPr>
                <w:rStyle w:val="Codeattribute"/>
              </w:rPr>
              <w:t>target=</w:t>
            </w:r>
            <w:r>
              <w:rPr>
                <w:rStyle w:val="Codevalue"/>
              </w:rPr>
              <w:t>"https://nakala.fr/10.34847/nkl.dccf5f0p"</w:t>
            </w:r>
            <w:r>
              <w:rPr>
                <w:rStyle w:val="Code"/>
              </w:rPr>
              <w:t>&gt;</w:t>
            </w:r>
            <w:r>
              <w:rPr>
                <w:rStyle w:val="Codetext"/>
              </w:rPr>
              <w:t>orthophotos</w:t>
            </w:r>
            <w:r>
              <w:rPr>
                <w:rStyle w:val="Code"/>
              </w:rPr>
              <w:t>&lt;/ref&gt;</w:t>
            </w:r>
            <w:r>
              <w:rPr>
                <w:rStyle w:val="Codetext"/>
              </w:rPr>
              <w:t xml:space="preserve">. That edition is reproduced here, with addition of an English translation. For a full listing of photographs of the statue and of surrogates of the inscription, bibliographic references and other metadata, see </w:t>
            </w:r>
            <w:r>
              <w:rPr>
                <w:rStyle w:val="Code"/>
              </w:rPr>
              <w:t xml:space="preserve">&lt;ref </w:t>
            </w:r>
            <w:r>
              <w:rPr>
                <w:rStyle w:val="Codeattribute"/>
              </w:rPr>
              <w:t>target=</w:t>
            </w:r>
            <w:r>
              <w:rPr>
                <w:rStyle w:val="Codevalue"/>
              </w:rPr>
              <w:t>"https://heurist.huma-num.fr/IDENK/INS-EN/00649"</w:t>
            </w:r>
            <w:r>
              <w:rPr>
                <w:rStyle w:val="Code"/>
              </w:rPr>
              <w:t>&gt;</w:t>
            </w:r>
            <w:r>
              <w:rPr>
                <w:rStyle w:val="Codetext"/>
              </w:rPr>
              <w:t>IDENK N. 649</w:t>
            </w:r>
            <w:r>
              <w:rPr>
                <w:rStyle w:val="Code"/>
              </w:rPr>
              <w:t>&lt;/ref&gt;</w:t>
            </w:r>
            <w:r>
              <w:rPr>
                <w:rStyle w:val="Codetext"/>
              </w:rPr>
              <w:t>.</w:t>
            </w:r>
            <w:r>
              <w:rPr>
                <w:rStyle w:val="Code"/>
              </w:rPr>
              <w:t>&lt;/p&gt;</w:t>
            </w:r>
            <w:r>
              <w:rPr>
                <w:rStyle w:val="Codetext"/>
              </w:rPr>
              <w:br/>
              <w:t xml:space="preserve">  </w:t>
            </w:r>
            <w:r>
              <w:rPr>
                <w:rStyle w:val="Code"/>
              </w:rPr>
              <w:t>...</w:t>
            </w:r>
          </w:p>
          <w:p w14:paraId="05F31D63" w14:textId="77777777">
            <w:pPr>
              <w:pStyle w:val="CodeParagraph"/>
            </w:pPr>
            <w:r>
              <w:rPr>
                <w:rStyle w:val="Code"/>
              </w:rPr>
              <w:t>&lt;/div&gt;</w:t>
            </w:r>
          </w:p>
        </w:tc>
      </w:tr>
    </w:tbl>
    <w:p w14:paraId="54CDD596" w14:textId="77777777"/>
    <w:p w14:paraId="7787B5C7" w14:textId="77777777"/>
    <w:p w14:paraId="2C558EC7" w14:textId="77777777">
      <w:pPr>
        <w:pStyle w:val="Cmsor2"/>
      </w:pPr>
      <w:bookmarkStart w:id="924" w:name="_hp16ctxmuxyv" w:colFirst="0" w:colLast="0"/>
      <w:bookmarkStart w:id="925" w:name="_Ref63676627"/>
      <w:bookmarkStart w:id="926" w:name="_Toc242889630"/>
      <w:bookmarkEnd w:id="924"/>
      <w:r>
        <w:lastRenderedPageBreak/>
        <w:t>The structured bibliography</w:t>
      </w:r>
      <w:bookmarkEnd w:id="925"/>
      <w:bookmarkEnd w:id="926"/>
    </w:p>
    <w:p w14:paraId="695328F4" w14:textId="1CD05EA8">
      <w:r>
        <w:t>The structured bibliography may not contain free text except in the form of notes. It is subdivided into a primary (§</w:t>
      </w:r>
      <w:r>
        <w:fldChar w:fldCharType="begin"/>
      </w:r>
      <w:r>
        <w:instrText xml:space="preserve"> REF _Ref233625697 \r \h </w:instrText>
      </w:r>
      <w:r>
        <w:fldChar w:fldCharType="separate"/>
      </w:r>
      <w:r>
        <w:t>13.3.1</w:t>
      </w:r>
      <w:r>
        <w:fldChar w:fldCharType="end"/>
      </w:r>
      <w:r>
        <w:t>) and a secondary section (§</w:t>
      </w:r>
      <w:r>
        <w:fldChar w:fldCharType="begin"/>
      </w:r>
      <w:r>
        <w:instrText xml:space="preserve"> REF _Ref233625847 \r \h </w:instrText>
      </w:r>
      <w:r>
        <w:fldChar w:fldCharType="separate"/>
      </w:r>
      <w:r>
        <w:t>13.3.2</w:t>
      </w:r>
      <w:r>
        <w:fldChar w:fldCharType="end"/>
      </w:r>
      <w:r>
        <w:t xml:space="preserve">), each of which is encoded as a </w:t>
      </w:r>
      <w:r>
        <w:rPr>
          <w:rStyle w:val="Code"/>
        </w:rPr>
        <w:t>&lt;listBibl&gt;</w:t>
      </w:r>
      <w:r>
        <w:t xml:space="preserve"> container</w:t>
      </w:r>
    </w:p>
    <w:p w14:paraId="36570F7A" w14:textId="77777777">
      <w:pPr>
        <w:pStyle w:val="Lista"/>
      </w:pPr>
      <w:r>
        <w:t xml:space="preserve">each such container must contain one </w:t>
      </w:r>
      <w:r>
        <w:rPr>
          <w:rStyle w:val="Code"/>
        </w:rPr>
        <w:t>&lt;bibl&gt;</w:t>
      </w:r>
      <w:r>
        <w:t xml:space="preserve"> element for each bibliographic entry, and nothing else</w:t>
      </w:r>
    </w:p>
    <w:p w14:paraId="44F9984E" w14:textId="30A93DCD">
      <w:pPr>
        <w:pStyle w:val="Lista2"/>
      </w:pPr>
      <w:r>
        <w:t>the individual citations must be encoded as per §</w:t>
      </w:r>
      <w:r>
        <w:fldChar w:fldCharType="begin"/>
      </w:r>
      <w:r>
        <w:instrText xml:space="preserve"> REF _Ref233877601 \r \h </w:instrText>
      </w:r>
      <w:r>
        <w:fldChar w:fldCharType="separate"/>
      </w:r>
      <w:r>
        <w:t>14.6.1</w:t>
      </w:r>
      <w:r>
        <w:fldChar w:fldCharType="end"/>
      </w:r>
      <w:r>
        <w:t xml:space="preserve"> </w:t>
      </w:r>
    </w:p>
    <w:p w14:paraId="3654D223" w14:textId="1A777544">
      <w:pPr>
        <w:pStyle w:val="Lista2"/>
      </w:pPr>
      <w:r>
        <w:t>with the addition of a siglum (§</w:t>
      </w:r>
      <w:r>
        <w:fldChar w:fldCharType="begin"/>
      </w:r>
      <w:r>
        <w:instrText xml:space="preserve"> REF _Ref233625904 \r \h </w:instrText>
      </w:r>
      <w:r>
        <w:fldChar w:fldCharType="separate"/>
      </w:r>
      <w:r>
        <w:t>13.3.3</w:t>
      </w:r>
      <w:r>
        <w:fldChar w:fldCharType="end"/>
      </w:r>
      <w:r>
        <w:t>) for each item cited in your apparatus</w:t>
      </w:r>
    </w:p>
    <w:p w14:paraId="6F0E4E78" w14:textId="77777777">
      <w:pPr>
        <w:pStyle w:val="Lista"/>
      </w:pPr>
      <w:r>
        <w:t xml:space="preserve">should there be no bibliographic references available for either the primary or the secondary bibliography (typically when encoding a previously unedited document, or during work in progress), create one empty </w:t>
      </w:r>
      <w:r>
        <w:rPr>
          <w:rStyle w:val="Code"/>
        </w:rPr>
        <w:t>&lt;bibl/&gt;</w:t>
      </w:r>
      <w:r>
        <w:t xml:space="preserve"> element as a placeholder within the applicable </w:t>
      </w:r>
      <w:r>
        <w:rPr>
          <w:rStyle w:val="Code"/>
        </w:rPr>
        <w:t>&lt;listBibl&gt;</w:t>
      </w:r>
      <w:r>
        <w:t xml:space="preserve"> element</w:t>
      </w:r>
    </w:p>
    <w:p w14:paraId="12E555EC" w14:textId="1E7C2F76">
      <w:pPr>
        <w:pStyle w:val="Lista"/>
      </w:pPr>
      <w:r>
        <w:t xml:space="preserve">when necessary, notes may be added to the bibliography in the form of a </w:t>
      </w:r>
      <w:r>
        <w:rPr>
          <w:rStyle w:val="Code"/>
        </w:rPr>
        <w:t>&lt;note&gt;</w:t>
      </w:r>
      <w:r>
        <w:t xml:space="preserve"> element encoded as per §</w:t>
      </w:r>
      <w:r>
        <w:fldChar w:fldCharType="begin"/>
      </w:r>
      <w:r>
        <w:instrText xml:space="preserve"> REF _Ref43989684 \r \h </w:instrText>
      </w:r>
      <w:r>
        <w:fldChar w:fldCharType="separate"/>
      </w:r>
      <w:r>
        <w:t>14.5</w:t>
      </w:r>
      <w:r>
        <w:fldChar w:fldCharType="end"/>
      </w:r>
    </w:p>
    <w:p w14:paraId="031DE9D2" w14:textId="77777777">
      <w:pPr>
        <w:pStyle w:val="Lista2"/>
      </w:pPr>
      <w:r>
        <w:t xml:space="preserve">such a note must be the last child of a </w:t>
      </w:r>
      <w:r>
        <w:rPr>
          <w:rStyle w:val="Code"/>
        </w:rPr>
        <w:t>&lt;bibl&gt;</w:t>
      </w:r>
      <w:r>
        <w:t xml:space="preserve"> element, and may not be created between </w:t>
      </w:r>
      <w:r>
        <w:rPr>
          <w:rStyle w:val="Code"/>
        </w:rPr>
        <w:t>&lt;bibl&gt;</w:t>
      </w:r>
      <w:r>
        <w:t xml:space="preserve"> elements, nor at a non-ultimate position within a </w:t>
      </w:r>
      <w:r>
        <w:rPr>
          <w:rStyle w:val="Code"/>
        </w:rPr>
        <w:t>&lt;bibl&gt;</w:t>
      </w:r>
      <w:r>
        <w:t xml:space="preserve"> element</w:t>
      </w:r>
    </w:p>
    <w:p w14:paraId="2D9FE1C6" w14:textId="77777777">
      <w:pPr>
        <w:pStyle w:val="Cmsor3"/>
      </w:pPr>
      <w:bookmarkStart w:id="927" w:name="_Ref233625697"/>
      <w:bookmarkStart w:id="928" w:name="_Toc242889631"/>
      <w:r>
        <w:t>The primary bibliography</w:t>
      </w:r>
      <w:bookmarkEnd w:id="927"/>
      <w:bookmarkEnd w:id="928"/>
    </w:p>
    <w:p w14:paraId="69A54385" w14:textId="77777777">
      <w:pPr>
        <w:pStyle w:val="Lista"/>
        <w:rPr>
          <w:lang w:eastAsia="en-US" w:bidi="ar-SA"/>
        </w:rPr>
      </w:pPr>
      <w:r>
        <w:rPr>
          <w:lang w:eastAsia="en-US" w:bidi="ar-SA"/>
        </w:rPr>
        <w:t xml:space="preserve">the primary bibliography of a DHARMA edition collects any and all known </w:t>
      </w:r>
      <w:r>
        <w:t>independent integral editions of the document</w:t>
      </w:r>
    </w:p>
    <w:p w14:paraId="041C26F4" w14:textId="77777777">
      <w:pPr>
        <w:pStyle w:val="Lista"/>
      </w:pPr>
      <w:r>
        <w:t xml:space="preserve">the container for the primary bibliography is the element </w:t>
      </w:r>
      <w:r>
        <w:rPr>
          <w:rStyle w:val="Code"/>
        </w:rPr>
        <w:t xml:space="preserve">&lt;listBibl </w:t>
      </w:r>
      <w:r>
        <w:rPr>
          <w:rStyle w:val="Codeattribute"/>
        </w:rPr>
        <w:t>type</w:t>
      </w:r>
      <w:r>
        <w:rPr>
          <w:rStyle w:val="Code"/>
        </w:rPr>
        <w:t>=</w:t>
      </w:r>
      <w:r>
        <w:rPr>
          <w:rStyle w:val="Codevalue"/>
        </w:rPr>
        <w:t>"primary"</w:t>
      </w:r>
      <w:r>
        <w:rPr>
          <w:rStyle w:val="Code"/>
        </w:rPr>
        <w:t>&gt;</w:t>
      </w:r>
      <w:r>
        <w:t xml:space="preserve">, placed immediately after the </w:t>
      </w:r>
      <w:r>
        <w:rPr>
          <w:rStyle w:val="Code"/>
        </w:rPr>
        <w:t>&lt;p&gt;</w:t>
      </w:r>
      <w:r>
        <w:t xml:space="preserve"> element containing the epigraphic lemma</w:t>
      </w:r>
    </w:p>
    <w:p w14:paraId="470F05C1" w14:textId="77777777">
      <w:pPr>
        <w:pStyle w:val="Cmsor3"/>
      </w:pPr>
      <w:bookmarkStart w:id="929" w:name="_Ref233625847"/>
      <w:bookmarkStart w:id="930" w:name="_Ref233623410"/>
      <w:bookmarkStart w:id="931" w:name="_Ref43989610"/>
      <w:bookmarkStart w:id="932" w:name="_Toc242889632"/>
      <w:r>
        <w:t>The secondary bibliography</w:t>
      </w:r>
      <w:bookmarkEnd w:id="929"/>
      <w:bookmarkEnd w:id="932"/>
    </w:p>
    <w:p w14:paraId="265C8FE9" w14:textId="77777777">
      <w:pPr>
        <w:pStyle w:val="Lista"/>
      </w:pPr>
      <w:r>
        <w:t>the secondary bibliography of a DHARMA edition collects any publications relevant to the inscription other than independent integral editions, such as</w:t>
      </w:r>
    </w:p>
    <w:p w14:paraId="4809AC78" w14:textId="77777777">
      <w:pPr>
        <w:pStyle w:val="Lista2"/>
      </w:pPr>
      <w:r>
        <w:t xml:space="preserve">re-publications of previous editions </w:t>
      </w:r>
      <w:r>
        <w:rPr>
          <w:noProof/>
        </w:rPr>
        <w:t>(</w:t>
      </w:r>
      <w:r>
        <w:t>without new insights)</w:t>
      </w:r>
    </w:p>
    <w:p w14:paraId="362A54BB" w14:textId="77777777">
      <w:pPr>
        <w:pStyle w:val="Lista2"/>
      </w:pPr>
      <w:r>
        <w:t xml:space="preserve">reports </w:t>
      </w:r>
      <w:r>
        <w:rPr>
          <w:noProof/>
        </w:rPr>
        <w:t>(</w:t>
      </w:r>
      <w:r>
        <w:t>ARIE, etc.)</w:t>
      </w:r>
    </w:p>
    <w:p w14:paraId="11015B4F" w14:textId="77777777">
      <w:pPr>
        <w:pStyle w:val="Lista2"/>
      </w:pPr>
      <w:r>
        <w:t>partial readings or translations</w:t>
      </w:r>
    </w:p>
    <w:p w14:paraId="7C18A336" w14:textId="77777777">
      <w:pPr>
        <w:pStyle w:val="Lista2"/>
      </w:pPr>
      <w:r>
        <w:t>descriptions/discussions of the inscription’s content, the support, specific readings, etc.</w:t>
      </w:r>
    </w:p>
    <w:p w14:paraId="583A53B0" w14:textId="77777777">
      <w:pPr>
        <w:pStyle w:val="Lista"/>
      </w:pPr>
      <w:r>
        <w:t xml:space="preserve">the container for the secondary bibliography is the element </w:t>
      </w:r>
      <w:r>
        <w:rPr>
          <w:rStyle w:val="Code"/>
        </w:rPr>
        <w:t xml:space="preserve">&lt;listBibl </w:t>
      </w:r>
      <w:r>
        <w:rPr>
          <w:rStyle w:val="Codeattribute"/>
        </w:rPr>
        <w:t>type</w:t>
      </w:r>
      <w:r>
        <w:rPr>
          <w:rStyle w:val="Code"/>
        </w:rPr>
        <w:t>=</w:t>
      </w:r>
      <w:r>
        <w:rPr>
          <w:rStyle w:val="Codevalue"/>
        </w:rPr>
        <w:t>"secondary"</w:t>
      </w:r>
      <w:r>
        <w:rPr>
          <w:rStyle w:val="Code"/>
        </w:rPr>
        <w:t>&gt;</w:t>
      </w:r>
      <w:r>
        <w:t>, placed immediately after the primary bibliography</w:t>
      </w:r>
    </w:p>
    <w:p w14:paraId="50A9778E" w14:textId="77777777">
      <w:pPr>
        <w:pStyle w:val="Cmsor3"/>
      </w:pPr>
      <w:bookmarkStart w:id="933" w:name="_Ref233625904"/>
      <w:bookmarkStart w:id="934" w:name="_Ref233636572"/>
      <w:bookmarkStart w:id="935" w:name="_Toc242889633"/>
      <w:r>
        <w:t>Bibliographic sigla</w:t>
      </w:r>
      <w:bookmarkEnd w:id="933"/>
      <w:bookmarkEnd w:id="935"/>
    </w:p>
    <w:p w14:paraId="105C5CA7" w14:textId="1C94A022">
      <w:r>
        <w:t xml:space="preserve">If your apparatus cites a previous publication as the </w:t>
      </w:r>
      <w:r>
        <w:rPr>
          <w:rStyle w:val="Codeattribute"/>
        </w:rPr>
        <w:t>@source</w:t>
      </w:r>
      <w:r>
        <w:t xml:space="preserve"> of a lemma (§</w:t>
      </w:r>
      <w:r>
        <w:fldChar w:fldCharType="begin"/>
      </w:r>
      <w:r>
        <w:instrText xml:space="preserve"> REF _Ref233625530 \r \h </w:instrText>
      </w:r>
      <w:r>
        <w:fldChar w:fldCharType="separate"/>
      </w:r>
      <w:r>
        <w:t>10.3.3</w:t>
      </w:r>
      <w:r>
        <w:fldChar w:fldCharType="end"/>
      </w:r>
      <w:r>
        <w:t>) or an alternative reading (§</w:t>
      </w:r>
      <w:r>
        <w:fldChar w:fldCharType="begin"/>
      </w:r>
      <w:r>
        <w:instrText xml:space="preserve"> REF _Ref233625579 \r \h </w:instrText>
      </w:r>
      <w:r>
        <w:fldChar w:fldCharType="separate"/>
      </w:r>
      <w:r>
        <w:t>10.4.3</w:t>
      </w:r>
      <w:r>
        <w:fldChar w:fldCharType="end"/>
      </w:r>
      <w:r>
        <w:t xml:space="preserve">), then the full citation of each such publication in your bibliography division must include a manually encoded siglum </w:t>
      </w:r>
      <w:r>
        <w:rPr>
          <w:noProof/>
        </w:rPr>
        <w:t>(</w:t>
      </w:r>
      <w:r>
        <w:t>an abbreviation by which they will be shown in the apparatus). This applies regardless of whether the full citation is in your primary bibliography or the secondary one.</w:t>
      </w:r>
    </w:p>
    <w:p w14:paraId="425B32E2" w14:textId="77777777">
      <w:pPr>
        <w:pStyle w:val="Lista"/>
      </w:pPr>
      <w:r>
        <w:t xml:space="preserve">the siglum must be encoded in the attribute </w:t>
      </w:r>
      <w:r>
        <w:rPr>
          <w:rStyle w:val="Codeattribute"/>
        </w:rPr>
        <w:t>@n</w:t>
      </w:r>
      <w:r>
        <w:t xml:space="preserve"> on the relevant </w:t>
      </w:r>
      <w:r>
        <w:rPr>
          <w:rStyle w:val="Code"/>
        </w:rPr>
        <w:t>&lt;bibl&gt;</w:t>
      </w:r>
      <w:r>
        <w:t xml:space="preserve"> item</w:t>
      </w:r>
    </w:p>
    <w:p w14:paraId="3FBBD521" w14:textId="77777777">
      <w:pPr>
        <w:pStyle w:val="Lista"/>
      </w:pPr>
      <w:r>
        <w:t>sigla may be assigned to publications arbitrarily, provided that they are unique within an XML document and reasonably straightforward for the reader to understand</w:t>
      </w:r>
    </w:p>
    <w:p w14:paraId="23EC2257" w14:textId="77777777">
      <w:pPr>
        <w:pStyle w:val="Lista"/>
      </w:pPr>
      <w:r>
        <w:t>the following guidelines apply to creating sigla, but feel free to deviate from these whenever you feel you have good reason to</w:t>
      </w:r>
    </w:p>
    <w:p w14:paraId="34EE24CB" w14:textId="77777777">
      <w:pPr>
        <w:pStyle w:val="Lista2"/>
      </w:pPr>
      <w:r>
        <w:t>sigla should be kept as short and simple as feasible</w:t>
      </w:r>
    </w:p>
    <w:p w14:paraId="2F065AA3" w14:textId="77777777">
      <w:pPr>
        <w:pStyle w:val="Lista2"/>
      </w:pPr>
      <w:r>
        <w:t>for the sake of clarity, letters of the English alphabet and numbers are preferred in sigla, but symbol characters and letters with diacritics may be used whenever you feel they are necessary</w:t>
      </w:r>
    </w:p>
    <w:p w14:paraId="21CFDF5B" w14:textId="77777777">
      <w:pPr>
        <w:pStyle w:val="Lista3"/>
      </w:pPr>
      <w:r>
        <w:t xml:space="preserve">except that the characters </w:t>
      </w:r>
      <w:r>
        <w:rPr>
          <w:rStyle w:val="Codetext"/>
        </w:rPr>
        <w:t>&amp;</w:t>
      </w:r>
      <w:r>
        <w:t xml:space="preserve">, </w:t>
      </w:r>
      <w:r>
        <w:rPr>
          <w:rStyle w:val="Codetext"/>
        </w:rPr>
        <w:t>&lt;</w:t>
      </w:r>
      <w:r>
        <w:t xml:space="preserve"> and </w:t>
      </w:r>
      <w:r>
        <w:rPr>
          <w:rStyle w:val="Codetext"/>
        </w:rPr>
        <w:t>&gt;</w:t>
      </w:r>
      <w:r>
        <w:t xml:space="preserve"> must be avoided to eliminate interference with code processing</w:t>
      </w:r>
    </w:p>
    <w:p w14:paraId="3EB86C1E" w14:textId="77777777">
      <w:pPr>
        <w:pStyle w:val="Lista3"/>
      </w:pPr>
      <w:r>
        <w:t xml:space="preserve">the character </w:t>
      </w:r>
      <w:r>
        <w:rPr>
          <w:rStyle w:val="Codetext"/>
        </w:rPr>
        <w:t>+</w:t>
      </w:r>
      <w:r>
        <w:t xml:space="preserve"> will be transformed to </w:t>
      </w:r>
      <w:r>
        <w:rPr>
          <w:rStyle w:val="Code"/>
        </w:rPr>
        <w:t>&amp;</w:t>
      </w:r>
      <w:r>
        <w:t xml:space="preserve"> in the display of sigla, and is recommended for the sigla of multi-author editions</w:t>
      </w:r>
    </w:p>
    <w:p w14:paraId="44188E5E" w14:textId="18F1084D">
      <w:pPr>
        <w:pStyle w:val="Lista2"/>
      </w:pPr>
      <w:r>
        <w:t xml:space="preserve">generally, use only the initial of the surname of the author, as in </w:t>
      </w:r>
      <w:r>
        <w:fldChar w:fldCharType="begin"/>
      </w:r>
      <w:r>
        <w:instrText xml:space="preserve"> REF _Ref233637912 \h </w:instrText>
      </w:r>
      <w:r>
        <w:fldChar w:fldCharType="separate"/>
      </w:r>
      <w:r>
        <w:t xml:space="preserve">Exhibit </w:t>
      </w:r>
      <w:r>
        <w:rPr>
          <w:noProof/>
        </w:rPr>
        <w:t>13.3</w:t>
      </w:r>
      <w:r>
        <w:t>.</w:t>
      </w:r>
      <w:r>
        <w:rPr>
          <w:noProof/>
        </w:rPr>
        <w:t>A</w:t>
      </w:r>
      <w:r>
        <w:fldChar w:fldCharType="end"/>
      </w:r>
    </w:p>
    <w:p w14:paraId="7D1A9352" w14:textId="77777777">
      <w:pPr>
        <w:pStyle w:val="Lista3"/>
      </w:pPr>
      <w:r>
        <w:t>e.g. “F” for “Fleet”</w:t>
      </w:r>
    </w:p>
    <w:p w14:paraId="7F92B58F" w14:textId="77777777">
      <w:pPr>
        <w:pStyle w:val="Lista2"/>
      </w:pPr>
      <w:r>
        <w:t>for names beginning with Sh, Ch and aspirates, use only the first initial unless you find this disturbing</w:t>
      </w:r>
    </w:p>
    <w:p w14:paraId="3A4C2A0F" w14:textId="77777777">
      <w:pPr>
        <w:pStyle w:val="Lista3"/>
      </w:pPr>
      <w:r>
        <w:lastRenderedPageBreak/>
        <w:t>e.g. “C” for “Chhabra”</w:t>
      </w:r>
    </w:p>
    <w:p w14:paraId="16F645B6" w14:textId="77777777">
      <w:pPr>
        <w:pStyle w:val="Lista2"/>
      </w:pPr>
      <w:r>
        <w:t>for publications with more than one author, use the initial of the surname of each author</w:t>
      </w:r>
    </w:p>
    <w:p w14:paraId="00DD1CCE" w14:textId="77777777">
      <w:pPr>
        <w:pStyle w:val="Lista3"/>
      </w:pPr>
      <w:r>
        <w:t xml:space="preserve">it is recommended that you use a </w:t>
      </w:r>
      <w:r>
        <w:rPr>
          <w:rStyle w:val="Codetext"/>
        </w:rPr>
        <w:t>+</w:t>
      </w:r>
      <w:r>
        <w:t xml:space="preserve"> sign between these initials, which will be rendered in display as an </w:t>
      </w:r>
      <w:r>
        <w:rPr>
          <w:rStyle w:val="Code"/>
        </w:rPr>
        <w:t>&amp;</w:t>
      </w:r>
      <w:r>
        <w:t xml:space="preserve"> sign</w:t>
      </w:r>
    </w:p>
    <w:p w14:paraId="3DA6BB77" w14:textId="77777777">
      <w:pPr>
        <w:pStyle w:val="Lista3"/>
      </w:pPr>
      <w:r>
        <w:t>e.g. “S+G” for “Sircar and Gai”, displayed as “S&amp;G”</w:t>
      </w:r>
    </w:p>
    <w:p w14:paraId="407299A6" w14:textId="77777777">
      <w:pPr>
        <w:pStyle w:val="Lista2"/>
      </w:pPr>
      <w:r>
        <w:t>feel free to use more than one initial whenever you find this desirable</w:t>
      </w:r>
    </w:p>
    <w:p w14:paraId="077D5D4F" w14:textId="77777777">
      <w:pPr>
        <w:pStyle w:val="Lista2"/>
      </w:pPr>
      <w:r>
        <w:t>additional initials are required (instead of optional) when this serves the purpose of disambiguation</w:t>
      </w:r>
    </w:p>
    <w:p w14:paraId="6F7157AB" w14:textId="77777777">
      <w:pPr>
        <w:pStyle w:val="Lista3"/>
      </w:pPr>
      <w:r>
        <w:t>e.g. “DRB” and “RGB” to distinguish “Devadatta Ramakrishna Bhandarkar” from “Ramakrishna Gopal Bhandarkar”</w:t>
      </w:r>
    </w:p>
    <w:p w14:paraId="6A3D2F42" w14:textId="77777777">
      <w:pPr>
        <w:pStyle w:val="Lista3"/>
      </w:pPr>
      <w:r>
        <w:t>if initials are not sufficient for disambiguation, include part or whole of the authors’ last names in sigla, as most practicable</w:t>
      </w:r>
    </w:p>
    <w:p w14:paraId="484AE5CC" w14:textId="77777777">
      <w:pPr>
        <w:pStyle w:val="Lista2"/>
      </w:pPr>
      <w:r>
        <w:t>should you need sigla for two or more publications of the same author (or the same combination of authors), add disambiguation to the sigla in the form of a serial number (e.g. “C1”, “C2”) or the year of publication (e.g. “C1911”, “C1913”)</w:t>
      </w:r>
    </w:p>
    <w:p w14:paraId="7C5E8F62" w14:textId="3FB0A967">
      <w:pPr>
        <w:pStyle w:val="Lista2"/>
      </w:pPr>
      <w:r>
        <w:t xml:space="preserve">for publications that do not have a named author (as is the case with certain journal-type publications, for which see ZG §4.4.2), use the journal abbreviation, as in </w:t>
      </w:r>
      <w:r>
        <w:fldChar w:fldCharType="begin"/>
      </w:r>
      <w:r>
        <w:instrText xml:space="preserve"> REF _Ref233286760 \h </w:instrText>
      </w:r>
      <w:r>
        <w:fldChar w:fldCharType="separate"/>
      </w:r>
      <w:r>
        <w:t xml:space="preserve">Exhibit </w:t>
      </w:r>
      <w:r>
        <w:rPr>
          <w:noProof/>
        </w:rPr>
        <w:t>13.3</w:t>
      </w:r>
      <w:r>
        <w:t>.</w:t>
      </w:r>
      <w:r>
        <w:rPr>
          <w:noProof/>
        </w:rPr>
        <w:t>B</w:t>
      </w:r>
      <w:r>
        <w:fldChar w:fldCharType="end"/>
      </w:r>
    </w:p>
    <w:p w14:paraId="52AF9F5B" w14:textId="77777777">
      <w:pPr>
        <w:pStyle w:val="Lista3"/>
      </w:pPr>
      <w:r>
        <w:t>or, if disambiguation is needed, use the journal abbreviation and the year (i.e. the Zotero Short Title, ZG §4.10)</w:t>
      </w:r>
    </w:p>
    <w:p w14:paraId="36815088" w14:textId="77777777"/>
    <w:tbl>
      <w:tblPr>
        <w:tblStyle w:val="CodeSampleTable"/>
        <w:tblW w:w="5000" w:type="pct"/>
        <w:tblLook w:val="04A0" w:firstRow="1" w:lastRow="0" w:firstColumn="1" w:lastColumn="0" w:noHBand="0" w:noVBand="1"/>
      </w:tblPr>
      <w:tblGrid>
        <w:gridCol w:w="9628"/>
      </w:tblGrid>
      <w:tr w14:paraId="59265A30"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9FB4F85" w14:textId="35B1DFDB">
            <w:pPr>
              <w:pStyle w:val="Kpalrs"/>
            </w:pPr>
            <w:bookmarkStart w:id="936" w:name="_Ref233637912"/>
            <w:r>
              <w:t xml:space="preserve">Exhibit </w:t>
            </w:r>
            <w:fldSimple w:instr=" STYLEREF 2 \s ">
              <w:r>
                <w:rPr>
                  <w:noProof/>
                </w:rPr>
                <w:t>13.3</w:t>
              </w:r>
            </w:fldSimple>
            <w:r>
              <w:t>.</w:t>
            </w:r>
            <w:fldSimple w:instr=" SEQ Exhibit \* ALPHABETIC \s 2 ">
              <w:r>
                <w:rPr>
                  <w:noProof/>
                </w:rPr>
                <w:t>A</w:t>
              </w:r>
            </w:fldSimple>
            <w:bookmarkEnd w:id="936"/>
            <w:r>
              <w:t>: bibliographic citation with a siglum, within the primary bibliography</w:t>
            </w:r>
          </w:p>
        </w:tc>
      </w:tr>
      <w:tr w14:paraId="74C34B30" w14:textId="77777777">
        <w:tc>
          <w:tcPr>
            <w:tcW w:w="5000" w:type="pct"/>
          </w:tcPr>
          <w:p w14:paraId="2F5EB81C" w14:textId="77777777">
            <w:pPr>
              <w:pStyle w:val="CodeParagraph"/>
              <w:rPr>
                <w:rStyle w:val="Code"/>
              </w:rPr>
            </w:pPr>
            <w:r>
              <w:rPr>
                <w:rStyle w:val="Code"/>
              </w:rPr>
              <w:t xml:space="preserve">&lt;bibl </w:t>
            </w:r>
            <w:r>
              <w:rPr>
                <w:rStyle w:val="Codeattribute"/>
              </w:rPr>
              <w:t>n</w:t>
            </w:r>
            <w:r>
              <w:rPr>
                <w:rStyle w:val="Code"/>
              </w:rPr>
              <w:t>=</w:t>
            </w:r>
            <w:r>
              <w:rPr>
                <w:rStyle w:val="Codevalue"/>
              </w:rPr>
              <w:t>"H"</w:t>
            </w:r>
            <w:r>
              <w:rPr>
                <w:rStyle w:val="Code"/>
              </w:rPr>
              <w:t>&gt;</w:t>
            </w:r>
          </w:p>
          <w:p w14:paraId="5FC9C763" w14:textId="77777777">
            <w:pPr>
              <w:pStyle w:val="CodeParagraph"/>
              <w:rPr>
                <w:rStyle w:val="Code"/>
              </w:rPr>
            </w:pPr>
            <w:r>
              <w:rPr>
                <w:rStyle w:val="Code"/>
              </w:rPr>
              <w:t xml:space="preserve">  &lt;ptr </w:t>
            </w:r>
            <w:r>
              <w:rPr>
                <w:rStyle w:val="Codeattribute"/>
              </w:rPr>
              <w:t>target</w:t>
            </w:r>
            <w:r>
              <w:rPr>
                <w:rStyle w:val="Code"/>
              </w:rPr>
              <w:t>=</w:t>
            </w:r>
            <w:r>
              <w:rPr>
                <w:rStyle w:val="Codevalue"/>
              </w:rPr>
              <w:t>"bib:Hultzsch1913-1914_01"</w:t>
            </w:r>
            <w:r>
              <w:rPr>
                <w:rStyle w:val="Code"/>
              </w:rPr>
              <w:t>/&gt;</w:t>
            </w:r>
          </w:p>
          <w:p w14:paraId="5AF30A2A" w14:textId="77777777">
            <w:pPr>
              <w:pStyle w:val="CodeParagraph"/>
              <w:rPr>
                <w:rStyle w:val="Code"/>
              </w:rPr>
            </w:pPr>
            <w:r>
              <w:rPr>
                <w:rStyle w:val="Code"/>
              </w:rPr>
              <w:t xml:space="preserve">  &lt;citedRange </w:t>
            </w:r>
            <w:r>
              <w:rPr>
                <w:rStyle w:val="Codeattribute"/>
              </w:rPr>
              <w:t>unit</w:t>
            </w:r>
            <w:r>
              <w:rPr>
                <w:rStyle w:val="Code"/>
              </w:rPr>
              <w:t>=</w:t>
            </w:r>
            <w:r>
              <w:rPr>
                <w:rStyle w:val="Codevalue"/>
              </w:rPr>
              <w:t>"page"</w:t>
            </w:r>
            <w:r>
              <w:rPr>
                <w:rStyle w:val="Code"/>
              </w:rPr>
              <w:t>&gt;</w:t>
            </w:r>
            <w:r>
              <w:rPr>
                <w:rStyle w:val="Codetext"/>
              </w:rPr>
              <w:t>225-226</w:t>
            </w:r>
            <w:r>
              <w:rPr>
                <w:rStyle w:val="Code"/>
              </w:rPr>
              <w:t>&lt;/citedRange&gt;</w:t>
            </w:r>
          </w:p>
          <w:p w14:paraId="38D9C7FF" w14:textId="77777777">
            <w:pPr>
              <w:pStyle w:val="CodeParagraph"/>
              <w:rPr>
                <w:rStyle w:val="Code"/>
              </w:rPr>
            </w:pPr>
            <w:r>
              <w:rPr>
                <w:rStyle w:val="Code"/>
              </w:rPr>
              <w:t xml:space="preserve">  &lt;citedRange </w:t>
            </w:r>
            <w:r>
              <w:rPr>
                <w:rStyle w:val="Codeattribute"/>
              </w:rPr>
              <w:t>unit</w:t>
            </w:r>
            <w:r>
              <w:rPr>
                <w:rStyle w:val="Code"/>
              </w:rPr>
              <w:t>=</w:t>
            </w:r>
            <w:r>
              <w:rPr>
                <w:rStyle w:val="Codevalue"/>
              </w:rPr>
              <w:t>"item"</w:t>
            </w:r>
            <w:r>
              <w:rPr>
                <w:rStyle w:val="Code"/>
              </w:rPr>
              <w:t>&gt;</w:t>
            </w:r>
            <w:r>
              <w:rPr>
                <w:rStyle w:val="Codetext"/>
              </w:rPr>
              <w:t>B</w:t>
            </w:r>
            <w:r>
              <w:rPr>
                <w:rStyle w:val="Code"/>
              </w:rPr>
              <w:t>&lt;/citedRange&gt;</w:t>
            </w:r>
          </w:p>
          <w:p w14:paraId="15DA5A34" w14:textId="77777777">
            <w:pPr>
              <w:pStyle w:val="CodeParagraph"/>
              <w:rPr>
                <w:rFonts w:ascii="Consolas" w:hAnsi="Consolas" w:cs="Consolas"/>
                <w:noProof/>
                <w:color w:val="002060"/>
                <w:shd w:val="clear" w:color="auto" w:fill="F2F2F2" w:themeFill="background1" w:themeFillShade="F2"/>
              </w:rPr>
            </w:pPr>
            <w:r>
              <w:rPr>
                <w:rStyle w:val="Code"/>
              </w:rPr>
              <w:t>&lt;/bibl&gt;</w:t>
            </w:r>
          </w:p>
        </w:tc>
      </w:tr>
    </w:tbl>
    <w:p w14:paraId="03286987" w14:textId="77777777">
      <w:bookmarkStart w:id="937" w:name="_mjrrg3ve8nta" w:colFirst="0" w:colLast="0"/>
      <w:bookmarkEnd w:id="937"/>
    </w:p>
    <w:tbl>
      <w:tblPr>
        <w:tblStyle w:val="CodeSampleTable"/>
        <w:tblW w:w="5000" w:type="pct"/>
        <w:tblLook w:val="04A0" w:firstRow="1" w:lastRow="0" w:firstColumn="1" w:lastColumn="0" w:noHBand="0" w:noVBand="1"/>
      </w:tblPr>
      <w:tblGrid>
        <w:gridCol w:w="9628"/>
      </w:tblGrid>
      <w:tr w14:paraId="7DF8C60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0650189" w14:textId="14A05B0A">
            <w:pPr>
              <w:pStyle w:val="Kpalrs"/>
            </w:pPr>
            <w:bookmarkStart w:id="938" w:name="_Ref233286760"/>
            <w:r>
              <w:t xml:space="preserve">Exhibit </w:t>
            </w:r>
            <w:fldSimple w:instr=" STYLEREF 2 \s ">
              <w:r>
                <w:rPr>
                  <w:noProof/>
                </w:rPr>
                <w:t>13.3</w:t>
              </w:r>
            </w:fldSimple>
            <w:r>
              <w:t>.</w:t>
            </w:r>
            <w:fldSimple w:instr=" SEQ Exhibit \* ALPHABETIC \s 2 ">
              <w:r>
                <w:rPr>
                  <w:noProof/>
                </w:rPr>
                <w:t>B</w:t>
              </w:r>
            </w:fldSimple>
            <w:bookmarkEnd w:id="938"/>
            <w:r>
              <w:t>: bibliographic citation of ARIE with a siglum, within the primary bibliography</w:t>
            </w:r>
          </w:p>
        </w:tc>
      </w:tr>
      <w:tr w14:paraId="4DECCCD5" w14:textId="77777777">
        <w:tc>
          <w:tcPr>
            <w:tcW w:w="5000" w:type="pct"/>
          </w:tcPr>
          <w:p w14:paraId="4BD1E28B" w14:textId="77777777">
            <w:pPr>
              <w:pStyle w:val="CodeParagraph"/>
              <w:rPr>
                <w:rStyle w:val="Code"/>
              </w:rPr>
            </w:pPr>
            <w:r>
              <w:rPr>
                <w:rStyle w:val="Code"/>
              </w:rPr>
              <w:t xml:space="preserve">&lt;bibl </w:t>
            </w:r>
            <w:r>
              <w:rPr>
                <w:rStyle w:val="Codeattribute"/>
              </w:rPr>
              <w:t>n</w:t>
            </w:r>
            <w:r>
              <w:rPr>
                <w:rStyle w:val="Code"/>
              </w:rPr>
              <w:t>="ARIE"&gt;</w:t>
            </w:r>
            <w:r>
              <w:rPr>
                <w:rStyle w:val="Code"/>
              </w:rPr>
              <w:br/>
              <w:t xml:space="preserve">  &lt;ptr </w:t>
            </w:r>
            <w:r>
              <w:rPr>
                <w:rStyle w:val="Codeattribute"/>
              </w:rPr>
              <w:t>target</w:t>
            </w:r>
            <w:r>
              <w:rPr>
                <w:rStyle w:val="Code"/>
              </w:rPr>
              <w:t>=</w:t>
            </w:r>
            <w:r>
              <w:rPr>
                <w:rStyle w:val="Codevalue"/>
              </w:rPr>
              <w:t>"bib:ARIE1904-1905"</w:t>
            </w:r>
            <w:r>
              <w:rPr>
                <w:rStyle w:val="Code"/>
              </w:rPr>
              <w:t>/&gt;</w:t>
            </w:r>
            <w:r>
              <w:rPr>
                <w:rStyle w:val="Code"/>
              </w:rPr>
              <w:br/>
              <w:t xml:space="preserve">  &lt;citedRange </w:t>
            </w:r>
            <w:r>
              <w:rPr>
                <w:rStyle w:val="Codeattribute"/>
              </w:rPr>
              <w:t>unit</w:t>
            </w:r>
            <w:r>
              <w:rPr>
                <w:rStyle w:val="Code"/>
              </w:rPr>
              <w:t>=</w:t>
            </w:r>
            <w:r>
              <w:rPr>
                <w:rStyle w:val="Codevalue"/>
              </w:rPr>
              <w:t>"page"</w:t>
            </w:r>
            <w:r>
              <w:rPr>
                <w:rStyle w:val="Code"/>
              </w:rPr>
              <w:t>&gt;</w:t>
            </w:r>
            <w:r>
              <w:rPr>
                <w:rStyle w:val="Codetext"/>
              </w:rPr>
              <w:t>33, 39</w:t>
            </w:r>
            <w:r>
              <w:rPr>
                <w:rStyle w:val="Code"/>
              </w:rPr>
              <w:t>&lt;/citedRange&gt;</w:t>
            </w:r>
            <w:r>
              <w:rPr>
                <w:rStyle w:val="Code"/>
              </w:rPr>
              <w:br/>
              <w:t xml:space="preserve">  &lt;citedRange </w:t>
            </w:r>
            <w:r>
              <w:rPr>
                <w:rStyle w:val="Codeattribute"/>
              </w:rPr>
              <w:t>unit</w:t>
            </w:r>
            <w:r>
              <w:rPr>
                <w:rStyle w:val="Code"/>
              </w:rPr>
              <w:t>=</w:t>
            </w:r>
            <w:r>
              <w:rPr>
                <w:rStyle w:val="Codevalue"/>
              </w:rPr>
              <w:t>"appendix"</w:t>
            </w:r>
            <w:r>
              <w:rPr>
                <w:rStyle w:val="Code"/>
              </w:rPr>
              <w:t>&gt;</w:t>
            </w:r>
            <w:r>
              <w:rPr>
                <w:rStyle w:val="Codetext"/>
              </w:rPr>
              <w:t>B/1905</w:t>
            </w:r>
            <w:r>
              <w:rPr>
                <w:rStyle w:val="Code"/>
              </w:rPr>
              <w:t>&lt;/citedRange&gt;</w:t>
            </w:r>
            <w:r>
              <w:rPr>
                <w:rStyle w:val="Code"/>
              </w:rPr>
              <w:br/>
              <w:t xml:space="preserve">  &lt;citedRange </w:t>
            </w:r>
            <w:r>
              <w:rPr>
                <w:rStyle w:val="Codeattribute"/>
              </w:rPr>
              <w:t>unit</w:t>
            </w:r>
            <w:r>
              <w:rPr>
                <w:rStyle w:val="Code"/>
              </w:rPr>
              <w:t>=</w:t>
            </w:r>
            <w:r>
              <w:rPr>
                <w:rStyle w:val="Codevalue"/>
              </w:rPr>
              <w:t>"item"</w:t>
            </w:r>
            <w:r>
              <w:rPr>
                <w:rStyle w:val="Code"/>
              </w:rPr>
              <w:t>&gt;</w:t>
            </w:r>
            <w:r>
              <w:rPr>
                <w:rStyle w:val="Codetext"/>
              </w:rPr>
              <w:t>56</w:t>
            </w:r>
            <w:r>
              <w:rPr>
                <w:rStyle w:val="Code"/>
              </w:rPr>
              <w:t>&lt;/citedRange&gt;</w:t>
            </w:r>
            <w:r>
              <w:rPr>
                <w:rStyle w:val="Code"/>
              </w:rPr>
              <w:br/>
              <w:t>&lt;/bibl&gt;</w:t>
            </w:r>
          </w:p>
        </w:tc>
      </w:tr>
    </w:tbl>
    <w:p w14:paraId="107AD528" w14:textId="77777777">
      <w:bookmarkStart w:id="939" w:name="_v37b3rvxgvz" w:colFirst="0" w:colLast="0"/>
      <w:bookmarkEnd w:id="939"/>
    </w:p>
    <w:p w14:paraId="535027D6" w14:textId="77777777">
      <w:pPr>
        <w:pStyle w:val="Cmsor1"/>
      </w:pPr>
      <w:bookmarkStart w:id="940" w:name="_80cu70li1mlm" w:colFirst="0" w:colLast="0"/>
      <w:bookmarkStart w:id="941" w:name="_s2c4wh2r29fy" w:colFirst="0" w:colLast="0"/>
      <w:bookmarkStart w:id="942" w:name="_Ref43990225"/>
      <w:bookmarkStart w:id="943" w:name="_Toc242889634"/>
      <w:bookmarkEnd w:id="930"/>
      <w:bookmarkEnd w:id="931"/>
      <w:bookmarkEnd w:id="934"/>
      <w:bookmarkEnd w:id="940"/>
      <w:bookmarkEnd w:id="941"/>
      <w:r>
        <w:lastRenderedPageBreak/>
        <w:t>Globally available markup outside the edition</w:t>
      </w:r>
      <w:bookmarkEnd w:id="942"/>
      <w:bookmarkEnd w:id="943"/>
    </w:p>
    <w:p w14:paraId="45152172" w14:textId="77777777">
      <w:pPr>
        <w:rPr>
          <w:lang w:eastAsia="en-US" w:bidi="ar-SA"/>
        </w:rPr>
      </w:pPr>
      <w:r>
        <w:rPr>
          <w:lang w:eastAsia="en-US" w:bidi="ar-SA"/>
        </w:rPr>
        <w:t>This section introduces markup solutions that may be used in various parts of the XML document other than the edition division. Some of the same solutions are also available within the edition division, but only in the specific circumstances explicitly discussed in the sections concerning the encoding of the edition.</w:t>
      </w:r>
    </w:p>
    <w:p w14:paraId="56B0F10C" w14:textId="77777777">
      <w:pPr>
        <w:pStyle w:val="Cmsor2"/>
      </w:pPr>
      <w:bookmarkStart w:id="944" w:name="_vn3bfilgag1u" w:colFirst="0" w:colLast="0"/>
      <w:bookmarkStart w:id="945" w:name="_Ref43990337"/>
      <w:bookmarkStart w:id="946" w:name="_Toc242889635"/>
      <w:bookmarkEnd w:id="944"/>
      <w:r>
        <w:t>Using editorial markup outside the edition</w:t>
      </w:r>
      <w:bookmarkEnd w:id="945"/>
      <w:bookmarkEnd w:id="946"/>
    </w:p>
    <w:p w14:paraId="5D1C4302" w14:textId="43B2E01B">
      <w:r>
        <w:t xml:space="preserve">As a rule, the XML elements pertaining to the text edition </w:t>
      </w:r>
      <w:r>
        <w:rPr>
          <w:noProof/>
        </w:rPr>
        <w:t>(</w:t>
      </w:r>
      <w:r>
        <w:t>§</w:t>
      </w:r>
      <w:r>
        <w:fldChar w:fldCharType="begin"/>
      </w:r>
      <w:r>
        <w:instrText xml:space="preserve"> REF _Ref43978632 \r \h  \* MERGEFORMAT </w:instrText>
      </w:r>
      <w:r>
        <w:fldChar w:fldCharType="separate"/>
      </w:r>
      <w:r>
        <w:t>3</w:t>
      </w:r>
      <w:r>
        <w:fldChar w:fldCharType="end"/>
      </w:r>
      <w:r>
        <w:t xml:space="preserve"> to §</w:t>
      </w:r>
      <w:r>
        <w:fldChar w:fldCharType="begin"/>
      </w:r>
      <w:r>
        <w:instrText xml:space="preserve"> REF _Ref232002354 \r \h </w:instrText>
      </w:r>
      <w:r>
        <w:fldChar w:fldCharType="separate"/>
      </w:r>
      <w:r>
        <w:t>9</w:t>
      </w:r>
      <w:r>
        <w:fldChar w:fldCharType="end"/>
      </w:r>
      <w:r>
        <w:t>) should be avoided outside the edition division of your XML file, except as explicitly endorsed in the following sections of §</w:t>
      </w:r>
      <w:r>
        <w:fldChar w:fldCharType="begin"/>
      </w:r>
      <w:r>
        <w:instrText xml:space="preserve"> REF _Ref43990225 \w \h  \* MERGEFORMAT </w:instrText>
      </w:r>
      <w:r>
        <w:fldChar w:fldCharType="separate"/>
      </w:r>
      <w:r>
        <w:t>14</w:t>
      </w:r>
      <w:r>
        <w:fldChar w:fldCharType="end"/>
      </w:r>
      <w:r>
        <w:t xml:space="preserve"> and, for specific divisions of the XML file, viz. the apparatus (§</w:t>
      </w:r>
      <w:r>
        <w:fldChar w:fldCharType="begin"/>
      </w:r>
      <w:r>
        <w:instrText xml:space="preserve"> REF _Ref233640654 \r \h </w:instrText>
      </w:r>
      <w:r>
        <w:fldChar w:fldCharType="separate"/>
      </w:r>
      <w:r>
        <w:t>10.6</w:t>
      </w:r>
      <w:r>
        <w:fldChar w:fldCharType="end"/>
      </w:r>
      <w:r>
        <w:t>) and the translation (§</w:t>
      </w:r>
      <w:r>
        <w:fldChar w:fldCharType="begin"/>
      </w:r>
      <w:r>
        <w:instrText xml:space="preserve"> REF _Ref233640670 \r \h </w:instrText>
      </w:r>
      <w:r>
        <w:fldChar w:fldCharType="separate"/>
      </w:r>
      <w:r>
        <w:t>11.4</w:t>
      </w:r>
      <w:r>
        <w:fldChar w:fldCharType="end"/>
      </w:r>
      <w:r>
        <w:t xml:space="preserve">). When you cite an excerpt from your edition in other parts of the XML document, we generally recommend that you present the excerpt without any editorial markup, in its “curated” form obtained after any scribal and editorial interventions. However, sometimes you may deem it essential to cite a diplomatic reading with all its intricacies, particularly in a note or commentary section discussing the editorial difficulties connected to a reading, or in a translation when replicating an unintelligible stretch of text </w:t>
      </w:r>
      <w:r>
        <w:rPr>
          <w:noProof/>
        </w:rPr>
        <w:t>(</w:t>
      </w:r>
      <w:r>
        <w:t>§</w:t>
      </w:r>
      <w:r>
        <w:fldChar w:fldCharType="begin"/>
      </w:r>
      <w:r>
        <w:instrText xml:space="preserve"> REF _Ref43990112 \w \h  \* MERGEFORMAT </w:instrText>
      </w:r>
      <w:r>
        <w:fldChar w:fldCharType="separate"/>
      </w:r>
      <w:r>
        <w:t>11.4.3</w:t>
      </w:r>
      <w:r>
        <w:fldChar w:fldCharType="end"/>
      </w:r>
      <w:r>
        <w:t xml:space="preserve">). In such cases, you may use editorial markup outside the edition division, limited to features whose replication is deemed essential in the context </w:t>
      </w:r>
      <w:r>
        <w:rPr>
          <w:noProof/>
        </w:rPr>
        <w:t>(</w:t>
      </w:r>
      <w:r>
        <w:t>i.e. without an obligation to replicate all editorial markup).</w:t>
      </w:r>
    </w:p>
    <w:p w14:paraId="204381EA" w14:textId="492FC1F1">
      <w:pPr>
        <w:pStyle w:val="Lista"/>
      </w:pPr>
      <w:r>
        <w:t xml:space="preserve">foreign-language citations within a stretch of modern-language text must always be tagged as </w:t>
      </w:r>
      <w:r>
        <w:rPr>
          <w:rStyle w:val="Code"/>
        </w:rPr>
        <w:t>&lt;foreign&gt;</w:t>
      </w:r>
      <w:r>
        <w:t xml:space="preserve"> </w:t>
      </w:r>
      <w:r>
        <w:rPr>
          <w:noProof/>
        </w:rPr>
        <w:t>(</w:t>
      </w:r>
      <w:r>
        <w:t>§</w:t>
      </w:r>
      <w:r>
        <w:fldChar w:fldCharType="begin"/>
      </w:r>
      <w:r>
        <w:instrText xml:space="preserve"> REF _Ref43986658 \w \h  \* MERGEFORMAT </w:instrText>
      </w:r>
      <w:r>
        <w:fldChar w:fldCharType="separate"/>
      </w:r>
      <w:r>
        <w:t>14.4.2</w:t>
      </w:r>
      <w:r>
        <w:fldChar w:fldCharType="end"/>
      </w:r>
      <w:r>
        <w:t>), so all markup pertaining to the citation must be within these tags</w:t>
      </w:r>
    </w:p>
    <w:p w14:paraId="58DBADD8" w14:textId="77777777">
      <w:pPr>
        <w:pStyle w:val="Lista"/>
      </w:pPr>
      <w:r>
        <w:t xml:space="preserve">tags for the edition’s block-level containers </w:t>
      </w:r>
      <w:r>
        <w:rPr>
          <w:noProof/>
        </w:rPr>
        <w:t>(</w:t>
      </w:r>
      <w:r>
        <w:rPr>
          <w:rStyle w:val="Code"/>
        </w:rPr>
        <w:t>&lt;p&gt;</w:t>
      </w:r>
      <w:r>
        <w:t xml:space="preserve">, </w:t>
      </w:r>
      <w:r>
        <w:rPr>
          <w:rStyle w:val="Code"/>
        </w:rPr>
        <w:t>&lt;ab&gt;</w:t>
      </w:r>
      <w:r>
        <w:t xml:space="preserve">, </w:t>
      </w:r>
      <w:r>
        <w:rPr>
          <w:rStyle w:val="Code"/>
        </w:rPr>
        <w:t>&lt;lg&gt;</w:t>
      </w:r>
      <w:r>
        <w:t xml:space="preserve"> and </w:t>
      </w:r>
      <w:r>
        <w:rPr>
          <w:rStyle w:val="Code"/>
        </w:rPr>
        <w:t>&lt;l&gt;</w:t>
      </w:r>
      <w:r>
        <w:t>) must not be included in citations</w:t>
      </w:r>
    </w:p>
    <w:p w14:paraId="7EA92E60" w14:textId="77777777">
      <w:pPr>
        <w:pStyle w:val="Lista"/>
      </w:pPr>
      <w:r>
        <w:t>the following encoding solutions may be included in citations</w:t>
      </w:r>
    </w:p>
    <w:p w14:paraId="3B652331" w14:textId="7848C976">
      <w:pPr>
        <w:pStyle w:val="Lista2"/>
      </w:pPr>
      <w:r>
        <w:t>milestone elements for extrinsic structure (§</w:t>
      </w:r>
      <w:r>
        <w:fldChar w:fldCharType="begin"/>
      </w:r>
      <w:r>
        <w:instrText xml:space="preserve"> REF _Ref225327729 \r \h </w:instrText>
      </w:r>
      <w:r>
        <w:fldChar w:fldCharType="separate"/>
      </w:r>
      <w:r>
        <w:t>4.3</w:t>
      </w:r>
      <w:r>
        <w:fldChar w:fldCharType="end"/>
      </w:r>
      <w:r>
        <w:t>)</w:t>
      </w:r>
    </w:p>
    <w:p w14:paraId="3203F4A1" w14:textId="77777777">
      <w:pPr>
        <w:pStyle w:val="Lista3"/>
      </w:pPr>
      <w:r>
        <w:t>to reduce code clutter, feel free to remove all attributes from such elements</w:t>
      </w:r>
    </w:p>
    <w:p w14:paraId="5CCC988E" w14:textId="27246F03">
      <w:pPr>
        <w:pStyle w:val="Lista2"/>
      </w:pPr>
      <w:r>
        <w:t xml:space="preserve">any markup pertaining to the received text </w:t>
      </w:r>
      <w:r>
        <w:rPr>
          <w:noProof/>
        </w:rPr>
        <w:t>(</w:t>
      </w:r>
      <w:r>
        <w:t>§</w:t>
      </w:r>
      <w:r>
        <w:fldChar w:fldCharType="begin"/>
      </w:r>
      <w:r>
        <w:instrText xml:space="preserve"> REF _Ref232171176 \r \h </w:instrText>
      </w:r>
      <w:r>
        <w:fldChar w:fldCharType="separate"/>
      </w:r>
      <w:r>
        <w:t>5</w:t>
      </w:r>
      <w:r>
        <w:fldChar w:fldCharType="end"/>
      </w:r>
      <w:r>
        <w:t>)</w:t>
      </w:r>
    </w:p>
    <w:p w14:paraId="30057826" w14:textId="5973EF4C">
      <w:pPr>
        <w:pStyle w:val="Lista2"/>
      </w:pPr>
      <w:r>
        <w:t xml:space="preserve">any markup pertaining to legibility issues </w:t>
      </w:r>
      <w:r>
        <w:rPr>
          <w:noProof/>
        </w:rPr>
        <w:t>(</w:t>
      </w:r>
      <w:r>
        <w:t>§</w:t>
      </w:r>
      <w:r>
        <w:fldChar w:fldCharType="begin"/>
      </w:r>
      <w:r>
        <w:instrText xml:space="preserve"> REF _Ref231895504 \r \h </w:instrText>
      </w:r>
      <w:r>
        <w:fldChar w:fldCharType="separate"/>
      </w:r>
      <w:r>
        <w:t>6</w:t>
      </w:r>
      <w:r>
        <w:fldChar w:fldCharType="end"/>
      </w:r>
      <w:r>
        <w:t>)</w:t>
      </w:r>
    </w:p>
    <w:p w14:paraId="5CDF073F" w14:textId="32D821E7">
      <w:pPr>
        <w:pStyle w:val="Lista2"/>
      </w:pPr>
      <w:r>
        <w:t xml:space="preserve">any markup pertaining to modern editorial intervention </w:t>
      </w:r>
      <w:r>
        <w:rPr>
          <w:noProof/>
        </w:rPr>
        <w:t>(</w:t>
      </w:r>
      <w:r>
        <w:t>§</w:t>
      </w:r>
      <w:r>
        <w:fldChar w:fldCharType="begin"/>
      </w:r>
      <w:r>
        <w:instrText xml:space="preserve"> REF _Ref43978565 \r \h  \* MERGEFORMAT </w:instrText>
      </w:r>
      <w:r>
        <w:fldChar w:fldCharType="separate"/>
      </w:r>
      <w:r>
        <w:t>7</w:t>
      </w:r>
      <w:r>
        <w:fldChar w:fldCharType="end"/>
      </w:r>
      <w:r>
        <w:t>)</w:t>
      </w:r>
    </w:p>
    <w:p w14:paraId="7325D3A0" w14:textId="22BF210A">
      <w:pPr>
        <w:pStyle w:val="Lista2"/>
      </w:pPr>
      <w:r>
        <w:t xml:space="preserve">any markup pertaining to language, script and visual characteristics </w:t>
      </w:r>
      <w:r>
        <w:rPr>
          <w:noProof/>
        </w:rPr>
        <w:t>(</w:t>
      </w:r>
      <w:r>
        <w:t>§</w:t>
      </w:r>
      <w:r>
        <w:fldChar w:fldCharType="begin"/>
      </w:r>
      <w:r>
        <w:instrText xml:space="preserve"> REF _Ref232171213 \r \h </w:instrText>
      </w:r>
      <w:r>
        <w:fldChar w:fldCharType="separate"/>
      </w:r>
      <w:r>
        <w:t>7.9</w:t>
      </w:r>
      <w:r>
        <w:fldChar w:fldCharType="end"/>
      </w:r>
      <w:r>
        <w:t>)</w:t>
      </w:r>
    </w:p>
    <w:p w14:paraId="0D3495DE" w14:textId="0DAF4E8B">
      <w:pPr>
        <w:pStyle w:val="Lista2"/>
      </w:pPr>
      <w:r>
        <w:t>interpretive and analytical markup (§</w:t>
      </w:r>
      <w:r>
        <w:fldChar w:fldCharType="begin"/>
      </w:r>
      <w:r>
        <w:instrText xml:space="preserve"> REF _Ref232002354 \r \h </w:instrText>
      </w:r>
      <w:r>
        <w:fldChar w:fldCharType="separate"/>
      </w:r>
      <w:r>
        <w:t>9</w:t>
      </w:r>
      <w:r>
        <w:fldChar w:fldCharType="end"/>
      </w:r>
      <w:r>
        <w:t>)</w:t>
      </w:r>
    </w:p>
    <w:p w14:paraId="35661920" w14:textId="77777777">
      <w:pPr>
        <w:pStyle w:val="Lista"/>
      </w:pPr>
      <w:r>
        <w:t>none of the above items are mandatory to retain: instead, reduce code clutter by retaining only markup relevant to the discussion of the citation</w:t>
      </w:r>
    </w:p>
    <w:p w14:paraId="28DEB24C" w14:textId="77777777">
      <w:pPr>
        <w:pStyle w:val="Lista"/>
      </w:pPr>
      <w:r>
        <w:t>when copying and pasting encoded text from your edition, pay attention to the beginning and end of phrase-level elements, which may not coincide with your excerpt</w:t>
      </w:r>
    </w:p>
    <w:p w14:paraId="026AE701" w14:textId="77777777">
      <w:pPr>
        <w:pStyle w:val="Lista2"/>
      </w:pPr>
      <w:r>
        <w:t>add the start-tag for retained markup commencing before and ending inside your citation</w:t>
      </w:r>
    </w:p>
    <w:p w14:paraId="5A2CB939" w14:textId="77777777">
      <w:pPr>
        <w:pStyle w:val="Lista2"/>
      </w:pPr>
      <w:r>
        <w:t>add the end-tag for retained markup commencing inside your citation and ending after it</w:t>
      </w:r>
    </w:p>
    <w:p w14:paraId="00CAB1D4" w14:textId="77777777">
      <w:pPr>
        <w:pStyle w:val="Lista2"/>
      </w:pPr>
      <w:r>
        <w:t>add start and end-tags for retained markup in a citation snipped from within a longer stretch of phrase-level markup</w:t>
      </w:r>
    </w:p>
    <w:p w14:paraId="7B14CEA1" w14:textId="77777777">
      <w:pPr>
        <w:pStyle w:val="Cmsor2"/>
      </w:pPr>
      <w:bookmarkStart w:id="947" w:name="_a0ie3m4iw2wx" w:colFirst="0" w:colLast="0"/>
      <w:bookmarkStart w:id="948" w:name="_Toc242889636"/>
      <w:bookmarkEnd w:id="947"/>
      <w:r>
        <w:t>Character formatting</w:t>
      </w:r>
      <w:bookmarkEnd w:id="948"/>
    </w:p>
    <w:p w14:paraId="6847F4AB" w14:textId="53EA7666">
      <w:r>
        <w:t xml:space="preserve">Given the principle of conceptual markup </w:t>
      </w:r>
      <w:r>
        <w:rPr>
          <w:noProof/>
        </w:rPr>
        <w:t>(</w:t>
      </w:r>
      <w:r>
        <w:t>§</w:t>
      </w:r>
      <w:r>
        <w:fldChar w:fldCharType="begin"/>
      </w:r>
      <w:r>
        <w:instrText xml:space="preserve"> REF _Ref233641527 \r \h </w:instrText>
      </w:r>
      <w:r>
        <w:fldChar w:fldCharType="separate"/>
      </w:r>
      <w:r>
        <w:t>2.1.1</w:t>
      </w:r>
      <w:r>
        <w:fldChar w:fldCharType="end"/>
      </w:r>
      <w:r>
        <w:t xml:space="preserve">), it will not normally be necessary for you to apply character formatting as such: all essential formatting will be handled globally through external stylesheets and governed by the XML tags you create. For instance, instead of italicising foreign words and titles, you tag them as </w:t>
      </w:r>
      <w:r>
        <w:rPr>
          <w:rStyle w:val="Code"/>
        </w:rPr>
        <w:t>&lt;foreign&gt;</w:t>
      </w:r>
      <w:r>
        <w:t xml:space="preserve"> (§</w:t>
      </w:r>
      <w:r>
        <w:fldChar w:fldCharType="begin"/>
      </w:r>
      <w:r>
        <w:instrText xml:space="preserve"> REF _Ref43986658 \r \h </w:instrText>
      </w:r>
      <w:r>
        <w:fldChar w:fldCharType="separate"/>
      </w:r>
      <w:r>
        <w:t>14.4.2</w:t>
      </w:r>
      <w:r>
        <w:fldChar w:fldCharType="end"/>
      </w:r>
      <w:r>
        <w:t xml:space="preserve">) or </w:t>
      </w:r>
      <w:r>
        <w:rPr>
          <w:rStyle w:val="Code"/>
        </w:rPr>
        <w:t>&lt;title&gt;</w:t>
      </w:r>
      <w:r>
        <w:t xml:space="preserve"> (§</w:t>
      </w:r>
      <w:r>
        <w:fldChar w:fldCharType="begin"/>
      </w:r>
      <w:r>
        <w:instrText xml:space="preserve"> REF _Ref233796804 \r \h </w:instrText>
      </w:r>
      <w:r>
        <w:fldChar w:fldCharType="separate"/>
      </w:r>
      <w:r>
        <w:t>14.7.1</w:t>
      </w:r>
      <w:r>
        <w:fldChar w:fldCharType="end"/>
      </w:r>
      <w:r>
        <w:t>) respectively. That said, you may occasionally find it useful to encode simple local formatting instructions without any specific semantic classification. For this purpose, only outside the edition</w:t>
      </w:r>
      <w:r>
        <w:rPr>
          <w:rStyle w:val="Lbjegyzet-hivatkozs"/>
        </w:rPr>
        <w:footnoteReference w:id="40"/>
      </w:r>
      <w:r>
        <w:t xml:space="preserve"> and mainly within the commentary division, you may use the element </w:t>
      </w:r>
      <w:r>
        <w:rPr>
          <w:rStyle w:val="Code"/>
        </w:rPr>
        <w:t>&lt;hi&gt;</w:t>
      </w:r>
      <w:r>
        <w:t xml:space="preserve"> </w:t>
      </w:r>
      <w:r>
        <w:rPr>
          <w:noProof/>
        </w:rPr>
        <w:t>(</w:t>
      </w:r>
      <w:r>
        <w:t>signifying typographic highlighting) with attributes as specified in the following subsections.</w:t>
      </w:r>
    </w:p>
    <w:p w14:paraId="2B822501" w14:textId="77777777"/>
    <w:p w14:paraId="3AD26BE2" w14:textId="77777777">
      <w:pPr>
        <w:pStyle w:val="Cmsor3"/>
      </w:pPr>
      <w:bookmarkStart w:id="949" w:name="_79u3x92o5v7r" w:colFirst="0" w:colLast="0"/>
      <w:bookmarkStart w:id="950" w:name="_Toc242889637"/>
      <w:bookmarkEnd w:id="949"/>
      <w:r>
        <w:lastRenderedPageBreak/>
        <w:t>Emphasis</w:t>
      </w:r>
      <w:bookmarkEnd w:id="950"/>
    </w:p>
    <w:p w14:paraId="358192BF" w14:textId="77777777">
      <w:pPr>
        <w:pStyle w:val="Lista"/>
      </w:pPr>
      <w:r>
        <w:t xml:space="preserve">to add italic or bold emphasis to any segment of text, wrap it in </w:t>
      </w:r>
      <w:r>
        <w:rPr>
          <w:rStyle w:val="Code"/>
        </w:rPr>
        <w:t>&lt;hi&gt;</w:t>
      </w:r>
      <w:r>
        <w:t xml:space="preserve"> with the attribute </w:t>
      </w:r>
      <w:r>
        <w:rPr>
          <w:rStyle w:val="Codeattribute"/>
        </w:rPr>
        <w:t>@rend</w:t>
      </w:r>
      <w:r>
        <w:t xml:space="preserve"> taking one of the following values:</w:t>
      </w:r>
    </w:p>
    <w:p w14:paraId="46E77477" w14:textId="77777777">
      <w:pPr>
        <w:pStyle w:val="Lista2"/>
      </w:pPr>
      <w:r>
        <w:rPr>
          <w:rStyle w:val="Codevalue"/>
        </w:rPr>
        <w:t>"italic"</w:t>
      </w:r>
    </w:p>
    <w:p w14:paraId="386BD338" w14:textId="77777777">
      <w:pPr>
        <w:pStyle w:val="Lista2"/>
        <w:rPr>
          <w:rStyle w:val="Codevalue"/>
          <w:rFonts w:ascii="Gentium" w:eastAsiaTheme="minorEastAsia" w:hAnsi="Gentium" w:cs="Tiro Devanagari Sanskrit"/>
          <w:noProof w:val="0"/>
          <w:color w:val="auto"/>
          <w:shd w:val="clear" w:color="auto" w:fill="auto"/>
        </w:rPr>
      </w:pPr>
      <w:r>
        <w:rPr>
          <w:rStyle w:val="Codevalue"/>
        </w:rPr>
        <w:t>"bold"</w:t>
      </w:r>
    </w:p>
    <w:p w14:paraId="1B92EAF4" w14:textId="77777777">
      <w:pPr>
        <w:pStyle w:val="Cmsor3"/>
      </w:pPr>
      <w:bookmarkStart w:id="951" w:name="_Toc242889638"/>
      <w:r>
        <w:t>Subscript and superscript</w:t>
      </w:r>
      <w:bookmarkEnd w:id="951"/>
    </w:p>
    <w:p w14:paraId="6E4C63C9" w14:textId="77777777">
      <w:pPr>
        <w:pStyle w:val="Lista"/>
      </w:pPr>
      <w:r>
        <w:t xml:space="preserve">to format any characters as subscript or superscript, wrap them in </w:t>
      </w:r>
      <w:r>
        <w:rPr>
          <w:rStyle w:val="Code"/>
        </w:rPr>
        <w:t>&lt;hi&gt;</w:t>
      </w:r>
      <w:r>
        <w:t xml:space="preserve"> with the attribute </w:t>
      </w:r>
      <w:r>
        <w:rPr>
          <w:rStyle w:val="Codeattribute"/>
        </w:rPr>
        <w:t>@rend</w:t>
      </w:r>
      <w:r>
        <w:t xml:space="preserve"> taking one of the following values:</w:t>
      </w:r>
    </w:p>
    <w:p w14:paraId="039D0B5C" w14:textId="77777777">
      <w:pPr>
        <w:pStyle w:val="Lista2"/>
      </w:pPr>
      <w:r>
        <w:rPr>
          <w:rStyle w:val="Codevalue"/>
        </w:rPr>
        <w:t>"italic"</w:t>
      </w:r>
    </w:p>
    <w:p w14:paraId="3AC98D48" w14:textId="77777777">
      <w:pPr>
        <w:pStyle w:val="Lista2"/>
      </w:pPr>
      <w:r>
        <w:rPr>
          <w:rStyle w:val="Codevalue"/>
        </w:rPr>
        <w:t>"bold"</w:t>
      </w:r>
    </w:p>
    <w:p w14:paraId="613DDA39" w14:textId="77777777">
      <w:pPr>
        <w:pStyle w:val="Lista2"/>
      </w:pPr>
      <w:r>
        <w:rPr>
          <w:rStyle w:val="Codevalue"/>
        </w:rPr>
        <w:t>"subscript"</w:t>
      </w:r>
    </w:p>
    <w:p w14:paraId="1CE99919" w14:textId="77777777">
      <w:pPr>
        <w:pStyle w:val="Lista2"/>
      </w:pPr>
      <w:r>
        <w:rPr>
          <w:rStyle w:val="Codevalue"/>
        </w:rPr>
        <w:t>"superscript"</w:t>
      </w:r>
    </w:p>
    <w:p w14:paraId="48A30622" w14:textId="77777777">
      <w:pPr>
        <w:pStyle w:val="Cmsor3"/>
      </w:pPr>
      <w:bookmarkStart w:id="952" w:name="_Ref233727983"/>
      <w:bookmarkStart w:id="953" w:name="_Toc242889639"/>
      <w:r>
        <w:t>Grantha script</w:t>
      </w:r>
      <w:bookmarkEnd w:id="952"/>
      <w:bookmarkEnd w:id="953"/>
    </w:p>
    <w:p w14:paraId="312F2D14" w14:textId="77777777">
      <w:pPr>
        <w:pStyle w:val="Lista"/>
      </w:pPr>
      <w:r>
        <w:t xml:space="preserve">in text cited from your edition or from another primary text, transliterated characters originally written in the Grantha script may be distinguished from surrounding characters by wrapping them in </w:t>
      </w:r>
      <w:r>
        <w:rPr>
          <w:rStyle w:val="Code"/>
        </w:rPr>
        <w:t xml:space="preserve">&lt;hi </w:t>
      </w:r>
      <w:r>
        <w:rPr>
          <w:rStyle w:val="Codeattribute"/>
        </w:rPr>
        <w:t>rend</w:t>
      </w:r>
      <w:r>
        <w:rPr>
          <w:rStyle w:val="Code"/>
        </w:rPr>
        <w:t>=</w:t>
      </w:r>
      <w:r>
        <w:rPr>
          <w:rStyle w:val="Codevalue"/>
        </w:rPr>
        <w:t>"grantha"</w:t>
      </w:r>
      <w:r>
        <w:rPr>
          <w:rStyle w:val="Code"/>
        </w:rPr>
        <w:t>&gt;</w:t>
      </w:r>
    </w:p>
    <w:p w14:paraId="79E1333A" w14:textId="188531D8">
      <w:pPr>
        <w:pStyle w:val="Lista2"/>
      </w:pPr>
      <w:r>
        <w:t xml:space="preserve">doing so does not replace the </w:t>
      </w:r>
      <w:r>
        <w:rPr>
          <w:rStyle w:val="Code"/>
        </w:rPr>
        <w:t>&lt;foreign&gt;</w:t>
      </w:r>
      <w:r>
        <w:t xml:space="preserve"> tag </w:t>
      </w:r>
      <w:r>
        <w:rPr>
          <w:noProof/>
        </w:rPr>
        <w:t>(</w:t>
      </w:r>
      <w:r>
        <w:t>§</w:t>
      </w:r>
      <w:r>
        <w:fldChar w:fldCharType="begin"/>
      </w:r>
      <w:r>
        <w:instrText xml:space="preserve"> REF _Ref43986658 \w \h  \* MERGEFORMAT </w:instrText>
      </w:r>
      <w:r>
        <w:fldChar w:fldCharType="separate"/>
      </w:r>
      <w:r>
        <w:t>14.4.2</w:t>
      </w:r>
      <w:r>
        <w:fldChar w:fldCharType="end"/>
      </w:r>
      <w:r>
        <w:t>) required for quoting such text outside the edition</w:t>
      </w:r>
    </w:p>
    <w:p w14:paraId="4F77258A" w14:textId="4F556168">
      <w:pPr>
        <w:pStyle w:val="Lista2"/>
      </w:pPr>
      <w:r>
        <w:t>within the edition itself, Grantha script must be encoded as per §</w:t>
      </w:r>
      <w:r>
        <w:fldChar w:fldCharType="begin"/>
      </w:r>
      <w:r>
        <w:instrText xml:space="preserve"> REF _Ref233642045 \r \h </w:instrText>
      </w:r>
      <w:r>
        <w:fldChar w:fldCharType="separate"/>
      </w:r>
      <w:r>
        <w:t>8.2.3.5</w:t>
      </w:r>
      <w:r>
        <w:fldChar w:fldCharType="end"/>
      </w:r>
    </w:p>
    <w:p w14:paraId="28E80782" w14:textId="77777777">
      <w:pPr>
        <w:pStyle w:val="Cmsor3"/>
      </w:pPr>
      <w:bookmarkStart w:id="954" w:name="_w8m7jrrw5g8k" w:colFirst="0" w:colLast="0"/>
      <w:bookmarkStart w:id="955" w:name="_Ref122447347"/>
      <w:bookmarkStart w:id="956" w:name="_Ref43978966"/>
      <w:bookmarkStart w:id="957" w:name="_Ref56419954"/>
      <w:bookmarkStart w:id="958" w:name="_Toc242889640"/>
      <w:bookmarkEnd w:id="954"/>
      <w:r>
        <w:t>Highlighting for review</w:t>
      </w:r>
      <w:bookmarkEnd w:id="955"/>
      <w:bookmarkEnd w:id="958"/>
    </w:p>
    <w:p w14:paraId="6874E10A" w14:textId="77777777">
      <w:r>
        <w:t xml:space="preserve">You may sometimes want to highlight parts of your texts to which you wish to return later or draw the attention of a colleague reviewing your work. </w:t>
      </w:r>
    </w:p>
    <w:p w14:paraId="66EA1C2A" w14:textId="77777777">
      <w:pPr>
        <w:pStyle w:val="Lista"/>
      </w:pPr>
      <w:r>
        <w:t xml:space="preserve">to highlight a segment of text for review, wrap it in </w:t>
      </w:r>
      <w:r>
        <w:rPr>
          <w:rStyle w:val="Code"/>
        </w:rPr>
        <w:t>&lt;hi</w:t>
      </w:r>
      <w:r>
        <w:rPr>
          <w:rStyle w:val="Codeattribute"/>
        </w:rPr>
        <w:t xml:space="preserve"> rend=</w:t>
      </w:r>
      <w:r>
        <w:rPr>
          <w:rStyle w:val="Codevalue"/>
        </w:rPr>
        <w:t>"check"</w:t>
      </w:r>
      <w:r>
        <w:rPr>
          <w:rStyle w:val="Code"/>
        </w:rPr>
        <w:t>&gt;</w:t>
      </w:r>
    </w:p>
    <w:p w14:paraId="3E4767CD" w14:textId="77777777">
      <w:pPr>
        <w:pStyle w:val="Lista"/>
      </w:pPr>
      <w:r>
        <w:t>highlighting is available in the edition division as well as elsewhere in your XML document</w:t>
      </w:r>
    </w:p>
    <w:p w14:paraId="5465F691" w14:textId="77777777">
      <w:pPr>
        <w:pStyle w:val="Lista2"/>
      </w:pPr>
      <w:r>
        <w:t>this encoding may be freely combined with other phrase-level markup so long as overlaps are avoided</w:t>
      </w:r>
    </w:p>
    <w:p w14:paraId="66B1035F" w14:textId="77777777">
      <w:pPr>
        <w:pStyle w:val="Lista2"/>
      </w:pPr>
      <w:r>
        <w:t xml:space="preserve">if the segment you wish to highlight coincides with some editorial markup, preferably use </w:t>
      </w:r>
      <w:r>
        <w:rPr>
          <w:rStyle w:val="Code"/>
        </w:rPr>
        <w:t>&lt;hi&gt;</w:t>
      </w:r>
      <w:r>
        <w:t xml:space="preserve"> on the outside and nest the other markup within that</w:t>
      </w:r>
    </w:p>
    <w:p w14:paraId="2FDB4687" w14:textId="77777777">
      <w:pPr>
        <w:pStyle w:val="Lista3"/>
      </w:pPr>
      <w:r>
        <w:t xml:space="preserve">e.g. </w:t>
      </w:r>
      <w:r>
        <w:rPr>
          <w:rStyle w:val="Codetext"/>
        </w:rPr>
        <w:t>vidvi</w:t>
      </w:r>
      <w:r>
        <w:rPr>
          <w:rStyle w:val="Code"/>
        </w:rPr>
        <w:t xml:space="preserve">&lt;hi </w:t>
      </w:r>
      <w:r>
        <w:rPr>
          <w:rStyle w:val="Codeattribute"/>
        </w:rPr>
        <w:t>rend</w:t>
      </w:r>
      <w:r>
        <w:rPr>
          <w:rStyle w:val="Codetext"/>
        </w:rPr>
        <w:t>=</w:t>
      </w:r>
      <w:r>
        <w:rPr>
          <w:rStyle w:val="Codevalue"/>
        </w:rPr>
        <w:t>"check"</w:t>
      </w:r>
      <w:r>
        <w:rPr>
          <w:rStyle w:val="Code"/>
        </w:rPr>
        <w:t xml:space="preserve">&gt;&lt;unclear </w:t>
      </w:r>
      <w:r>
        <w:rPr>
          <w:rStyle w:val="Codeattribute"/>
        </w:rPr>
        <w:t>cert</w:t>
      </w:r>
      <w:r>
        <w:rPr>
          <w:rStyle w:val="Codetext"/>
        </w:rPr>
        <w:t>=</w:t>
      </w:r>
      <w:r>
        <w:rPr>
          <w:rStyle w:val="Codevalue"/>
        </w:rPr>
        <w:t>"low"</w:t>
      </w:r>
      <w:r>
        <w:rPr>
          <w:rStyle w:val="Code"/>
        </w:rPr>
        <w:t>&gt;</w:t>
      </w:r>
      <w:r>
        <w:rPr>
          <w:rStyle w:val="Codetext"/>
        </w:rPr>
        <w:t>ṭsu</w:t>
      </w:r>
      <w:r>
        <w:rPr>
          <w:rStyle w:val="Code"/>
        </w:rPr>
        <w:t>&lt;/unclear&gt;&lt;/hi&gt;</w:t>
      </w:r>
    </w:p>
    <w:p w14:paraId="0A2D7BEB" w14:textId="77777777">
      <w:pPr>
        <w:pStyle w:val="Lista"/>
      </w:pPr>
      <w:r>
        <w:t>as this encoding serves only for internal review, it is strongly recommended that you remove it from any digital editions you consider completed</w:t>
      </w:r>
    </w:p>
    <w:p w14:paraId="0DF795CE" w14:textId="77777777">
      <w:pPr>
        <w:pStyle w:val="Cmsor2"/>
      </w:pPr>
      <w:bookmarkStart w:id="959" w:name="_Ref233789547"/>
      <w:bookmarkStart w:id="960" w:name="_Toc242889641"/>
      <w:r>
        <w:t>Block-level containers outside the edition</w:t>
      </w:r>
      <w:bookmarkEnd w:id="959"/>
      <w:bookmarkEnd w:id="960"/>
    </w:p>
    <w:p w14:paraId="6E3AB27C" w14:textId="77777777">
      <w:pPr>
        <w:pStyle w:val="Cmsor3"/>
      </w:pPr>
      <w:bookmarkStart w:id="961" w:name="_Ref233793815"/>
      <w:bookmarkStart w:id="962" w:name="_Toc242889642"/>
      <w:r>
        <w:t>Paragraphs</w:t>
      </w:r>
      <w:bookmarkEnd w:id="961"/>
      <w:bookmarkEnd w:id="962"/>
    </w:p>
    <w:p w14:paraId="5CDE3728" w14:textId="2688A28A">
      <w:pPr>
        <w:rPr>
          <w:lang w:eastAsia="en-US" w:bidi="ar-SA"/>
        </w:rPr>
      </w:pPr>
      <w:r>
        <w:rPr>
          <w:lang w:eastAsia="en-US" w:bidi="ar-SA"/>
        </w:rPr>
        <w:t>Segmenting text into paragraphs will usually not be necessary outside the sections where paragraphs are explicitly called for and pre-created in our encoding templates, namely the translation (§</w:t>
      </w:r>
      <w:r>
        <w:rPr>
          <w:lang w:eastAsia="en-US" w:bidi="ar-SA"/>
        </w:rPr>
        <w:fldChar w:fldCharType="begin"/>
      </w:r>
      <w:r>
        <w:rPr>
          <w:lang w:eastAsia="en-US" w:bidi="ar-SA"/>
        </w:rPr>
        <w:instrText xml:space="preserve"> REF _Ref233792737 \r \h </w:instrText>
      </w:r>
      <w:r>
        <w:rPr>
          <w:lang w:eastAsia="en-US" w:bidi="ar-SA"/>
        </w:rPr>
      </w:r>
      <w:r>
        <w:rPr>
          <w:lang w:eastAsia="en-US" w:bidi="ar-SA"/>
        </w:rPr>
        <w:fldChar w:fldCharType="separate"/>
      </w:r>
      <w:r>
        <w:rPr>
          <w:lang w:eastAsia="en-US" w:bidi="ar-SA"/>
        </w:rPr>
        <w:t>11.2.2</w:t>
      </w:r>
      <w:r>
        <w:rPr>
          <w:lang w:eastAsia="en-US" w:bidi="ar-SA"/>
        </w:rPr>
        <w:fldChar w:fldCharType="end"/>
      </w:r>
      <w:r>
        <w:rPr>
          <w:lang w:eastAsia="en-US" w:bidi="ar-SA"/>
        </w:rPr>
        <w:t>), the commentary (§</w:t>
      </w:r>
      <w:r>
        <w:rPr>
          <w:lang w:eastAsia="en-US" w:bidi="ar-SA"/>
        </w:rPr>
        <w:fldChar w:fldCharType="begin"/>
      </w:r>
      <w:r>
        <w:rPr>
          <w:lang w:eastAsia="en-US" w:bidi="ar-SA"/>
        </w:rPr>
        <w:instrText xml:space="preserve"> REF _Ref233792738 \r \h </w:instrText>
      </w:r>
      <w:r>
        <w:rPr>
          <w:lang w:eastAsia="en-US" w:bidi="ar-SA"/>
        </w:rPr>
      </w:r>
      <w:r>
        <w:rPr>
          <w:lang w:eastAsia="en-US" w:bidi="ar-SA"/>
        </w:rPr>
        <w:fldChar w:fldCharType="separate"/>
      </w:r>
      <w:r>
        <w:rPr>
          <w:lang w:eastAsia="en-US" w:bidi="ar-SA"/>
        </w:rPr>
        <w:t>12.1</w:t>
      </w:r>
      <w:r>
        <w:rPr>
          <w:lang w:eastAsia="en-US" w:bidi="ar-SA"/>
        </w:rPr>
        <w:fldChar w:fldCharType="end"/>
      </w:r>
      <w:r>
        <w:rPr>
          <w:lang w:eastAsia="en-US" w:bidi="ar-SA"/>
        </w:rPr>
        <w:t>) and the epigraphic lemma (§</w:t>
      </w:r>
      <w:r>
        <w:rPr>
          <w:lang w:eastAsia="en-US" w:bidi="ar-SA"/>
        </w:rPr>
        <w:fldChar w:fldCharType="begin"/>
      </w:r>
      <w:r>
        <w:rPr>
          <w:lang w:eastAsia="en-US" w:bidi="ar-SA"/>
        </w:rPr>
        <w:instrText xml:space="preserve"> REF _Ref233623221 \r \h </w:instrText>
      </w:r>
      <w:r>
        <w:rPr>
          <w:lang w:eastAsia="en-US" w:bidi="ar-SA"/>
        </w:rPr>
      </w:r>
      <w:r>
        <w:rPr>
          <w:lang w:eastAsia="en-US" w:bidi="ar-SA"/>
        </w:rPr>
        <w:fldChar w:fldCharType="separate"/>
      </w:r>
      <w:r>
        <w:rPr>
          <w:lang w:eastAsia="en-US" w:bidi="ar-SA"/>
        </w:rPr>
        <w:t>13.2</w:t>
      </w:r>
      <w:r>
        <w:rPr>
          <w:lang w:eastAsia="en-US" w:bidi="ar-SA"/>
        </w:rPr>
        <w:fldChar w:fldCharType="end"/>
      </w:r>
      <w:r>
        <w:rPr>
          <w:lang w:eastAsia="en-US" w:bidi="ar-SA"/>
        </w:rPr>
        <w:t>).</w:t>
      </w:r>
    </w:p>
    <w:p w14:paraId="53F6D9F7" w14:textId="77777777">
      <w:pPr>
        <w:pStyle w:val="Lista"/>
      </w:pPr>
      <w:r>
        <w:t xml:space="preserve">when you see the need to do so, paragraphs (i.e. </w:t>
      </w:r>
      <w:r>
        <w:rPr>
          <w:rStyle w:val="Code"/>
        </w:rPr>
        <w:t>&lt;p&gt;</w:t>
      </w:r>
      <w:r>
        <w:t xml:space="preserve"> elements) may also be created within the following elements</w:t>
      </w:r>
    </w:p>
    <w:p w14:paraId="4014A9CE" w14:textId="6BE18671">
      <w:pPr>
        <w:pStyle w:val="Lista2"/>
      </w:pPr>
      <w:r>
        <w:t>notes (§</w:t>
      </w:r>
      <w:r>
        <w:fldChar w:fldCharType="begin"/>
      </w:r>
      <w:r>
        <w:instrText xml:space="preserve"> REF _Ref43989684 \r \h </w:instrText>
      </w:r>
      <w:r>
        <w:fldChar w:fldCharType="separate"/>
      </w:r>
      <w:r>
        <w:t>14.5</w:t>
      </w:r>
      <w:r>
        <w:fldChar w:fldCharType="end"/>
      </w:r>
      <w:r>
        <w:t>) in any part of the file except the critical apparatus</w:t>
      </w:r>
    </w:p>
    <w:p w14:paraId="73C30BD7" w14:textId="12656FE7">
      <w:pPr>
        <w:pStyle w:val="Lista2"/>
      </w:pPr>
      <w:r>
        <w:t>block quotes (§</w:t>
      </w:r>
      <w:r>
        <w:fldChar w:fldCharType="begin"/>
      </w:r>
      <w:r>
        <w:instrText xml:space="preserve"> REF _Ref233793283 \r \h </w:instrText>
      </w:r>
      <w:r>
        <w:fldChar w:fldCharType="separate"/>
      </w:r>
      <w:r>
        <w:t>14.3.3</w:t>
      </w:r>
      <w:r>
        <w:fldChar w:fldCharType="end"/>
      </w:r>
      <w:r>
        <w:t>)</w:t>
      </w:r>
    </w:p>
    <w:p w14:paraId="1CAA264D" w14:textId="254E7ADC">
      <w:pPr>
        <w:pStyle w:val="Lista2"/>
      </w:pPr>
      <w:r>
        <w:t>hand notes (§</w:t>
      </w:r>
      <w:r>
        <w:fldChar w:fldCharType="begin"/>
      </w:r>
      <w:r>
        <w:instrText xml:space="preserve"> REF _Ref231980025 \r \h </w:instrText>
      </w:r>
      <w:r>
        <w:fldChar w:fldCharType="separate"/>
      </w:r>
      <w:r>
        <w:t>15.2.1.2</w:t>
      </w:r>
      <w:r>
        <w:fldChar w:fldCharType="end"/>
      </w:r>
      <w:r>
        <w:t>) in the TEI header</w:t>
      </w:r>
    </w:p>
    <w:p w14:paraId="468C20BA" w14:textId="77777777">
      <w:pPr>
        <w:pStyle w:val="Lista"/>
      </w:pPr>
      <w:r>
        <w:t xml:space="preserve">if you wish to segment one of the above elements into several paragraphs, keep in mind that the </w:t>
      </w:r>
      <w:r>
        <w:rPr>
          <w:rStyle w:val="Code"/>
        </w:rPr>
        <w:t>&lt;p&gt;</w:t>
      </w:r>
      <w:r>
        <w:t xml:space="preserve"> elements must tessellate</w:t>
      </w:r>
    </w:p>
    <w:p w14:paraId="08D067B9" w14:textId="77777777">
      <w:pPr>
        <w:pStyle w:val="Lista2"/>
      </w:pPr>
      <w:r>
        <w:t xml:space="preserve">thus, if a </w:t>
      </w:r>
      <w:r>
        <w:rPr>
          <w:rStyle w:val="Code"/>
        </w:rPr>
        <w:t>&lt;p&gt;</w:t>
      </w:r>
      <w:r>
        <w:t xml:space="preserve"> element is present within one of these containers, then all the content of the note or hand note must be wrapped within one </w:t>
      </w:r>
      <w:r>
        <w:rPr>
          <w:rStyle w:val="Code"/>
        </w:rPr>
        <w:t>&lt;p&gt;</w:t>
      </w:r>
      <w:r>
        <w:t xml:space="preserve"> element or another</w:t>
      </w:r>
    </w:p>
    <w:p w14:paraId="3E27EA1E" w14:textId="77777777">
      <w:pPr>
        <w:pStyle w:val="Cmsor3"/>
      </w:pPr>
      <w:bookmarkStart w:id="963" w:name="_Toc242889643"/>
      <w:r>
        <w:lastRenderedPageBreak/>
        <w:t>Verse containers</w:t>
      </w:r>
      <w:bookmarkEnd w:id="963"/>
    </w:p>
    <w:p w14:paraId="1C4D466F" w14:textId="77777777">
      <w:pPr>
        <w:pStyle w:val="Cmsor4"/>
      </w:pPr>
      <w:bookmarkStart w:id="964" w:name="_Ref233793993"/>
      <w:r>
        <w:t>Stanza containers</w:t>
      </w:r>
      <w:bookmarkEnd w:id="964"/>
    </w:p>
    <w:p w14:paraId="5B93D961" w14:textId="4725DB7C">
      <w:pPr>
        <w:pStyle w:val="Lista"/>
      </w:pPr>
      <w:r>
        <w:t xml:space="preserve">outside the edition, the use of the stanza container </w:t>
      </w:r>
      <w:r>
        <w:rPr>
          <w:rStyle w:val="Code"/>
        </w:rPr>
        <w:t>&lt;lg&gt;</w:t>
      </w:r>
      <w:r>
        <w:t xml:space="preserve"> is only permitted in a block quote (§</w:t>
      </w:r>
      <w:r>
        <w:fldChar w:fldCharType="begin"/>
      </w:r>
      <w:r>
        <w:instrText xml:space="preserve"> REF _Ref233793283 \r \h </w:instrText>
      </w:r>
      <w:r>
        <w:fldChar w:fldCharType="separate"/>
      </w:r>
      <w:r>
        <w:t>14.3.3</w:t>
      </w:r>
      <w:r>
        <w:fldChar w:fldCharType="end"/>
      </w:r>
      <w:r>
        <w:t xml:space="preserve">), intended for the citation of verse from primary sources as illustrated in </w:t>
      </w:r>
      <w:r>
        <w:fldChar w:fldCharType="begin"/>
      </w:r>
      <w:r>
        <w:instrText xml:space="preserve"> REF _Ref233795218 \h </w:instrText>
      </w:r>
      <w:r>
        <w:fldChar w:fldCharType="separate"/>
      </w:r>
      <w:r>
        <w:t xml:space="preserve">Exhibit </w:t>
      </w:r>
      <w:r>
        <w:rPr>
          <w:noProof/>
        </w:rPr>
        <w:t>14.3</w:t>
      </w:r>
      <w:r>
        <w:t>.</w:t>
      </w:r>
      <w:r>
        <w:rPr>
          <w:noProof/>
        </w:rPr>
        <w:t>A</w:t>
      </w:r>
      <w:r>
        <w:fldChar w:fldCharType="end"/>
      </w:r>
    </w:p>
    <w:p w14:paraId="52073BE6" w14:textId="55D6EDCE">
      <w:pPr>
        <w:pStyle w:val="Lista2"/>
      </w:pPr>
      <w:r>
        <w:t xml:space="preserve">when using </w:t>
      </w:r>
      <w:r>
        <w:rPr>
          <w:rStyle w:val="Code"/>
        </w:rPr>
        <w:t>&lt;lg&gt;</w:t>
      </w:r>
      <w:r>
        <w:t xml:space="preserve"> in this manner, add the attribute </w:t>
      </w:r>
      <w:r>
        <w:rPr>
          <w:rStyle w:val="Codeattribute"/>
        </w:rPr>
        <w:t>@xml:lang</w:t>
      </w:r>
      <w:r>
        <w:t xml:space="preserve"> to encode the language of the stanza as per §</w:t>
      </w:r>
      <w:r>
        <w:fldChar w:fldCharType="begin"/>
      </w:r>
      <w:r>
        <w:instrText xml:space="preserve"> REF _Ref43986658 \r \h </w:instrText>
      </w:r>
      <w:r>
        <w:fldChar w:fldCharType="separate"/>
      </w:r>
      <w:r>
        <w:t>14.4.2</w:t>
      </w:r>
      <w:r>
        <w:fldChar w:fldCharType="end"/>
      </w:r>
    </w:p>
    <w:p w14:paraId="7A91C257" w14:textId="77777777">
      <w:pPr>
        <w:pStyle w:val="Lista2"/>
      </w:pPr>
      <w:r>
        <w:t>unlike stanzas in the edition, no further attributes are required in this case</w:t>
      </w:r>
    </w:p>
    <w:p w14:paraId="44D97100" w14:textId="77777777">
      <w:pPr>
        <w:pStyle w:val="Lista"/>
      </w:pPr>
      <w:r>
        <w:t xml:space="preserve">to apply verse formatting to text in a modern language, such as a translated stanza, use a </w:t>
      </w:r>
      <w:r>
        <w:rPr>
          <w:rStyle w:val="Code"/>
        </w:rPr>
        <w:t>&lt;p&gt;</w:t>
      </w:r>
      <w:r>
        <w:t xml:space="preserve"> element with the attribute </w:t>
      </w:r>
      <w:r>
        <w:rPr>
          <w:rStyle w:val="Codeattribute"/>
        </w:rPr>
        <w:t>@rend=</w:t>
      </w:r>
      <w:r>
        <w:rPr>
          <w:rStyle w:val="Codevalue"/>
        </w:rPr>
        <w:t>"stanza"</w:t>
      </w:r>
    </w:p>
    <w:p w14:paraId="64D0EE54" w14:textId="607B8434">
      <w:pPr>
        <w:pStyle w:val="Lista2"/>
      </w:pPr>
      <w:r>
        <w:t xml:space="preserve">this is possible wherever </w:t>
      </w:r>
      <w:r>
        <w:rPr>
          <w:rStyle w:val="Code"/>
        </w:rPr>
        <w:t>&lt;p&gt;</w:t>
      </w:r>
      <w:r>
        <w:t xml:space="preserve"> elements are permitted outside the edition (§</w:t>
      </w:r>
      <w:r>
        <w:fldChar w:fldCharType="begin"/>
      </w:r>
      <w:r>
        <w:instrText xml:space="preserve"> REF _Ref233793815 \r \h </w:instrText>
      </w:r>
      <w:r>
        <w:fldChar w:fldCharType="separate"/>
      </w:r>
      <w:r>
        <w:t>14.3.1</w:t>
      </w:r>
      <w:r>
        <w:fldChar w:fldCharType="end"/>
      </w:r>
      <w:r>
        <w:t xml:space="preserve">) </w:t>
      </w:r>
    </w:p>
    <w:p w14:paraId="3E540AD8" w14:textId="77777777">
      <w:pPr>
        <w:pStyle w:val="Cmsor4"/>
      </w:pPr>
      <w:bookmarkStart w:id="965" w:name="_Ref233988137"/>
      <w:r>
        <w:t>Verse lines</w:t>
      </w:r>
      <w:bookmarkEnd w:id="965"/>
    </w:p>
    <w:p w14:paraId="3930E3C0" w14:textId="0F6D37D0">
      <w:pPr>
        <w:pStyle w:val="Lista"/>
      </w:pPr>
      <w:r>
        <w:t xml:space="preserve">outside the edition, verse lines encoded with the </w:t>
      </w:r>
      <w:r>
        <w:rPr>
          <w:rStyle w:val="Code"/>
        </w:rPr>
        <w:t>&lt;l&gt;</w:t>
      </w:r>
      <w:r>
        <w:t xml:space="preserve"> element must be within an applicable container (§</w:t>
      </w:r>
      <w:r>
        <w:fldChar w:fldCharType="begin"/>
      </w:r>
      <w:r>
        <w:instrText xml:space="preserve"> REF _Ref233793993 \r \h </w:instrText>
      </w:r>
      <w:r>
        <w:fldChar w:fldCharType="separate"/>
      </w:r>
      <w:r>
        <w:t>14.3.2.1</w:t>
      </w:r>
      <w:r>
        <w:fldChar w:fldCharType="end"/>
      </w:r>
      <w:r>
        <w:t>) and can and must be encoded when you use a stanza container</w:t>
      </w:r>
    </w:p>
    <w:p w14:paraId="239E0A14" w14:textId="77777777">
      <w:pPr>
        <w:pStyle w:val="Lista"/>
      </w:pPr>
      <w:r>
        <w:t xml:space="preserve">within the stanza container, </w:t>
      </w:r>
      <w:r>
        <w:rPr>
          <w:rStyle w:val="Code"/>
        </w:rPr>
        <w:t>&lt;l&gt;</w:t>
      </w:r>
      <w:r>
        <w:t xml:space="preserve"> elements must tessellate, i.e. the container must not contain text outside an </w:t>
      </w:r>
      <w:r>
        <w:rPr>
          <w:rStyle w:val="Code"/>
        </w:rPr>
        <w:t>&lt;l&gt;</w:t>
      </w:r>
      <w:r>
        <w:t xml:space="preserve"> element</w:t>
      </w:r>
    </w:p>
    <w:p w14:paraId="00F56621" w14:textId="77777777">
      <w:pPr>
        <w:pStyle w:val="Lista"/>
      </w:pPr>
      <w:r>
        <w:t xml:space="preserve">no attributes are required on </w:t>
      </w:r>
      <w:r>
        <w:rPr>
          <w:rStyle w:val="Code"/>
        </w:rPr>
        <w:t>&lt;l&gt;</w:t>
      </w:r>
      <w:r>
        <w:t xml:space="preserve"> elements when used in this manner</w:t>
      </w:r>
    </w:p>
    <w:p w14:paraId="615BB0B1" w14:textId="77777777">
      <w:pPr>
        <w:pStyle w:val="Cmsor3"/>
      </w:pPr>
      <w:bookmarkStart w:id="966" w:name="_Ref233793283"/>
      <w:bookmarkStart w:id="967" w:name="_Ref233279232"/>
      <w:bookmarkStart w:id="968" w:name="_Toc242889644"/>
      <w:bookmarkEnd w:id="956"/>
      <w:r>
        <w:t>Block quotes</w:t>
      </w:r>
      <w:bookmarkEnd w:id="966"/>
      <w:bookmarkEnd w:id="968"/>
    </w:p>
    <w:p w14:paraId="159652B1" w14:textId="55E98ED4">
      <w:pPr>
        <w:rPr>
          <w:lang w:eastAsia="en-US" w:bidi="ar-SA"/>
        </w:rPr>
      </w:pPr>
      <w:r>
        <w:rPr>
          <w:lang w:eastAsia="en-US" w:bidi="ar-SA"/>
        </w:rPr>
        <w:t xml:space="preserve">As and when necessary, block quotes </w:t>
      </w:r>
      <w:r>
        <w:t xml:space="preserve">may be created at any point where a </w:t>
      </w:r>
      <w:r>
        <w:rPr>
          <w:rStyle w:val="Code"/>
        </w:rPr>
        <w:t>&lt;p&gt;</w:t>
      </w:r>
      <w:r>
        <w:t xml:space="preserve"> element is permitted outside the edition (§</w:t>
      </w:r>
      <w:r>
        <w:fldChar w:fldCharType="begin"/>
      </w:r>
      <w:r>
        <w:instrText xml:space="preserve"> REF _Ref233793815 \r \h </w:instrText>
      </w:r>
      <w:r>
        <w:fldChar w:fldCharType="separate"/>
      </w:r>
      <w:r>
        <w:t>14.3.1</w:t>
      </w:r>
      <w:r>
        <w:fldChar w:fldCharType="end"/>
      </w:r>
      <w:r>
        <w:t xml:space="preserve">). To do so, use the following encoding as illustrated in </w:t>
      </w:r>
      <w:r>
        <w:fldChar w:fldCharType="begin"/>
      </w:r>
      <w:r>
        <w:instrText xml:space="preserve"> REF _Ref233795218 \h </w:instrText>
      </w:r>
      <w:r>
        <w:fldChar w:fldCharType="separate"/>
      </w:r>
      <w:r>
        <w:t xml:space="preserve">Exhibit </w:t>
      </w:r>
      <w:r>
        <w:rPr>
          <w:noProof/>
        </w:rPr>
        <w:t>14.3</w:t>
      </w:r>
      <w:r>
        <w:t>.</w:t>
      </w:r>
      <w:r>
        <w:rPr>
          <w:noProof/>
        </w:rPr>
        <w:t>A</w:t>
      </w:r>
      <w:r>
        <w:fldChar w:fldCharType="end"/>
      </w:r>
      <w:r>
        <w:t>.</w:t>
      </w:r>
    </w:p>
    <w:p w14:paraId="42EF0DD1" w14:textId="77777777">
      <w:pPr>
        <w:pStyle w:val="Lista"/>
      </w:pPr>
      <w:r>
        <w:t xml:space="preserve">within a pre-existing </w:t>
      </w:r>
      <w:r>
        <w:rPr>
          <w:rStyle w:val="Code"/>
        </w:rPr>
        <w:t>&lt;p&gt;</w:t>
      </w:r>
      <w:r>
        <w:t xml:space="preserve"> or </w:t>
      </w:r>
      <w:r>
        <w:rPr>
          <w:rStyle w:val="Code"/>
        </w:rPr>
        <w:t>&lt;note&gt;</w:t>
      </w:r>
      <w:r>
        <w:t xml:space="preserve"> element, encode a quote, using</w:t>
      </w:r>
    </w:p>
    <w:p w14:paraId="67F1E9A2" w14:textId="6F6F1752">
      <w:pPr>
        <w:pStyle w:val="Lista2"/>
      </w:pPr>
      <w:r>
        <w:t xml:space="preserve">either </w:t>
      </w:r>
      <w:r>
        <w:rPr>
          <w:rStyle w:val="Code"/>
        </w:rPr>
        <w:t>&lt;q&gt;</w:t>
      </w:r>
      <w:r>
        <w:t xml:space="preserve"> for generic quoted text (§</w:t>
      </w:r>
      <w:r>
        <w:fldChar w:fldCharType="begin"/>
      </w:r>
      <w:r>
        <w:instrText xml:space="preserve"> REF _Ref233880809 \r \h </w:instrText>
      </w:r>
      <w:r>
        <w:fldChar w:fldCharType="separate"/>
      </w:r>
      <w:r>
        <w:t>14.6.3.1</w:t>
      </w:r>
      <w:r>
        <w:fldChar w:fldCharType="end"/>
      </w:r>
      <w:r>
        <w:t>)</w:t>
      </w:r>
    </w:p>
    <w:p w14:paraId="469CDC78" w14:textId="5E24C4C3">
      <w:pPr>
        <w:pStyle w:val="Lista2"/>
      </w:pPr>
      <w:r>
        <w:t xml:space="preserve">or </w:t>
      </w:r>
      <w:r>
        <w:rPr>
          <w:rStyle w:val="Code"/>
        </w:rPr>
        <w:t>&lt;quote&gt;</w:t>
      </w:r>
      <w:r>
        <w:t xml:space="preserve"> wrapped in </w:t>
      </w:r>
      <w:r>
        <w:rPr>
          <w:rStyle w:val="Code"/>
        </w:rPr>
        <w:t>&lt;cit&gt;</w:t>
      </w:r>
      <w:r>
        <w:t xml:space="preserve"> for a quotation attributed to a source (§</w:t>
      </w:r>
      <w:r>
        <w:fldChar w:fldCharType="begin"/>
      </w:r>
      <w:r>
        <w:instrText xml:space="preserve"> REF _Ref233880854 \r \h </w:instrText>
      </w:r>
      <w:r>
        <w:fldChar w:fldCharType="separate"/>
      </w:r>
      <w:r>
        <w:t>14.6.3.2</w:t>
      </w:r>
      <w:r>
        <w:fldChar w:fldCharType="end"/>
      </w:r>
      <w:r>
        <w:t>)</w:t>
      </w:r>
    </w:p>
    <w:p w14:paraId="0AC2C1A9" w14:textId="77777777">
      <w:pPr>
        <w:pStyle w:val="Lista"/>
      </w:pPr>
      <w:r>
        <w:t xml:space="preserve">add the attribute </w:t>
      </w:r>
      <w:r>
        <w:rPr>
          <w:rStyle w:val="Codeattribute"/>
        </w:rPr>
        <w:t>@rend</w:t>
      </w:r>
      <w:r>
        <w:rPr>
          <w:rStyle w:val="Codetext"/>
        </w:rPr>
        <w:t>=</w:t>
      </w:r>
      <w:r>
        <w:rPr>
          <w:rStyle w:val="Codevalue"/>
        </w:rPr>
        <w:t>"block"</w:t>
      </w:r>
      <w:r>
        <w:t xml:space="preserve"> to the </w:t>
      </w:r>
      <w:r>
        <w:rPr>
          <w:rStyle w:val="Code"/>
        </w:rPr>
        <w:t>&lt;q&gt;</w:t>
      </w:r>
      <w:r>
        <w:t xml:space="preserve"> or </w:t>
      </w:r>
      <w:r>
        <w:rPr>
          <w:rStyle w:val="Code"/>
        </w:rPr>
        <w:t>&lt;quote&gt;</w:t>
      </w:r>
      <w:r>
        <w:t xml:space="preserve"> element</w:t>
      </w:r>
    </w:p>
    <w:p w14:paraId="6C8C309B" w14:textId="77777777">
      <w:pPr>
        <w:pStyle w:val="Lista"/>
      </w:pPr>
      <w:r>
        <w:t>the parent element may contain additional text before as well as after the block quote</w:t>
      </w:r>
    </w:p>
    <w:p w14:paraId="59319DB2" w14:textId="77777777"/>
    <w:tbl>
      <w:tblPr>
        <w:tblStyle w:val="CodeSampleTable"/>
        <w:tblW w:w="5000" w:type="pct"/>
        <w:tblLook w:val="04A0" w:firstRow="1" w:lastRow="0" w:firstColumn="1" w:lastColumn="0" w:noHBand="0" w:noVBand="1"/>
      </w:tblPr>
      <w:tblGrid>
        <w:gridCol w:w="9628"/>
      </w:tblGrid>
      <w:tr w14:paraId="266A696E"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F7BAB60" w14:textId="7A39B1AB">
            <w:pPr>
              <w:pStyle w:val="Kpalrs"/>
            </w:pPr>
            <w:bookmarkStart w:id="969" w:name="_Ref233795218"/>
            <w:bookmarkStart w:id="970" w:name="_Ref233795217"/>
            <w:r>
              <w:t xml:space="preserve">Exhibit </w:t>
            </w:r>
            <w:fldSimple w:instr=" STYLEREF 2 \s ">
              <w:r>
                <w:rPr>
                  <w:noProof/>
                </w:rPr>
                <w:t>14.3</w:t>
              </w:r>
            </w:fldSimple>
            <w:r>
              <w:t>.</w:t>
            </w:r>
            <w:fldSimple w:instr=" SEQ Exhibit \* ALPHABETIC \s 2 ">
              <w:r>
                <w:rPr>
                  <w:noProof/>
                </w:rPr>
                <w:t>A</w:t>
              </w:r>
            </w:fldSimple>
            <w:bookmarkEnd w:id="969"/>
            <w:r>
              <w:t>: block quote with stanza quotation</w:t>
            </w:r>
            <w:bookmarkEnd w:id="970"/>
          </w:p>
        </w:tc>
      </w:tr>
      <w:tr w14:paraId="654F1563" w14:textId="77777777">
        <w:tc>
          <w:tcPr>
            <w:tcW w:w="5000" w:type="pct"/>
          </w:tcPr>
          <w:p w14:paraId="5B5B557C" w14:textId="77777777">
            <w:pPr>
              <w:pStyle w:val="CodeParagraph"/>
              <w:keepNext/>
              <w:rPr>
                <w:rStyle w:val="Codetext"/>
              </w:rPr>
            </w:pPr>
            <w:r>
              <w:rPr>
                <w:rStyle w:val="Code"/>
              </w:rPr>
              <w:t>&lt;p&gt;</w:t>
            </w:r>
            <w:r>
              <w:rPr>
                <w:rStyle w:val="Codetext"/>
              </w:rPr>
              <w:t>In further support ... crucial elements that we also see in ours:</w:t>
            </w:r>
          </w:p>
          <w:p w14:paraId="59EB5C8C" w14:textId="77777777">
            <w:pPr>
              <w:pStyle w:val="CodeParagraph"/>
              <w:keepNext/>
              <w:rPr>
                <w:rStyle w:val="Code"/>
              </w:rPr>
            </w:pPr>
            <w:r>
              <w:rPr>
                <w:rStyle w:val="Code"/>
              </w:rPr>
              <w:t xml:space="preserve">  &lt;q </w:t>
            </w:r>
            <w:r>
              <w:rPr>
                <w:rStyle w:val="Codeattribute"/>
              </w:rPr>
              <w:t>rend=</w:t>
            </w:r>
            <w:r>
              <w:rPr>
                <w:rStyle w:val="Codevalue"/>
              </w:rPr>
              <w:t>"block"</w:t>
            </w:r>
            <w:r>
              <w:rPr>
                <w:rStyle w:val="Code"/>
              </w:rPr>
              <w:t>&gt;</w:t>
            </w:r>
          </w:p>
          <w:p w14:paraId="354A5348" w14:textId="77777777">
            <w:pPr>
              <w:pStyle w:val="CodeParagraph"/>
              <w:keepNext/>
              <w:rPr>
                <w:rStyle w:val="Code"/>
              </w:rPr>
            </w:pPr>
            <w:r>
              <w:rPr>
                <w:rStyle w:val="Code"/>
              </w:rPr>
              <w:t xml:space="preserve">    &lt;lg </w:t>
            </w:r>
            <w:r>
              <w:rPr>
                <w:rStyle w:val="Codeattribute"/>
              </w:rPr>
              <w:t>xml:lang=</w:t>
            </w:r>
            <w:r>
              <w:rPr>
                <w:rStyle w:val="Codevalue"/>
              </w:rPr>
              <w:t>"san-Latn"</w:t>
            </w:r>
            <w:r>
              <w:rPr>
                <w:rStyle w:val="Code"/>
              </w:rPr>
              <w:t>&gt;</w:t>
            </w:r>
          </w:p>
          <w:p w14:paraId="7F69C49F" w14:textId="77777777">
            <w:pPr>
              <w:pStyle w:val="CodeParagraph"/>
              <w:keepNext/>
              <w:rPr>
                <w:rStyle w:val="Code"/>
              </w:rPr>
            </w:pPr>
            <w:r>
              <w:rPr>
                <w:rStyle w:val="Code"/>
              </w:rPr>
              <w:t xml:space="preserve">      &lt;l&gt;</w:t>
            </w:r>
            <w:r>
              <w:rPr>
                <w:rStyle w:val="Codetext"/>
              </w:rPr>
              <w:t>āsādya śaktiṁ vivudhopanītāṁ māheśvarīṁ jñānamayīm amoghām</w:t>
            </w:r>
            <w:r>
              <w:rPr>
                <w:rStyle w:val="Code"/>
              </w:rPr>
              <w:t>&lt;/l&gt;</w:t>
            </w:r>
          </w:p>
          <w:p w14:paraId="17A9154E" w14:textId="77777777">
            <w:pPr>
              <w:pStyle w:val="CodeParagraph"/>
              <w:keepNext/>
              <w:rPr>
                <w:rStyle w:val="Code"/>
              </w:rPr>
            </w:pPr>
            <w:r>
              <w:rPr>
                <w:rStyle w:val="Code"/>
              </w:rPr>
              <w:t xml:space="preserve">      &lt;l&gt;</w:t>
            </w:r>
            <w:r>
              <w:rPr>
                <w:rStyle w:val="Codetext"/>
              </w:rPr>
              <w:t xml:space="preserve">kumārabhāve vijitārivarggo yo dīpayām āsa mahendralakṣmīm || </w:t>
            </w:r>
            <w:r>
              <w:rPr>
                <w:rStyle w:val="Code"/>
              </w:rPr>
              <w:t>&lt;/l&gt;</w:t>
            </w:r>
          </w:p>
          <w:p w14:paraId="4CA30975" w14:textId="77777777">
            <w:pPr>
              <w:pStyle w:val="CodeParagraph"/>
              <w:keepNext/>
              <w:rPr>
                <w:rStyle w:val="Code"/>
              </w:rPr>
            </w:pPr>
            <w:r>
              <w:rPr>
                <w:rStyle w:val="Code"/>
              </w:rPr>
              <w:t xml:space="preserve">    &lt;/lg&gt;</w:t>
            </w:r>
          </w:p>
          <w:p w14:paraId="25AEA938" w14:textId="77777777">
            <w:pPr>
              <w:pStyle w:val="CodeParagraph"/>
              <w:keepNext/>
              <w:rPr>
                <w:rStyle w:val="Codetext"/>
              </w:rPr>
            </w:pPr>
            <w:r>
              <w:rPr>
                <w:rStyle w:val="Codetext"/>
              </w:rPr>
              <w:t xml:space="preserve">  After attaining the Power of Maheśvara...</w:t>
            </w:r>
          </w:p>
          <w:p w14:paraId="389E8969" w14:textId="77777777">
            <w:pPr>
              <w:pStyle w:val="CodeParagraph"/>
              <w:keepNext/>
              <w:rPr>
                <w:rStyle w:val="Code"/>
              </w:rPr>
            </w:pPr>
            <w:r>
              <w:rPr>
                <w:rStyle w:val="Code"/>
              </w:rPr>
              <w:t xml:space="preserve">  &lt;/q&gt;</w:t>
            </w:r>
          </w:p>
          <w:p w14:paraId="350A403C" w14:textId="77777777">
            <w:pPr>
              <w:pStyle w:val="CodeParagraph"/>
              <w:keepNext/>
              <w:rPr>
                <w:rStyle w:val="Code"/>
              </w:rPr>
            </w:pPr>
            <w:r>
              <w:rPr>
                <w:rStyle w:val="Codetext"/>
              </w:rPr>
              <w:t>Mahendra is both the name of King Rājendravarman's father, Mahendravarman...</w:t>
            </w:r>
            <w:r>
              <w:rPr>
                <w:rStyle w:val="Code"/>
              </w:rPr>
              <w:t>&lt;/p&gt;</w:t>
            </w:r>
          </w:p>
        </w:tc>
      </w:tr>
      <w:tr w14:paraId="13014288" w14:textId="77777777">
        <w:tc>
          <w:tcPr>
            <w:tcW w:w="5000" w:type="pct"/>
          </w:tcPr>
          <w:p w14:paraId="25F45DC5" w14:textId="77777777">
            <w:pPr>
              <w:pStyle w:val="TableNote"/>
            </w:pPr>
            <w:r>
              <w:t>display:</w:t>
            </w:r>
          </w:p>
          <w:p w14:paraId="2ABE0A23" w14:textId="77777777">
            <w:pPr>
              <w:pStyle w:val="Tabletext"/>
            </w:pPr>
            <w:r>
              <w:t>In further support ... crucial elements that we also see in ours:</w:t>
            </w:r>
          </w:p>
          <w:p w14:paraId="5797A3B3" w14:textId="77777777">
            <w:pPr>
              <w:pStyle w:val="Tabletext"/>
              <w:spacing w:before="120"/>
              <w:rPr>
                <w:rStyle w:val="ForeignIndic"/>
              </w:rPr>
            </w:pPr>
            <w:r>
              <w:rPr>
                <w:rStyle w:val="ForeignIndic"/>
              </w:rPr>
              <w:t xml:space="preserve">        āsādya śaktiṁ vivudhopanītāṁ māheśvarīṁ jñānamayīm amoghām</w:t>
            </w:r>
            <w:r>
              <w:rPr>
                <w:rStyle w:val="ForeignIndic"/>
              </w:rPr>
              <w:br/>
              <w:t xml:space="preserve">        kumārabhāve vijitārivarggo yo dīpayām āsa mahendralakṣmīm ||</w:t>
            </w:r>
          </w:p>
          <w:p w14:paraId="6F6FF2B3" w14:textId="77777777">
            <w:pPr>
              <w:pStyle w:val="Tabletext"/>
              <w:spacing w:before="120"/>
            </w:pPr>
            <w:r>
              <w:t xml:space="preserve">    After attaining the Power of Maheśvara...</w:t>
            </w:r>
          </w:p>
          <w:p w14:paraId="34BEB3B7" w14:textId="77777777">
            <w:pPr>
              <w:pStyle w:val="Tabletext"/>
              <w:spacing w:before="120"/>
              <w:rPr>
                <w:rStyle w:val="ForeignIndic"/>
              </w:rPr>
            </w:pPr>
            <w:r>
              <w:rPr>
                <w:rStyle w:val="ForeignIndic"/>
              </w:rPr>
              <w:t>Mahendra is both the name of King Rājendravarman’s father, Mahendravarman</w:t>
            </w:r>
          </w:p>
        </w:tc>
      </w:tr>
    </w:tbl>
    <w:p w14:paraId="32622716" w14:textId="77777777"/>
    <w:p w14:paraId="7A823BFF" w14:textId="77777777">
      <w:pPr>
        <w:pStyle w:val="Cmsor3"/>
      </w:pPr>
      <w:bookmarkStart w:id="971" w:name="_Toc242889645"/>
      <w:r>
        <w:t>Lists</w:t>
      </w:r>
      <w:bookmarkEnd w:id="957"/>
      <w:bookmarkEnd w:id="967"/>
      <w:bookmarkEnd w:id="971"/>
    </w:p>
    <w:p w14:paraId="7144B100" w14:textId="5C86CB38">
      <w:r>
        <w:t xml:space="preserve">Should you need to format some text as a structured list, the following markup may be used at any point where a </w:t>
      </w:r>
      <w:r>
        <w:rPr>
          <w:rStyle w:val="Code"/>
        </w:rPr>
        <w:t>&lt;p&gt;</w:t>
      </w:r>
      <w:r>
        <w:t xml:space="preserve"> element is permitted outside the edition (§</w:t>
      </w:r>
      <w:r>
        <w:fldChar w:fldCharType="begin"/>
      </w:r>
      <w:r>
        <w:instrText xml:space="preserve"> REF _Ref233793815 \r \h </w:instrText>
      </w:r>
      <w:r>
        <w:fldChar w:fldCharType="separate"/>
      </w:r>
      <w:r>
        <w:t>14.3.1</w:t>
      </w:r>
      <w:r>
        <w:fldChar w:fldCharType="end"/>
      </w:r>
      <w:r>
        <w:t>), particularly in the commentary, translation or certain parts of the TEI header such as the hand description (§</w:t>
      </w:r>
      <w:r>
        <w:fldChar w:fldCharType="begin"/>
      </w:r>
      <w:r>
        <w:instrText xml:space="preserve"> REF _Ref43987455 \r \h </w:instrText>
      </w:r>
      <w:r>
        <w:fldChar w:fldCharType="separate"/>
      </w:r>
      <w:r>
        <w:t>15.2.1</w:t>
      </w:r>
      <w:r>
        <w:fldChar w:fldCharType="end"/>
      </w:r>
      <w:r>
        <w:t>). Special considerations for the use of lists in the edition division are given in §</w:t>
      </w:r>
      <w:r>
        <w:fldChar w:fldCharType="begin"/>
      </w:r>
      <w:r>
        <w:instrText xml:space="preserve"> REF _Ref168563127 \r \h </w:instrText>
      </w:r>
      <w:r>
        <w:fldChar w:fldCharType="separate"/>
      </w:r>
      <w:r>
        <w:t>3.2.1.3</w:t>
      </w:r>
      <w:r>
        <w:fldChar w:fldCharType="end"/>
      </w:r>
      <w:r>
        <w:t>.</w:t>
      </w:r>
    </w:p>
    <w:p w14:paraId="73474781" w14:textId="77777777">
      <w:pPr>
        <w:pStyle w:val="Lista"/>
      </w:pPr>
      <w:r>
        <w:lastRenderedPageBreak/>
        <w:t xml:space="preserve">to encode a list, create a </w:t>
      </w:r>
      <w:r>
        <w:rPr>
          <w:rStyle w:val="Code"/>
        </w:rPr>
        <w:t>&lt;list&gt;</w:t>
      </w:r>
      <w:r>
        <w:t xml:space="preserve"> element within an already existing </w:t>
      </w:r>
      <w:r>
        <w:rPr>
          <w:rStyle w:val="Code"/>
        </w:rPr>
        <w:t>&lt;p&gt;</w:t>
      </w:r>
      <w:r>
        <w:t xml:space="preserve"> element</w:t>
      </w:r>
    </w:p>
    <w:p w14:paraId="108F1F78" w14:textId="77777777">
      <w:pPr>
        <w:pStyle w:val="Lista2"/>
      </w:pPr>
      <w:r>
        <w:rPr>
          <w:rStyle w:val="Code"/>
        </w:rPr>
        <w:t>&lt;list&gt;</w:t>
      </w:r>
      <w:r>
        <w:t xml:space="preserve"> elements are not required to tessellate, so a </w:t>
      </w:r>
      <w:r>
        <w:rPr>
          <w:rStyle w:val="Code"/>
        </w:rPr>
        <w:t>&lt;p&gt;</w:t>
      </w:r>
      <w:r>
        <w:t xml:space="preserve"> element may contain text alongside (i.e. before and/or after) a list</w:t>
      </w:r>
    </w:p>
    <w:p w14:paraId="5DB6FEF5" w14:textId="77777777">
      <w:pPr>
        <w:pStyle w:val="Lista"/>
      </w:pPr>
      <w:r>
        <w:t xml:space="preserve">within </w:t>
      </w:r>
      <w:r>
        <w:rPr>
          <w:rStyle w:val="Code"/>
        </w:rPr>
        <w:t>&lt;list&gt;</w:t>
      </w:r>
      <w:r>
        <w:t xml:space="preserve">, create an </w:t>
      </w:r>
      <w:r>
        <w:rPr>
          <w:rStyle w:val="Code"/>
        </w:rPr>
        <w:t>&lt;item&gt;</w:t>
      </w:r>
      <w:r>
        <w:t xml:space="preserve"> element as a container for each list item</w:t>
      </w:r>
    </w:p>
    <w:p w14:paraId="505FD7F7" w14:textId="38676DA0">
      <w:pPr>
        <w:pStyle w:val="Lista2"/>
      </w:pPr>
      <w:r>
        <w:rPr>
          <w:rStyle w:val="Code"/>
        </w:rPr>
        <w:t>&lt;item&gt;</w:t>
      </w:r>
      <w:r>
        <w:t xml:space="preserve"> elements are required to tessellate, so a </w:t>
      </w:r>
      <w:r>
        <w:rPr>
          <w:rStyle w:val="Code"/>
        </w:rPr>
        <w:t>&lt;list&gt;</w:t>
      </w:r>
      <w:r>
        <w:t xml:space="preserve"> cannot contain anything outside an </w:t>
      </w:r>
      <w:r>
        <w:rPr>
          <w:rStyle w:val="Code"/>
        </w:rPr>
        <w:t>&lt;item&gt;</w:t>
      </w:r>
      <w:r>
        <w:t xml:space="preserve"> except for paired lists (§</w:t>
      </w:r>
      <w:r>
        <w:fldChar w:fldCharType="begin"/>
      </w:r>
      <w:r>
        <w:instrText xml:space="preserve"> REF _Ref233645526 \r \h </w:instrText>
      </w:r>
      <w:r>
        <w:fldChar w:fldCharType="separate"/>
      </w:r>
      <w:r>
        <w:t>14.3.4.1</w:t>
      </w:r>
      <w:r>
        <w:fldChar w:fldCharType="end"/>
      </w:r>
      <w:r>
        <w:t>)</w:t>
      </w:r>
    </w:p>
    <w:p w14:paraId="07ED0C34" w14:textId="77777777">
      <w:pPr>
        <w:pStyle w:val="Lista"/>
      </w:pPr>
      <w:r>
        <w:t xml:space="preserve">the formatting of the list may be specified by adding the attribute </w:t>
      </w:r>
      <w:r>
        <w:rPr>
          <w:rStyle w:val="Codeattribute"/>
        </w:rPr>
        <w:t>@rend</w:t>
      </w:r>
      <w:r>
        <w:t xml:space="preserve"> to the </w:t>
      </w:r>
      <w:r>
        <w:rPr>
          <w:rStyle w:val="Code"/>
        </w:rPr>
        <w:t>&lt;list&gt;</w:t>
      </w:r>
      <w:r>
        <w:t xml:space="preserve"> element, with one of the following values</w:t>
      </w:r>
    </w:p>
    <w:p w14:paraId="2BF9E8D4" w14:textId="77777777">
      <w:pPr>
        <w:pStyle w:val="Lista2"/>
      </w:pPr>
      <w:r>
        <w:rPr>
          <w:rStyle w:val="Codevalue"/>
        </w:rPr>
        <w:t>"plain"</w:t>
      </w:r>
      <w:r>
        <w:t xml:space="preserve"> for a plain list</w:t>
      </w:r>
    </w:p>
    <w:p w14:paraId="2D65E0DD" w14:textId="77777777">
      <w:pPr>
        <w:pStyle w:val="Lista3"/>
      </w:pPr>
      <w:r>
        <w:t xml:space="preserve">this is the default value, so using </w:t>
      </w:r>
      <w:r>
        <w:rPr>
          <w:rStyle w:val="Code"/>
        </w:rPr>
        <w:t>&lt;list&gt;</w:t>
      </w:r>
      <w:r>
        <w:t xml:space="preserve"> without </w:t>
      </w:r>
      <w:r>
        <w:rPr>
          <w:rStyle w:val="Codeattribute"/>
        </w:rPr>
        <w:t>@rend</w:t>
      </w:r>
      <w:r>
        <w:t xml:space="preserve"> will produce a plain list and </w:t>
      </w:r>
      <w:r>
        <w:rPr>
          <w:rStyle w:val="Codeattribute"/>
        </w:rPr>
        <w:t>@rend=</w:t>
      </w:r>
      <w:r>
        <w:rPr>
          <w:rStyle w:val="Codevalue"/>
        </w:rPr>
        <w:t>"plain"</w:t>
      </w:r>
      <w:r>
        <w:t xml:space="preserve"> need not be explicitly encoded</w:t>
      </w:r>
    </w:p>
    <w:p w14:paraId="38703B94" w14:textId="2ADDAC98">
      <w:pPr>
        <w:pStyle w:val="Lista2"/>
      </w:pPr>
      <w:r>
        <w:rPr>
          <w:rStyle w:val="Codevalue"/>
        </w:rPr>
        <w:t>"bulleted"</w:t>
      </w:r>
      <w:r>
        <w:t xml:space="preserve"> to create a bulleted list (illustrated in the nested list in </w:t>
      </w:r>
      <w:r>
        <w:rPr>
          <w:lang w:eastAsia="en-US" w:bidi="ar-SA"/>
        </w:rPr>
        <w:fldChar w:fldCharType="begin"/>
      </w:r>
      <w:r>
        <w:rPr>
          <w:lang w:eastAsia="en-US" w:bidi="ar-SA"/>
        </w:rPr>
        <w:instrText xml:space="preserve"> REF _Ref233646064 \h </w:instrText>
      </w:r>
      <w:r>
        <w:rPr>
          <w:lang w:eastAsia="en-US" w:bidi="ar-SA"/>
        </w:rPr>
      </w:r>
      <w:r>
        <w:rPr>
          <w:lang w:eastAsia="en-US" w:bidi="ar-SA"/>
        </w:rPr>
        <w:fldChar w:fldCharType="separate"/>
      </w:r>
      <w:r>
        <w:t xml:space="preserve">Exhibit </w:t>
      </w:r>
      <w:r>
        <w:rPr>
          <w:noProof/>
        </w:rPr>
        <w:t>14.3</w:t>
      </w:r>
      <w:r>
        <w:t>.</w:t>
      </w:r>
      <w:r>
        <w:rPr>
          <w:noProof/>
        </w:rPr>
        <w:t>C</w:t>
      </w:r>
      <w:r>
        <w:rPr>
          <w:lang w:eastAsia="en-US" w:bidi="ar-SA"/>
        </w:rPr>
        <w:fldChar w:fldCharType="end"/>
      </w:r>
      <w:r>
        <w:rPr>
          <w:lang w:eastAsia="en-US" w:bidi="ar-SA"/>
        </w:rPr>
        <w:t>)</w:t>
      </w:r>
    </w:p>
    <w:p w14:paraId="44AA6692" w14:textId="77777777">
      <w:pPr>
        <w:pStyle w:val="Lista2"/>
      </w:pPr>
      <w:r>
        <w:rPr>
          <w:rStyle w:val="Codevalue"/>
        </w:rPr>
        <w:t>"numbered"</w:t>
      </w:r>
      <w:r>
        <w:t xml:space="preserve"> to create an auto-numbered list</w:t>
      </w:r>
    </w:p>
    <w:p w14:paraId="582DC5A8" w14:textId="77777777">
      <w:pPr>
        <w:pStyle w:val="Cmsor4"/>
      </w:pPr>
      <w:bookmarkStart w:id="972" w:name="_Ref233645526"/>
      <w:r>
        <w:t>Paired lists</w:t>
      </w:r>
      <w:bookmarkEnd w:id="972"/>
    </w:p>
    <w:p w14:paraId="6F0496F8" w14:textId="48B3C5C0">
      <w:pPr>
        <w:rPr>
          <w:lang w:eastAsia="en-US" w:bidi="ar-SA"/>
        </w:rPr>
      </w:pPr>
      <w:r>
        <w:rPr>
          <w:lang w:eastAsia="en-US" w:bidi="ar-SA"/>
        </w:rPr>
        <w:t xml:space="preserve">If and only if you deem this degree of complexity essential for presenting a translation or commentary clearly, lists may be set up so that headwords (such as names, terms or entries) are paired with extensions (such as roles, shares, definitions or descriptions). Such lists shall be encoded as described below and illustrated in </w:t>
      </w:r>
      <w:r>
        <w:rPr>
          <w:lang w:eastAsia="en-US" w:bidi="ar-SA"/>
        </w:rPr>
        <w:fldChar w:fldCharType="begin"/>
      </w:r>
      <w:r>
        <w:rPr>
          <w:lang w:eastAsia="en-US" w:bidi="ar-SA"/>
        </w:rPr>
        <w:instrText xml:space="preserve"> REF _Ref233646042 \h </w:instrText>
      </w:r>
      <w:r>
        <w:rPr>
          <w:lang w:eastAsia="en-US" w:bidi="ar-SA"/>
        </w:rPr>
      </w:r>
      <w:r>
        <w:rPr>
          <w:lang w:eastAsia="en-US" w:bidi="ar-SA"/>
        </w:rPr>
        <w:fldChar w:fldCharType="separate"/>
      </w:r>
      <w:r>
        <w:t xml:space="preserve">Exhibit </w:t>
      </w:r>
      <w:r>
        <w:rPr>
          <w:noProof/>
        </w:rPr>
        <w:t>14.3</w:t>
      </w:r>
      <w:r>
        <w:t>.</w:t>
      </w:r>
      <w:r>
        <w:rPr>
          <w:noProof/>
        </w:rPr>
        <w:t>B</w:t>
      </w:r>
      <w:r>
        <w:rPr>
          <w:lang w:eastAsia="en-US" w:bidi="ar-SA"/>
        </w:rPr>
        <w:fldChar w:fldCharType="end"/>
      </w:r>
      <w:r>
        <w:rPr>
          <w:lang w:eastAsia="en-US" w:bidi="ar-SA"/>
        </w:rPr>
        <w:t>.</w:t>
      </w:r>
    </w:p>
    <w:p w14:paraId="1E20993D" w14:textId="77777777">
      <w:pPr>
        <w:pStyle w:val="Lista"/>
      </w:pPr>
      <w:r>
        <w:t xml:space="preserve">use the </w:t>
      </w:r>
      <w:r>
        <w:rPr>
          <w:rStyle w:val="Code"/>
        </w:rPr>
        <w:t>&lt;list&gt;</w:t>
      </w:r>
      <w:r>
        <w:t xml:space="preserve"> element with the attribute </w:t>
      </w:r>
      <w:r>
        <w:rPr>
          <w:rStyle w:val="Codeattribute"/>
        </w:rPr>
        <w:t>@rend=</w:t>
      </w:r>
      <w:r>
        <w:rPr>
          <w:rStyle w:val="Codevalue"/>
        </w:rPr>
        <w:t>"paired"</w:t>
      </w:r>
      <w:r>
        <w:t xml:space="preserve"> </w:t>
      </w:r>
    </w:p>
    <w:p w14:paraId="63A3776C" w14:textId="77777777">
      <w:pPr>
        <w:pStyle w:val="Lista"/>
      </w:pPr>
      <w:r>
        <w:t xml:space="preserve">wrap each headword in the element </w:t>
      </w:r>
      <w:r>
        <w:rPr>
          <w:rStyle w:val="Code"/>
        </w:rPr>
        <w:t>&lt;label&gt;</w:t>
      </w:r>
      <w:r>
        <w:t xml:space="preserve"> </w:t>
      </w:r>
    </w:p>
    <w:p w14:paraId="11296844" w14:textId="77777777">
      <w:pPr>
        <w:pStyle w:val="Lista"/>
        <w:rPr>
          <w:rStyle w:val="Code"/>
          <w:rFonts w:ascii="Gentium" w:hAnsi="Gentium" w:cs="Tiro Devanagari Sanskrit"/>
          <w:noProof w:val="0"/>
          <w:color w:val="auto"/>
          <w:shd w:val="clear" w:color="auto" w:fill="auto"/>
        </w:rPr>
      </w:pPr>
      <w:r>
        <w:t xml:space="preserve">wrap each extension in the element </w:t>
      </w:r>
      <w:r>
        <w:rPr>
          <w:rStyle w:val="Code"/>
        </w:rPr>
        <w:t>&lt;item&gt;</w:t>
      </w:r>
    </w:p>
    <w:p w14:paraId="7C91C01B" w14:textId="77777777">
      <w:pPr>
        <w:pStyle w:val="Lista"/>
      </w:pPr>
      <w:r>
        <w:t xml:space="preserve">unlike other lists, </w:t>
      </w:r>
      <w:r>
        <w:rPr>
          <w:rStyle w:val="Code"/>
        </w:rPr>
        <w:t>&lt;label&gt;</w:t>
      </w:r>
      <w:r>
        <w:t xml:space="preserve"> and </w:t>
      </w:r>
      <w:r>
        <w:rPr>
          <w:rStyle w:val="Code"/>
        </w:rPr>
        <w:t>&lt;item&gt;</w:t>
      </w:r>
      <w:r>
        <w:t xml:space="preserve"> elements alternate in this case</w:t>
      </w:r>
    </w:p>
    <w:p w14:paraId="7E83CFFB" w14:textId="77777777">
      <w:pPr>
        <w:pStyle w:val="Lista"/>
      </w:pPr>
      <w:r>
        <w:t xml:space="preserve">all text within the </w:t>
      </w:r>
      <w:r>
        <w:rPr>
          <w:rStyle w:val="Code"/>
        </w:rPr>
        <w:t>&lt;list&gt;</w:t>
      </w:r>
      <w:r>
        <w:t xml:space="preserve"> element must be contained either within </w:t>
      </w:r>
      <w:r>
        <w:rPr>
          <w:rStyle w:val="Code"/>
        </w:rPr>
        <w:t>&lt;label&gt;</w:t>
      </w:r>
      <w:r>
        <w:t xml:space="preserve"> or within </w:t>
      </w:r>
      <w:r>
        <w:rPr>
          <w:rStyle w:val="Code"/>
        </w:rPr>
        <w:t>&lt;item&gt;</w:t>
      </w:r>
    </w:p>
    <w:p w14:paraId="21CEB9E9" w14:textId="77777777"/>
    <w:tbl>
      <w:tblPr>
        <w:tblStyle w:val="CodeSampleTable"/>
        <w:tblW w:w="5000" w:type="pct"/>
        <w:tblLook w:val="04A0" w:firstRow="1" w:lastRow="0" w:firstColumn="1" w:lastColumn="0" w:noHBand="0" w:noVBand="1"/>
      </w:tblPr>
      <w:tblGrid>
        <w:gridCol w:w="9628"/>
      </w:tblGrid>
      <w:tr w14:paraId="3F6B0A4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2BEDE83" w14:textId="0B12A613">
            <w:pPr>
              <w:pStyle w:val="Kpalrs"/>
            </w:pPr>
            <w:bookmarkStart w:id="973" w:name="_Ref233646042"/>
            <w:r>
              <w:t xml:space="preserve">Exhibit </w:t>
            </w:r>
            <w:fldSimple w:instr=" STYLEREF 2 \s ">
              <w:r>
                <w:rPr>
                  <w:noProof/>
                </w:rPr>
                <w:t>14.3</w:t>
              </w:r>
            </w:fldSimple>
            <w:r>
              <w:t>.</w:t>
            </w:r>
            <w:fldSimple w:instr=" SEQ Exhibit \* ALPHABETIC \s 2 ">
              <w:r>
                <w:rPr>
                  <w:noProof/>
                </w:rPr>
                <w:t>B</w:t>
              </w:r>
            </w:fldSimple>
            <w:bookmarkEnd w:id="973"/>
            <w:r>
              <w:t>: encoding a paired list</w:t>
            </w:r>
          </w:p>
        </w:tc>
      </w:tr>
      <w:tr w14:paraId="5C900B85" w14:textId="77777777">
        <w:tc>
          <w:tcPr>
            <w:tcW w:w="5000" w:type="pct"/>
          </w:tcPr>
          <w:p w14:paraId="08761299" w14:textId="77777777">
            <w:pPr>
              <w:pStyle w:val="CodeParagraph"/>
              <w:keepNext/>
              <w:rPr>
                <w:rStyle w:val="Code"/>
              </w:rPr>
            </w:pPr>
            <w:r>
              <w:rPr>
                <w:rStyle w:val="Code"/>
              </w:rPr>
              <w:t>&lt;p n="1r16-2r1"&gt;</w:t>
            </w:r>
            <w:r>
              <w:rPr>
                <w:rStyle w:val="Codetext"/>
              </w:rPr>
              <w:t>As for those who</w:t>
            </w:r>
            <w:r>
              <w:rPr>
                <w:rStyle w:val="Code"/>
              </w:rPr>
              <w:t xml:space="preserve"> </w:t>
            </w:r>
          </w:p>
          <w:p w14:paraId="34B43207" w14:textId="77777777">
            <w:pPr>
              <w:pStyle w:val="CodeParagraph"/>
              <w:keepNext/>
              <w:rPr>
                <w:rStyle w:val="Code"/>
              </w:rPr>
            </w:pPr>
            <w:r>
              <w:rPr>
                <w:rStyle w:val="Code"/>
              </w:rPr>
              <w:t xml:space="preserve">  &lt;list</w:t>
            </w:r>
            <w:r>
              <w:rPr>
                <w:rStyle w:val="Codeattribute"/>
              </w:rPr>
              <w:t xml:space="preserve"> rend=</w:t>
            </w:r>
            <w:r>
              <w:rPr>
                <w:rStyle w:val="Codevalue"/>
              </w:rPr>
              <w:t>"paired"</w:t>
            </w:r>
            <w:r>
              <w:rPr>
                <w:rStyle w:val="Code"/>
              </w:rPr>
              <w:t>&gt;</w:t>
            </w:r>
          </w:p>
          <w:p w14:paraId="7FF00417" w14:textId="77777777">
            <w:pPr>
              <w:pStyle w:val="CodeParagraph"/>
              <w:keepNext/>
              <w:rPr>
                <w:rStyle w:val="Code"/>
              </w:rPr>
            </w:pPr>
            <w:r>
              <w:rPr>
                <w:rStyle w:val="Code"/>
              </w:rPr>
              <w:t xml:space="preserve">    &lt;label&gt;&lt;foreign&gt;</w:t>
            </w:r>
            <w:r>
              <w:rPr>
                <w:rStyle w:val="Codetext"/>
              </w:rPr>
              <w:t>mañambul</w:t>
            </w:r>
            <w:r>
              <w:rPr>
                <w:rStyle w:val="Code"/>
              </w:rPr>
              <w:t>&lt;/foreign&gt;&lt;/label&gt;&lt;item&gt;</w:t>
            </w:r>
            <w:r>
              <w:rPr>
                <w:rStyle w:val="Codetext"/>
              </w:rPr>
              <w:t>paint black</w:t>
            </w:r>
            <w:r>
              <w:rPr>
                <w:rStyle w:val="Code"/>
              </w:rPr>
              <w:t>&lt;/item&gt;</w:t>
            </w:r>
          </w:p>
          <w:p w14:paraId="35D9E67C" w14:textId="77777777">
            <w:pPr>
              <w:pStyle w:val="CodeParagraph"/>
              <w:keepNext/>
              <w:rPr>
                <w:rStyle w:val="Code"/>
              </w:rPr>
            </w:pPr>
            <w:r>
              <w:rPr>
                <w:rStyle w:val="Code"/>
              </w:rPr>
              <w:t xml:space="preserve">    &lt;label&gt;&lt;foreign&gt;</w:t>
            </w:r>
            <w:r>
              <w:rPr>
                <w:rStyle w:val="Codetext"/>
              </w:rPr>
              <w:t>mañavriṅ</w:t>
            </w:r>
            <w:r>
              <w:rPr>
                <w:rStyle w:val="Code"/>
              </w:rPr>
              <w:t>&lt;/foreign&gt;&lt;/label&gt;&lt;item&gt;</w:t>
            </w:r>
            <w:r>
              <w:rPr>
                <w:rStyle w:val="Codetext"/>
              </w:rPr>
              <w:t>make muslin</w:t>
            </w:r>
            <w:r>
              <w:rPr>
                <w:rStyle w:val="Code"/>
              </w:rPr>
              <w:t>&lt;/item&gt;</w:t>
            </w:r>
          </w:p>
          <w:p w14:paraId="036BEDE7" w14:textId="77777777">
            <w:pPr>
              <w:pStyle w:val="CodeParagraph"/>
              <w:keepNext/>
              <w:rPr>
                <w:rStyle w:val="Code"/>
              </w:rPr>
            </w:pPr>
            <w:r>
              <w:rPr>
                <w:rStyle w:val="Code"/>
              </w:rPr>
              <w:t xml:space="preserve">    &lt;label&gt;&lt;foreign&gt;</w:t>
            </w:r>
            <w:r>
              <w:rPr>
                <w:rStyle w:val="Codetext"/>
              </w:rPr>
              <w:t>maṅlākha</w:t>
            </w:r>
            <w:r>
              <w:rPr>
                <w:rStyle w:val="Code"/>
              </w:rPr>
              <w:t>&lt;/foreign&gt;&lt;/label&gt;&lt;item&gt;</w:t>
            </w:r>
            <w:r>
              <w:rPr>
                <w:rStyle w:val="Codetext"/>
              </w:rPr>
              <w:t>dye red</w:t>
            </w:r>
            <w:r>
              <w:rPr>
                <w:rStyle w:val="Code"/>
              </w:rPr>
              <w:t>&lt;/item&gt;</w:t>
            </w:r>
          </w:p>
          <w:p w14:paraId="5E927C00" w14:textId="77777777">
            <w:pPr>
              <w:pStyle w:val="CodeParagraph"/>
              <w:keepNext/>
              <w:rPr>
                <w:rStyle w:val="Code"/>
              </w:rPr>
            </w:pPr>
            <w:r>
              <w:rPr>
                <w:rStyle w:val="Code"/>
              </w:rPr>
              <w:t xml:space="preserve">    &lt;label&gt;&lt;foreign&gt;</w:t>
            </w:r>
            <w:r>
              <w:rPr>
                <w:rStyle w:val="Codetext"/>
              </w:rPr>
              <w:t>maṅapus</w:t>
            </w:r>
            <w:r>
              <w:rPr>
                <w:rStyle w:val="Code"/>
              </w:rPr>
              <w:t>&lt;/foreign&gt;&lt;/label&gt;&lt;item&gt;</w:t>
            </w:r>
            <w:r>
              <w:rPr>
                <w:rStyle w:val="Codetext"/>
              </w:rPr>
              <w:t>twist ropes</w:t>
            </w:r>
            <w:r>
              <w:rPr>
                <w:rStyle w:val="Code"/>
              </w:rPr>
              <w:t>&lt;/item&gt;</w:t>
            </w:r>
          </w:p>
          <w:p w14:paraId="34ABF7F9" w14:textId="77777777">
            <w:pPr>
              <w:pStyle w:val="CodeParagraph"/>
              <w:keepNext/>
              <w:rPr>
                <w:rStyle w:val="Code"/>
              </w:rPr>
            </w:pPr>
            <w:r>
              <w:rPr>
                <w:rStyle w:val="Code"/>
              </w:rPr>
              <w:t xml:space="preserve">    &lt;label&gt;&lt;foreign&gt;</w:t>
            </w:r>
            <w:r>
              <w:rPr>
                <w:rStyle w:val="Codetext"/>
              </w:rPr>
              <w:t>maṅubar</w:t>
            </w:r>
            <w:r>
              <w:rPr>
                <w:rStyle w:val="Code"/>
              </w:rPr>
              <w:t>&lt;/foreign&gt;&lt;/label&gt;&lt;item&gt;</w:t>
            </w:r>
            <w:r>
              <w:rPr>
                <w:rStyle w:val="Codetext"/>
              </w:rPr>
              <w:t>dye red</w:t>
            </w:r>
            <w:r>
              <w:rPr>
                <w:rStyle w:val="Code"/>
              </w:rPr>
              <w:t>&lt;/item&gt;</w:t>
            </w:r>
          </w:p>
          <w:p w14:paraId="4454DB7B" w14:textId="77777777">
            <w:pPr>
              <w:pStyle w:val="CodeParagraph"/>
              <w:keepNext/>
              <w:rPr>
                <w:rStyle w:val="Code"/>
              </w:rPr>
            </w:pPr>
            <w:r>
              <w:rPr>
                <w:rStyle w:val="Code"/>
              </w:rPr>
              <w:t xml:space="preserve">    ...</w:t>
            </w:r>
          </w:p>
          <w:p w14:paraId="0674D73A" w14:textId="77777777">
            <w:pPr>
              <w:pStyle w:val="CodeParagraph"/>
              <w:keepNext/>
              <w:rPr>
                <w:rStyle w:val="Code"/>
              </w:rPr>
            </w:pPr>
            <w:r>
              <w:rPr>
                <w:rStyle w:val="Code"/>
              </w:rPr>
              <w:t xml:space="preserve">  &lt;/list&gt;</w:t>
            </w:r>
          </w:p>
          <w:p w14:paraId="4B7181DE" w14:textId="77777777">
            <w:pPr>
              <w:pStyle w:val="CodeParagraph"/>
              <w:keepNext/>
              <w:rPr>
                <w:rFonts w:ascii="Consolas" w:hAnsi="Consolas" w:cs="Consolas"/>
                <w:noProof/>
                <w:color w:val="002060"/>
                <w:shd w:val="clear" w:color="auto" w:fill="F2F2F2" w:themeFill="background1" w:themeFillShade="F2"/>
              </w:rPr>
            </w:pPr>
            <w:r>
              <w:rPr>
                <w:rStyle w:val="Code"/>
              </w:rPr>
              <w:t xml:space="preserve">  </w:t>
            </w:r>
            <w:r>
              <w:rPr>
                <w:rStyle w:val="Codetext"/>
              </w:rPr>
              <w:t>Only the</w:t>
            </w:r>
            <w:r>
              <w:rPr>
                <w:rStyle w:val="Code"/>
              </w:rPr>
              <w:t xml:space="preserve"> &lt;foreign&gt;</w:t>
            </w:r>
            <w:r>
              <w:rPr>
                <w:rStyle w:val="Codetext"/>
              </w:rPr>
              <w:t>rakryān</w:t>
            </w:r>
            <w:r>
              <w:rPr>
                <w:rStyle w:val="Code"/>
              </w:rPr>
              <w:t xml:space="preserve">&lt;/foreign&gt; </w:t>
            </w:r>
            <w:r>
              <w:rPr>
                <w:rStyle w:val="Codetext"/>
              </w:rPr>
              <w:t>founder of the freehold herself shall have authority over all its royal revenues.</w:t>
            </w:r>
            <w:r>
              <w:rPr>
                <w:rStyle w:val="Code"/>
              </w:rPr>
              <w:t>&lt;/p&gt;</w:t>
            </w:r>
          </w:p>
        </w:tc>
      </w:tr>
      <w:tr w14:paraId="74D9CF9F" w14:textId="77777777">
        <w:tc>
          <w:tcPr>
            <w:tcW w:w="5000" w:type="pct"/>
          </w:tcPr>
          <w:p w14:paraId="1D16E069" w14:textId="77777777">
            <w:pPr>
              <w:pStyle w:val="TableNote"/>
            </w:pPr>
            <w:r>
              <w:t>display:</w:t>
            </w:r>
          </w:p>
          <w:p w14:paraId="11ABCFA0" w14:textId="77777777">
            <w:pPr>
              <w:pStyle w:val="Tabletext"/>
            </w:pPr>
            <w:r>
              <w:t>As for those who</w:t>
            </w:r>
          </w:p>
          <w:p w14:paraId="0748D870" w14:textId="77777777">
            <w:pPr>
              <w:pStyle w:val="Tabletext"/>
            </w:pPr>
            <w:r>
              <w:t xml:space="preserve">    </w:t>
            </w:r>
            <w:r>
              <w:rPr>
                <w:rStyle w:val="Foreign"/>
                <w:b/>
                <w:bCs/>
              </w:rPr>
              <w:t>mañambul</w:t>
            </w:r>
            <w:r>
              <w:tab/>
              <w:t>paint black</w:t>
            </w:r>
          </w:p>
          <w:p w14:paraId="10A3F3B8" w14:textId="77777777">
            <w:pPr>
              <w:pStyle w:val="Tabletext"/>
            </w:pPr>
            <w:r>
              <w:t xml:space="preserve">    </w:t>
            </w:r>
            <w:r>
              <w:rPr>
                <w:rStyle w:val="Foreign"/>
                <w:b/>
                <w:bCs/>
              </w:rPr>
              <w:t>mañavriṅ</w:t>
            </w:r>
            <w:r>
              <w:tab/>
              <w:t>make muslin</w:t>
            </w:r>
          </w:p>
          <w:p w14:paraId="7CC981B4" w14:textId="77777777">
            <w:pPr>
              <w:pStyle w:val="Tabletext"/>
            </w:pPr>
            <w:r>
              <w:t xml:space="preserve">    </w:t>
            </w:r>
            <w:r>
              <w:rPr>
                <w:rStyle w:val="Foreign"/>
                <w:b/>
                <w:bCs/>
              </w:rPr>
              <w:t>maṅlākha</w:t>
            </w:r>
            <w:r>
              <w:tab/>
              <w:t>dye red</w:t>
            </w:r>
          </w:p>
          <w:p w14:paraId="5981C881" w14:textId="77777777">
            <w:pPr>
              <w:pStyle w:val="Tabletext"/>
            </w:pPr>
            <w:r>
              <w:t xml:space="preserve">    </w:t>
            </w:r>
            <w:r>
              <w:rPr>
                <w:rStyle w:val="Foreign"/>
                <w:b/>
                <w:bCs/>
              </w:rPr>
              <w:t>maṅapus</w:t>
            </w:r>
            <w:r>
              <w:tab/>
              <w:t>twist ropes</w:t>
            </w:r>
          </w:p>
          <w:p w14:paraId="62F5EF47" w14:textId="77777777">
            <w:pPr>
              <w:pStyle w:val="Tabletext"/>
            </w:pPr>
            <w:r>
              <w:t xml:space="preserve">    </w:t>
            </w:r>
            <w:r>
              <w:rPr>
                <w:rStyle w:val="Foreign"/>
                <w:b/>
                <w:bCs/>
              </w:rPr>
              <w:t>maṅubar</w:t>
            </w:r>
            <w:r>
              <w:tab/>
              <w:t>dye red</w:t>
            </w:r>
          </w:p>
          <w:p w14:paraId="0FE95EA6" w14:textId="77777777">
            <w:pPr>
              <w:pStyle w:val="Tabletext"/>
            </w:pPr>
            <w:r>
              <w:t xml:space="preserve">    ...</w:t>
            </w:r>
          </w:p>
          <w:p w14:paraId="06E0B058" w14:textId="77777777">
            <w:pPr>
              <w:pStyle w:val="Tabletext"/>
            </w:pPr>
            <w:r>
              <w:t xml:space="preserve">Only the </w:t>
            </w:r>
            <w:r>
              <w:rPr>
                <w:rStyle w:val="Foreign"/>
              </w:rPr>
              <w:t>rakryān</w:t>
            </w:r>
            <w:r>
              <w:t xml:space="preserve"> founder of the freehold herself shall have authority over all its royal revenues.</w:t>
            </w:r>
          </w:p>
        </w:tc>
      </w:tr>
    </w:tbl>
    <w:p w14:paraId="62FEF4AE" w14:textId="77777777"/>
    <w:p w14:paraId="69FDA308" w14:textId="77777777">
      <w:pPr>
        <w:pStyle w:val="Cmsor4"/>
      </w:pPr>
      <w:r>
        <w:t>Multi-level lists</w:t>
      </w:r>
    </w:p>
    <w:p w14:paraId="4264525B" w14:textId="0FB81F15">
      <w:pPr>
        <w:rPr>
          <w:lang w:eastAsia="en-US" w:bidi="ar-SA"/>
        </w:rPr>
      </w:pPr>
      <w:r>
        <w:rPr>
          <w:lang w:eastAsia="en-US" w:bidi="ar-SA"/>
        </w:rPr>
        <w:t xml:space="preserve">If and only if you deem this degree of complexity essential for presenting a translation or commentary clearly, lists may be embedded within other lists. Such lists shall be encoded as described below and illustrated in </w:t>
      </w:r>
      <w:r>
        <w:rPr>
          <w:lang w:eastAsia="en-US" w:bidi="ar-SA"/>
        </w:rPr>
        <w:fldChar w:fldCharType="begin"/>
      </w:r>
      <w:r>
        <w:rPr>
          <w:lang w:eastAsia="en-US" w:bidi="ar-SA"/>
        </w:rPr>
        <w:instrText xml:space="preserve"> REF _Ref233646064 \h </w:instrText>
      </w:r>
      <w:r>
        <w:rPr>
          <w:lang w:eastAsia="en-US" w:bidi="ar-SA"/>
        </w:rPr>
      </w:r>
      <w:r>
        <w:rPr>
          <w:lang w:eastAsia="en-US" w:bidi="ar-SA"/>
        </w:rPr>
        <w:fldChar w:fldCharType="separate"/>
      </w:r>
      <w:r>
        <w:t xml:space="preserve">Exhibit </w:t>
      </w:r>
      <w:r>
        <w:rPr>
          <w:noProof/>
        </w:rPr>
        <w:t>14.3</w:t>
      </w:r>
      <w:r>
        <w:t>.</w:t>
      </w:r>
      <w:r>
        <w:rPr>
          <w:noProof/>
        </w:rPr>
        <w:t>C</w:t>
      </w:r>
      <w:r>
        <w:rPr>
          <w:lang w:eastAsia="en-US" w:bidi="ar-SA"/>
        </w:rPr>
        <w:fldChar w:fldCharType="end"/>
      </w:r>
      <w:r>
        <w:rPr>
          <w:lang w:eastAsia="en-US" w:bidi="ar-SA"/>
        </w:rPr>
        <w:t>.</w:t>
      </w:r>
    </w:p>
    <w:p w14:paraId="1DB84ED8" w14:textId="77777777">
      <w:pPr>
        <w:pStyle w:val="Lista"/>
      </w:pPr>
      <w:r>
        <w:t xml:space="preserve">within any </w:t>
      </w:r>
      <w:r>
        <w:rPr>
          <w:rStyle w:val="Code"/>
        </w:rPr>
        <w:t>&lt;item&gt;</w:t>
      </w:r>
      <w:r>
        <w:t xml:space="preserve"> of a list, create another </w:t>
      </w:r>
      <w:r>
        <w:rPr>
          <w:rStyle w:val="Code"/>
        </w:rPr>
        <w:t>&lt;list&gt;</w:t>
      </w:r>
      <w:r>
        <w:t xml:space="preserve"> element containing items in turn</w:t>
      </w:r>
    </w:p>
    <w:p w14:paraId="42B56985" w14:textId="77777777"/>
    <w:tbl>
      <w:tblPr>
        <w:tblStyle w:val="CodeSampleTable"/>
        <w:tblW w:w="5000" w:type="pct"/>
        <w:tblLook w:val="04A0" w:firstRow="1" w:lastRow="0" w:firstColumn="1" w:lastColumn="0" w:noHBand="0" w:noVBand="1"/>
      </w:tblPr>
      <w:tblGrid>
        <w:gridCol w:w="9628"/>
      </w:tblGrid>
      <w:tr w14:paraId="77558395"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49DDDDF" w14:textId="1435CAF5">
            <w:pPr>
              <w:pStyle w:val="Kpalrs"/>
            </w:pPr>
            <w:bookmarkStart w:id="974" w:name="_Ref233646064"/>
            <w:r>
              <w:lastRenderedPageBreak/>
              <w:t xml:space="preserve">Exhibit </w:t>
            </w:r>
            <w:fldSimple w:instr=" STYLEREF 2 \s ">
              <w:r>
                <w:rPr>
                  <w:noProof/>
                </w:rPr>
                <w:t>14.3</w:t>
              </w:r>
            </w:fldSimple>
            <w:r>
              <w:t>.</w:t>
            </w:r>
            <w:fldSimple w:instr=" SEQ Exhibit \* ALPHABETIC \s 2 ">
              <w:r>
                <w:rPr>
                  <w:noProof/>
                </w:rPr>
                <w:t>C</w:t>
              </w:r>
            </w:fldSimple>
            <w:bookmarkEnd w:id="974"/>
            <w:r>
              <w:t>: encoding a multi-level list</w:t>
            </w:r>
          </w:p>
        </w:tc>
      </w:tr>
      <w:tr w14:paraId="73B7E370" w14:textId="77777777">
        <w:tc>
          <w:tcPr>
            <w:tcW w:w="5000" w:type="pct"/>
          </w:tcPr>
          <w:p w14:paraId="26A5E796" w14:textId="77777777">
            <w:pPr>
              <w:pStyle w:val="CodeParagraph"/>
              <w:keepNext/>
              <w:rPr>
                <w:rStyle w:val="Code"/>
              </w:rPr>
            </w:pPr>
            <w:r>
              <w:rPr>
                <w:rStyle w:val="Code"/>
              </w:rPr>
              <w:t xml:space="preserve">&lt;p </w:t>
            </w:r>
            <w:r>
              <w:rPr>
                <w:rStyle w:val="Codeattribute"/>
              </w:rPr>
              <w:t>n=</w:t>
            </w:r>
            <w:r>
              <w:rPr>
                <w:rStyle w:val="Codevalue"/>
              </w:rPr>
              <w:t>"4r11-4r20"</w:t>
            </w:r>
            <w:r>
              <w:rPr>
                <w:rStyle w:val="Code"/>
              </w:rPr>
              <w:t>&gt;</w:t>
            </w:r>
            <w:r>
              <w:rPr>
                <w:rStyle w:val="Codetext"/>
              </w:rPr>
              <w:t>... No one was left behind in taking part in feasting on the market place of Ālasantan:</w:t>
            </w:r>
            <w:r>
              <w:rPr>
                <w:rStyle w:val="Code"/>
              </w:rPr>
              <w:t xml:space="preserve"> </w:t>
            </w:r>
          </w:p>
          <w:p w14:paraId="45B23418" w14:textId="77777777">
            <w:pPr>
              <w:pStyle w:val="CodeParagraph"/>
              <w:keepNext/>
              <w:rPr>
                <w:rStyle w:val="Code"/>
              </w:rPr>
            </w:pPr>
            <w:r>
              <w:rPr>
                <w:rStyle w:val="Code"/>
              </w:rPr>
              <w:t xml:space="preserve">  &lt;list&gt;</w:t>
            </w:r>
          </w:p>
          <w:p w14:paraId="608544F3" w14:textId="77777777">
            <w:pPr>
              <w:pStyle w:val="CodeParagraph"/>
              <w:keepNext/>
              <w:rPr>
                <w:rStyle w:val="Code"/>
              </w:rPr>
            </w:pPr>
            <w:r>
              <w:rPr>
                <w:rStyle w:val="Code"/>
              </w:rPr>
              <w:t xml:space="preserve">    &lt;item&gt;</w:t>
            </w:r>
            <w:r>
              <w:rPr>
                <w:rStyle w:val="Codetext"/>
              </w:rPr>
              <w:t>being regaled,</w:t>
            </w:r>
            <w:r>
              <w:rPr>
                <w:rStyle w:val="Code"/>
              </w:rPr>
              <w:t>&lt;/item&gt;</w:t>
            </w:r>
          </w:p>
          <w:p w14:paraId="73B2FC03" w14:textId="77777777">
            <w:pPr>
              <w:pStyle w:val="CodeParagraph"/>
              <w:keepNext/>
              <w:rPr>
                <w:rStyle w:val="Code"/>
              </w:rPr>
            </w:pPr>
            <w:r>
              <w:rPr>
                <w:rStyle w:val="Code"/>
              </w:rPr>
              <w:t xml:space="preserve">    &lt;item&gt;</w:t>
            </w:r>
            <w:r>
              <w:rPr>
                <w:rStyle w:val="Codetext"/>
              </w:rPr>
              <w:t>being offered dressed-up rice,</w:t>
            </w:r>
            <w:r>
              <w:rPr>
                <w:rStyle w:val="Code"/>
              </w:rPr>
              <w:t xml:space="preserve">&lt;/item&gt; </w:t>
            </w:r>
          </w:p>
          <w:p w14:paraId="347AE1D9" w14:textId="77777777">
            <w:pPr>
              <w:pStyle w:val="CodeParagraph"/>
              <w:keepNext/>
              <w:rPr>
                <w:rStyle w:val="Code"/>
              </w:rPr>
            </w:pPr>
            <w:r>
              <w:rPr>
                <w:rStyle w:val="Code"/>
              </w:rPr>
              <w:t xml:space="preserve">    &lt;item&gt;</w:t>
            </w:r>
            <w:r>
              <w:rPr>
                <w:rStyle w:val="Codetext"/>
              </w:rPr>
              <w:t>being ladled</w:t>
            </w:r>
          </w:p>
          <w:p w14:paraId="693704E4" w14:textId="77777777">
            <w:pPr>
              <w:pStyle w:val="CodeParagraph"/>
              <w:keepNext/>
              <w:rPr>
                <w:rStyle w:val="Code"/>
              </w:rPr>
            </w:pPr>
            <w:r>
              <w:rPr>
                <w:rStyle w:val="Code"/>
              </w:rPr>
              <w:t xml:space="preserve">      &lt;list </w:t>
            </w:r>
            <w:r>
              <w:rPr>
                <w:rStyle w:val="Codeattribute"/>
              </w:rPr>
              <w:t>rend=</w:t>
            </w:r>
            <w:r>
              <w:rPr>
                <w:rStyle w:val="Codevalue"/>
              </w:rPr>
              <w:t>"bulleted"</w:t>
            </w:r>
            <w:r>
              <w:rPr>
                <w:rStyle w:val="Code"/>
              </w:rPr>
              <w:t>&gt;</w:t>
            </w:r>
          </w:p>
          <w:p w14:paraId="7EC38E78" w14:textId="77777777">
            <w:pPr>
              <w:pStyle w:val="CodeParagraph"/>
              <w:keepNext/>
              <w:rPr>
                <w:rStyle w:val="Code"/>
              </w:rPr>
            </w:pPr>
            <w:r>
              <w:rPr>
                <w:rStyle w:val="Code"/>
              </w:rPr>
              <w:t xml:space="preserve">        &lt;item&gt;</w:t>
            </w:r>
            <w:r>
              <w:rPr>
                <w:rStyle w:val="Codetext"/>
              </w:rPr>
              <w:t>cooked foods,</w:t>
            </w:r>
            <w:r>
              <w:rPr>
                <w:rStyle w:val="Code"/>
              </w:rPr>
              <w:t>&lt;/item&gt;</w:t>
            </w:r>
          </w:p>
          <w:p w14:paraId="2F3D8429" w14:textId="77777777">
            <w:pPr>
              <w:pStyle w:val="CodeParagraph"/>
              <w:keepNext/>
              <w:rPr>
                <w:rStyle w:val="Code"/>
              </w:rPr>
            </w:pPr>
            <w:r>
              <w:rPr>
                <w:rStyle w:val="Code"/>
              </w:rPr>
              <w:t xml:space="preserve">        &lt;item&gt;</w:t>
            </w:r>
            <w:r>
              <w:rPr>
                <w:rStyle w:val="Codetext"/>
              </w:rPr>
              <w:t>snacks,</w:t>
            </w:r>
            <w:r>
              <w:rPr>
                <w:rStyle w:val="Code"/>
              </w:rPr>
              <w:t>&lt;/item&gt;</w:t>
            </w:r>
          </w:p>
          <w:p w14:paraId="6603E864" w14:textId="77777777">
            <w:pPr>
              <w:pStyle w:val="CodeParagraph"/>
              <w:keepNext/>
              <w:rPr>
                <w:rStyle w:val="Code"/>
              </w:rPr>
            </w:pPr>
            <w:r>
              <w:rPr>
                <w:rStyle w:val="Code"/>
              </w:rPr>
              <w:t xml:space="preserve">        &lt;item&gt;&lt;foreign&gt;</w:t>
            </w:r>
            <w:r>
              <w:rPr>
                <w:rStyle w:val="Codetext"/>
              </w:rPr>
              <w:t>kasyan</w:t>
            </w:r>
            <w:r>
              <w:rPr>
                <w:rStyle w:val="Code"/>
              </w:rPr>
              <w:t>&lt;/foreign&gt;</w:t>
            </w:r>
            <w:r>
              <w:rPr>
                <w:rStyle w:val="Codetext"/>
              </w:rPr>
              <w:t>,</w:t>
            </w:r>
            <w:r>
              <w:rPr>
                <w:rStyle w:val="Code"/>
              </w:rPr>
              <w:t>&lt;/item&gt;</w:t>
            </w:r>
          </w:p>
          <w:p w14:paraId="3EF739D1" w14:textId="77777777">
            <w:pPr>
              <w:pStyle w:val="CodeParagraph"/>
              <w:keepNext/>
              <w:rPr>
                <w:rStyle w:val="Code"/>
              </w:rPr>
            </w:pPr>
            <w:r>
              <w:rPr>
                <w:rStyle w:val="Code"/>
              </w:rPr>
              <w:t xml:space="preserve">      &lt;/list&gt;</w:t>
            </w:r>
          </w:p>
          <w:p w14:paraId="2D71D993" w14:textId="77777777">
            <w:pPr>
              <w:pStyle w:val="CodeParagraph"/>
              <w:keepNext/>
              <w:rPr>
                <w:rStyle w:val="Code"/>
              </w:rPr>
            </w:pPr>
            <w:r>
              <w:rPr>
                <w:rStyle w:val="Code"/>
              </w:rPr>
              <w:t xml:space="preserve">    &lt;/item&gt;</w:t>
            </w:r>
          </w:p>
          <w:p w14:paraId="03B49D4B" w14:textId="77777777">
            <w:pPr>
              <w:pStyle w:val="CodeParagraph"/>
              <w:keepNext/>
              <w:rPr>
                <w:rStyle w:val="Code"/>
              </w:rPr>
            </w:pPr>
            <w:r>
              <w:rPr>
                <w:rStyle w:val="Code"/>
              </w:rPr>
              <w:t xml:space="preserve">    &lt;item&gt;</w:t>
            </w:r>
            <w:r>
              <w:rPr>
                <w:rStyle w:val="Codetext"/>
              </w:rPr>
              <w:t>being relaxed with liquor,</w:t>
            </w:r>
            <w:r>
              <w:rPr>
                <w:rStyle w:val="Code"/>
              </w:rPr>
              <w:t xml:space="preserve"> &lt;foreign&gt;</w:t>
            </w:r>
            <w:r>
              <w:rPr>
                <w:rStyle w:val="Codetext"/>
              </w:rPr>
              <w:t>atak</w:t>
            </w:r>
            <w:r>
              <w:rPr>
                <w:rStyle w:val="Code"/>
              </w:rPr>
              <w:t xml:space="preserve">&lt;/foreign&gt; &lt;supplied </w:t>
            </w:r>
            <w:r>
              <w:rPr>
                <w:rStyle w:val="Codeattribute"/>
              </w:rPr>
              <w:t>reason=</w:t>
            </w:r>
            <w:r>
              <w:rPr>
                <w:rStyle w:val="Codevalue"/>
              </w:rPr>
              <w:t>"subaudible"</w:t>
            </w:r>
            <w:r>
              <w:rPr>
                <w:rStyle w:val="Code"/>
              </w:rPr>
              <w:t>&gt;</w:t>
            </w:r>
            <w:r>
              <w:rPr>
                <w:rStyle w:val="Codetext"/>
              </w:rPr>
              <w:t>and</w:t>
            </w:r>
            <w:r>
              <w:rPr>
                <w:rStyle w:val="Code"/>
              </w:rPr>
              <w:t>&lt;/supplied&gt;</w:t>
            </w:r>
            <w:r>
              <w:rPr>
                <w:rStyle w:val="Codetext"/>
              </w:rPr>
              <w:t xml:space="preserve"> milk</w:t>
            </w:r>
            <w:r>
              <w:rPr>
                <w:rStyle w:val="Code"/>
              </w:rPr>
              <w:t>&lt;/item&gt;</w:t>
            </w:r>
          </w:p>
          <w:p w14:paraId="43030543" w14:textId="77777777">
            <w:pPr>
              <w:pStyle w:val="CodeParagraph"/>
              <w:keepNext/>
              <w:rPr>
                <w:rStyle w:val="Code"/>
              </w:rPr>
            </w:pPr>
            <w:r>
              <w:rPr>
                <w:rStyle w:val="Code"/>
              </w:rPr>
              <w:t xml:space="preserve">  &lt;/list&gt;</w:t>
            </w:r>
          </w:p>
          <w:p w14:paraId="65EDABF6" w14:textId="77777777">
            <w:pPr>
              <w:pStyle w:val="CodeParagraph"/>
              <w:keepNext/>
              <w:rPr>
                <w:rStyle w:val="Codetext"/>
              </w:rPr>
            </w:pPr>
            <w:r>
              <w:rPr>
                <w:rStyle w:val="Codetext"/>
              </w:rPr>
              <w:t xml:space="preserve">  The total of containers per</w:t>
            </w:r>
            <w:r>
              <w:rPr>
                <w:rStyle w:val="Code"/>
              </w:rPr>
              <w:t xml:space="preserve"> &lt;supplied </w:t>
            </w:r>
            <w:r>
              <w:rPr>
                <w:rStyle w:val="Codeattribute"/>
              </w:rPr>
              <w:t>reason=</w:t>
            </w:r>
            <w:r>
              <w:rPr>
                <w:rStyle w:val="Codevalue"/>
              </w:rPr>
              <w:t>"subaudible"</w:t>
            </w:r>
            <w:r>
              <w:rPr>
                <w:rStyle w:val="Code"/>
              </w:rPr>
              <w:t>&gt;</w:t>
            </w:r>
            <w:r>
              <w:rPr>
                <w:rStyle w:val="Codetext"/>
              </w:rPr>
              <w:t>banana</w:t>
            </w:r>
            <w:r>
              <w:rPr>
                <w:rStyle w:val="Code"/>
              </w:rPr>
              <w:t>&lt;/supplied&gt;</w:t>
            </w:r>
            <w:r>
              <w:rPr>
                <w:rStyle w:val="Codetext"/>
              </w:rPr>
              <w:t xml:space="preserve"> leaf was nine, apart from the fish. ...</w:t>
            </w:r>
          </w:p>
          <w:p w14:paraId="69EAE74A" w14:textId="77777777">
            <w:pPr>
              <w:pStyle w:val="CodeParagraph"/>
              <w:keepNext/>
              <w:rPr>
                <w:rStyle w:val="Code"/>
              </w:rPr>
            </w:pPr>
            <w:r>
              <w:rPr>
                <w:rStyle w:val="Code"/>
              </w:rPr>
              <w:t>&lt;/p&gt;</w:t>
            </w:r>
          </w:p>
        </w:tc>
      </w:tr>
      <w:tr w14:paraId="79ED3A51" w14:textId="77777777">
        <w:tc>
          <w:tcPr>
            <w:tcW w:w="5000" w:type="pct"/>
          </w:tcPr>
          <w:p w14:paraId="709D2C8E" w14:textId="77777777">
            <w:pPr>
              <w:pStyle w:val="TableNote"/>
            </w:pPr>
            <w:r>
              <w:t>display:</w:t>
            </w:r>
          </w:p>
          <w:p w14:paraId="58C340F1" w14:textId="77777777">
            <w:pPr>
              <w:pStyle w:val="Tabletext"/>
            </w:pPr>
            <w:r>
              <w:t>No one was left behind in taking part in feasting on the market place of Ālasantan:</w:t>
            </w:r>
          </w:p>
          <w:p w14:paraId="559F330B" w14:textId="77777777">
            <w:pPr>
              <w:pStyle w:val="Tabletext"/>
            </w:pPr>
            <w:r>
              <w:t xml:space="preserve">    being regaled,</w:t>
            </w:r>
          </w:p>
          <w:p w14:paraId="57761080" w14:textId="77777777">
            <w:pPr>
              <w:pStyle w:val="Tabletext"/>
            </w:pPr>
            <w:r>
              <w:t xml:space="preserve">    being offered dressed-up rice,</w:t>
            </w:r>
          </w:p>
          <w:p w14:paraId="6763E0BB" w14:textId="77777777">
            <w:pPr>
              <w:pStyle w:val="Tabletext"/>
            </w:pPr>
            <w:r>
              <w:t xml:space="preserve">    being ladled:</w:t>
            </w:r>
          </w:p>
          <w:p w14:paraId="7DB144CA" w14:textId="77777777">
            <w:pPr>
              <w:pStyle w:val="Tabletext"/>
              <w:numPr>
                <w:ilvl w:val="0"/>
                <w:numId w:val="16"/>
              </w:numPr>
            </w:pPr>
            <w:r>
              <w:t>cooked foods,</w:t>
            </w:r>
          </w:p>
          <w:p w14:paraId="14A8F7F1" w14:textId="77777777">
            <w:pPr>
              <w:pStyle w:val="Tabletext"/>
              <w:numPr>
                <w:ilvl w:val="0"/>
                <w:numId w:val="16"/>
              </w:numPr>
            </w:pPr>
            <w:r>
              <w:t>snacks,</w:t>
            </w:r>
          </w:p>
          <w:p w14:paraId="313C8416" w14:textId="77777777">
            <w:pPr>
              <w:pStyle w:val="Tabletext"/>
              <w:numPr>
                <w:ilvl w:val="0"/>
                <w:numId w:val="16"/>
              </w:numPr>
            </w:pPr>
            <w:r>
              <w:rPr>
                <w:rStyle w:val="Foreign"/>
              </w:rPr>
              <w:t>kasyan</w:t>
            </w:r>
            <w:r>
              <w:t>,</w:t>
            </w:r>
          </w:p>
          <w:p w14:paraId="79A407EC" w14:textId="77777777">
            <w:pPr>
              <w:pStyle w:val="Tabletext"/>
            </w:pPr>
            <w:r>
              <w:t xml:space="preserve">being relaxed with liquor, </w:t>
            </w:r>
            <w:r>
              <w:rPr>
                <w:rStyle w:val="Foreign"/>
              </w:rPr>
              <w:t>atak</w:t>
            </w:r>
            <w:r>
              <w:t xml:space="preserve"> </w:t>
            </w:r>
            <w:r>
              <w:rPr>
                <w:rFonts w:ascii="Cambria Math" w:hAnsi="Cambria Math" w:cs="Cambria Math"/>
              </w:rPr>
              <w:t>⟨</w:t>
            </w:r>
            <w:r>
              <w:t>and</w:t>
            </w:r>
            <w:r>
              <w:rPr>
                <w:rFonts w:ascii="Cambria Math" w:hAnsi="Cambria Math" w:cs="Cambria Math"/>
              </w:rPr>
              <w:t>⟩</w:t>
            </w:r>
            <w:r>
              <w:t xml:space="preserve"> milk</w:t>
            </w:r>
          </w:p>
          <w:p w14:paraId="24D0D0F6" w14:textId="77777777">
            <w:pPr>
              <w:pStyle w:val="Tabletext"/>
            </w:pPr>
            <w:r>
              <w:t xml:space="preserve">The total of containers per </w:t>
            </w:r>
            <w:r>
              <w:rPr>
                <w:rFonts w:ascii="Cambria Math" w:hAnsi="Cambria Math" w:cs="Cambria Math"/>
              </w:rPr>
              <w:t>⟨</w:t>
            </w:r>
            <w:r>
              <w:t>banana</w:t>
            </w:r>
            <w:r>
              <w:rPr>
                <w:rFonts w:ascii="Cambria Math" w:hAnsi="Cambria Math" w:cs="Cambria Math"/>
              </w:rPr>
              <w:t>⟩</w:t>
            </w:r>
            <w:r>
              <w:t xml:space="preserve"> leaf was nine, apart from the fish. ...</w:t>
            </w:r>
          </w:p>
        </w:tc>
      </w:tr>
    </w:tbl>
    <w:p w14:paraId="1CE3242C" w14:textId="77777777"/>
    <w:p w14:paraId="50EF7171" w14:textId="77777777">
      <w:pPr>
        <w:pStyle w:val="Cmsor2"/>
      </w:pPr>
      <w:bookmarkStart w:id="975" w:name="_4euu8urmvkq9" w:colFirst="0" w:colLast="0"/>
      <w:bookmarkStart w:id="976" w:name="_Toc242889646"/>
      <w:bookmarkEnd w:id="975"/>
      <w:r>
        <w:t>Languages</w:t>
      </w:r>
      <w:bookmarkEnd w:id="976"/>
    </w:p>
    <w:p w14:paraId="0CDFE481" w14:textId="77777777">
      <w:pPr>
        <w:pStyle w:val="Cmsor3"/>
      </w:pPr>
      <w:bookmarkStart w:id="977" w:name="_wp8hx3ov5ccr" w:colFirst="0" w:colLast="0"/>
      <w:bookmarkStart w:id="978" w:name="_Ref233727317"/>
      <w:bookmarkStart w:id="979" w:name="_Toc242889647"/>
      <w:bookmarkEnd w:id="977"/>
      <w:r>
        <w:t>Encoding language</w:t>
      </w:r>
      <w:bookmarkEnd w:id="978"/>
      <w:bookmarkEnd w:id="979"/>
    </w:p>
    <w:p w14:paraId="044DE449" w14:textId="348146B1">
      <w:pPr>
        <w:rPr>
          <w:lang w:eastAsia="en-US" w:bidi="ar-SA"/>
        </w:rPr>
      </w:pPr>
      <w:r>
        <w:t xml:space="preserve">The language of the contents of any XML element may be specified using the attribute </w:t>
      </w:r>
      <w:r>
        <w:rPr>
          <w:rStyle w:val="Codeattribute"/>
        </w:rPr>
        <w:t>@xml:lang</w:t>
      </w:r>
      <w:r>
        <w:t>. In DHARMA practice the permitted values of this attribute shall be ISO language tags, to be used as described in §</w:t>
      </w:r>
      <w:r>
        <w:fldChar w:fldCharType="begin"/>
      </w:r>
      <w:r>
        <w:instrText xml:space="preserve"> REF _Ref233793597 \r \h </w:instrText>
      </w:r>
      <w:r>
        <w:fldChar w:fldCharType="separate"/>
      </w:r>
      <w:r>
        <w:t>14.4.1.1</w:t>
      </w:r>
      <w:r>
        <w:fldChar w:fldCharType="end"/>
      </w:r>
      <w:r>
        <w:t>.</w:t>
      </w:r>
    </w:p>
    <w:p w14:paraId="3B3B7992" w14:textId="77777777">
      <w:pPr>
        <w:pStyle w:val="Lista"/>
      </w:pPr>
      <w:r>
        <w:t xml:space="preserve">when an XML element’s language has been encoded with </w:t>
      </w:r>
      <w:r>
        <w:rPr>
          <w:rStyle w:val="Codeattribute"/>
        </w:rPr>
        <w:t>@xml:lang</w:t>
      </w:r>
      <w:r>
        <w:t>, all descendants of that element are understood to inherit its language unless otherwise encoded</w:t>
      </w:r>
    </w:p>
    <w:p w14:paraId="73B3A097" w14:textId="355526AC">
      <w:pPr>
        <w:pStyle w:val="Lista"/>
      </w:pPr>
      <w:r>
        <w:t xml:space="preserve">the </w:t>
      </w:r>
      <w:r>
        <w:rPr>
          <w:rStyle w:val="Code"/>
        </w:rPr>
        <w:t>&lt;TEI&gt;</w:t>
      </w:r>
      <w:r>
        <w:t xml:space="preserve"> container </w:t>
      </w:r>
      <w:r>
        <w:rPr>
          <w:noProof/>
        </w:rPr>
        <w:t>(</w:t>
      </w:r>
      <w:r>
        <w:t>§</w:t>
      </w:r>
      <w:r>
        <w:fldChar w:fldCharType="begin"/>
      </w:r>
      <w:r>
        <w:instrText xml:space="preserve"> REF _Ref43990558 \r \h  \* MERGEFORMAT </w:instrText>
      </w:r>
      <w:r>
        <w:fldChar w:fldCharType="separate"/>
      </w:r>
      <w:r>
        <w:t>2.2</w:t>
      </w:r>
      <w:r>
        <w:fldChar w:fldCharType="end"/>
      </w:r>
      <w:r>
        <w:t>) of our entire XML documents specifies English as the language of the document, which is thus by default inherited by everything in the document</w:t>
      </w:r>
    </w:p>
    <w:p w14:paraId="4D24B6CB" w14:textId="77777777">
      <w:pPr>
        <w:pStyle w:val="Lista"/>
      </w:pPr>
      <w:r>
        <w:t xml:space="preserve">when a structural unit of the document is in another language, the attribute </w:t>
      </w:r>
      <w:r>
        <w:rPr>
          <w:rStyle w:val="Codeattribute"/>
        </w:rPr>
        <w:t>@xml:lang</w:t>
      </w:r>
      <w:r>
        <w:t xml:space="preserve"> must be added to the start-tag of the corresponding structural element to specify the language:</w:t>
      </w:r>
    </w:p>
    <w:p w14:paraId="14855FFE" w14:textId="4A711BD5">
      <w:pPr>
        <w:pStyle w:val="Lista2"/>
      </w:pPr>
      <w:r>
        <w:t>the edition division of our XML files must normally be set to the primary source language as per §</w:t>
      </w:r>
      <w:r>
        <w:fldChar w:fldCharType="begin"/>
      </w:r>
      <w:r>
        <w:instrText xml:space="preserve"> REF _Ref231978649 \r \h </w:instrText>
      </w:r>
      <w:r>
        <w:fldChar w:fldCharType="separate"/>
      </w:r>
      <w:r>
        <w:t>8.1.1</w:t>
      </w:r>
      <w:r>
        <w:fldChar w:fldCharType="end"/>
      </w:r>
    </w:p>
    <w:p w14:paraId="5BC0495F" w14:textId="3A2884F0">
      <w:pPr>
        <w:pStyle w:val="Lista3"/>
      </w:pPr>
      <w:r>
        <w:t>parts of the edition which are in a different source language must be encoded as per §</w:t>
      </w:r>
      <w:r>
        <w:fldChar w:fldCharType="begin"/>
      </w:r>
      <w:r>
        <w:instrText xml:space="preserve"> REF _Ref231974552 \r \h </w:instrText>
      </w:r>
      <w:r>
        <w:fldChar w:fldCharType="separate"/>
      </w:r>
      <w:r>
        <w:t>8.2.3</w:t>
      </w:r>
      <w:r>
        <w:fldChar w:fldCharType="end"/>
      </w:r>
    </w:p>
    <w:p w14:paraId="7ACBA0E4" w14:textId="791836CC">
      <w:pPr>
        <w:pStyle w:val="Lista3"/>
      </w:pPr>
      <w:r>
        <w:t>editorial additions to the source document, such as headings (§</w:t>
      </w:r>
      <w:r>
        <w:fldChar w:fldCharType="begin"/>
      </w:r>
      <w:r>
        <w:instrText xml:space="preserve"> REF _Ref225177909 \r \h </w:instrText>
      </w:r>
      <w:r>
        <w:fldChar w:fldCharType="separate"/>
      </w:r>
      <w:r>
        <w:t>4.2.1.3</w:t>
      </w:r>
      <w:r>
        <w:fldChar w:fldCharType="end"/>
      </w:r>
      <w:r>
        <w:t>) and labels (§</w:t>
      </w:r>
      <w:r>
        <w:fldChar w:fldCharType="begin"/>
      </w:r>
      <w:r>
        <w:instrText xml:space="preserve"> REF _Ref182299869 \r \h </w:instrText>
      </w:r>
      <w:r>
        <w:fldChar w:fldCharType="separate"/>
      </w:r>
      <w:r>
        <w:t>4.4.3.2</w:t>
      </w:r>
      <w:r>
        <w:fldChar w:fldCharType="end"/>
      </w:r>
      <w:r>
        <w:t>) must be explicitly encoded as English, as by default they inherit the language of the edition</w:t>
      </w:r>
    </w:p>
    <w:p w14:paraId="70E853CB" w14:textId="2FC3FB73">
      <w:pPr>
        <w:pStyle w:val="Lista2"/>
      </w:pPr>
      <w:r>
        <w:t>language must be explicitly encoded for the translation division(s) of our files (§</w:t>
      </w:r>
      <w:r>
        <w:fldChar w:fldCharType="begin"/>
      </w:r>
      <w:r>
        <w:instrText xml:space="preserve"> REF _Ref233722818 \r \h </w:instrText>
      </w:r>
      <w:r>
        <w:fldChar w:fldCharType="separate"/>
      </w:r>
      <w:r>
        <w:t>11.1</w:t>
      </w:r>
      <w:r>
        <w:fldChar w:fldCharType="end"/>
      </w:r>
      <w:r>
        <w:t>), except for translations into English, in which case no language attribute is needed, since English is inherited</w:t>
      </w:r>
    </w:p>
    <w:p w14:paraId="1BE39473" w14:textId="5ECA3C53">
      <w:pPr>
        <w:pStyle w:val="Lista2"/>
      </w:pPr>
      <w:r>
        <w:t>the language of the critical apparatus (§</w:t>
      </w:r>
      <w:r>
        <w:fldChar w:fldCharType="begin"/>
      </w:r>
      <w:r>
        <w:instrText xml:space="preserve"> REF _Ref43978773 \r \h </w:instrText>
      </w:r>
      <w:r>
        <w:fldChar w:fldCharType="separate"/>
      </w:r>
      <w:r>
        <w:t>10</w:t>
      </w:r>
      <w:r>
        <w:fldChar w:fldCharType="end"/>
      </w:r>
      <w:r>
        <w:t>) is English as inherited, while lemmas and readings cited in the apparatus are understood to be in the primary source language encoded on the edition (even though by pure computer logic they too inherit the English language)</w:t>
      </w:r>
    </w:p>
    <w:p w14:paraId="04C2C371" w14:textId="77777777">
      <w:pPr>
        <w:pStyle w:val="Lista"/>
      </w:pPr>
      <w:r>
        <w:t xml:space="preserve">anywhere outside the edition division, any pre-existing structural container </w:t>
      </w:r>
      <w:r>
        <w:rPr>
          <w:noProof/>
        </w:rPr>
        <w:t>(</w:t>
      </w:r>
      <w:r>
        <w:t xml:space="preserve">e.g. </w:t>
      </w:r>
      <w:r>
        <w:rPr>
          <w:rStyle w:val="Code"/>
        </w:rPr>
        <w:t>&lt;note&gt;</w:t>
      </w:r>
      <w:r>
        <w:t xml:space="preserve">, </w:t>
      </w:r>
      <w:r>
        <w:rPr>
          <w:rStyle w:val="Code"/>
        </w:rPr>
        <w:t>&lt;p&gt;</w:t>
      </w:r>
      <w:r>
        <w:t xml:space="preserve"> and </w:t>
      </w:r>
      <w:r>
        <w:rPr>
          <w:rStyle w:val="Code"/>
        </w:rPr>
        <w:t>&lt;q&gt;</w:t>
      </w:r>
      <w:r>
        <w:t xml:space="preserve">) shall be tagged with </w:t>
      </w:r>
      <w:r>
        <w:rPr>
          <w:rStyle w:val="Codeattribute"/>
        </w:rPr>
        <w:t>@xml:lang</w:t>
      </w:r>
      <w:r>
        <w:t xml:space="preserve"> if the language of its contents differs from the language of its containing element</w:t>
      </w:r>
    </w:p>
    <w:p w14:paraId="3ED07A5A" w14:textId="34C61201">
      <w:pPr>
        <w:pStyle w:val="Lista"/>
      </w:pPr>
      <w:r>
        <w:lastRenderedPageBreak/>
        <w:t xml:space="preserve">where a word, phrase or other short sequence is in a language other than the language of its containing element, this sequence shall be tagged with </w:t>
      </w:r>
      <w:r>
        <w:rPr>
          <w:rStyle w:val="Code"/>
        </w:rPr>
        <w:t>&lt;foreign&gt;</w:t>
      </w:r>
      <w:r>
        <w:t xml:space="preserve"> as per §</w:t>
      </w:r>
      <w:r>
        <w:fldChar w:fldCharType="begin"/>
      </w:r>
      <w:r>
        <w:instrText xml:space="preserve"> REF _Ref43986658 \r \h </w:instrText>
      </w:r>
      <w:r>
        <w:fldChar w:fldCharType="separate"/>
      </w:r>
      <w:r>
        <w:t>14.4.2</w:t>
      </w:r>
      <w:r>
        <w:fldChar w:fldCharType="end"/>
      </w:r>
      <w:r>
        <w:t xml:space="preserve">, with or without </w:t>
      </w:r>
      <w:r>
        <w:rPr>
          <w:rStyle w:val="Codeattribute"/>
        </w:rPr>
        <w:t>@xml:lang</w:t>
      </w:r>
    </w:p>
    <w:p w14:paraId="5EF2A04A" w14:textId="77777777">
      <w:pPr>
        <w:pStyle w:val="Cmsor4"/>
      </w:pPr>
      <w:bookmarkStart w:id="980" w:name="_Ref233792736"/>
      <w:bookmarkStart w:id="981" w:name="_Ref233793597"/>
      <w:r>
        <w:t>ISO language tags and script subtags</w:t>
      </w:r>
      <w:bookmarkEnd w:id="980"/>
      <w:bookmarkEnd w:id="981"/>
    </w:p>
    <w:p w14:paraId="1CFC2FAB" w14:textId="77777777">
      <w:pPr>
        <w:pStyle w:val="Lista"/>
      </w:pPr>
      <w:r>
        <w:t xml:space="preserve">for specifying languages by means of </w:t>
      </w:r>
      <w:r>
        <w:rPr>
          <w:rStyle w:val="Codeattribute"/>
        </w:rPr>
        <w:t>@xml:lang</w:t>
      </w:r>
      <w:r>
        <w:t>, the DHARMA project uses the language tags defined by the ISO standard 639-3,</w:t>
      </w:r>
      <w:r>
        <w:rPr>
          <w:rStyle w:val="Lbjegyzet-hivatkozs"/>
        </w:rPr>
        <w:footnoteReference w:id="41"/>
      </w:r>
      <w:r>
        <w:t xml:space="preserve"> with a small number of additions for languages without such a standard tag</w:t>
      </w:r>
    </w:p>
    <w:p w14:paraId="11BD8578" w14:textId="14E5E82C">
      <w:pPr>
        <w:pStyle w:val="Lista2"/>
      </w:pPr>
      <w:r>
        <w:t xml:space="preserve">a dedicated list of the codes relevant to our project is available at </w:t>
      </w:r>
      <w:hyperlink r:id="rId78" w:history="1">
        <w:r>
          <w:rPr>
            <w:rStyle w:val="Hiperhivatkozs"/>
          </w:rPr>
          <w:t>https://github.com/erc-dharma/project-documentation/blob/master/DHARMA_languages.tsv</w:t>
        </w:r>
      </w:hyperlink>
      <w:r>
        <w:t xml:space="preserve"> </w:t>
      </w:r>
    </w:p>
    <w:p w14:paraId="2EB617F9" w14:textId="77777777">
      <w:pPr>
        <w:pStyle w:val="Lista"/>
      </w:pPr>
      <w:r>
        <w:t>script subtags defined by ISO 15924</w:t>
      </w:r>
      <w:r>
        <w:rPr>
          <w:rStyle w:val="Lbjegyzet-hivatkozs"/>
        </w:rPr>
        <w:footnoteReference w:id="42"/>
      </w:r>
      <w:r>
        <w:t xml:space="preserve"> are often subjoined to the language tag with a hyphen as a separator</w:t>
      </w:r>
    </w:p>
    <w:p w14:paraId="1AC27AF5" w14:textId="77777777">
      <w:pPr>
        <w:pStyle w:val="Lista2"/>
      </w:pPr>
      <w:r>
        <w:t xml:space="preserve">in DHARMA practice, the use of script subtags shall be limited to mandatorily adding the suffix </w:t>
      </w:r>
      <w:r>
        <w:rPr>
          <w:rStyle w:val="Codevalue"/>
        </w:rPr>
        <w:t>-Latn</w:t>
      </w:r>
      <w:r>
        <w:t xml:space="preserve"> to the language tag of text originally written in an Indic script and edited in Romanised transliteration </w:t>
      </w:r>
    </w:p>
    <w:p w14:paraId="31F3D821" w14:textId="77777777">
      <w:pPr>
        <w:pStyle w:val="Lista3"/>
      </w:pPr>
      <w:r>
        <w:t xml:space="preserve">e.g. </w:t>
      </w:r>
      <w:r>
        <w:rPr>
          <w:rStyle w:val="Codeattribute"/>
        </w:rPr>
        <w:t>@xml:lang=</w:t>
      </w:r>
      <w:r>
        <w:rPr>
          <w:rStyle w:val="Codevalue"/>
        </w:rPr>
        <w:t>"san-Latn"</w:t>
      </w:r>
      <w:r>
        <w:t xml:space="preserve"> means Sanskrit text in Romanised transliteration</w:t>
      </w:r>
    </w:p>
    <w:p w14:paraId="72B73CA2" w14:textId="77777777">
      <w:pPr>
        <w:pStyle w:val="Lista2"/>
      </w:pPr>
      <w:r>
        <w:t>language tags without a script subtag are by default assumed to be in a script typical for the language; thus, in our practice, modern languages shall be encoded without a script subtag, including</w:t>
      </w:r>
    </w:p>
    <w:p w14:paraId="7A9DFA19" w14:textId="77777777">
      <w:pPr>
        <w:pStyle w:val="Lista3"/>
      </w:pPr>
      <w:r>
        <w:t>modern languages written in some form of the Latin alphabet, such as English and French</w:t>
      </w:r>
    </w:p>
    <w:p w14:paraId="19909CFA" w14:textId="77777777">
      <w:pPr>
        <w:pStyle w:val="Lista4"/>
      </w:pPr>
      <w:r>
        <w:t xml:space="preserve">e.g. </w:t>
      </w:r>
      <w:r>
        <w:rPr>
          <w:rStyle w:val="Codeattribute"/>
        </w:rPr>
        <w:t>@xml:lang=</w:t>
      </w:r>
      <w:r>
        <w:rPr>
          <w:rStyle w:val="Codevalue"/>
        </w:rPr>
        <w:t>"fra"</w:t>
      </w:r>
      <w:r>
        <w:t xml:space="preserve"> means French text written in the form of the Latin alphabet used for French</w:t>
      </w:r>
    </w:p>
    <w:p w14:paraId="5BE2DB17" w14:textId="77777777">
      <w:pPr>
        <w:pStyle w:val="Lista3"/>
      </w:pPr>
      <w:r>
        <w:t>modern south and southeast Asian languages, when cited in the script typically used for that language</w:t>
      </w:r>
    </w:p>
    <w:p w14:paraId="28FBEB02" w14:textId="77777777">
      <w:pPr>
        <w:pStyle w:val="Lista4"/>
      </w:pPr>
      <w:r>
        <w:t xml:space="preserve">e.g. </w:t>
      </w:r>
      <w:r>
        <w:rPr>
          <w:rStyle w:val="Codeattribute"/>
        </w:rPr>
        <w:t>@xml:lang=</w:t>
      </w:r>
      <w:r>
        <w:rPr>
          <w:rStyle w:val="Codevalue"/>
        </w:rPr>
        <w:t>"ind"</w:t>
      </w:r>
      <w:r>
        <w:t xml:space="preserve"> means Bahasa Indonesia written in the form of the Latin alphabet normally used for Bahasa Indonesia, while </w:t>
      </w:r>
      <w:r>
        <w:rPr>
          <w:rStyle w:val="Codeattribute"/>
        </w:rPr>
        <w:t>@xml:lang=</w:t>
      </w:r>
      <w:r>
        <w:rPr>
          <w:rStyle w:val="Codevalue"/>
        </w:rPr>
        <w:t>"tam"</w:t>
      </w:r>
      <w:r>
        <w:t xml:space="preserve"> means Tamil written in the Tamil script</w:t>
      </w:r>
    </w:p>
    <w:p w14:paraId="6373638C" w14:textId="77777777">
      <w:pPr>
        <w:pStyle w:val="Lista"/>
      </w:pPr>
      <w:r>
        <w:t xml:space="preserve">in all cases, script subtags in the value of </w:t>
      </w:r>
      <w:r>
        <w:rPr>
          <w:rStyle w:val="Codeattribute"/>
        </w:rPr>
        <w:t>@xml:lang</w:t>
      </w:r>
      <w:r>
        <w:t xml:space="preserve"> encode the script of the contents of the element bearing this attribute, and not the original script in which the source document was written</w:t>
      </w:r>
    </w:p>
    <w:p w14:paraId="5CBED80F" w14:textId="7520241F">
      <w:pPr>
        <w:pStyle w:val="Lista2"/>
      </w:pPr>
      <w:r>
        <w:t>the encoding of the source script, applicable only to the edition division, is covered in §</w:t>
      </w:r>
      <w:r>
        <w:fldChar w:fldCharType="begin"/>
      </w:r>
      <w:r>
        <w:instrText xml:space="preserve"> REF _Ref231979678 \r \h </w:instrText>
      </w:r>
      <w:r>
        <w:fldChar w:fldCharType="separate"/>
      </w:r>
      <w:r>
        <w:t>8.2</w:t>
      </w:r>
      <w:r>
        <w:fldChar w:fldCharType="end"/>
      </w:r>
      <w:r>
        <w:t xml:space="preserve"> </w:t>
      </w:r>
    </w:p>
    <w:p w14:paraId="2073AE5D" w14:textId="77777777">
      <w:pPr>
        <w:pStyle w:val="Cmsor3"/>
      </w:pPr>
      <w:bookmarkStart w:id="982" w:name="_6pkkdwn5pxyn" w:colFirst="0" w:colLast="0"/>
      <w:bookmarkStart w:id="983" w:name="_Ref43986658"/>
      <w:bookmarkStart w:id="984" w:name="_Toc242889648"/>
      <w:bookmarkEnd w:id="982"/>
      <w:r>
        <w:t>Tagging foreign languages outside the edition</w:t>
      </w:r>
      <w:bookmarkEnd w:id="983"/>
      <w:bookmarkEnd w:id="984"/>
    </w:p>
    <w:p w14:paraId="10F4E361" w14:textId="1994160D">
      <w:pPr>
        <w:rPr>
          <w:lang w:eastAsia="en-US" w:bidi="ar-SA"/>
        </w:rPr>
      </w:pPr>
      <w:r>
        <w:rPr>
          <w:lang w:eastAsia="en-US" w:bidi="ar-SA"/>
        </w:rPr>
        <w:t xml:space="preserve">Segments of text which are in a language different from that of their surroundings and smaller than an already existing block-level container shall be </w:t>
      </w:r>
      <w:r>
        <w:t xml:space="preserve">wrapped in the element </w:t>
      </w:r>
      <w:r>
        <w:rPr>
          <w:rStyle w:val="Code"/>
        </w:rPr>
        <w:t>&lt;foreign&gt;</w:t>
      </w:r>
      <w:r>
        <w:t>. For the use of this element in the edition division, see §</w:t>
      </w:r>
      <w:r>
        <w:fldChar w:fldCharType="begin"/>
      </w:r>
      <w:r>
        <w:instrText xml:space="preserve"> REF _Ref231904363 \r \h </w:instrText>
      </w:r>
      <w:r>
        <w:fldChar w:fldCharType="separate"/>
      </w:r>
      <w:r>
        <w:t>8.1.2.3</w:t>
      </w:r>
      <w:r>
        <w:fldChar w:fldCharType="end"/>
      </w:r>
      <w:r>
        <w:t>. Outside the edition, such segments in a “foreign” language are handled in DHARMA practice as follows.</w:t>
      </w:r>
    </w:p>
    <w:p w14:paraId="1DC3BF8E" w14:textId="6F3D8DD1">
      <w:pPr>
        <w:pStyle w:val="Lista"/>
      </w:pPr>
      <w:r>
        <w:t xml:space="preserve">words or phrases in a modern language other than that of the surrounding text (e.g. a French phrase in an English commentary) must normally be tagged as </w:t>
      </w:r>
      <w:r>
        <w:rPr>
          <w:rStyle w:val="Code"/>
        </w:rPr>
        <w:t>&lt;foreign&gt;</w:t>
      </w:r>
      <w:r>
        <w:t xml:space="preserve"> with the language mandatorily encoded in </w:t>
      </w:r>
      <w:r>
        <w:rPr>
          <w:rStyle w:val="Codeattribute"/>
        </w:rPr>
        <w:t>@xml:lang</w:t>
      </w:r>
      <w:r>
        <w:t xml:space="preserve"> as per §</w:t>
      </w:r>
      <w:r>
        <w:fldChar w:fldCharType="begin"/>
      </w:r>
      <w:r>
        <w:instrText xml:space="preserve"> REF _Ref233727317 \r \h </w:instrText>
      </w:r>
      <w:r>
        <w:fldChar w:fldCharType="separate"/>
      </w:r>
      <w:r>
        <w:t>14.4.1</w:t>
      </w:r>
      <w:r>
        <w:fldChar w:fldCharType="end"/>
      </w:r>
    </w:p>
    <w:p w14:paraId="799870B7" w14:textId="09BE82FF">
      <w:pPr>
        <w:pStyle w:val="Lista2"/>
      </w:pPr>
      <w:r>
        <w:t xml:space="preserve">if the modern foreign language normally uses a non-Latin script, but you cite it in transliteration, then the subtag </w:t>
      </w:r>
      <w:r>
        <w:rPr>
          <w:rStyle w:val="Codevalue"/>
        </w:rPr>
        <w:t>-Latn</w:t>
      </w:r>
      <w:r>
        <w:t xml:space="preserve"> must be added to the language tag as per §</w:t>
      </w:r>
      <w:r>
        <w:fldChar w:fldCharType="begin"/>
      </w:r>
      <w:r>
        <w:instrText xml:space="preserve"> REF _Ref233792736 \r \h </w:instrText>
      </w:r>
      <w:r>
        <w:fldChar w:fldCharType="separate"/>
      </w:r>
      <w:r>
        <w:t>14.4.1.1</w:t>
      </w:r>
      <w:r>
        <w:fldChar w:fldCharType="end"/>
      </w:r>
      <w:r>
        <w:t xml:space="preserve"> </w:t>
      </w:r>
    </w:p>
    <w:p w14:paraId="68291D48" w14:textId="77777777">
      <w:pPr>
        <w:pStyle w:val="Lista2"/>
      </w:pPr>
      <w:r>
        <w:t>however, do not overdo the tagging of international words: e.g. French or Latin loanwords commonly used in English need not be tagged at all</w:t>
      </w:r>
    </w:p>
    <w:p w14:paraId="0C55364A" w14:textId="77777777">
      <w:pPr>
        <w:pStyle w:val="Lista3"/>
      </w:pPr>
      <w:r>
        <w:t xml:space="preserve">as a rule of thumb, if you would italicise a foreign word in print, then tag it as </w:t>
      </w:r>
      <w:r>
        <w:rPr>
          <w:rStyle w:val="Code"/>
        </w:rPr>
        <w:t>&lt;foreign&gt;</w:t>
      </w:r>
      <w:r>
        <w:t xml:space="preserve"> (which will in fact be displayed in italics)</w:t>
      </w:r>
    </w:p>
    <w:p w14:paraId="3C107446" w14:textId="77777777">
      <w:pPr>
        <w:pStyle w:val="Lista"/>
      </w:pPr>
      <w:r>
        <w:t>when words or phrases from one of our project’s source languages (especially from the language[s] of the text being edited and Sanskrit) are used in a modern-language context, then</w:t>
      </w:r>
    </w:p>
    <w:p w14:paraId="5E496E88" w14:textId="77777777">
      <w:pPr>
        <w:pStyle w:val="Lista2"/>
      </w:pPr>
      <w:r>
        <w:t xml:space="preserve">mandatorily tag them as </w:t>
      </w:r>
      <w:r>
        <w:rPr>
          <w:rStyle w:val="Code"/>
        </w:rPr>
        <w:t>&lt;foreign&gt;</w:t>
      </w:r>
    </w:p>
    <w:p w14:paraId="42222DB9" w14:textId="77777777">
      <w:pPr>
        <w:pStyle w:val="Lista2"/>
      </w:pPr>
      <w:r>
        <w:t xml:space="preserve">while encoding their language with </w:t>
      </w:r>
      <w:r>
        <w:rPr>
          <w:rStyle w:val="Codeattribute"/>
        </w:rPr>
        <w:t>@xml:lang</w:t>
      </w:r>
      <w:r>
        <w:t xml:space="preserve"> is optional and generally counter-recommended in order to reduce code clutter</w:t>
      </w:r>
    </w:p>
    <w:p w14:paraId="3440F5A3" w14:textId="77777777">
      <w:pPr>
        <w:pStyle w:val="Lista"/>
      </w:pPr>
      <w:r>
        <w:t xml:space="preserve">the optionality of  </w:t>
      </w:r>
      <w:r>
        <w:rPr>
          <w:rStyle w:val="Codeattribute"/>
        </w:rPr>
        <w:t>@xml:lang</w:t>
      </w:r>
      <w:r>
        <w:t xml:space="preserve"> applies in particular to</w:t>
      </w:r>
    </w:p>
    <w:p w14:paraId="3B1C497A" w14:textId="77777777">
      <w:pPr>
        <w:pStyle w:val="Lista2"/>
      </w:pPr>
      <w:r>
        <w:t xml:space="preserve">citations from the source in a translation, commentary or note (including apparatus notes), e.g. </w:t>
      </w:r>
      <w:r>
        <w:rPr>
          <w:rStyle w:val="Codetext"/>
        </w:rPr>
        <w:t xml:space="preserve">Two </w:t>
      </w:r>
      <w:r>
        <w:rPr>
          <w:rStyle w:val="Code"/>
        </w:rPr>
        <w:t>&lt;foreign&gt;</w:t>
      </w:r>
      <w:r>
        <w:rPr>
          <w:rStyle w:val="Codetext"/>
        </w:rPr>
        <w:t>kulyavāpa</w:t>
      </w:r>
      <w:r>
        <w:rPr>
          <w:rStyle w:val="Code"/>
        </w:rPr>
        <w:t>&lt;/foreign&gt;</w:t>
      </w:r>
      <w:r>
        <w:rPr>
          <w:rStyle w:val="Codetext"/>
        </w:rPr>
        <w:t>s of land</w:t>
      </w:r>
    </w:p>
    <w:p w14:paraId="473BB04D" w14:textId="77777777">
      <w:pPr>
        <w:pStyle w:val="Lista2"/>
      </w:pPr>
      <w:r>
        <w:lastRenderedPageBreak/>
        <w:t>strings of text that are not meaningful in and of themselves, such as</w:t>
      </w:r>
    </w:p>
    <w:p w14:paraId="57E751CA" w14:textId="77777777">
      <w:pPr>
        <w:pStyle w:val="Lista3"/>
      </w:pPr>
      <w:r>
        <w:t xml:space="preserve">single (transliterated) characters mentioned in a palaeographic description, e.g. </w:t>
      </w:r>
      <w:r>
        <w:rPr>
          <w:rStyle w:val="Codetext"/>
        </w:rPr>
        <w:t xml:space="preserve">The scribe tends to use </w:t>
      </w:r>
      <w:r>
        <w:rPr>
          <w:rStyle w:val="Code"/>
        </w:rPr>
        <w:t>&lt;foreign&gt;</w:t>
      </w:r>
      <w:r>
        <w:rPr>
          <w:rStyle w:val="Codetext"/>
        </w:rPr>
        <w:t>ṅh</w:t>
      </w:r>
      <w:r>
        <w:rPr>
          <w:rStyle w:val="Code"/>
        </w:rPr>
        <w:t>&lt;/foreign&gt;</w:t>
      </w:r>
      <w:r>
        <w:rPr>
          <w:rStyle w:val="Codetext"/>
        </w:rPr>
        <w:t xml:space="preserve"> instead of </w:t>
      </w:r>
      <w:r>
        <w:rPr>
          <w:rStyle w:val="Code"/>
        </w:rPr>
        <w:t>&lt;foreign&gt;</w:t>
      </w:r>
      <w:r>
        <w:rPr>
          <w:rStyle w:val="Codetext"/>
        </w:rPr>
        <w:t>ṁh</w:t>
      </w:r>
      <w:r>
        <w:rPr>
          <w:rStyle w:val="Code"/>
        </w:rPr>
        <w:t>&lt;/foreign&gt;</w:t>
      </w:r>
    </w:p>
    <w:p w14:paraId="603987B9" w14:textId="77777777">
      <w:pPr>
        <w:pStyle w:val="Lista3"/>
      </w:pPr>
      <w:r>
        <w:t xml:space="preserve">morphological components or unintelligible segments mentioned in a discussion, e.g. </w:t>
      </w:r>
      <w:r>
        <w:rPr>
          <w:rStyle w:val="Codetext"/>
        </w:rPr>
        <w:t xml:space="preserve">The suffix </w:t>
      </w:r>
      <w:r>
        <w:rPr>
          <w:rStyle w:val="Code"/>
        </w:rPr>
        <w:t>&lt;foreign&gt;</w:t>
      </w:r>
      <w:r>
        <w:rPr>
          <w:rStyle w:val="Codetext"/>
        </w:rPr>
        <w:t>-vat</w:t>
      </w:r>
      <w:r>
        <w:rPr>
          <w:rStyle w:val="Code"/>
        </w:rPr>
        <w:t>&lt;/foreign&gt;</w:t>
      </w:r>
    </w:p>
    <w:p w14:paraId="1A18C024" w14:textId="77777777">
      <w:pPr>
        <w:pStyle w:val="Lista2"/>
      </w:pPr>
      <w:r>
        <w:t xml:space="preserve">technical terms in Sanskrit or another major language applicable to the inscription’s context, e.g. </w:t>
      </w:r>
      <w:r>
        <w:rPr>
          <w:rStyle w:val="Codetext"/>
        </w:rPr>
        <w:t xml:space="preserve">a </w:t>
      </w:r>
      <w:r>
        <w:rPr>
          <w:rStyle w:val="Code"/>
        </w:rPr>
        <w:t>&lt;foreign&gt;</w:t>
      </w:r>
      <w:r>
        <w:rPr>
          <w:rStyle w:val="Codetext"/>
        </w:rPr>
        <w:t>bahuvrīhi</w:t>
      </w:r>
      <w:r>
        <w:rPr>
          <w:rStyle w:val="Code"/>
        </w:rPr>
        <w:t>&lt;/foreign&gt;</w:t>
      </w:r>
      <w:r>
        <w:rPr>
          <w:rStyle w:val="Codetext"/>
        </w:rPr>
        <w:t xml:space="preserve"> compound</w:t>
      </w:r>
    </w:p>
    <w:p w14:paraId="428FE930" w14:textId="581084BB">
      <w:pPr>
        <w:pStyle w:val="Lista2"/>
      </w:pPr>
      <w:r>
        <w:t>terms cited in a dictionary reference (§</w:t>
      </w:r>
      <w:r>
        <w:fldChar w:fldCharType="begin"/>
      </w:r>
      <w:r>
        <w:instrText xml:space="preserve"> REF _Ref233811283 \r \h </w:instrText>
      </w:r>
      <w:r>
        <w:fldChar w:fldCharType="separate"/>
      </w:r>
      <w:r>
        <w:t>14.6.1.2</w:t>
      </w:r>
      <w:r>
        <w:fldChar w:fldCharType="end"/>
      </w:r>
      <w:r>
        <w:t>)</w:t>
      </w:r>
    </w:p>
    <w:p w14:paraId="25F1B48D" w14:textId="77777777">
      <w:pPr>
        <w:pStyle w:val="Lista"/>
      </w:pPr>
      <w:r>
        <w:t xml:space="preserve">in each of these cases, </w:t>
      </w:r>
      <w:r>
        <w:rPr>
          <w:rStyle w:val="Codeattribute"/>
        </w:rPr>
        <w:t>@xml:lang</w:t>
      </w:r>
      <w:r>
        <w:t xml:space="preserve"> is not expressly prohibited, and you may choose to add it in any situation where you feel that the ambiguity arising from the lack of such encoding would be detrimental to the understanding of your work</w:t>
      </w:r>
    </w:p>
    <w:p w14:paraId="44A83E18" w14:textId="5B8C2FFB">
      <w:pPr>
        <w:pStyle w:val="Lista2"/>
      </w:pPr>
      <w:r>
        <w:t xml:space="preserve">when you choose to use </w:t>
      </w:r>
      <w:r>
        <w:rPr>
          <w:rStyle w:val="Codeattribute"/>
        </w:rPr>
        <w:t>@xml:lang</w:t>
      </w:r>
      <w:r>
        <w:t xml:space="preserve"> in any of these non-mandatory cases, do not forget to include the subtag </w:t>
      </w:r>
      <w:r>
        <w:rPr>
          <w:rStyle w:val="Codevalue"/>
        </w:rPr>
        <w:t>-Latn</w:t>
      </w:r>
      <w:r>
        <w:t xml:space="preserve"> as per §</w:t>
      </w:r>
      <w:r>
        <w:fldChar w:fldCharType="begin"/>
      </w:r>
      <w:r>
        <w:instrText xml:space="preserve"> REF _Ref233792736 \r \h </w:instrText>
      </w:r>
      <w:r>
        <w:fldChar w:fldCharType="separate"/>
      </w:r>
      <w:r>
        <w:t>14.4.1.1</w:t>
      </w:r>
      <w:r>
        <w:fldChar w:fldCharType="end"/>
      </w:r>
      <w:r>
        <w:t xml:space="preserve"> </w:t>
      </w:r>
    </w:p>
    <w:p w14:paraId="0562F364" w14:textId="77777777">
      <w:pPr>
        <w:pStyle w:val="Cmsor4"/>
      </w:pPr>
      <w:r>
        <w:t>Encoding source script outside the edition</w:t>
      </w:r>
    </w:p>
    <w:p w14:paraId="4020008B" w14:textId="6D5A7C9F">
      <w:pPr>
        <w:pStyle w:val="Lista"/>
      </w:pPr>
      <w:r>
        <w:t xml:space="preserve">the encoding of the source script with </w:t>
      </w:r>
      <w:r>
        <w:rPr>
          <w:rStyle w:val="Codeattribute"/>
        </w:rPr>
        <w:t>@rendition</w:t>
      </w:r>
      <w:r>
        <w:t xml:space="preserve"> (§</w:t>
      </w:r>
      <w:r>
        <w:fldChar w:fldCharType="begin"/>
      </w:r>
      <w:r>
        <w:instrText xml:space="preserve"> REF _Ref232173895 \r \h </w:instrText>
      </w:r>
      <w:r>
        <w:fldChar w:fldCharType="separate"/>
      </w:r>
      <w:r>
        <w:t>8.2.3.4</w:t>
      </w:r>
      <w:r>
        <w:fldChar w:fldCharType="end"/>
      </w:r>
      <w:r>
        <w:t>) should generally be avoided when citing text in a modern-language context</w:t>
      </w:r>
    </w:p>
    <w:p w14:paraId="26C1BDB3" w14:textId="1AD26B9F">
      <w:pPr>
        <w:pStyle w:val="Lista"/>
      </w:pPr>
      <w:r>
        <w:t>but when text from an inscription is cited with full editorial markup for the sake of complete accuracy (§</w:t>
      </w:r>
      <w:r>
        <w:fldChar w:fldCharType="begin"/>
      </w:r>
      <w:r>
        <w:instrText xml:space="preserve"> REF _Ref43990337 \r \h </w:instrText>
      </w:r>
      <w:r>
        <w:fldChar w:fldCharType="separate"/>
      </w:r>
      <w:r>
        <w:t>14.1</w:t>
      </w:r>
      <w:r>
        <w:fldChar w:fldCharType="end"/>
      </w:r>
      <w:r>
        <w:t>), then such encoding may also be retained if there is good reason to do so</w:t>
      </w:r>
    </w:p>
    <w:p w14:paraId="71973066" w14:textId="20FE9F4F">
      <w:pPr>
        <w:pStyle w:val="Lista"/>
      </w:pPr>
      <w:r>
        <w:t>text that was written in the Grantha script in the source may be encoded outside the edition as described in §</w:t>
      </w:r>
      <w:r>
        <w:fldChar w:fldCharType="begin"/>
      </w:r>
      <w:r>
        <w:instrText xml:space="preserve"> REF _Ref233727983 \r \h </w:instrText>
      </w:r>
      <w:r>
        <w:fldChar w:fldCharType="separate"/>
      </w:r>
      <w:r>
        <w:t>14.2.3</w:t>
      </w:r>
      <w:r>
        <w:fldChar w:fldCharType="end"/>
      </w:r>
      <w:r>
        <w:t xml:space="preserve"> </w:t>
      </w:r>
    </w:p>
    <w:p w14:paraId="5028B7FC" w14:textId="77777777">
      <w:pPr>
        <w:pStyle w:val="Cmsor2"/>
      </w:pPr>
      <w:bookmarkStart w:id="985" w:name="_yj9mfyez22i9" w:colFirst="0" w:colLast="0"/>
      <w:bookmarkStart w:id="986" w:name="_Ref43989684"/>
      <w:bookmarkStart w:id="987" w:name="_Toc242889649"/>
      <w:bookmarkEnd w:id="985"/>
      <w:r>
        <w:t>Notes</w:t>
      </w:r>
      <w:bookmarkEnd w:id="986"/>
      <w:bookmarkEnd w:id="987"/>
    </w:p>
    <w:p w14:paraId="45270CFF" w14:textId="1D17D9E4">
      <w:r>
        <w:t>In DHARMA digital editions, notes — encoded as per §</w:t>
      </w:r>
      <w:r>
        <w:fldChar w:fldCharType="begin"/>
      </w:r>
      <w:r>
        <w:instrText xml:space="preserve"> REF _Ref233729831 \r \h </w:instrText>
      </w:r>
      <w:r>
        <w:fldChar w:fldCharType="separate"/>
      </w:r>
      <w:r>
        <w:t>14.5.1</w:t>
      </w:r>
      <w:r>
        <w:fldChar w:fldCharType="end"/>
      </w:r>
      <w:r>
        <w:t xml:space="preserve"> — may only be used in the apparatus, the translation, the commentary, and the bibliography.</w:t>
      </w:r>
    </w:p>
    <w:p w14:paraId="062A734C" w14:textId="1B8670E7">
      <w:pPr>
        <w:pStyle w:val="Lista"/>
      </w:pPr>
      <w:r>
        <w:t xml:space="preserve">in the critical apparatus, notes may only appear as the last child element(s) of an </w:t>
      </w:r>
      <w:r>
        <w:rPr>
          <w:rStyle w:val="Code"/>
        </w:rPr>
        <w:t>&lt;app&gt;</w:t>
      </w:r>
      <w:r>
        <w:t xml:space="preserve"> element (§</w:t>
      </w:r>
      <w:r>
        <w:fldChar w:fldCharType="begin"/>
      </w:r>
      <w:r>
        <w:instrText xml:space="preserve"> REF _Ref43988104 \r \h </w:instrText>
      </w:r>
      <w:r>
        <w:fldChar w:fldCharType="separate"/>
      </w:r>
      <w:r>
        <w:t>10.7</w:t>
      </w:r>
      <w:r>
        <w:fldChar w:fldCharType="end"/>
      </w:r>
      <w:r>
        <w:t>), but not at any other place, for instance within the lemma or a particular reading</w:t>
      </w:r>
    </w:p>
    <w:p w14:paraId="2595EA3A" w14:textId="1BED07B9">
      <w:pPr>
        <w:pStyle w:val="Lista"/>
      </w:pPr>
      <w:r>
        <w:t>in the structured bibliographies (§</w:t>
      </w:r>
      <w:r>
        <w:fldChar w:fldCharType="begin"/>
      </w:r>
      <w:r>
        <w:instrText xml:space="preserve"> REF _Ref63676627 \r \h </w:instrText>
      </w:r>
      <w:r>
        <w:fldChar w:fldCharType="separate"/>
      </w:r>
      <w:r>
        <w:t>13.3</w:t>
      </w:r>
      <w:r>
        <w:fldChar w:fldCharType="end"/>
      </w:r>
      <w:r>
        <w:t xml:space="preserve">), notes may only appear as the last child element of a </w:t>
      </w:r>
      <w:r>
        <w:rPr>
          <w:rStyle w:val="Code"/>
        </w:rPr>
        <w:t>&lt;bibl&gt;</w:t>
      </w:r>
      <w:r>
        <w:t xml:space="preserve"> element, but not at any other place, for instance before a </w:t>
      </w:r>
      <w:r>
        <w:rPr>
          <w:rStyle w:val="Code"/>
        </w:rPr>
        <w:t>&lt;citedRange&gt;</w:t>
      </w:r>
      <w:r>
        <w:t xml:space="preserve"> element or between </w:t>
      </w:r>
      <w:r>
        <w:rPr>
          <w:rStyle w:val="Code"/>
        </w:rPr>
        <w:t>&lt;bibl&gt;</w:t>
      </w:r>
      <w:r>
        <w:t xml:space="preserve"> elements</w:t>
      </w:r>
    </w:p>
    <w:p w14:paraId="03476EB8" w14:textId="77777777">
      <w:pPr>
        <w:pStyle w:val="Lista"/>
      </w:pPr>
      <w:r>
        <w:t>elsewhere, i.e. in the translation, the commentary and the epigraphic lemma, notes may appear at any point where free text is permitted</w:t>
      </w:r>
    </w:p>
    <w:p w14:paraId="666F2C6F" w14:textId="77777777">
      <w:pPr>
        <w:pStyle w:val="Cmsor3"/>
      </w:pPr>
      <w:bookmarkStart w:id="988" w:name="_Ref233729831"/>
      <w:bookmarkStart w:id="989" w:name="_Toc242889650"/>
      <w:r>
        <w:t>Encoding notes</w:t>
      </w:r>
      <w:bookmarkEnd w:id="988"/>
      <w:bookmarkEnd w:id="989"/>
    </w:p>
    <w:p w14:paraId="520882E1" w14:textId="77777777">
      <w:pPr>
        <w:pStyle w:val="Lista"/>
      </w:pPr>
      <w:r>
        <w:t xml:space="preserve">to create a note, add the element </w:t>
      </w:r>
      <w:r>
        <w:rPr>
          <w:rStyle w:val="Code"/>
        </w:rPr>
        <w:t>&lt;note&gt;</w:t>
      </w:r>
      <w:r>
        <w:t xml:space="preserve"> at the point where the note should be anchored</w:t>
      </w:r>
    </w:p>
    <w:p w14:paraId="2B91D971" w14:textId="1C8B6D1A">
      <w:pPr>
        <w:pStyle w:val="Lista2"/>
      </w:pPr>
      <w:r>
        <w:t xml:space="preserve">as applicable, the attributes </w:t>
      </w:r>
      <w:r>
        <w:rPr>
          <w:rStyle w:val="Codeattribute"/>
        </w:rPr>
        <w:t>@resp</w:t>
      </w:r>
      <w:r>
        <w:t xml:space="preserve"> or </w:t>
      </w:r>
      <w:r>
        <w:rPr>
          <w:rStyle w:val="Codeattribute"/>
        </w:rPr>
        <w:t>@source</w:t>
      </w:r>
      <w:r>
        <w:t xml:space="preserve"> may be added to this element to encode the authorship of a note as per §</w:t>
      </w:r>
      <w:r>
        <w:fldChar w:fldCharType="begin"/>
      </w:r>
      <w:r>
        <w:instrText xml:space="preserve"> REF _Ref233730339 \r \h </w:instrText>
      </w:r>
      <w:r>
        <w:fldChar w:fldCharType="separate"/>
      </w:r>
      <w:r>
        <w:t>14.5.1.1</w:t>
      </w:r>
      <w:r>
        <w:fldChar w:fldCharType="end"/>
      </w:r>
    </w:p>
    <w:p w14:paraId="154F8684" w14:textId="16A70F25">
      <w:pPr>
        <w:pStyle w:val="Lista2"/>
      </w:pPr>
      <w:r>
        <w:t>this element may contain text as well as markup as described in §</w:t>
      </w:r>
      <w:r>
        <w:fldChar w:fldCharType="begin"/>
      </w:r>
      <w:r>
        <w:instrText xml:space="preserve"> REF _Ref233731527 \r \h </w:instrText>
      </w:r>
      <w:r>
        <w:fldChar w:fldCharType="separate"/>
      </w:r>
      <w:r>
        <w:t>14.5.2</w:t>
      </w:r>
      <w:r>
        <w:fldChar w:fldCharType="end"/>
      </w:r>
    </w:p>
    <w:p w14:paraId="26E82DDA" w14:textId="77777777">
      <w:pPr>
        <w:pStyle w:val="Lista"/>
      </w:pPr>
      <w:r>
        <w:rPr>
          <w:rStyle w:val="Code"/>
        </w:rPr>
        <w:t>&lt;note&gt;</w:t>
      </w:r>
      <w:r>
        <w:t xml:space="preserve"> elements must always be within the structural containers applicable to the division, i.e. within </w:t>
      </w:r>
      <w:r>
        <w:rPr>
          <w:rStyle w:val="Code"/>
        </w:rPr>
        <w:t>&lt;p&gt;</w:t>
      </w:r>
      <w:r>
        <w:t xml:space="preserve"> in a translation or commentary, within </w:t>
      </w:r>
      <w:r>
        <w:rPr>
          <w:rStyle w:val="Code"/>
        </w:rPr>
        <w:t>&lt;app&gt;</w:t>
      </w:r>
      <w:r>
        <w:t xml:space="preserve"> in the apparatus, and within </w:t>
      </w:r>
      <w:r>
        <w:rPr>
          <w:rStyle w:val="Code"/>
        </w:rPr>
        <w:t>&lt;bibl&gt;</w:t>
      </w:r>
      <w:r>
        <w:t xml:space="preserve"> in the structured bibliography</w:t>
      </w:r>
    </w:p>
    <w:p w14:paraId="3433CB01" w14:textId="77777777">
      <w:pPr>
        <w:pStyle w:val="Lista2"/>
      </w:pPr>
      <w:r>
        <w:t xml:space="preserve">in freeform text </w:t>
      </w:r>
      <w:r>
        <w:rPr>
          <w:noProof/>
        </w:rPr>
        <w:t>(</w:t>
      </w:r>
      <w:r>
        <w:t xml:space="preserve">i.e. in a translation or commentary), place the </w:t>
      </w:r>
      <w:r>
        <w:rPr>
          <w:rStyle w:val="Code"/>
        </w:rPr>
        <w:t>&lt;note&gt;</w:t>
      </w:r>
      <w:r>
        <w:t xml:space="preserve"> element after any adjacent punctuation mark, not before it</w:t>
      </w:r>
    </w:p>
    <w:p w14:paraId="41FFB1CA" w14:textId="77777777">
      <w:pPr>
        <w:pStyle w:val="Lista2"/>
      </w:pPr>
      <w:r>
        <w:t xml:space="preserve">when attaching a note to text tagged with another element (e.g. </w:t>
      </w:r>
      <w:r>
        <w:rPr>
          <w:rStyle w:val="Code"/>
        </w:rPr>
        <w:t>&lt;foreign&gt;</w:t>
      </w:r>
      <w:r>
        <w:t>), put the note after the end-tag of the other element</w:t>
      </w:r>
    </w:p>
    <w:p w14:paraId="095476B7" w14:textId="77777777">
      <w:pPr>
        <w:pStyle w:val="Lista3"/>
      </w:pPr>
      <w:r>
        <w:t xml:space="preserve">this also applies to bibliographic citations other than those in the structured bibliographies: if you wish to attach a note to a bibliographic citation amid free text, place the </w:t>
      </w:r>
      <w:r>
        <w:rPr>
          <w:rStyle w:val="Code"/>
        </w:rPr>
        <w:t>&lt;note&gt;</w:t>
      </w:r>
      <w:r>
        <w:t xml:space="preserve"> element after the end-tag </w:t>
      </w:r>
      <w:r>
        <w:rPr>
          <w:rStyle w:val="Code"/>
        </w:rPr>
        <w:t>&lt;/bibl&gt;</w:t>
      </w:r>
    </w:p>
    <w:p w14:paraId="085B0647" w14:textId="77777777">
      <w:pPr>
        <w:pStyle w:val="Cmsor4"/>
      </w:pPr>
      <w:bookmarkStart w:id="990" w:name="_Ref233730339"/>
      <w:r>
        <w:lastRenderedPageBreak/>
        <w:t>The authorship of notes</w:t>
      </w:r>
      <w:bookmarkEnd w:id="990"/>
    </w:p>
    <w:p w14:paraId="270C8353" w14:textId="276BF5D2">
      <w:pPr>
        <w:rPr>
          <w:lang w:eastAsia="en-US" w:bidi="ar-SA"/>
        </w:rPr>
      </w:pPr>
      <w:r>
        <w:rPr>
          <w:lang w:eastAsia="en-US" w:bidi="ar-SA"/>
        </w:rPr>
        <w:t>The author of a note is by default understood to be the same person as the author of the note’s ancestor element. Thus, a note in the apparatus, commentary or bibliography is understood to be the product of the edition’s author(s) encoded in the responsibility statement (§</w:t>
      </w:r>
      <w:r>
        <w:rPr>
          <w:lang w:eastAsia="en-US" w:bidi="ar-SA"/>
        </w:rPr>
        <w:fldChar w:fldCharType="begin"/>
      </w:r>
      <w:r>
        <w:rPr>
          <w:lang w:eastAsia="en-US" w:bidi="ar-SA"/>
        </w:rPr>
        <w:instrText xml:space="preserve"> REF _Ref43990001 \r \h </w:instrText>
      </w:r>
      <w:r>
        <w:rPr>
          <w:lang w:eastAsia="en-US" w:bidi="ar-SA"/>
        </w:rPr>
      </w:r>
      <w:r>
        <w:rPr>
          <w:lang w:eastAsia="en-US" w:bidi="ar-SA"/>
        </w:rPr>
        <w:fldChar w:fldCharType="separate"/>
      </w:r>
      <w:r>
        <w:rPr>
          <w:lang w:eastAsia="en-US" w:bidi="ar-SA"/>
        </w:rPr>
        <w:t>15.1.2</w:t>
      </w:r>
      <w:r>
        <w:rPr>
          <w:lang w:eastAsia="en-US" w:bidi="ar-SA"/>
        </w:rPr>
        <w:fldChar w:fldCharType="end"/>
      </w:r>
      <w:r>
        <w:rPr>
          <w:lang w:eastAsia="en-US" w:bidi="ar-SA"/>
        </w:rPr>
        <w:t>), while a note in the translation is understood to be the product of the author encoded on the translation division (§</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r>
        <w:rPr>
          <w:lang w:eastAsia="en-US" w:bidi="ar-SA"/>
        </w:rPr>
        <w:t>). When a note from another person is adopted verbatim, this shall be encoded as follows.</w:t>
      </w:r>
    </w:p>
    <w:p w14:paraId="2616BD1A" w14:textId="7DD9EEBD">
      <w:pPr>
        <w:pStyle w:val="Lista"/>
      </w:pPr>
      <w:r>
        <w:t xml:space="preserve">to attribute a note to a DHARMA contributor, use </w:t>
      </w:r>
      <w:r>
        <w:rPr>
          <w:rStyle w:val="Codeattribute"/>
        </w:rPr>
        <w:t>@resp</w:t>
      </w:r>
      <w:r>
        <w:t xml:space="preserve"> </w:t>
      </w:r>
      <w:r>
        <w:rPr>
          <w:noProof/>
        </w:rPr>
        <w:t>(</w:t>
      </w:r>
      <w:r>
        <w:t>§</w:t>
      </w:r>
      <w:r>
        <w:fldChar w:fldCharType="begin"/>
      </w:r>
      <w:r>
        <w:instrText xml:space="preserve"> REF _Ref43989765 \w \h  \* MERGEFORMAT </w:instrText>
      </w:r>
      <w:r>
        <w:fldChar w:fldCharType="separate"/>
      </w:r>
      <w:r>
        <w:t>14.6.5</w:t>
      </w:r>
      <w:r>
        <w:fldChar w:fldCharType="end"/>
      </w:r>
      <w:r>
        <w:t>) on the note</w:t>
      </w:r>
    </w:p>
    <w:p w14:paraId="51615FE4" w14:textId="61F51A9E">
      <w:pPr>
        <w:pStyle w:val="Lista"/>
      </w:pPr>
      <w:r>
        <w:t xml:space="preserve">to attribute a note to a publication, use </w:t>
      </w:r>
      <w:r>
        <w:rPr>
          <w:rStyle w:val="Codeattribute"/>
        </w:rPr>
        <w:t>@source</w:t>
      </w:r>
      <w:r>
        <w:t xml:space="preserve"> </w:t>
      </w:r>
      <w:r>
        <w:rPr>
          <w:noProof/>
        </w:rPr>
        <w:t>(</w:t>
      </w:r>
      <w:r>
        <w:t>§</w:t>
      </w:r>
      <w:r>
        <w:fldChar w:fldCharType="begin"/>
      </w:r>
      <w:r>
        <w:instrText xml:space="preserve"> REF _Ref43989551 \w \h  \* MERGEFORMAT </w:instrText>
      </w:r>
      <w:r>
        <w:fldChar w:fldCharType="separate"/>
      </w:r>
      <w:r>
        <w:t>14.6.2</w:t>
      </w:r>
      <w:r>
        <w:fldChar w:fldCharType="end"/>
      </w:r>
      <w:r>
        <w:t>) on the note</w:t>
      </w:r>
    </w:p>
    <w:p w14:paraId="1FA898AE" w14:textId="77777777">
      <w:pPr>
        <w:pStyle w:val="Lista"/>
      </w:pPr>
      <w:r>
        <w:t>paraphrased notes are regarded as the product of the person doing the paraphrasing and must not be attributed in this manner</w:t>
      </w:r>
    </w:p>
    <w:p w14:paraId="21F5FF70" w14:textId="28DCF5C1">
      <w:pPr>
        <w:pStyle w:val="Lista2"/>
      </w:pPr>
      <w:r>
        <w:t xml:space="preserve">the author of the original note shall be credited by including a regular citation </w:t>
      </w:r>
      <w:r>
        <w:rPr>
          <w:noProof/>
        </w:rPr>
        <w:t>(</w:t>
      </w:r>
      <w:r>
        <w:t>§</w:t>
      </w:r>
      <w:r>
        <w:fldChar w:fldCharType="begin"/>
      </w:r>
      <w:r>
        <w:instrText xml:space="preserve"> REF _Ref233877601 \r \h </w:instrText>
      </w:r>
      <w:r>
        <w:fldChar w:fldCharType="separate"/>
      </w:r>
      <w:r>
        <w:t>14.6.1</w:t>
      </w:r>
      <w:r>
        <w:fldChar w:fldCharType="end"/>
      </w:r>
      <w:r>
        <w:t>) in the paraphrase or, if the reference is obvious from the context, simply by referring to the original author by name</w:t>
      </w:r>
    </w:p>
    <w:p w14:paraId="75553650" w14:textId="77777777">
      <w:pPr>
        <w:pStyle w:val="Cmsor3"/>
      </w:pPr>
      <w:bookmarkStart w:id="991" w:name="_Ref233731527"/>
      <w:bookmarkStart w:id="992" w:name="_Toc242889651"/>
      <w:r>
        <w:t>The content of notes</w:t>
      </w:r>
      <w:bookmarkEnd w:id="991"/>
      <w:bookmarkEnd w:id="992"/>
    </w:p>
    <w:p w14:paraId="611197F7" w14:textId="77777777">
      <w:pPr>
        <w:pStyle w:val="Lista"/>
      </w:pPr>
      <w:r>
        <w:t>notes shall be written as freeform text, preferably consisting of complete sentences in English, starting with a capital letter and ending with punctuation</w:t>
      </w:r>
    </w:p>
    <w:p w14:paraId="7AFFD723" w14:textId="2AF9D2D8">
      <w:pPr>
        <w:pStyle w:val="Lista"/>
      </w:pPr>
      <w:r>
        <w:t>in general, notes may contain globally available encoding (§</w:t>
      </w:r>
      <w:r>
        <w:fldChar w:fldCharType="begin"/>
      </w:r>
      <w:r>
        <w:instrText xml:space="preserve"> REF _Ref43990225 \r \h </w:instrText>
      </w:r>
      <w:r>
        <w:fldChar w:fldCharType="separate"/>
      </w:r>
      <w:r>
        <w:t>14</w:t>
      </w:r>
      <w:r>
        <w:fldChar w:fldCharType="end"/>
      </w:r>
      <w:r>
        <w:t>) as and when applicable</w:t>
      </w:r>
    </w:p>
    <w:p w14:paraId="43ED55F2" w14:textId="77777777">
      <w:pPr>
        <w:pStyle w:val="Lista2"/>
      </w:pPr>
      <w:r>
        <w:t>in particular, proper encoding must be applied within notes to</w:t>
      </w:r>
    </w:p>
    <w:p w14:paraId="0307050D" w14:textId="0B20183B">
      <w:pPr>
        <w:pStyle w:val="Lista3"/>
      </w:pPr>
      <w:r>
        <w:t>bibliographic citations (§</w:t>
      </w:r>
      <w:r>
        <w:fldChar w:fldCharType="begin"/>
      </w:r>
      <w:r>
        <w:instrText xml:space="preserve"> REF _Ref233877601 \r \h </w:instrText>
      </w:r>
      <w:r>
        <w:fldChar w:fldCharType="separate"/>
      </w:r>
      <w:r>
        <w:t>14.6.1</w:t>
      </w:r>
      <w:r>
        <w:fldChar w:fldCharType="end"/>
      </w:r>
      <w:r>
        <w:t>), which should be present wherever you refer to a published opinion</w:t>
      </w:r>
    </w:p>
    <w:p w14:paraId="3F5978EC" w14:textId="7B3B8CDF">
      <w:pPr>
        <w:pStyle w:val="Lista3"/>
      </w:pPr>
      <w:r>
        <w:rPr>
          <w:rStyle w:val="Code"/>
        </w:rPr>
        <w:t>&lt;foreign&gt;</w:t>
      </w:r>
      <w:r>
        <w:t xml:space="preserve"> markup (§</w:t>
      </w:r>
      <w:r>
        <w:fldChar w:fldCharType="begin"/>
      </w:r>
      <w:r>
        <w:instrText xml:space="preserve"> REF _Ref43986658 \r \h </w:instrText>
      </w:r>
      <w:r>
        <w:fldChar w:fldCharType="separate"/>
      </w:r>
      <w:r>
        <w:t>14.4.2</w:t>
      </w:r>
      <w:r>
        <w:fldChar w:fldCharType="end"/>
      </w:r>
      <w:r>
        <w:t>) for text in a source language</w:t>
      </w:r>
    </w:p>
    <w:p w14:paraId="6680CE3A" w14:textId="0BC8711B">
      <w:pPr>
        <w:pStyle w:val="Lista2"/>
      </w:pPr>
      <w:r>
        <w:t>while notes should generally be kept reasonably short and simple, long and complicated notes can and should be divided up using block-level containers (§</w:t>
      </w:r>
      <w:r>
        <w:fldChar w:fldCharType="begin"/>
      </w:r>
      <w:r>
        <w:instrText xml:space="preserve"> REF _Ref233789547 \r \h </w:instrText>
      </w:r>
      <w:r>
        <w:fldChar w:fldCharType="separate"/>
      </w:r>
      <w:r>
        <w:t>14.3</w:t>
      </w:r>
      <w:r>
        <w:fldChar w:fldCharType="end"/>
      </w:r>
      <w:r>
        <w:t>)</w:t>
      </w:r>
    </w:p>
    <w:p w14:paraId="76746567" w14:textId="02A1AC14">
      <w:pPr>
        <w:pStyle w:val="Lista3"/>
      </w:pPr>
      <w:r>
        <w:t>except apparatus notes, which (</w:t>
      </w:r>
      <w:r>
        <w:t>because they will be rendered for display as inline parts of apparatus entries</w:t>
      </w:r>
      <w:r>
        <w:t>)</w:t>
      </w:r>
      <w:r>
        <w:t xml:space="preserve"> must not contain block-level containers</w:t>
      </w:r>
    </w:p>
    <w:p w14:paraId="76187A67" w14:textId="7EC00568">
      <w:pPr>
        <w:pStyle w:val="Lista"/>
      </w:pPr>
      <w:r>
        <w:t xml:space="preserve">in order to avoid complications in display, processing and interpretability, a </w:t>
      </w:r>
      <w:r>
        <w:rPr>
          <w:rStyle w:val="Code"/>
        </w:rPr>
        <w:t>&lt;note&gt;</w:t>
      </w:r>
      <w:r>
        <w:t xml:space="preserve"> element must never contain another </w:t>
      </w:r>
      <w:r>
        <w:rPr>
          <w:rStyle w:val="Code"/>
        </w:rPr>
        <w:t>&lt;note&gt;</w:t>
      </w:r>
      <w:r>
        <w:t xml:space="preserve"> element</w:t>
      </w:r>
    </w:p>
    <w:p w14:paraId="7C3479FD" w14:textId="77777777">
      <w:pPr>
        <w:pStyle w:val="Cmsor2"/>
      </w:pPr>
      <w:bookmarkStart w:id="993" w:name="_Toc242889652"/>
      <w:r>
        <w:t>Citation, quotation and reference</w:t>
      </w:r>
      <w:bookmarkEnd w:id="993"/>
    </w:p>
    <w:p w14:paraId="0438D740" w14:textId="77777777">
      <w:pPr>
        <w:pStyle w:val="Cmsor3"/>
      </w:pPr>
      <w:bookmarkStart w:id="994" w:name="_Ref233877601"/>
      <w:bookmarkStart w:id="995" w:name="_Toc242889653"/>
      <w:r>
        <w:t>Encoding bibliographic citations</w:t>
      </w:r>
      <w:bookmarkEnd w:id="994"/>
      <w:bookmarkEnd w:id="995"/>
    </w:p>
    <w:p w14:paraId="13A65AF0" w14:textId="687EA85B">
      <w:r>
        <w:t xml:space="preserve">@@@References to any published work shall be encoded as machine-interpretable citations using the element </w:t>
      </w:r>
      <w:r>
        <w:rPr>
          <w:rStyle w:val="Code"/>
        </w:rPr>
        <w:t>&lt;bibl&gt;</w:t>
      </w:r>
      <w:r>
        <w:t>. This encoding is available in any part of your XML document where free modern-language text is permitted.</w:t>
      </w:r>
    </w:p>
    <w:p w14:paraId="6FFB74DD" w14:textId="2A8470B6">
      <w:pPr>
        <w:pStyle w:val="Lista"/>
      </w:pPr>
      <w:r>
        <w:t xml:space="preserve">a citation is encoded in the form of the element </w:t>
      </w:r>
      <w:r>
        <w:rPr>
          <w:rStyle w:val="Code"/>
        </w:rPr>
        <w:t>&lt;bibl&gt;</w:t>
      </w:r>
      <w:r>
        <w:t xml:space="preserve"> as illustrated in </w:t>
      </w:r>
      <w:r>
        <w:fldChar w:fldCharType="begin"/>
      </w:r>
      <w:r>
        <w:instrText xml:space="preserve"> REF _Ref233799826 \h </w:instrText>
      </w:r>
      <w:r>
        <w:fldChar w:fldCharType="separate"/>
      </w:r>
      <w:r>
        <w:t xml:space="preserve">Exhibit </w:t>
      </w:r>
      <w:r>
        <w:rPr>
          <w:noProof/>
        </w:rPr>
        <w:t>14.6</w:t>
      </w:r>
      <w:r>
        <w:t>.</w:t>
      </w:r>
      <w:r>
        <w:rPr>
          <w:noProof/>
        </w:rPr>
        <w:t>A</w:t>
      </w:r>
      <w:r>
        <w:fldChar w:fldCharType="end"/>
      </w:r>
    </w:p>
    <w:p w14:paraId="1CBF2DA9" w14:textId="77777777">
      <w:pPr>
        <w:pStyle w:val="Lista2"/>
      </w:pPr>
      <w:r>
        <w:t xml:space="preserve">either without attributes </w:t>
      </w:r>
    </w:p>
    <w:p w14:paraId="6D476B1B" w14:textId="233C1C02">
      <w:pPr>
        <w:pStyle w:val="Lista2"/>
      </w:pPr>
      <w:r>
        <w:t xml:space="preserve">or, if applicable, with </w:t>
      </w:r>
      <w:r>
        <w:rPr>
          <w:rStyle w:val="Codeattribute"/>
        </w:rPr>
        <w:t>@rend</w:t>
      </w:r>
      <w:r>
        <w:t xml:space="preserve"> taking values as per §</w:t>
      </w:r>
      <w:r>
        <w:fldChar w:fldCharType="begin"/>
      </w:r>
      <w:r>
        <w:instrText xml:space="preserve"> REF _Ref233818238 \r \h </w:instrText>
      </w:r>
      <w:r>
        <w:fldChar w:fldCharType="separate"/>
      </w:r>
      <w:r>
        <w:t>14.6.1.6</w:t>
      </w:r>
      <w:r>
        <w:fldChar w:fldCharType="end"/>
      </w:r>
      <w:r>
        <w:t xml:space="preserve"> to hide the name of the author and/or to display the citation as “ibid.”</w:t>
      </w:r>
    </w:p>
    <w:p w14:paraId="67E4EC48" w14:textId="77777777">
      <w:pPr>
        <w:pStyle w:val="Lista"/>
      </w:pPr>
      <w:r>
        <w:rPr>
          <w:rStyle w:val="Code"/>
        </w:rPr>
        <w:t>&lt;bibl&gt;</w:t>
      </w:r>
      <w:r>
        <w:t xml:space="preserve"> must mandatorily contain the empty element </w:t>
      </w:r>
      <w:r>
        <w:rPr>
          <w:rStyle w:val="Code"/>
        </w:rPr>
        <w:t>&lt;ptr/&gt;</w:t>
      </w:r>
      <w:r>
        <w:t xml:space="preserve"> </w:t>
      </w:r>
      <w:r>
        <w:rPr>
          <w:noProof/>
        </w:rPr>
        <w:t>(for “</w:t>
      </w:r>
      <w:r>
        <w:t xml:space="preserve">pointer”) as its first child, with the mandatory attribute </w:t>
      </w:r>
      <w:r>
        <w:rPr>
          <w:rStyle w:val="Codeattribute"/>
        </w:rPr>
        <w:t>@target</w:t>
      </w:r>
    </w:p>
    <w:p w14:paraId="54498190" w14:textId="77777777">
      <w:pPr>
        <w:pStyle w:val="Lista2"/>
      </w:pPr>
      <w:r>
        <w:t xml:space="preserve">the value of this attribute shall be the Zotero Short Title (ZG §4.10) of the cited publication, prefixed with the string </w:t>
      </w:r>
      <w:r>
        <w:rPr>
          <w:rStyle w:val="Codevalue"/>
        </w:rPr>
        <w:t>bib:</w:t>
      </w:r>
    </w:p>
    <w:p w14:paraId="22FC515F" w14:textId="77777777">
      <w:pPr>
        <w:pStyle w:val="Lista"/>
      </w:pPr>
      <w:r>
        <w:t xml:space="preserve">as applicable, </w:t>
      </w:r>
      <w:r>
        <w:rPr>
          <w:rStyle w:val="Code"/>
        </w:rPr>
        <w:t>&lt;bibl&gt;</w:t>
      </w:r>
      <w:r>
        <w:t xml:space="preserve"> may contain the element </w:t>
      </w:r>
      <w:r>
        <w:rPr>
          <w:rStyle w:val="Code"/>
        </w:rPr>
        <w:t>&lt;citedRange&gt;</w:t>
      </w:r>
      <w:r>
        <w:t xml:space="preserve"> as its second child, to limit the citation to a specific part of the publication</w:t>
      </w:r>
    </w:p>
    <w:p w14:paraId="44CA7E1B" w14:textId="508560B1">
      <w:pPr>
        <w:pStyle w:val="Lista2"/>
      </w:pPr>
      <w:r>
        <w:t>using page numbers as set out in §</w:t>
      </w:r>
      <w:r>
        <w:fldChar w:fldCharType="begin"/>
      </w:r>
      <w:r>
        <w:instrText xml:space="preserve"> REF _Ref233811140 \r \h </w:instrText>
      </w:r>
      <w:r>
        <w:fldChar w:fldCharType="separate"/>
      </w:r>
      <w:r>
        <w:t>14.6.1.1</w:t>
      </w:r>
      <w:r>
        <w:fldChar w:fldCharType="end"/>
      </w:r>
    </w:p>
    <w:p w14:paraId="2754AE6C" w14:textId="77777777">
      <w:pPr>
        <w:pStyle w:val="Lista3"/>
      </w:pPr>
      <w:r>
        <w:t>this is the typical mode for making a citation specific</w:t>
      </w:r>
    </w:p>
    <w:p w14:paraId="76B42C30" w14:textId="24911036">
      <w:pPr>
        <w:pStyle w:val="Lista2"/>
      </w:pPr>
      <w:r>
        <w:t>using other units of reference as set out in §</w:t>
      </w:r>
      <w:r>
        <w:fldChar w:fldCharType="begin"/>
      </w:r>
      <w:r>
        <w:instrText xml:space="preserve"> REF _Ref233811283 \r \h </w:instrText>
      </w:r>
      <w:r>
        <w:fldChar w:fldCharType="separate"/>
      </w:r>
      <w:r>
        <w:t>14.6.1.2</w:t>
      </w:r>
      <w:r>
        <w:fldChar w:fldCharType="end"/>
      </w:r>
    </w:p>
    <w:p w14:paraId="79102E29" w14:textId="77777777">
      <w:pPr>
        <w:pStyle w:val="Lista3"/>
      </w:pPr>
      <w:r>
        <w:t>this mode is normally for references that, by general scholarly convention, do not include a page range, such as dictionary entries, sections from grammars, and some anthologies of inscriptions</w:t>
      </w:r>
    </w:p>
    <w:p w14:paraId="7CC7DD7E" w14:textId="4C12F8BA">
      <w:pPr>
        <w:pStyle w:val="Lista3"/>
      </w:pPr>
      <w:r>
        <w:t>a combination of different reference units may be encoded as set out in §</w:t>
      </w:r>
      <w:r>
        <w:fldChar w:fldCharType="begin"/>
      </w:r>
      <w:r>
        <w:instrText xml:space="preserve"> REF _Ref233811301 \r \h </w:instrText>
      </w:r>
      <w:r>
        <w:fldChar w:fldCharType="separate"/>
      </w:r>
      <w:r>
        <w:t>14.6.1.4</w:t>
      </w:r>
      <w:r>
        <w:fldChar w:fldCharType="end"/>
      </w:r>
    </w:p>
    <w:p w14:paraId="1A891BB1" w14:textId="49F86831">
      <w:pPr>
        <w:pStyle w:val="Lista2"/>
      </w:pPr>
      <w:r>
        <w:lastRenderedPageBreak/>
        <w:t>using a freestyle specification as set out in §</w:t>
      </w:r>
      <w:r>
        <w:fldChar w:fldCharType="begin"/>
      </w:r>
      <w:r>
        <w:instrText xml:space="preserve"> REF _Ref233811324 \r \h </w:instrText>
      </w:r>
      <w:r>
        <w:fldChar w:fldCharType="separate"/>
      </w:r>
      <w:r>
        <w:t>14.6.1.5</w:t>
      </w:r>
      <w:r>
        <w:fldChar w:fldCharType="end"/>
      </w:r>
    </w:p>
    <w:p w14:paraId="18F824F4" w14:textId="77777777">
      <w:pPr>
        <w:pStyle w:val="Lista3"/>
      </w:pPr>
      <w:r>
        <w:t>this mode is for highly complex specification that cannot be fitted to the constraints of the above modes</w:t>
      </w:r>
    </w:p>
    <w:p w14:paraId="02AE5B58" w14:textId="77777777">
      <w:pPr>
        <w:pStyle w:val="Lista2"/>
      </w:pPr>
      <w:r>
        <w:t>specifying the cited locus or range in this way is generally mandatory unless you are citing a publication as a whole</w:t>
      </w:r>
    </w:p>
    <w:p w14:paraId="75F2E302" w14:textId="77777777">
      <w:pPr>
        <w:pStyle w:val="Lista3"/>
      </w:pPr>
      <w:r>
        <w:t>however, when referring to an entire publication that is part of a volume (such as a journal article or book chapter), the page range for the whole publication need not and must not be encoded, as the range for such a publication as a whole is already featured in the relevant Zotero entry</w:t>
      </w:r>
    </w:p>
    <w:p w14:paraId="01FBABBC" w14:textId="77777777"/>
    <w:tbl>
      <w:tblPr>
        <w:tblStyle w:val="CodeSampleTable"/>
        <w:tblW w:w="5000" w:type="pct"/>
        <w:tblLook w:val="04A0" w:firstRow="1" w:lastRow="0" w:firstColumn="1" w:lastColumn="0" w:noHBand="0" w:noVBand="1"/>
      </w:tblPr>
      <w:tblGrid>
        <w:gridCol w:w="9628"/>
      </w:tblGrid>
      <w:tr w14:paraId="7957D639"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EF7F3FC" w14:textId="30A92776">
            <w:pPr>
              <w:pStyle w:val="Kpalrs"/>
            </w:pPr>
            <w:bookmarkStart w:id="996" w:name="_Ref233799826"/>
            <w:r>
              <w:t xml:space="preserve">Exhibit </w:t>
            </w:r>
            <w:fldSimple w:instr=" STYLEREF 2 \s ">
              <w:r>
                <w:rPr>
                  <w:noProof/>
                </w:rPr>
                <w:t>14.6</w:t>
              </w:r>
            </w:fldSimple>
            <w:r>
              <w:t>.</w:t>
            </w:r>
            <w:fldSimple w:instr=" SEQ Exhibit \* ALPHABETIC \s 2 ">
              <w:r>
                <w:rPr>
                  <w:noProof/>
                </w:rPr>
                <w:t>A</w:t>
              </w:r>
            </w:fldSimple>
            <w:bookmarkEnd w:id="996"/>
            <w:r>
              <w:t>: encoding a basic citation</w:t>
            </w:r>
          </w:p>
        </w:tc>
      </w:tr>
      <w:tr w14:paraId="6DC74090" w14:textId="77777777">
        <w:tc>
          <w:tcPr>
            <w:tcW w:w="5000" w:type="pct"/>
          </w:tcPr>
          <w:p w14:paraId="39C24B15" w14:textId="77777777">
            <w:pPr>
              <w:pStyle w:val="TableNote"/>
              <w:keepNext/>
            </w:pPr>
            <w:r>
              <w:t>Agrawala 1983</w:t>
            </w:r>
          </w:p>
        </w:tc>
      </w:tr>
      <w:tr w14:paraId="239EC62F" w14:textId="77777777">
        <w:tc>
          <w:tcPr>
            <w:tcW w:w="5000" w:type="pct"/>
          </w:tcPr>
          <w:p w14:paraId="1004CFA6"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"bib:Agrawala1983_01"</w:t>
            </w:r>
            <w:r>
              <w:rPr>
                <w:rStyle w:val="Code"/>
              </w:rPr>
              <w:t>/&gt;</w:t>
            </w:r>
            <w:r>
              <w:rPr>
                <w:rStyle w:val="Codetext"/>
              </w:rPr>
              <w:br/>
            </w:r>
            <w:r>
              <w:rPr>
                <w:rStyle w:val="Code"/>
              </w:rPr>
              <w:t>&lt;/bibl&gt;</w:t>
            </w:r>
          </w:p>
        </w:tc>
      </w:tr>
    </w:tbl>
    <w:p w14:paraId="1D25B95D" w14:textId="77777777"/>
    <w:p w14:paraId="4B44F8C8" w14:textId="77777777">
      <w:pPr>
        <w:pStyle w:val="Cmsor4"/>
      </w:pPr>
      <w:bookmarkStart w:id="997" w:name="_Ref233811140"/>
      <w:r>
        <w:t>Specifying page numbers</w:t>
      </w:r>
      <w:bookmarkEnd w:id="997"/>
    </w:p>
    <w:p w14:paraId="3008DBE3" w14:textId="048F77DA">
      <w:r>
        <w:t xml:space="preserve">Since </w:t>
      </w:r>
      <w:r>
        <w:rPr>
          <w:rStyle w:val="Code"/>
        </w:rPr>
        <w:t>&lt;citedRange&gt;</w:t>
      </w:r>
      <w:r>
        <w:t xml:space="preserve"> will be understood by default to refer to page numbers, no further code is needed for creating references to pages unless they are combined with other units of reference as per §</w:t>
      </w:r>
      <w:r>
        <w:fldChar w:fldCharType="begin"/>
      </w:r>
      <w:r>
        <w:instrText xml:space="preserve"> REF _Ref233812949 \r \h </w:instrText>
      </w:r>
      <w:r>
        <w:fldChar w:fldCharType="separate"/>
      </w:r>
      <w:r>
        <w:t>14.6.1.4</w:t>
      </w:r>
      <w:r>
        <w:fldChar w:fldCharType="end"/>
      </w:r>
      <w:r>
        <w:t>.</w:t>
      </w:r>
    </w:p>
    <w:p w14:paraId="5EE85507" w14:textId="77777777">
      <w:pPr>
        <w:pStyle w:val="Lista"/>
      </w:pPr>
      <w:r>
        <w:t xml:space="preserve">when specifying a reference through page numbers, simply enter the applicable number(s) within </w:t>
      </w:r>
      <w:r>
        <w:rPr>
          <w:rStyle w:val="Code"/>
        </w:rPr>
        <w:t>&lt;citedRange&gt;</w:t>
      </w:r>
    </w:p>
    <w:p w14:paraId="1212C4EA" w14:textId="77777777">
      <w:pPr>
        <w:pStyle w:val="Lista"/>
      </w:pPr>
      <w:r>
        <w:t>references to page numbers may be specified in any of the following ways</w:t>
      </w:r>
    </w:p>
    <w:p w14:paraId="7518F08A" w14:textId="77777777">
      <w:pPr>
        <w:pStyle w:val="Lista2"/>
      </w:pPr>
      <w:r>
        <w:t xml:space="preserve">a single page number, e.g. </w:t>
      </w:r>
      <w:r>
        <w:rPr>
          <w:rStyle w:val="Code"/>
        </w:rPr>
        <w:t>&lt;citedRange&gt;</w:t>
      </w:r>
      <w:r>
        <w:rPr>
          <w:rStyle w:val="Codetext"/>
        </w:rPr>
        <w:t>12</w:t>
      </w:r>
      <w:r>
        <w:rPr>
          <w:rStyle w:val="Code"/>
        </w:rPr>
        <w:t>&lt;/citedRange&gt;</w:t>
      </w:r>
    </w:p>
    <w:p w14:paraId="58D0CC6D" w14:textId="77777777">
      <w:pPr>
        <w:pStyle w:val="Lista2"/>
      </w:pPr>
      <w:r>
        <w:t xml:space="preserve">a range of pages recorded as two numbers with an intervening hyphen, e.g. </w:t>
      </w:r>
      <w:r>
        <w:rPr>
          <w:rStyle w:val="Code"/>
        </w:rPr>
        <w:t>&lt;citedRange&gt;</w:t>
      </w:r>
      <w:r>
        <w:rPr>
          <w:rStyle w:val="Codetext"/>
        </w:rPr>
        <w:t>12-21</w:t>
      </w:r>
      <w:r>
        <w:rPr>
          <w:rStyle w:val="Code"/>
        </w:rPr>
        <w:t>&lt;/citedRange&gt;</w:t>
      </w:r>
    </w:p>
    <w:p w14:paraId="5D3F59D2" w14:textId="77777777">
      <w:pPr>
        <w:pStyle w:val="Lista3"/>
      </w:pPr>
      <w:r>
        <w:t xml:space="preserve">never drop digits from the number marking the endpoint of a range, e.g. </w:t>
      </w:r>
      <w:r>
        <w:rPr>
          <w:rStyle w:val="Code"/>
        </w:rPr>
        <w:t>&lt;citedRange&gt;</w:t>
      </w:r>
      <w:r>
        <w:rPr>
          <w:rStyle w:val="Codetext"/>
        </w:rPr>
        <w:t>123-124</w:t>
      </w:r>
      <w:r>
        <w:rPr>
          <w:rStyle w:val="Code"/>
        </w:rPr>
        <w:t>&lt;/citedRange&gt;</w:t>
      </w:r>
      <w:r>
        <w:t xml:space="preserve"> </w:t>
      </w:r>
      <w:r>
        <w:rPr>
          <w:noProof/>
        </w:rPr>
        <w:t>(</w:t>
      </w:r>
      <w:r>
        <w:t>not 123-4 or 123-24)</w:t>
      </w:r>
    </w:p>
    <w:p w14:paraId="6265C087" w14:textId="77777777">
      <w:pPr>
        <w:pStyle w:val="Lista3"/>
      </w:pPr>
      <w:r>
        <w:t>when referring to a range of pages, always indicate the full range rather than just the starting point (avoid forms like 123f. or 123ff.)</w:t>
      </w:r>
    </w:p>
    <w:p w14:paraId="7497E2D1" w14:textId="0F302296">
      <w:pPr>
        <w:pStyle w:val="Lista3"/>
      </w:pPr>
      <w:r>
        <w:t xml:space="preserve">see </w:t>
      </w:r>
      <w:r>
        <w:fldChar w:fldCharType="begin"/>
      </w:r>
      <w:r>
        <w:instrText xml:space="preserve"> REF _Ref233817611 \h </w:instrText>
      </w:r>
      <w:r>
        <w:fldChar w:fldCharType="separate"/>
      </w:r>
      <w:r>
        <w:t xml:space="preserve">Exhibit </w:t>
      </w:r>
      <w:r>
        <w:rPr>
          <w:noProof/>
        </w:rPr>
        <w:t>14.6</w:t>
      </w:r>
      <w:r>
        <w:t>.</w:t>
      </w:r>
      <w:r>
        <w:rPr>
          <w:noProof/>
        </w:rPr>
        <w:t>B</w:t>
      </w:r>
      <w:r>
        <w:fldChar w:fldCharType="end"/>
      </w:r>
      <w:r>
        <w:t xml:space="preserve"> for an illustration</w:t>
      </w:r>
    </w:p>
    <w:p w14:paraId="01E55BB9" w14:textId="77777777">
      <w:pPr>
        <w:pStyle w:val="Lista2"/>
        <w:rPr>
          <w:rStyle w:val="Code"/>
          <w:rFonts w:ascii="Gentium" w:hAnsi="Gentium" w:cs="Tiro Devanagari Sanskrit"/>
          <w:noProof w:val="0"/>
          <w:color w:val="auto"/>
          <w:shd w:val="clear" w:color="auto" w:fill="auto"/>
        </w:rPr>
      </w:pPr>
      <w:r>
        <w:t xml:space="preserve">two or more non-consecutive pages separated by a comma (and a space), e.g. </w:t>
      </w:r>
      <w:r>
        <w:rPr>
          <w:rStyle w:val="Code"/>
        </w:rPr>
        <w:t>&lt;citedRange&gt;</w:t>
      </w:r>
      <w:r>
        <w:rPr>
          <w:rStyle w:val="Codetext"/>
        </w:rPr>
        <w:t>12, 24</w:t>
      </w:r>
      <w:r>
        <w:rPr>
          <w:rStyle w:val="Code"/>
        </w:rPr>
        <w:t>&lt;/citedRange&gt;</w:t>
      </w:r>
    </w:p>
    <w:p w14:paraId="56FC7BFB" w14:textId="02A8F0FD">
      <w:pPr>
        <w:pStyle w:val="Lista"/>
      </w:pPr>
      <w:r>
        <w:t>page numbers which are not Arabic numerals may need to be converted to Arabic numerals as per §</w:t>
      </w:r>
      <w:r>
        <w:fldChar w:fldCharType="begin"/>
      </w:r>
      <w:r>
        <w:instrText xml:space="preserve"> REF _Ref233812153 \r \h </w:instrText>
      </w:r>
      <w:r>
        <w:fldChar w:fldCharType="separate"/>
      </w:r>
      <w:r>
        <w:t>14.6.1.3</w:t>
      </w:r>
      <w:r>
        <w:fldChar w:fldCharType="end"/>
      </w:r>
    </w:p>
    <w:p w14:paraId="2F2D39BC" w14:textId="77777777"/>
    <w:tbl>
      <w:tblPr>
        <w:tblStyle w:val="CodeSampleTable"/>
        <w:tblW w:w="5000" w:type="pct"/>
        <w:tblLook w:val="04A0" w:firstRow="1" w:lastRow="0" w:firstColumn="1" w:lastColumn="0" w:noHBand="0" w:noVBand="1"/>
      </w:tblPr>
      <w:tblGrid>
        <w:gridCol w:w="9628"/>
      </w:tblGrid>
      <w:tr w14:paraId="7F9D171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50C9AD7" w14:textId="28E4BD9F">
            <w:pPr>
              <w:pStyle w:val="Kpalrs"/>
            </w:pPr>
            <w:bookmarkStart w:id="998" w:name="_Ref233817611"/>
            <w:bookmarkStart w:id="999" w:name="_Ref233817605"/>
            <w:r>
              <w:t xml:space="preserve">Exhibit </w:t>
            </w:r>
            <w:fldSimple w:instr=" STYLEREF 2 \s ">
              <w:r>
                <w:rPr>
                  <w:noProof/>
                </w:rPr>
                <w:t>14.6</w:t>
              </w:r>
            </w:fldSimple>
            <w:r>
              <w:t>.</w:t>
            </w:r>
            <w:fldSimple w:instr=" SEQ Exhibit \* ALPHABETIC \s 2 ">
              <w:r>
                <w:rPr>
                  <w:noProof/>
                </w:rPr>
                <w:t>B</w:t>
              </w:r>
            </w:fldSimple>
            <w:bookmarkEnd w:id="998"/>
            <w:r>
              <w:t>: encoding a basic citation with a page range</w:t>
            </w:r>
            <w:bookmarkEnd w:id="999"/>
          </w:p>
        </w:tc>
      </w:tr>
      <w:tr w14:paraId="660113D6" w14:textId="77777777">
        <w:tc>
          <w:tcPr>
            <w:tcW w:w="5000" w:type="pct"/>
          </w:tcPr>
          <w:p w14:paraId="488D0B8E" w14:textId="77777777">
            <w:pPr>
              <w:pStyle w:val="TableNote"/>
              <w:keepNext/>
            </w:pPr>
            <w:r>
              <w:t>Majumdar 1943: 23–28</w:t>
            </w:r>
          </w:p>
        </w:tc>
      </w:tr>
      <w:tr w14:paraId="35C4FDD3" w14:textId="77777777">
        <w:tc>
          <w:tcPr>
            <w:tcW w:w="5000" w:type="pct"/>
          </w:tcPr>
          <w:p w14:paraId="5262DCFF"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&lt;citedRange&gt;</w:t>
            </w:r>
            <w:r>
              <w:rPr>
                <w:rStyle w:val="Codetext"/>
              </w:rPr>
              <w:t>23-28</w:t>
            </w:r>
            <w:r>
              <w:rPr>
                <w:rStyle w:val="Code"/>
              </w:rPr>
              <w:t>&lt;/citedRange&gt;</w:t>
            </w:r>
            <w:r>
              <w:rPr>
                <w:rStyle w:val="Codetext"/>
              </w:rPr>
              <w:br/>
            </w:r>
            <w:r>
              <w:rPr>
                <w:rStyle w:val="Code"/>
              </w:rPr>
              <w:t>&lt;/bibl&gt;</w:t>
            </w:r>
          </w:p>
        </w:tc>
      </w:tr>
    </w:tbl>
    <w:p w14:paraId="614A63AA" w14:textId="77777777">
      <w:pPr>
        <w:pStyle w:val="Cmsor4"/>
      </w:pPr>
      <w:bookmarkStart w:id="1000" w:name="_Ref233811283"/>
      <w:bookmarkStart w:id="1001" w:name="_Ref233811284"/>
      <w:r>
        <w:t>Citation specifics other than pages</w:t>
      </w:r>
      <w:bookmarkEnd w:id="1000"/>
      <w:bookmarkEnd w:id="1001"/>
    </w:p>
    <w:p w14:paraId="7DDE4CB1" w14:textId="77777777">
      <w:r>
        <w:t xml:space="preserve">To use entities other than pages in the specification of a citation, add the attribute </w:t>
      </w:r>
      <w:r>
        <w:rPr>
          <w:rStyle w:val="Codeattribute"/>
        </w:rPr>
        <w:t>@unit</w:t>
      </w:r>
      <w:r>
        <w:t xml:space="preserve"> to </w:t>
      </w:r>
      <w:r>
        <w:rPr>
          <w:rStyle w:val="Code"/>
        </w:rPr>
        <w:t>&lt;citedRange&gt;</w:t>
      </w:r>
      <w:r>
        <w:t xml:space="preserve"> and formulate the contents of the element accordingly.</w:t>
      </w:r>
    </w:p>
    <w:p w14:paraId="54311DA2" w14:textId="77777777">
      <w:pPr>
        <w:pStyle w:val="Lista"/>
      </w:pPr>
      <w:r>
        <w:t xml:space="preserve">in DHARMA practice, the following values of </w:t>
      </w:r>
      <w:r>
        <w:rPr>
          <w:rStyle w:val="Codeattribute"/>
        </w:rPr>
        <w:t>@unit</w:t>
      </w:r>
      <w:r>
        <w:t xml:space="preserve"> may be used on </w:t>
      </w:r>
      <w:r>
        <w:rPr>
          <w:rStyle w:val="Code"/>
        </w:rPr>
        <w:t>&lt;citedRange&gt;</w:t>
      </w:r>
    </w:p>
    <w:p w14:paraId="7B4AA916" w14:textId="77777777">
      <w:pPr>
        <w:pStyle w:val="Lista2"/>
      </w:pPr>
      <w:r>
        <w:rPr>
          <w:rStyle w:val="Codevalue"/>
        </w:rPr>
        <w:t>"appendix"</w:t>
      </w:r>
      <w:r>
        <w:t xml:space="preserve"> for numbered appendices</w:t>
      </w:r>
    </w:p>
    <w:p w14:paraId="7A45BE01" w14:textId="77777777">
      <w:pPr>
        <w:pStyle w:val="Lista2"/>
      </w:pPr>
      <w:r>
        <w:rPr>
          <w:rStyle w:val="Codevalue"/>
        </w:rPr>
        <w:t>"book"</w:t>
      </w:r>
      <w:r>
        <w:t xml:space="preserve"> for numbered divisions within a single volume, especially when designated by the term “book” or an equivalent, where the reference system is restarted in each division</w:t>
      </w:r>
    </w:p>
    <w:p w14:paraId="609726DF" w14:textId="77777777">
      <w:pPr>
        <w:pStyle w:val="Lista3"/>
      </w:pPr>
      <w:r>
        <w:t xml:space="preserve">such as Sircar’s </w:t>
      </w:r>
      <w:r>
        <w:rPr>
          <w:i/>
          <w:iCs/>
        </w:rPr>
        <w:t>Select Inscriptions</w:t>
      </w:r>
      <w:r>
        <w:t>, where item numbers are restarted in each “book” of both volumes</w:t>
      </w:r>
    </w:p>
    <w:p w14:paraId="21BB1241" w14:textId="77777777">
      <w:pPr>
        <w:pStyle w:val="Lista3"/>
      </w:pPr>
      <w:r>
        <w:t>distinguish this unit from “part” and “volume”</w:t>
      </w:r>
    </w:p>
    <w:p w14:paraId="20B807E7" w14:textId="77777777">
      <w:pPr>
        <w:pStyle w:val="Lista2"/>
      </w:pPr>
      <w:r>
        <w:rPr>
          <w:rStyle w:val="Codevalue"/>
        </w:rPr>
        <w:t>"entry"</w:t>
      </w:r>
      <w:r>
        <w:t xml:space="preserve"> for an item in a dictionary or encyclopaedia </w:t>
      </w:r>
      <w:r>
        <w:rPr>
          <w:noProof/>
        </w:rPr>
        <w:t>(</w:t>
      </w:r>
      <w:r>
        <w:t xml:space="preserve">to be displayed as </w:t>
      </w:r>
      <w:r>
        <w:rPr>
          <w:rStyle w:val="Foreign"/>
        </w:rPr>
        <w:t>s.v.</w:t>
      </w:r>
      <w:r>
        <w:t>)</w:t>
      </w:r>
    </w:p>
    <w:p w14:paraId="4F13FCE9" w14:textId="5C9BE36D">
      <w:pPr>
        <w:pStyle w:val="Lista3"/>
      </w:pPr>
      <w:r>
        <w:lastRenderedPageBreak/>
        <w:t xml:space="preserve">if the reference is to a dictionary entry, optionally enclose the contents of </w:t>
      </w:r>
      <w:r>
        <w:rPr>
          <w:rStyle w:val="Code"/>
        </w:rPr>
        <w:t>&lt;citedRange&gt;</w:t>
      </w:r>
      <w:r>
        <w:t xml:space="preserve"> in </w:t>
      </w:r>
      <w:r>
        <w:rPr>
          <w:rStyle w:val="Code"/>
        </w:rPr>
        <w:t>&lt;foreign&gt;</w:t>
      </w:r>
      <w:r>
        <w:t xml:space="preserve"> (as per §</w:t>
      </w:r>
      <w:r>
        <w:fldChar w:fldCharType="begin"/>
      </w:r>
      <w:r>
        <w:instrText xml:space="preserve"> REF _Ref43986658 \r \h </w:instrText>
      </w:r>
      <w:r>
        <w:fldChar w:fldCharType="separate"/>
      </w:r>
      <w:r>
        <w:t>14.4.2</w:t>
      </w:r>
      <w:r>
        <w:fldChar w:fldCharType="end"/>
      </w:r>
      <w:r>
        <w:t>)</w:t>
      </w:r>
    </w:p>
    <w:p w14:paraId="4CDA683C" w14:textId="77777777">
      <w:pPr>
        <w:pStyle w:val="Lista4"/>
        <w:rPr>
          <w:rStyle w:val="Code"/>
          <w:rFonts w:ascii="Gentium" w:hAnsi="Gentium" w:cs="Tiro Devanagari Sanskrit"/>
          <w:noProof w:val="0"/>
          <w:color w:val="auto"/>
          <w:shd w:val="clear" w:color="auto" w:fill="auto"/>
        </w:rPr>
      </w:pPr>
      <w:r>
        <w:t xml:space="preserve">this is not a technical requirement but a cosmetic option: the output will be italicised when wrapped in </w:t>
      </w:r>
      <w:r>
        <w:rPr>
          <w:rStyle w:val="Code"/>
        </w:rPr>
        <w:t>&lt;foreign&gt;</w:t>
      </w:r>
      <w:r>
        <w:t xml:space="preserve">, but not italicised without </w:t>
      </w:r>
      <w:r>
        <w:rPr>
          <w:rStyle w:val="Code"/>
        </w:rPr>
        <w:t>&lt;foreign&gt;</w:t>
      </w:r>
    </w:p>
    <w:p w14:paraId="4BC8CDE5" w14:textId="7676C849">
      <w:pPr>
        <w:pStyle w:val="Lista3"/>
      </w:pPr>
      <w:r>
        <w:t>to encode a reference containing only “s.v.” (without the actual headword), use a freestyle specification (§</w:t>
      </w:r>
      <w:r>
        <w:fldChar w:fldCharType="begin"/>
      </w:r>
      <w:r>
        <w:instrText xml:space="preserve"> REF _Ref233811324 \r \h </w:instrText>
      </w:r>
      <w:r>
        <w:fldChar w:fldCharType="separate"/>
      </w:r>
      <w:r>
        <w:t>14.6.1.5</w:t>
      </w:r>
      <w:r>
        <w:fldChar w:fldCharType="end"/>
      </w:r>
      <w:r>
        <w:t>) or simply add “s.v.” in the text outside the encoded citation</w:t>
      </w:r>
    </w:p>
    <w:p w14:paraId="71DDADB8" w14:textId="77777777">
      <w:pPr>
        <w:pStyle w:val="Lista2"/>
      </w:pPr>
      <w:r>
        <w:rPr>
          <w:rStyle w:val="Codevalue"/>
        </w:rPr>
        <w:t>"figure"</w:t>
      </w:r>
      <w:r>
        <w:t xml:space="preserve"> for illustrations and other graphics</w:t>
      </w:r>
    </w:p>
    <w:p w14:paraId="605E6992" w14:textId="77777777">
      <w:pPr>
        <w:pStyle w:val="Lista3"/>
      </w:pPr>
      <w:r>
        <w:t>distinguish this unit from “plate”</w:t>
      </w:r>
    </w:p>
    <w:p w14:paraId="2104FE73" w14:textId="77777777">
      <w:pPr>
        <w:pStyle w:val="Lista2"/>
      </w:pPr>
      <w:r>
        <w:rPr>
          <w:rStyle w:val="Codevalue"/>
        </w:rPr>
        <w:t>"item"</w:t>
      </w:r>
      <w:r>
        <w:t xml:space="preserve"> for a numbered item in an anthology of editions or an item in a numbered list </w:t>
      </w:r>
      <w:r>
        <w:rPr>
          <w:noProof/>
        </w:rPr>
        <w:t>(</w:t>
      </w:r>
      <w:r>
        <w:t>to be displayed as №)</w:t>
      </w:r>
    </w:p>
    <w:p w14:paraId="57A257A5" w14:textId="41C4EF6B">
      <w:pPr>
        <w:pStyle w:val="Lista3"/>
      </w:pPr>
      <w:r>
        <w:t xml:space="preserve">see </w:t>
      </w:r>
      <w:r>
        <w:fldChar w:fldCharType="begin"/>
      </w:r>
      <w:r>
        <w:instrText xml:space="preserve"> REF _Ref233646064 \h </w:instrText>
      </w:r>
      <w:r>
        <w:fldChar w:fldCharType="separate"/>
      </w:r>
      <w:r>
        <w:t xml:space="preserve">Exhibit </w:t>
      </w:r>
      <w:r>
        <w:rPr>
          <w:noProof/>
        </w:rPr>
        <w:t>14.3</w:t>
      </w:r>
      <w:r>
        <w:t>.</w:t>
      </w:r>
      <w:r>
        <w:rPr>
          <w:noProof/>
        </w:rPr>
        <w:t>C</w:t>
      </w:r>
      <w:r>
        <w:fldChar w:fldCharType="end"/>
      </w:r>
      <w:r>
        <w:t xml:space="preserve"> for an illustration</w:t>
      </w:r>
    </w:p>
    <w:p w14:paraId="0A0934EE" w14:textId="77777777">
      <w:pPr>
        <w:pStyle w:val="Lista2"/>
      </w:pPr>
      <w:r>
        <w:rPr>
          <w:rStyle w:val="Codevalue"/>
        </w:rPr>
        <w:t>"line"</w:t>
      </w:r>
      <w:r>
        <w:t xml:space="preserve"> for a lineated work where citations are conventionally identified by line number</w:t>
      </w:r>
    </w:p>
    <w:p w14:paraId="1E4035BA" w14:textId="77777777">
      <w:pPr>
        <w:pStyle w:val="Lista2"/>
      </w:pPr>
      <w:r>
        <w:rPr>
          <w:rStyle w:val="Codevalue"/>
        </w:rPr>
        <w:t>"note"</w:t>
      </w:r>
      <w:r>
        <w:t xml:space="preserve"> for a numbered </w:t>
      </w:r>
      <w:r>
        <w:rPr>
          <w:noProof/>
        </w:rPr>
        <w:t>(</w:t>
      </w:r>
      <w:r>
        <w:t>foot or end) note</w:t>
      </w:r>
    </w:p>
    <w:p w14:paraId="2059DAF1" w14:textId="77777777">
      <w:pPr>
        <w:pStyle w:val="Lista2"/>
      </w:pPr>
      <w:r>
        <w:rPr>
          <w:rStyle w:val="Codevalue"/>
        </w:rPr>
        <w:t>"page"</w:t>
      </w:r>
      <w:r>
        <w:t xml:space="preserve"> for pages</w:t>
      </w:r>
    </w:p>
    <w:p w14:paraId="32311622" w14:textId="4B82D221">
      <w:pPr>
        <w:pStyle w:val="Lista3"/>
      </w:pPr>
      <w:r>
        <w:t>this value is understood by default and, as noted in §</w:t>
      </w:r>
      <w:r>
        <w:fldChar w:fldCharType="begin"/>
      </w:r>
      <w:r>
        <w:instrText xml:space="preserve"> REF _Ref233811140 \r \h </w:instrText>
      </w:r>
      <w:r>
        <w:fldChar w:fldCharType="separate"/>
      </w:r>
      <w:r>
        <w:t>14.6.1.1</w:t>
      </w:r>
      <w:r>
        <w:fldChar w:fldCharType="end"/>
      </w:r>
      <w:r>
        <w:t>, need not be encoded except when more than one specification is given for a single citation as per §</w:t>
      </w:r>
      <w:r>
        <w:fldChar w:fldCharType="begin"/>
      </w:r>
      <w:r>
        <w:instrText xml:space="preserve"> REF _Ref233811301 \r \h </w:instrText>
      </w:r>
      <w:r>
        <w:fldChar w:fldCharType="separate"/>
      </w:r>
      <w:r>
        <w:t>14.6.1.4</w:t>
      </w:r>
      <w:r>
        <w:fldChar w:fldCharType="end"/>
      </w:r>
    </w:p>
    <w:p w14:paraId="202AF43D" w14:textId="77777777">
      <w:pPr>
        <w:pStyle w:val="Lista2"/>
      </w:pPr>
      <w:r>
        <w:rPr>
          <w:rStyle w:val="Codevalue"/>
        </w:rPr>
        <w:t>"part"</w:t>
      </w:r>
      <w:r>
        <w:t xml:space="preserve"> to distinguish sections of publications where identical page numbers re-occur within a single volume </w:t>
      </w:r>
      <w:r>
        <w:rPr>
          <w:noProof/>
        </w:rPr>
        <w:t>(</w:t>
      </w:r>
      <w:r>
        <w:t>such as Epigraphia Carnatica)</w:t>
      </w:r>
    </w:p>
    <w:p w14:paraId="2AE8927E" w14:textId="77777777">
      <w:pPr>
        <w:pStyle w:val="Lista2"/>
      </w:pPr>
      <w:r>
        <w:rPr>
          <w:rStyle w:val="Codevalue"/>
        </w:rPr>
        <w:t>"plate"</w:t>
      </w:r>
      <w:r>
        <w:t xml:space="preserve"> for visual material designated by the term “plate” or printed on pages separate from text</w:t>
      </w:r>
    </w:p>
    <w:p w14:paraId="3748A671" w14:textId="77777777">
      <w:pPr>
        <w:pStyle w:val="Lista3"/>
      </w:pPr>
      <w:r>
        <w:t>distinguish this unit from “figure”</w:t>
      </w:r>
    </w:p>
    <w:p w14:paraId="79261F81" w14:textId="77777777">
      <w:pPr>
        <w:pStyle w:val="Lista2"/>
      </w:pPr>
      <w:r>
        <w:rPr>
          <w:rStyle w:val="Codevalue"/>
        </w:rPr>
        <w:t>"section"</w:t>
      </w:r>
      <w:r>
        <w:t xml:space="preserve"> for one of many numbered paragraphs or short sections where this form of citation is practicable, such as many grammars as well as the descriptive parts of many volumes of the </w:t>
      </w:r>
      <w:r>
        <w:rPr>
          <w:rStyle w:val="Foreign"/>
        </w:rPr>
        <w:t>Annual Report on Indian Epigraphy</w:t>
      </w:r>
    </w:p>
    <w:p w14:paraId="46938BA1" w14:textId="77777777">
      <w:pPr>
        <w:pStyle w:val="Lista2"/>
      </w:pPr>
      <w:r>
        <w:rPr>
          <w:rStyle w:val="Codevalue"/>
        </w:rPr>
        <w:t>"table"</w:t>
      </w:r>
      <w:r>
        <w:t xml:space="preserve"> for material labelled as a table or presented in table form</w:t>
      </w:r>
    </w:p>
    <w:p w14:paraId="25606B65" w14:textId="77777777">
      <w:pPr>
        <w:pStyle w:val="Lista2"/>
      </w:pPr>
      <w:r>
        <w:rPr>
          <w:rStyle w:val="Codevalue"/>
        </w:rPr>
        <w:t>"volume"</w:t>
      </w:r>
      <w:r>
        <w:t xml:space="preserve"> for a specific (physically separate) volume of multi-volume publications</w:t>
      </w:r>
    </w:p>
    <w:p w14:paraId="7F04B53D" w14:textId="77777777">
      <w:pPr>
        <w:pStyle w:val="Lista3"/>
      </w:pPr>
      <w:r>
        <w:t>distinguish this unit from “book” and “part”</w:t>
      </w:r>
    </w:p>
    <w:p w14:paraId="72A9E429" w14:textId="1F69D001">
      <w:pPr>
        <w:pStyle w:val="Lista"/>
      </w:pPr>
      <w:r>
        <w:t xml:space="preserve">only the above values are permitted (as well as </w:t>
      </w:r>
      <w:r>
        <w:rPr>
          <w:rStyle w:val="Codevalue"/>
        </w:rPr>
        <w:t>"mixed"</w:t>
      </w:r>
      <w:r>
        <w:t>, §</w:t>
      </w:r>
      <w:r>
        <w:fldChar w:fldCharType="begin"/>
      </w:r>
      <w:r>
        <w:instrText xml:space="preserve"> REF _Ref233811324 \r \h </w:instrText>
      </w:r>
      <w:r>
        <w:fldChar w:fldCharType="separate"/>
      </w:r>
      <w:r>
        <w:t>14.6.1.5</w:t>
      </w:r>
      <w:r>
        <w:fldChar w:fldCharType="end"/>
      </w:r>
      <w:r>
        <w:t>)</w:t>
      </w:r>
    </w:p>
    <w:p w14:paraId="7AA2F499" w14:textId="77777777">
      <w:pPr>
        <w:pStyle w:val="Lista2"/>
      </w:pPr>
      <w:r>
        <w:t>if the publication uses different terminology, find the best approximation among the acceptable values</w:t>
      </w:r>
    </w:p>
    <w:p w14:paraId="588E8D96" w14:textId="77777777">
      <w:pPr>
        <w:pStyle w:val="Lista2"/>
      </w:pPr>
      <w:r>
        <w:t xml:space="preserve">if the publication uses a different language, use the English equivalent (e.g. </w:t>
      </w:r>
      <w:r>
        <w:rPr>
          <w:rStyle w:val="Codevalue"/>
        </w:rPr>
        <w:t>"appendix"</w:t>
      </w:r>
      <w:r>
        <w:t xml:space="preserve"> for an original </w:t>
      </w:r>
      <w:r>
        <w:rPr>
          <w:rStyle w:val="Foreign"/>
        </w:rPr>
        <w:t>bijlage</w:t>
      </w:r>
      <w:r>
        <w:t>)</w:t>
      </w:r>
    </w:p>
    <w:p w14:paraId="6FDAA502" w14:textId="50C6225C">
      <w:pPr>
        <w:pStyle w:val="Lista2"/>
      </w:pPr>
      <w:r>
        <w:t>if none of these solutions are satisfactory, encode a freestyle specification (§</w:t>
      </w:r>
      <w:r>
        <w:fldChar w:fldCharType="begin"/>
      </w:r>
      <w:r>
        <w:instrText xml:space="preserve"> REF _Ref233811324 \r \h </w:instrText>
      </w:r>
      <w:r>
        <w:fldChar w:fldCharType="separate"/>
      </w:r>
      <w:r>
        <w:t>14.6.1.5</w:t>
      </w:r>
      <w:r>
        <w:fldChar w:fldCharType="end"/>
      </w:r>
      <w:r>
        <w:t>)</w:t>
      </w:r>
    </w:p>
    <w:p w14:paraId="31F91EAF" w14:textId="77777777">
      <w:pPr>
        <w:pStyle w:val="Lista"/>
      </w:pPr>
      <w:r>
        <w:t xml:space="preserve">just as with page numbers, </w:t>
      </w:r>
      <w:r>
        <w:rPr>
          <w:rStyle w:val="Code"/>
        </w:rPr>
        <w:t>&lt;citedRange&gt;</w:t>
      </w:r>
      <w:r>
        <w:t xml:space="preserve"> with any of the above values of </w:t>
      </w:r>
      <w:r>
        <w:rPr>
          <w:rStyle w:val="Codeattribute"/>
        </w:rPr>
        <w:t>@unit</w:t>
      </w:r>
      <w:r>
        <w:t xml:space="preserve"> may contain an individual identifier, a range separated with a hyphen, or a list separated with commas and spaces</w:t>
      </w:r>
    </w:p>
    <w:p w14:paraId="3D1AFB36" w14:textId="77777777">
      <w:pPr>
        <w:pStyle w:val="Lista"/>
      </w:pPr>
      <w:r>
        <w:t>no machine action will be performed on the specification of a citation, but strive to keep your reference as clear and unambiguous as possible</w:t>
      </w:r>
    </w:p>
    <w:p w14:paraId="4F242613" w14:textId="77777777"/>
    <w:tbl>
      <w:tblPr>
        <w:tblStyle w:val="CodeSampleTable"/>
        <w:tblW w:w="5000" w:type="pct"/>
        <w:tblLook w:val="04A0" w:firstRow="1" w:lastRow="0" w:firstColumn="1" w:lastColumn="0" w:noHBand="0" w:noVBand="1"/>
      </w:tblPr>
      <w:tblGrid>
        <w:gridCol w:w="9628"/>
      </w:tblGrid>
      <w:tr w14:paraId="74146F89"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8D5907A" w14:textId="50EA778D">
            <w:pPr>
              <w:pStyle w:val="Kpalrs"/>
            </w:pPr>
            <w:r>
              <w:t xml:space="preserve">Exhibit </w:t>
            </w:r>
            <w:fldSimple w:instr=" STYLEREF 2 \s ">
              <w:r>
                <w:rPr>
                  <w:noProof/>
                </w:rPr>
                <w:t>14.6</w:t>
              </w:r>
            </w:fldSimple>
            <w:r>
              <w:t>.</w:t>
            </w:r>
            <w:fldSimple w:instr=" SEQ Exhibit \* ALPHABETIC \s 2 ">
              <w:r>
                <w:rPr>
                  <w:noProof/>
                </w:rPr>
                <w:t>C</w:t>
              </w:r>
            </w:fldSimple>
            <w:r>
              <w:t>: encoding a citation with an item number</w:t>
            </w:r>
          </w:p>
        </w:tc>
      </w:tr>
      <w:tr w14:paraId="7820F9F7" w14:textId="77777777">
        <w:tc>
          <w:tcPr>
            <w:tcW w:w="5000" w:type="pct"/>
          </w:tcPr>
          <w:p w14:paraId="4F07C518" w14:textId="77777777">
            <w:pPr>
              <w:pStyle w:val="TableNote"/>
              <w:keepNext/>
            </w:pPr>
            <w:r>
              <w:t>Shastree 1844: № 1</w:t>
            </w:r>
          </w:p>
        </w:tc>
      </w:tr>
      <w:tr w14:paraId="56DCF94C" w14:textId="77777777">
        <w:tc>
          <w:tcPr>
            <w:tcW w:w="5000" w:type="pct"/>
          </w:tcPr>
          <w:p w14:paraId="2422672D"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w:t>
            </w:r>
            <w:r>
              <w:t xml:space="preserve"> </w:t>
            </w:r>
            <w:r>
              <w:rPr>
                <w:rStyle w:val="Codevalue"/>
              </w:rPr>
              <w:t>Shastree1844_01"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1</w:t>
            </w:r>
            <w:r>
              <w:rPr>
                <w:rStyle w:val="Code"/>
              </w:rPr>
              <w:t>&lt;/citedRange&gt;</w:t>
            </w:r>
            <w:r>
              <w:rPr>
                <w:rStyle w:val="Codetext"/>
              </w:rPr>
              <w:br/>
            </w:r>
            <w:r>
              <w:rPr>
                <w:rStyle w:val="Code"/>
              </w:rPr>
              <w:t>&lt;/bibl&gt;</w:t>
            </w:r>
          </w:p>
        </w:tc>
      </w:tr>
    </w:tbl>
    <w:p w14:paraId="7654AB2D" w14:textId="77777777"/>
    <w:p w14:paraId="2937E3FF" w14:textId="77777777">
      <w:pPr>
        <w:pStyle w:val="Cmsor4"/>
      </w:pPr>
      <w:bookmarkStart w:id="1002" w:name="_Ref233812153"/>
      <w:r>
        <w:t>Numeration style in bibliographic citations</w:t>
      </w:r>
      <w:bookmarkEnd w:id="1002"/>
    </w:p>
    <w:p w14:paraId="603270D9" w14:textId="77777777">
      <w:r>
        <w:rPr>
          <w:lang w:eastAsia="en-US" w:bidi="ar-SA"/>
        </w:rPr>
        <w:t xml:space="preserve">For consistency and the convenience of the reader, we generally prefer numeration in Arabic numerals. </w:t>
      </w:r>
      <w:r>
        <w:t xml:space="preserve">As per ZG §4.6, we recommend that you convert any other numerals used in the publication to Arabic numerals unless this results in an ambiguity because Arabic and non-Arabic numerals are both used for the same kind of entity within the same publication. </w:t>
      </w:r>
    </w:p>
    <w:p w14:paraId="0A200C0D" w14:textId="77777777">
      <w:pPr>
        <w:pStyle w:val="Lista"/>
      </w:pPr>
      <w:r>
        <w:t>this is strongly recommended for publications in a non-European language that do not use Arabic page numbers anywhere</w:t>
      </w:r>
    </w:p>
    <w:p w14:paraId="0A7B12B0" w14:textId="77777777">
      <w:pPr>
        <w:pStyle w:val="Lista2"/>
      </w:pPr>
      <w:r>
        <w:lastRenderedPageBreak/>
        <w:t>but if one part of the publication has Arabic page numbering and another part has a different numeration system, keep the numbers as they are in order to avoid ambiguity</w:t>
      </w:r>
    </w:p>
    <w:p w14:paraId="2E8893C0" w14:textId="77777777">
      <w:pPr>
        <w:pStyle w:val="Lista"/>
      </w:pPr>
      <w:r>
        <w:t>this is recommended, as far as deemed practicable, for units other than pages which are numerated in a non-Arabic system</w:t>
      </w:r>
    </w:p>
    <w:p w14:paraId="4898EDDD" w14:textId="77777777">
      <w:pPr>
        <w:pStyle w:val="Lista2"/>
      </w:pPr>
      <w:r>
        <w:t>for example if all appendices or all figures have Roman numeration, this can be converted to Arabic without any ambiguity</w:t>
      </w:r>
    </w:p>
    <w:p w14:paraId="2DEA0B35" w14:textId="77777777">
      <w:pPr>
        <w:pStyle w:val="Cmsor4"/>
      </w:pPr>
      <w:bookmarkStart w:id="1003" w:name="_Ref233811301"/>
      <w:bookmarkStart w:id="1004" w:name="_Ref233812949"/>
      <w:r>
        <w:t>Combining citation specifics</w:t>
      </w:r>
      <w:bookmarkEnd w:id="1003"/>
      <w:bookmarkEnd w:id="1004"/>
    </w:p>
    <w:p w14:paraId="06BCB484" w14:textId="1249676F">
      <w:pPr>
        <w:rPr>
          <w:lang w:eastAsia="en-US" w:bidi="ar-SA"/>
        </w:rPr>
      </w:pPr>
      <w:r>
        <w:rPr>
          <w:lang w:eastAsia="en-US" w:bidi="ar-SA"/>
        </w:rPr>
        <w:t xml:space="preserve">In order to increase accuracy, reduce ambiguity and facilitate looking up references, citations specified with reference to a unit other than page numbers may be complemented with other details, as illustrated in </w:t>
      </w:r>
      <w:r>
        <w:rPr>
          <w:lang w:eastAsia="en-US" w:bidi="ar-SA"/>
        </w:rPr>
        <w:fldChar w:fldCharType="begin"/>
      </w:r>
      <w:r>
        <w:rPr>
          <w:lang w:eastAsia="en-US" w:bidi="ar-SA"/>
        </w:rPr>
        <w:instrText xml:space="preserve"> REF _Ref233818239 \h </w:instrText>
      </w:r>
      <w:r>
        <w:rPr>
          <w:lang w:eastAsia="en-US" w:bidi="ar-SA"/>
        </w:rPr>
      </w:r>
      <w:r>
        <w:rPr>
          <w:lang w:eastAsia="en-US" w:bidi="ar-SA"/>
        </w:rPr>
        <w:fldChar w:fldCharType="separate"/>
      </w:r>
      <w:r>
        <w:t xml:space="preserve">Exhibit </w:t>
      </w:r>
      <w:r>
        <w:rPr>
          <w:noProof/>
        </w:rPr>
        <w:t>14.6</w:t>
      </w:r>
      <w:r>
        <w:t>.</w:t>
      </w:r>
      <w:r>
        <w:rPr>
          <w:noProof/>
        </w:rPr>
        <w:t>D</w:t>
      </w:r>
      <w:r>
        <w:rPr>
          <w:lang w:eastAsia="en-US" w:bidi="ar-SA"/>
        </w:rPr>
        <w:fldChar w:fldCharType="end"/>
      </w:r>
      <w:r>
        <w:rPr>
          <w:lang w:eastAsia="en-US" w:bidi="ar-SA"/>
        </w:rPr>
        <w:t xml:space="preserve"> and </w:t>
      </w:r>
      <w:r>
        <w:rPr>
          <w:lang w:eastAsia="en-US" w:bidi="ar-SA"/>
        </w:rPr>
        <w:fldChar w:fldCharType="begin"/>
      </w:r>
      <w:r>
        <w:rPr>
          <w:lang w:eastAsia="en-US" w:bidi="ar-SA"/>
        </w:rPr>
        <w:instrText xml:space="preserve"> REF _Ref233818240 \h </w:instrText>
      </w:r>
      <w:r>
        <w:rPr>
          <w:lang w:eastAsia="en-US" w:bidi="ar-SA"/>
        </w:rPr>
      </w:r>
      <w:r>
        <w:rPr>
          <w:lang w:eastAsia="en-US" w:bidi="ar-SA"/>
        </w:rPr>
        <w:fldChar w:fldCharType="separate"/>
      </w:r>
      <w:r>
        <w:t xml:space="preserve">Exhibit </w:t>
      </w:r>
      <w:r>
        <w:rPr>
          <w:noProof/>
        </w:rPr>
        <w:t>14.6</w:t>
      </w:r>
      <w:r>
        <w:t>.</w:t>
      </w:r>
      <w:r>
        <w:rPr>
          <w:noProof/>
        </w:rPr>
        <w:t>F</w:t>
      </w:r>
      <w:r>
        <w:rPr>
          <w:lang w:eastAsia="en-US" w:bidi="ar-SA"/>
        </w:rPr>
        <w:fldChar w:fldCharType="end"/>
      </w:r>
      <w:r>
        <w:rPr>
          <w:lang w:eastAsia="en-US" w:bidi="ar-SA"/>
        </w:rPr>
        <w:t>.</w:t>
      </w:r>
    </w:p>
    <w:p w14:paraId="1065F1A4" w14:textId="77777777">
      <w:pPr>
        <w:pStyle w:val="Lista"/>
      </w:pPr>
      <w:r>
        <w:t>this subsection applies only to cases where all of the specifications point to the same cited locus, e.g. “Figure 3 on page 26”</w:t>
      </w:r>
    </w:p>
    <w:p w14:paraId="31F3D135" w14:textId="34A86F73">
      <w:pPr>
        <w:pStyle w:val="Lista2"/>
      </w:pPr>
      <w:r>
        <w:t>references to several loci specified by different units (e.g. “Figure 3 and page 26”) can only be expressed through a freestyle citation (§</w:t>
      </w:r>
      <w:r>
        <w:fldChar w:fldCharType="begin"/>
      </w:r>
      <w:r>
        <w:instrText xml:space="preserve"> REF _Ref233811324 \r \h </w:instrText>
      </w:r>
      <w:r>
        <w:fldChar w:fldCharType="separate"/>
      </w:r>
      <w:r>
        <w:t>14.6.1.5</w:t>
      </w:r>
      <w:r>
        <w:fldChar w:fldCharType="end"/>
      </w:r>
      <w:r>
        <w:t>)</w:t>
      </w:r>
    </w:p>
    <w:p w14:paraId="71ADB3AB" w14:textId="77777777">
      <w:pPr>
        <w:pStyle w:val="Lista"/>
      </w:pPr>
      <w:r>
        <w:t xml:space="preserve">to use more than one unit of reference for identifying a cited locus, create two or more </w:t>
      </w:r>
      <w:r>
        <w:rPr>
          <w:rStyle w:val="Code"/>
        </w:rPr>
        <w:t>&lt;citedRange&gt;</w:t>
      </w:r>
      <w:r>
        <w:t xml:space="preserve"> elements one after the other within your </w:t>
      </w:r>
      <w:r>
        <w:rPr>
          <w:rStyle w:val="Code"/>
        </w:rPr>
        <w:t>&lt;bibl&gt;</w:t>
      </w:r>
      <w:r>
        <w:t xml:space="preserve"> element</w:t>
      </w:r>
    </w:p>
    <w:p w14:paraId="2FD2AA06" w14:textId="77777777">
      <w:pPr>
        <w:pStyle w:val="Lista2"/>
      </w:pPr>
      <w:r>
        <w:t xml:space="preserve">if one of these refers to page numbers, then (unlike the situation where you refer only to page numbers) this must be explicitly encoded by using </w:t>
      </w:r>
      <w:r>
        <w:rPr>
          <w:rStyle w:val="Codeattribute"/>
        </w:rPr>
        <w:t>@unit</w:t>
      </w:r>
      <w:r>
        <w:rPr>
          <w:rStyle w:val="Code"/>
        </w:rPr>
        <w:t>=</w:t>
      </w:r>
      <w:r>
        <w:rPr>
          <w:rStyle w:val="Codevalue"/>
        </w:rPr>
        <w:t>"page"</w:t>
      </w:r>
      <w:r>
        <w:t xml:space="preserve"> on the </w:t>
      </w:r>
      <w:r>
        <w:rPr>
          <w:rStyle w:val="Code"/>
        </w:rPr>
        <w:t>&lt;citedRange&gt;</w:t>
      </w:r>
      <w:r>
        <w:t xml:space="preserve"> element</w:t>
      </w:r>
    </w:p>
    <w:p w14:paraId="3FD1683E" w14:textId="77777777">
      <w:pPr>
        <w:pStyle w:val="Lista2"/>
      </w:pPr>
      <w:r>
        <w:t xml:space="preserve">the </w:t>
      </w:r>
      <w:r>
        <w:rPr>
          <w:rStyle w:val="Code"/>
        </w:rPr>
        <w:t>&lt;citedRange&gt;</w:t>
      </w:r>
      <w:r>
        <w:t xml:space="preserve"> elements must appear in the order in which they are eventually to be displayed</w:t>
      </w:r>
    </w:p>
    <w:p w14:paraId="5F98F7FA" w14:textId="77777777">
      <w:pPr>
        <w:pStyle w:val="Lista3"/>
      </w:pPr>
      <w:r>
        <w:t>e.g. a volume number must precede a page number, and a page number must precede a note number</w:t>
      </w:r>
    </w:p>
    <w:p w14:paraId="0A6E096A" w14:textId="52429582">
      <w:pPr>
        <w:pStyle w:val="Lista"/>
      </w:pPr>
      <w:r>
        <w:t xml:space="preserve">citation of items in the appendices of the </w:t>
      </w:r>
      <w:r>
        <w:rPr>
          <w:rStyle w:val="Foreign"/>
        </w:rPr>
        <w:t>Annual Report on Indian Epigraphy</w:t>
      </w:r>
      <w:r>
        <w:t xml:space="preserve"> should always involve the full specification illustrated in </w:t>
      </w:r>
      <w:r>
        <w:fldChar w:fldCharType="begin"/>
      </w:r>
      <w:r>
        <w:instrText xml:space="preserve"> REF _Ref44079042 \h </w:instrText>
      </w:r>
      <w:r>
        <w:fldChar w:fldCharType="separate"/>
      </w:r>
      <w:r>
        <w:t xml:space="preserve">Exhibit </w:t>
      </w:r>
      <w:r>
        <w:rPr>
          <w:noProof/>
        </w:rPr>
        <w:t>14.6</w:t>
      </w:r>
      <w:r>
        <w:t>.</w:t>
      </w:r>
      <w:r>
        <w:rPr>
          <w:noProof/>
        </w:rPr>
        <w:t>G</w:t>
      </w:r>
      <w:r>
        <w:fldChar w:fldCharType="end"/>
      </w:r>
      <w:r>
        <w:t xml:space="preserve"> and consisting of </w:t>
      </w:r>
    </w:p>
    <w:p w14:paraId="3A6BE7F2" w14:textId="77777777">
      <w:pPr>
        <w:pStyle w:val="Lista2"/>
      </w:pPr>
      <w:r>
        <w:t>the page number</w:t>
      </w:r>
    </w:p>
    <w:p w14:paraId="58AE10D8" w14:textId="77777777">
      <w:pPr>
        <w:pStyle w:val="Lista2"/>
      </w:pPr>
      <w:r>
        <w:t xml:space="preserve">the identifier of the appendix including the year </w:t>
      </w:r>
      <w:r>
        <w:rPr>
          <w:noProof/>
        </w:rPr>
        <w:t>(</w:t>
      </w:r>
      <w:r>
        <w:t>or range of years written out in full), separated with a slash from the letter of the appendix</w:t>
      </w:r>
    </w:p>
    <w:p w14:paraId="28C917D2" w14:textId="77777777">
      <w:pPr>
        <w:pStyle w:val="Lista2"/>
      </w:pPr>
      <w:r>
        <w:t>the identifier of the item in the appendix</w:t>
      </w:r>
    </w:p>
    <w:p w14:paraId="45A3959A" w14:textId="77777777"/>
    <w:tbl>
      <w:tblPr>
        <w:tblStyle w:val="CodeSampleTable"/>
        <w:tblW w:w="5000" w:type="pct"/>
        <w:tblLook w:val="04A0" w:firstRow="1" w:lastRow="0" w:firstColumn="1" w:lastColumn="0" w:noHBand="0" w:noVBand="1"/>
      </w:tblPr>
      <w:tblGrid>
        <w:gridCol w:w="9628"/>
      </w:tblGrid>
      <w:tr w14:paraId="6869F71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FAF0545" w14:textId="762D5889">
            <w:pPr>
              <w:pStyle w:val="Kpalrs"/>
            </w:pPr>
            <w:bookmarkStart w:id="1005" w:name="_Ref233818239"/>
            <w:r>
              <w:t xml:space="preserve">Exhibit </w:t>
            </w:r>
            <w:fldSimple w:instr=" STYLEREF 2 \s ">
              <w:r>
                <w:rPr>
                  <w:noProof/>
                </w:rPr>
                <w:t>14.6</w:t>
              </w:r>
            </w:fldSimple>
            <w:r>
              <w:t>.</w:t>
            </w:r>
            <w:fldSimple w:instr=" SEQ Exhibit \* ALPHABETIC \s 2 ">
              <w:r>
                <w:rPr>
                  <w:noProof/>
                </w:rPr>
                <w:t>D</w:t>
              </w:r>
            </w:fldSimple>
            <w:bookmarkEnd w:id="1005"/>
            <w:r>
              <w:t>: encoding a citation with a page and a figure number</w:t>
            </w:r>
          </w:p>
        </w:tc>
      </w:tr>
      <w:tr w14:paraId="00F4C3C7" w14:textId="77777777">
        <w:tc>
          <w:tcPr>
            <w:tcW w:w="5000" w:type="pct"/>
          </w:tcPr>
          <w:p w14:paraId="443A0593" w14:textId="77777777">
            <w:pPr>
              <w:pStyle w:val="TableNote"/>
              <w:keepNext/>
            </w:pPr>
            <w:r>
              <w:t>Majumdar 1943: 23–28, fig. 12</w:t>
            </w:r>
          </w:p>
        </w:tc>
      </w:tr>
      <w:tr w14:paraId="3C2B0FF8" w14:textId="77777777">
        <w:tc>
          <w:tcPr>
            <w:tcW w:w="5000" w:type="pct"/>
          </w:tcPr>
          <w:p w14:paraId="490767EF"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23-28</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"figure"</w:t>
            </w:r>
            <w:r>
              <w:rPr>
                <w:rStyle w:val="Code"/>
              </w:rPr>
              <w:t>&gt;</w:t>
            </w:r>
            <w:r>
              <w:rPr>
                <w:rStyle w:val="Codetext"/>
              </w:rPr>
              <w:t>12</w:t>
            </w:r>
            <w:r>
              <w:rPr>
                <w:rStyle w:val="Code"/>
              </w:rPr>
              <w:t>&lt;/citedRange&gt;</w:t>
            </w:r>
            <w:r>
              <w:rPr>
                <w:rStyle w:val="Codetext"/>
              </w:rPr>
              <w:br/>
            </w:r>
            <w:r>
              <w:rPr>
                <w:rStyle w:val="Code"/>
              </w:rPr>
              <w:t>&lt;/bibl&gt;</w:t>
            </w:r>
          </w:p>
        </w:tc>
      </w:tr>
    </w:tbl>
    <w:p w14:paraId="5B1081B9" w14:textId="77777777"/>
    <w:tbl>
      <w:tblPr>
        <w:tblStyle w:val="CodeSampleTable"/>
        <w:tblW w:w="5000" w:type="pct"/>
        <w:tblLook w:val="04A0" w:firstRow="1" w:lastRow="0" w:firstColumn="1" w:lastColumn="0" w:noHBand="0" w:noVBand="1"/>
      </w:tblPr>
      <w:tblGrid>
        <w:gridCol w:w="9628"/>
      </w:tblGrid>
      <w:tr w14:paraId="6C7CF1C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34D6DE0" w14:textId="3D28A207">
            <w:pPr>
              <w:pStyle w:val="Kpalrs"/>
            </w:pPr>
            <w:r>
              <w:t xml:space="preserve">Exhibit </w:t>
            </w:r>
            <w:fldSimple w:instr=" STYLEREF 2 \s ">
              <w:r>
                <w:rPr>
                  <w:noProof/>
                </w:rPr>
                <w:t>14.6</w:t>
              </w:r>
            </w:fldSimple>
            <w:r>
              <w:t>.</w:t>
            </w:r>
            <w:fldSimple w:instr=" SEQ Exhibit \* ALPHABETIC \s 2 ">
              <w:r>
                <w:rPr>
                  <w:noProof/>
                </w:rPr>
                <w:t>E</w:t>
              </w:r>
            </w:fldSimple>
            <w:r>
              <w:t>: encoding a citation with a volume and section number</w:t>
            </w:r>
          </w:p>
        </w:tc>
      </w:tr>
      <w:tr w14:paraId="1078B5F5" w14:textId="77777777">
        <w:tc>
          <w:tcPr>
            <w:tcW w:w="5000" w:type="pct"/>
          </w:tcPr>
          <w:p w14:paraId="10546378" w14:textId="77777777">
            <w:pPr>
              <w:pStyle w:val="TableNote"/>
              <w:keepNext/>
            </w:pPr>
            <w:r>
              <w:t>Edgerton 1953, vol. 1: §§34-36</w:t>
            </w:r>
          </w:p>
        </w:tc>
      </w:tr>
      <w:tr w14:paraId="6AE7EBD3" w14:textId="77777777">
        <w:tc>
          <w:tcPr>
            <w:tcW w:w="5000" w:type="pct"/>
          </w:tcPr>
          <w:p w14:paraId="01E936CC"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"bib:Edgerton1953_01"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"volume"</w:t>
            </w:r>
            <w:r>
              <w:rPr>
                <w:rStyle w:val="Code"/>
              </w:rPr>
              <w:t>&gt;</w:t>
            </w:r>
            <w:r>
              <w:rPr>
                <w:rStyle w:val="Codetext"/>
              </w:rPr>
              <w:t>1</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"section"</w:t>
            </w:r>
            <w:r>
              <w:rPr>
                <w:rStyle w:val="Code"/>
              </w:rPr>
              <w:t>&gt;</w:t>
            </w:r>
            <w:r>
              <w:rPr>
                <w:rStyle w:val="Codetext"/>
              </w:rPr>
              <w:t>34-36</w:t>
            </w:r>
            <w:r>
              <w:rPr>
                <w:rStyle w:val="Code"/>
              </w:rPr>
              <w:t>&lt;/citedRange&gt;</w:t>
            </w:r>
            <w:r>
              <w:rPr>
                <w:rStyle w:val="Codetext"/>
              </w:rPr>
              <w:br/>
            </w:r>
            <w:r>
              <w:rPr>
                <w:rStyle w:val="Code"/>
              </w:rPr>
              <w:t>&lt;/bibl&gt;</w:t>
            </w:r>
          </w:p>
        </w:tc>
      </w:tr>
    </w:tbl>
    <w:p w14:paraId="5E4EF4F0" w14:textId="77777777"/>
    <w:tbl>
      <w:tblPr>
        <w:tblStyle w:val="CodeSampleTable"/>
        <w:tblW w:w="5000" w:type="pct"/>
        <w:tblLook w:val="04A0" w:firstRow="1" w:lastRow="0" w:firstColumn="1" w:lastColumn="0" w:noHBand="0" w:noVBand="1"/>
      </w:tblPr>
      <w:tblGrid>
        <w:gridCol w:w="9628"/>
      </w:tblGrid>
      <w:tr w14:paraId="2163AC0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61792B3" w14:textId="6E9AF4E9">
            <w:pPr>
              <w:pStyle w:val="Kpalrs"/>
            </w:pPr>
            <w:bookmarkStart w:id="1006" w:name="_Ref233818240"/>
            <w:r>
              <w:t xml:space="preserve">Exhibit </w:t>
            </w:r>
            <w:fldSimple w:instr=" STYLEREF 2 \s ">
              <w:r>
                <w:rPr>
                  <w:noProof/>
                </w:rPr>
                <w:t>14.6</w:t>
              </w:r>
            </w:fldSimple>
            <w:r>
              <w:t>.</w:t>
            </w:r>
            <w:fldSimple w:instr=" SEQ Exhibit \* ALPHABETIC \s 2 ">
              <w:r>
                <w:rPr>
                  <w:noProof/>
                </w:rPr>
                <w:t>F</w:t>
              </w:r>
            </w:fldSimple>
            <w:bookmarkEnd w:id="1006"/>
            <w:r>
              <w:t>: encoding a citation with a volume and page number</w:t>
            </w:r>
          </w:p>
        </w:tc>
      </w:tr>
      <w:tr w14:paraId="7AE10D07" w14:textId="77777777">
        <w:tc>
          <w:tcPr>
            <w:tcW w:w="5000" w:type="pct"/>
          </w:tcPr>
          <w:p w14:paraId="07CA6714" w14:textId="77777777">
            <w:pPr>
              <w:pStyle w:val="TableNote"/>
              <w:keepNext/>
            </w:pPr>
            <w:r>
              <w:t>Majumdar 1943, vol. 1: 23–28</w:t>
            </w:r>
          </w:p>
        </w:tc>
      </w:tr>
      <w:tr w14:paraId="5AF5EF82" w14:textId="77777777">
        <w:tc>
          <w:tcPr>
            <w:tcW w:w="5000" w:type="pct"/>
          </w:tcPr>
          <w:p w14:paraId="26BDD089"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"volume"</w:t>
            </w:r>
            <w:r>
              <w:rPr>
                <w:rStyle w:val="Code"/>
              </w:rPr>
              <w:t>&gt;</w:t>
            </w:r>
            <w:r>
              <w:rPr>
                <w:rStyle w:val="Codetext"/>
              </w:rPr>
              <w:t>1</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23-28</w:t>
            </w:r>
            <w:r>
              <w:rPr>
                <w:rStyle w:val="Code"/>
              </w:rPr>
              <w:t>&lt;/citedRange&gt;</w:t>
            </w:r>
            <w:r>
              <w:rPr>
                <w:rStyle w:val="Codetext"/>
              </w:rPr>
              <w:br/>
            </w:r>
            <w:r>
              <w:rPr>
                <w:rStyle w:val="Code"/>
              </w:rPr>
              <w:t>&lt;/bibl&gt;</w:t>
            </w:r>
          </w:p>
        </w:tc>
      </w:tr>
    </w:tbl>
    <w:p w14:paraId="27F242F7" w14:textId="77777777"/>
    <w:tbl>
      <w:tblPr>
        <w:tblStyle w:val="CodeSampleTable"/>
        <w:tblW w:w="5000" w:type="pct"/>
        <w:tblLook w:val="04A0" w:firstRow="1" w:lastRow="0" w:firstColumn="1" w:lastColumn="0" w:noHBand="0" w:noVBand="1"/>
      </w:tblPr>
      <w:tblGrid>
        <w:gridCol w:w="9628"/>
      </w:tblGrid>
      <w:tr w14:paraId="58F80DF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3FFD76C" w14:textId="716E6327">
            <w:pPr>
              <w:pStyle w:val="Kpalrs"/>
            </w:pPr>
            <w:bookmarkStart w:id="1007" w:name="_Ref44079042"/>
            <w:r>
              <w:lastRenderedPageBreak/>
              <w:t xml:space="preserve">Exhibit </w:t>
            </w:r>
            <w:fldSimple w:instr=" STYLEREF 2 \s ">
              <w:r>
                <w:rPr>
                  <w:noProof/>
                </w:rPr>
                <w:t>14.6</w:t>
              </w:r>
            </w:fldSimple>
            <w:r>
              <w:t>.</w:t>
            </w:r>
            <w:fldSimple w:instr=" SEQ Exhibit \* ALPHABETIC \s 2 ">
              <w:r>
                <w:rPr>
                  <w:noProof/>
                </w:rPr>
                <w:t>G</w:t>
              </w:r>
            </w:fldSimple>
            <w:bookmarkEnd w:id="1007"/>
            <w:r>
              <w:t>: encoding a citation of the Annual Report on Indian Epigraphy</w:t>
            </w:r>
          </w:p>
        </w:tc>
      </w:tr>
      <w:tr w14:paraId="1953E10D" w14:textId="77777777">
        <w:tc>
          <w:tcPr>
            <w:tcW w:w="5000" w:type="pct"/>
          </w:tcPr>
          <w:p w14:paraId="3F3CC4BA" w14:textId="77777777">
            <w:pPr>
              <w:pStyle w:val="TableNote"/>
              <w:keepNext/>
            </w:pPr>
            <w:r>
              <w:t>ARIE 1962–63, p. 157, appendix C/1945–1946, № 1</w:t>
            </w:r>
          </w:p>
        </w:tc>
      </w:tr>
      <w:tr w14:paraId="49F5395B" w14:textId="77777777">
        <w:tc>
          <w:tcPr>
            <w:tcW w:w="5000" w:type="pct"/>
          </w:tcPr>
          <w:p w14:paraId="41ED5C28" w14:textId="77777777">
            <w:pPr>
              <w:pStyle w:val="CodeParagraph"/>
              <w:keepNext/>
              <w:spacing w:line="240" w:lineRule="auto"/>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"bib:ARIE1962-1963"</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157</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"appendix"</w:t>
            </w:r>
            <w:r>
              <w:rPr>
                <w:rStyle w:val="Code"/>
              </w:rPr>
              <w:t>&gt;</w:t>
            </w:r>
            <w:r>
              <w:rPr>
                <w:rStyle w:val="Codetext"/>
              </w:rPr>
              <w:t>C/1945-1946</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1</w:t>
            </w:r>
            <w:r>
              <w:rPr>
                <w:rStyle w:val="Code"/>
              </w:rPr>
              <w:t>&lt;/citedRange&gt;</w:t>
            </w:r>
            <w:r>
              <w:rPr>
                <w:rStyle w:val="Codetext"/>
              </w:rPr>
              <w:br/>
            </w:r>
            <w:r>
              <w:rPr>
                <w:rStyle w:val="Code"/>
              </w:rPr>
              <w:t>&lt;/bibl&gt;</w:t>
            </w:r>
          </w:p>
        </w:tc>
      </w:tr>
    </w:tbl>
    <w:p w14:paraId="5FA63531" w14:textId="77777777"/>
    <w:p w14:paraId="0653908A" w14:textId="77777777">
      <w:pPr>
        <w:pStyle w:val="Cmsor4"/>
      </w:pPr>
      <w:bookmarkStart w:id="1008" w:name="_Ref233811324"/>
      <w:r>
        <w:t>Freestyle specification</w:t>
      </w:r>
      <w:bookmarkEnd w:id="1008"/>
    </w:p>
    <w:p w14:paraId="4EDCBBA6" w14:textId="77777777">
      <w:r>
        <w:rPr>
          <w:lang w:eastAsia="en-US" w:bidi="ar-SA"/>
        </w:rPr>
        <w:t xml:space="preserve">It is sometimes desirable for a single citation to refer to several points in a publication where the points are identified by different units or different combinations of units </w:t>
      </w:r>
      <w:r>
        <w:t>(e.g. “notes 9 and 10 on page 291 and the body text on page 320”, “page 15 and appendix A”,  or “pages 216–217 of Part I and Plate XI in Part II”). Encoding such citations rigorously would be greatly complicated with no tangible return as regards machine actionability, therefore we permit the “freestyle” specification of citations.</w:t>
      </w:r>
    </w:p>
    <w:p w14:paraId="0517AE05" w14:textId="77777777">
      <w:pPr>
        <w:pStyle w:val="Lista"/>
      </w:pPr>
      <w:r>
        <w:t xml:space="preserve">to encode a freestyle specification, use </w:t>
      </w:r>
      <w:r>
        <w:rPr>
          <w:rStyle w:val="Code"/>
        </w:rPr>
        <w:t>&lt;citedRange&gt;</w:t>
      </w:r>
      <w:r>
        <w:t xml:space="preserve"> with </w:t>
      </w:r>
      <w:r>
        <w:rPr>
          <w:rStyle w:val="Codeattribute"/>
        </w:rPr>
        <w:t>@unit</w:t>
      </w:r>
      <w:r>
        <w:rPr>
          <w:rStyle w:val="Code"/>
        </w:rPr>
        <w:t>=</w:t>
      </w:r>
      <w:r>
        <w:rPr>
          <w:rStyle w:val="Codevalue"/>
        </w:rPr>
        <w:t>"mixed"</w:t>
      </w:r>
      <w:r>
        <w:t xml:space="preserve"> </w:t>
      </w:r>
    </w:p>
    <w:p w14:paraId="787B99B4" w14:textId="77777777">
      <w:pPr>
        <w:pStyle w:val="Lista"/>
      </w:pPr>
      <w:r>
        <w:t>the contents of this element shall be a human-readable, non-rigorous but unambiguous conventional indication of the target of your citation</w:t>
      </w:r>
    </w:p>
    <w:p w14:paraId="38C48ED2" w14:textId="77777777">
      <w:pPr>
        <w:pStyle w:val="Lista2"/>
      </w:pPr>
      <w:r>
        <w:t xml:space="preserve">e.g. </w:t>
      </w:r>
      <w:r>
        <w:rPr>
          <w:rStyle w:val="Codetext"/>
        </w:rPr>
        <w:t>"p. 291 nn. 9, 10; p. 320"</w:t>
      </w:r>
      <w:r>
        <w:t>,</w:t>
      </w:r>
      <w:r>
        <w:rPr>
          <w:rStyle w:val="Codetext"/>
        </w:rPr>
        <w:t xml:space="preserve"> "p. 15, App. A"</w:t>
      </w:r>
      <w:r>
        <w:t xml:space="preserve">, or </w:t>
      </w:r>
      <w:r>
        <w:rPr>
          <w:rStyle w:val="Codetext"/>
        </w:rPr>
        <w:t>"part I, pp. 216–217; part II, pl. XI"</w:t>
      </w:r>
    </w:p>
    <w:p w14:paraId="67A7CEA6" w14:textId="1CC0C928">
      <w:pPr>
        <w:pStyle w:val="Lista2"/>
        <w:rPr>
          <w:rStyle w:val="Codetext"/>
          <w:rFonts w:ascii="Gentium" w:hAnsi="Gentium" w:cs="Tiro Devanagari Sanskrit"/>
          <w:noProof w:val="0"/>
          <w:color w:val="auto"/>
          <w:shd w:val="clear" w:color="auto" w:fill="auto"/>
        </w:rPr>
      </w:pPr>
      <w:r>
        <w:t xml:space="preserve">see </w:t>
      </w:r>
      <w:r>
        <w:fldChar w:fldCharType="begin"/>
      </w:r>
      <w:r>
        <w:instrText xml:space="preserve"> REF _Ref233819299 \h </w:instrText>
      </w:r>
      <w:r>
        <w:fldChar w:fldCharType="separate"/>
      </w:r>
      <w:r>
        <w:t xml:space="preserve">Exhibit </w:t>
      </w:r>
      <w:r>
        <w:rPr>
          <w:noProof/>
        </w:rPr>
        <w:t>14.6</w:t>
      </w:r>
      <w:r>
        <w:t>.</w:t>
      </w:r>
      <w:r>
        <w:rPr>
          <w:noProof/>
        </w:rPr>
        <w:t>H</w:t>
      </w:r>
      <w:r>
        <w:fldChar w:fldCharType="end"/>
      </w:r>
      <w:r>
        <w:t xml:space="preserve"> for an illustration</w:t>
      </w:r>
    </w:p>
    <w:p w14:paraId="2BAFB7A2" w14:textId="77777777"/>
    <w:tbl>
      <w:tblPr>
        <w:tblStyle w:val="CodeSampleTable"/>
        <w:tblW w:w="5000" w:type="pct"/>
        <w:tblLook w:val="04A0" w:firstRow="1" w:lastRow="0" w:firstColumn="1" w:lastColumn="0" w:noHBand="0" w:noVBand="1"/>
      </w:tblPr>
      <w:tblGrid>
        <w:gridCol w:w="9628"/>
      </w:tblGrid>
      <w:tr w14:paraId="07A7074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F2488F6" w14:textId="70BF7BC1">
            <w:pPr>
              <w:pStyle w:val="Kpalrs"/>
            </w:pPr>
            <w:bookmarkStart w:id="1009" w:name="_Ref233819299"/>
            <w:r>
              <w:t xml:space="preserve">Exhibit </w:t>
            </w:r>
            <w:fldSimple w:instr=" STYLEREF 2 \s ">
              <w:r>
                <w:rPr>
                  <w:noProof/>
                </w:rPr>
                <w:t>14.6</w:t>
              </w:r>
            </w:fldSimple>
            <w:r>
              <w:t>.</w:t>
            </w:r>
            <w:fldSimple w:instr=" SEQ Exhibit \* ALPHABETIC \s 2 ">
              <w:r>
                <w:rPr>
                  <w:noProof/>
                </w:rPr>
                <w:t>H</w:t>
              </w:r>
            </w:fldSimple>
            <w:bookmarkEnd w:id="1009"/>
            <w:r>
              <w:t>: encoding a freestyle citation</w:t>
            </w:r>
          </w:p>
        </w:tc>
      </w:tr>
      <w:tr w14:paraId="21E33B5E" w14:textId="77777777">
        <w:tc>
          <w:tcPr>
            <w:tcW w:w="5000" w:type="pct"/>
          </w:tcPr>
          <w:p w14:paraId="2DD00F2F" w14:textId="77777777">
            <w:pPr>
              <w:pStyle w:val="TableNote"/>
              <w:keepNext/>
            </w:pPr>
            <w:r>
              <w:t>ARIE 1938–39, p. 38, Appendix B/1938-1939, № 271; p. 91, §59</w:t>
            </w:r>
          </w:p>
        </w:tc>
      </w:tr>
      <w:tr w14:paraId="5406BD42" w14:textId="77777777">
        <w:tc>
          <w:tcPr>
            <w:tcW w:w="5000" w:type="pct"/>
          </w:tcPr>
          <w:p w14:paraId="25694EF4" w14:textId="77777777">
            <w:pPr>
              <w:pStyle w:val="CodeParagraph"/>
              <w:keepNext/>
              <w:spacing w:line="240" w:lineRule="auto"/>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"bib:ARIE1938-1939"</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"mixed"</w:t>
            </w:r>
            <w:r>
              <w:rPr>
                <w:rStyle w:val="Code"/>
              </w:rPr>
              <w:t>&gt;</w:t>
            </w:r>
            <w:r>
              <w:t xml:space="preserve"> </w:t>
            </w:r>
            <w:r>
              <w:rPr>
                <w:rStyle w:val="Codetext"/>
              </w:rPr>
              <w:t>p. 38, Appendix B/1938-1939, No. 271; p. 91, §59</w:t>
            </w:r>
            <w:r>
              <w:rPr>
                <w:rStyle w:val="Code"/>
              </w:rPr>
              <w:t>&lt;/citedRange&gt;</w:t>
            </w:r>
            <w:r>
              <w:rPr>
                <w:rStyle w:val="Codetext"/>
              </w:rPr>
              <w:br/>
            </w:r>
            <w:r>
              <w:rPr>
                <w:rStyle w:val="Code"/>
              </w:rPr>
              <w:t>&lt;/bibl&gt;</w:t>
            </w:r>
          </w:p>
        </w:tc>
      </w:tr>
    </w:tbl>
    <w:p w14:paraId="219765EB" w14:textId="77777777"/>
    <w:p w14:paraId="482DB326" w14:textId="77777777">
      <w:pPr>
        <w:pStyle w:val="Cmsor4"/>
      </w:pPr>
      <w:bookmarkStart w:id="1010" w:name="_Ref233818238"/>
      <w:r>
        <w:t>Managing the appearance of displayed citations</w:t>
      </w:r>
      <w:bookmarkEnd w:id="1010"/>
    </w:p>
    <w:p w14:paraId="1C3E9D49" w14:textId="77777777">
      <w:r>
        <w:t>In the DHARMA environment, encoded citations will be displayed as an author-date citation (except for specific publications for which our Zotero database specifies a display shorthand such as ARIE, cf. ZG §4.15). When encoding a citation in text (i.e. outside the structured bibliographies), the following considerations apply to the integration of the citation with the surrounding text.</w:t>
      </w:r>
    </w:p>
    <w:p w14:paraId="2924C340" w14:textId="77777777">
      <w:pPr>
        <w:pStyle w:val="Lista"/>
      </w:pPr>
      <w:r>
        <w:t>the specifics of a citation (page numbers and/or other units) will be automatically shown as conventional human-readable notation</w:t>
      </w:r>
    </w:p>
    <w:p w14:paraId="02633DE7" w14:textId="77777777">
      <w:pPr>
        <w:pStyle w:val="Lista2"/>
      </w:pPr>
      <w:r>
        <w:t xml:space="preserve">when a range or list of page numbers or other specifications is encoded in </w:t>
      </w:r>
      <w:r>
        <w:rPr>
          <w:rStyle w:val="Code"/>
        </w:rPr>
        <w:t>&lt;citedRange&gt;</w:t>
      </w:r>
      <w:r>
        <w:t xml:space="preserve">, the notation will be automatically changed to the corresponding plural (e.g. </w:t>
      </w:r>
      <w:r>
        <w:rPr>
          <w:rStyle w:val="Foreign"/>
        </w:rPr>
        <w:t>pp.</w:t>
      </w:r>
      <w:r>
        <w:t xml:space="preserve"> for pages, </w:t>
      </w:r>
      <w:r>
        <w:rPr>
          <w:rStyle w:val="Foreign"/>
        </w:rPr>
        <w:t>§§</w:t>
      </w:r>
      <w:r>
        <w:t xml:space="preserve"> for sections, etc.)</w:t>
      </w:r>
    </w:p>
    <w:p w14:paraId="344A7D9E" w14:textId="77777777">
      <w:pPr>
        <w:pStyle w:val="Lista2"/>
      </w:pPr>
      <w:r>
        <w:t>this automatic conversion may occasionally miss items that should be displayed in the plural or produce false positives and display a plural where a singular is desired</w:t>
      </w:r>
    </w:p>
    <w:p w14:paraId="28C1E0CE" w14:textId="182E8092">
      <w:pPr>
        <w:pStyle w:val="Lista3"/>
      </w:pPr>
      <w:r>
        <w:t>this should not be detrimental to the interpretability of our citations, but if the appearance bothers you after seeing the display transformation of your work, feel free to encode a freestyle reference (§</w:t>
      </w:r>
      <w:r>
        <w:fldChar w:fldCharType="begin"/>
      </w:r>
      <w:r>
        <w:instrText xml:space="preserve"> REF _Ref233811324 \r \h </w:instrText>
      </w:r>
      <w:r>
        <w:fldChar w:fldCharType="separate"/>
      </w:r>
      <w:r>
        <w:t>14.6.1.5</w:t>
      </w:r>
      <w:r>
        <w:fldChar w:fldCharType="end"/>
      </w:r>
      <w:r>
        <w:t>) instead</w:t>
      </w:r>
    </w:p>
    <w:p w14:paraId="30DA177A" w14:textId="77777777">
      <w:pPr>
        <w:pStyle w:val="Lista3"/>
      </w:pPr>
      <w:r>
        <w:t xml:space="preserve">automatic plural display is not generated for </w:t>
      </w:r>
      <w:r>
        <w:rPr>
          <w:rStyle w:val="Codeattribute"/>
        </w:rPr>
        <w:t>@unit=</w:t>
      </w:r>
      <w:r>
        <w:rPr>
          <w:rStyle w:val="Codevalue"/>
        </w:rPr>
        <w:t>"appendix"</w:t>
      </w:r>
      <w:r>
        <w:t>, because one rarely cites more than one appendix simultaneously, whereas some of the appendices we commonly refer to (particularly, ARIE appendices whose numbering contains a year range) would be misinterpreted by the algorithm as multiple values</w:t>
      </w:r>
    </w:p>
    <w:p w14:paraId="39C37897" w14:textId="77777777">
      <w:pPr>
        <w:pStyle w:val="Lista"/>
      </w:pPr>
      <w:r>
        <w:t>parentheses will not be automatically produced around citations</w:t>
      </w:r>
    </w:p>
    <w:p w14:paraId="1AF60775" w14:textId="77777777">
      <w:pPr>
        <w:pStyle w:val="Lista2"/>
      </w:pPr>
      <w:r>
        <w:t xml:space="preserve">to show a bibliographic citation in parentheses, you must add the parentheses around the </w:t>
      </w:r>
      <w:r>
        <w:rPr>
          <w:rStyle w:val="Code"/>
        </w:rPr>
        <w:t>&lt;bibl&gt;</w:t>
      </w:r>
      <w:r>
        <w:t xml:space="preserve"> element</w:t>
      </w:r>
    </w:p>
    <w:p w14:paraId="6B88DBBC" w14:textId="77777777">
      <w:pPr>
        <w:pStyle w:val="Lista"/>
      </w:pPr>
      <w:r>
        <w:lastRenderedPageBreak/>
        <w:t>the name of the author(s) will always be shown (unless suppressed through a display shorthand)</w:t>
      </w:r>
    </w:p>
    <w:p w14:paraId="7C629907" w14:textId="77777777">
      <w:pPr>
        <w:pStyle w:val="Lista2"/>
      </w:pPr>
      <w:r>
        <w:t>when the author name is an integral part of your text and you want only the year of publication and any applicable specifications shown in parentheses, proceed as follows</w:t>
      </w:r>
    </w:p>
    <w:p w14:paraId="6D95AABC" w14:textId="77777777">
      <w:pPr>
        <w:pStyle w:val="Lista3"/>
      </w:pPr>
      <w:r>
        <w:t>write the author name at the place and in the form you want it</w:t>
      </w:r>
    </w:p>
    <w:p w14:paraId="21C3DE9E" w14:textId="77777777">
      <w:pPr>
        <w:pStyle w:val="Lista3"/>
      </w:pPr>
      <w:r>
        <w:t xml:space="preserve">enter the parentheses around the </w:t>
      </w:r>
      <w:r>
        <w:rPr>
          <w:rStyle w:val="Code"/>
        </w:rPr>
        <w:t>&lt;bibl&gt;</w:t>
      </w:r>
      <w:r>
        <w:t xml:space="preserve"> element</w:t>
      </w:r>
    </w:p>
    <w:p w14:paraId="724011A9" w14:textId="77777777">
      <w:pPr>
        <w:pStyle w:val="Lista3"/>
      </w:pPr>
      <w:r>
        <w:t xml:space="preserve">add the attribute </w:t>
      </w:r>
      <w:r>
        <w:rPr>
          <w:rStyle w:val="Codeattribute"/>
        </w:rPr>
        <w:t>@rend</w:t>
      </w:r>
      <w:r>
        <w:t xml:space="preserve"> with the value </w:t>
      </w:r>
      <w:r>
        <w:rPr>
          <w:rStyle w:val="Codevalue"/>
        </w:rPr>
        <w:t>"omitname"</w:t>
      </w:r>
      <w:r>
        <w:t xml:space="preserve"> to the </w:t>
      </w:r>
      <w:r>
        <w:rPr>
          <w:rStyle w:val="Code"/>
        </w:rPr>
        <w:t>&lt;bibl&gt;</w:t>
      </w:r>
      <w:r>
        <w:t xml:space="preserve"> element to suppress the automatic display of the author name</w:t>
      </w:r>
    </w:p>
    <w:p w14:paraId="1EF27E6D" w14:textId="47840283">
      <w:pPr>
        <w:pStyle w:val="Lista3"/>
      </w:pPr>
      <w:r>
        <w:t xml:space="preserve">see </w:t>
      </w:r>
      <w:r>
        <w:fldChar w:fldCharType="begin"/>
      </w:r>
      <w:r>
        <w:instrText xml:space="preserve"> REF _Ref44079069 \h  \* MERGEFORMAT </w:instrText>
      </w:r>
      <w:r>
        <w:fldChar w:fldCharType="separate"/>
      </w:r>
      <w:r>
        <w:t xml:space="preserve">Exhibit </w:t>
      </w:r>
      <w:r>
        <w:rPr>
          <w:noProof/>
        </w:rPr>
        <w:t>14.6.I</w:t>
      </w:r>
      <w:r>
        <w:fldChar w:fldCharType="end"/>
      </w:r>
      <w:r>
        <w:t xml:space="preserve"> below for an illustration</w:t>
      </w:r>
    </w:p>
    <w:p w14:paraId="57E8E327" w14:textId="77777777">
      <w:pPr>
        <w:pStyle w:val="Lista"/>
      </w:pPr>
      <w:r>
        <w:t>if you wish to show “ibid.” instead of the name of the author</w:t>
      </w:r>
      <w:r>
        <w:rPr>
          <w:noProof/>
        </w:rPr>
        <w:t>(</w:t>
      </w:r>
      <w:r>
        <w:t>s):</w:t>
      </w:r>
    </w:p>
    <w:p w14:paraId="1C5F3AEB" w14:textId="77777777">
      <w:pPr>
        <w:pStyle w:val="Lista2"/>
      </w:pPr>
      <w:r>
        <w:t xml:space="preserve">add the attribute </w:t>
      </w:r>
      <w:r>
        <w:rPr>
          <w:rStyle w:val="Codeattribute"/>
        </w:rPr>
        <w:t>@rend</w:t>
      </w:r>
      <w:r>
        <w:t xml:space="preserve"> with the value </w:t>
      </w:r>
      <w:r>
        <w:rPr>
          <w:rStyle w:val="Codevalue"/>
        </w:rPr>
        <w:t>"ibid"</w:t>
      </w:r>
      <w:r>
        <w:t xml:space="preserve"> to the </w:t>
      </w:r>
      <w:r>
        <w:rPr>
          <w:rStyle w:val="Code"/>
        </w:rPr>
        <w:t>&lt;bibl&gt;</w:t>
      </w:r>
      <w:r>
        <w:t xml:space="preserve"> element, which will display “ibid.” instead of the name</w:t>
      </w:r>
    </w:p>
    <w:p w14:paraId="0C64047E" w14:textId="77777777">
      <w:pPr>
        <w:pStyle w:val="Lista2"/>
      </w:pPr>
      <w:r>
        <w:t>this encoding may be used</w:t>
      </w:r>
    </w:p>
    <w:p w14:paraId="740D154F" w14:textId="77777777">
      <w:pPr>
        <w:pStyle w:val="Lista3"/>
      </w:pPr>
      <w:r>
        <w:t>with a page reference to refer to another part of a publication cited immediately before</w:t>
      </w:r>
    </w:p>
    <w:p w14:paraId="34F7791A" w14:textId="77777777">
      <w:pPr>
        <w:pStyle w:val="Lista3"/>
      </w:pPr>
      <w:r>
        <w:t>without a page reference to refer to the same locus as that cited immediately before</w:t>
      </w:r>
    </w:p>
    <w:p w14:paraId="14EDA899" w14:textId="77777777">
      <w:pPr>
        <w:pStyle w:val="Lista2"/>
      </w:pPr>
      <w:r>
        <w:t>as above, parentheses will not be automatically added and will have to be created by you if you need them</w:t>
      </w:r>
    </w:p>
    <w:p w14:paraId="7C69BA5D" w14:textId="6DEF4C5F">
      <w:pPr>
        <w:pStyle w:val="Lista2"/>
      </w:pPr>
      <w:r>
        <w:t xml:space="preserve">see </w:t>
      </w:r>
      <w:r>
        <w:fldChar w:fldCharType="begin"/>
      </w:r>
      <w:r>
        <w:instrText xml:space="preserve"> REF _Ref44079082 \h  \* MERGEFORMAT </w:instrText>
      </w:r>
      <w:r>
        <w:fldChar w:fldCharType="separate"/>
      </w:r>
      <w:r>
        <w:t xml:space="preserve">Exhibit </w:t>
      </w:r>
      <w:r>
        <w:rPr>
          <w:noProof/>
        </w:rPr>
        <w:t>14.6.J</w:t>
      </w:r>
      <w:r>
        <w:fldChar w:fldCharType="end"/>
      </w:r>
      <w:r>
        <w:t xml:space="preserve"> below for an illustration</w:t>
      </w:r>
    </w:p>
    <w:p w14:paraId="7F1F783E" w14:textId="77777777"/>
    <w:tbl>
      <w:tblPr>
        <w:tblStyle w:val="CodeSampleTable"/>
        <w:tblW w:w="5000" w:type="pct"/>
        <w:tblLook w:val="04A0" w:firstRow="1" w:lastRow="0" w:firstColumn="1" w:lastColumn="0" w:noHBand="0" w:noVBand="1"/>
      </w:tblPr>
      <w:tblGrid>
        <w:gridCol w:w="9628"/>
      </w:tblGrid>
      <w:tr w14:paraId="558D7FA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554E977" w14:textId="0448C992">
            <w:pPr>
              <w:pStyle w:val="Kpalrs"/>
            </w:pPr>
            <w:bookmarkStart w:id="1011" w:name="_Ref44079069"/>
            <w:r>
              <w:t xml:space="preserve">Exhibit </w:t>
            </w:r>
            <w:fldSimple w:instr=" STYLEREF 2 \s ">
              <w:r>
                <w:rPr>
                  <w:noProof/>
                </w:rPr>
                <w:t>14.6</w:t>
              </w:r>
            </w:fldSimple>
            <w:r>
              <w:t>.</w:t>
            </w:r>
            <w:fldSimple w:instr=" SEQ Exhibit \* ALPHABETIC \s 2 ">
              <w:r>
                <w:rPr>
                  <w:noProof/>
                </w:rPr>
                <w:t>I</w:t>
              </w:r>
            </w:fldSimple>
            <w:bookmarkEnd w:id="1011"/>
            <w:r>
              <w:t>: encoding a citation with parentheses only around the year and pages</w:t>
            </w:r>
          </w:p>
        </w:tc>
      </w:tr>
      <w:tr w14:paraId="7C38AFD9" w14:textId="77777777">
        <w:tc>
          <w:tcPr>
            <w:tcW w:w="5000" w:type="pct"/>
          </w:tcPr>
          <w:p w14:paraId="3067FD05" w14:textId="77777777">
            <w:pPr>
              <w:pStyle w:val="TableNote"/>
              <w:keepNext/>
            </w:pPr>
            <w:r>
              <w:t xml:space="preserve">Majumdar </w:t>
            </w:r>
            <w:r>
              <w:rPr>
                <w:noProof/>
              </w:rPr>
              <w:t>(</w:t>
            </w:r>
            <w:r>
              <w:t>1943: 23–28)</w:t>
            </w:r>
          </w:p>
          <w:p w14:paraId="2062753F" w14:textId="77777777">
            <w:pPr>
              <w:pStyle w:val="TableNote"/>
              <w:keepNext/>
            </w:pPr>
            <w:r>
              <w:t xml:space="preserve">note that the parentheses are added manually around the </w:t>
            </w:r>
            <w:r>
              <w:rPr>
                <w:rStyle w:val="Code"/>
              </w:rPr>
              <w:t>&lt;bibl&gt;</w:t>
            </w:r>
            <w:r>
              <w:t xml:space="preserve"> element</w:t>
            </w:r>
          </w:p>
        </w:tc>
      </w:tr>
      <w:tr w14:paraId="3048F4BD" w14:textId="77777777">
        <w:tc>
          <w:tcPr>
            <w:tcW w:w="5000" w:type="pct"/>
          </w:tcPr>
          <w:p w14:paraId="25BF205A" w14:textId="77777777">
            <w:pPr>
              <w:pStyle w:val="CodeParagraph"/>
              <w:rPr>
                <w:rStyle w:val="Code"/>
              </w:rPr>
            </w:pPr>
            <w:r>
              <w:rPr>
                <w:rStyle w:val="Codetext"/>
              </w:rPr>
              <w:t>Majumdar (</w:t>
            </w:r>
            <w:r>
              <w:rPr>
                <w:rStyle w:val="Code"/>
              </w:rPr>
              <w:t xml:space="preserve">&lt;bibl </w:t>
            </w:r>
            <w:r>
              <w:rPr>
                <w:rStyle w:val="Codeattribute"/>
              </w:rPr>
              <w:t>rend</w:t>
            </w:r>
            <w:r>
              <w:rPr>
                <w:rStyle w:val="Code"/>
              </w:rPr>
              <w:t>=</w:t>
            </w:r>
            <w:r>
              <w:rPr>
                <w:rStyle w:val="Codevalue"/>
              </w:rPr>
              <w:t>"omitname"</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&lt;citedRange&gt;</w:t>
            </w:r>
            <w:r>
              <w:rPr>
                <w:rStyle w:val="Codetext"/>
              </w:rPr>
              <w:t>23-28</w:t>
            </w:r>
            <w:r>
              <w:rPr>
                <w:rStyle w:val="Code"/>
              </w:rPr>
              <w:t>&lt;/citedRange&gt;</w:t>
            </w:r>
            <w:r>
              <w:rPr>
                <w:rStyle w:val="Codetext"/>
              </w:rPr>
              <w:br/>
            </w:r>
            <w:r>
              <w:rPr>
                <w:rStyle w:val="Code"/>
              </w:rPr>
              <w:t>&lt;/bibl&gt;</w:t>
            </w:r>
            <w:r>
              <w:t>)</w:t>
            </w:r>
          </w:p>
        </w:tc>
      </w:tr>
    </w:tbl>
    <w:p w14:paraId="79E1BA8B" w14:textId="77777777"/>
    <w:tbl>
      <w:tblPr>
        <w:tblStyle w:val="CodeSampleTable"/>
        <w:tblW w:w="5000" w:type="pct"/>
        <w:tblLook w:val="04A0" w:firstRow="1" w:lastRow="0" w:firstColumn="1" w:lastColumn="0" w:noHBand="0" w:noVBand="1"/>
      </w:tblPr>
      <w:tblGrid>
        <w:gridCol w:w="9628"/>
      </w:tblGrid>
      <w:tr w14:paraId="17F88F7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3BE5610" w14:textId="042BE277">
            <w:pPr>
              <w:pStyle w:val="Kpalrs"/>
            </w:pPr>
            <w:bookmarkStart w:id="1012" w:name="_Ref44079082"/>
            <w:r>
              <w:t xml:space="preserve">Exhibit </w:t>
            </w:r>
            <w:fldSimple w:instr=" STYLEREF 2 \s ">
              <w:r>
                <w:rPr>
                  <w:noProof/>
                </w:rPr>
                <w:t>14.6</w:t>
              </w:r>
            </w:fldSimple>
            <w:r>
              <w:t>.</w:t>
            </w:r>
            <w:fldSimple w:instr=" SEQ Exhibit \* ALPHABETIC \s 2 ">
              <w:r>
                <w:rPr>
                  <w:noProof/>
                </w:rPr>
                <w:t>J</w:t>
              </w:r>
            </w:fldSimple>
            <w:bookmarkEnd w:id="1012"/>
            <w:r>
              <w:t>: encoding a citation with ibid.</w:t>
            </w:r>
          </w:p>
        </w:tc>
      </w:tr>
      <w:tr w14:paraId="24C2F1FA" w14:textId="77777777">
        <w:tc>
          <w:tcPr>
            <w:tcW w:w="5000" w:type="pct"/>
          </w:tcPr>
          <w:p w14:paraId="35A56290" w14:textId="77777777">
            <w:pPr>
              <w:pStyle w:val="TableNote"/>
              <w:keepNext/>
            </w:pPr>
            <w:r>
              <w:rPr>
                <w:i/>
                <w:iCs/>
              </w:rPr>
              <w:t>ibid.</w:t>
            </w:r>
            <w:r>
              <w:t>: 23–28</w:t>
            </w:r>
          </w:p>
        </w:tc>
      </w:tr>
      <w:tr w14:paraId="06A94EDD" w14:textId="77777777">
        <w:tc>
          <w:tcPr>
            <w:tcW w:w="5000" w:type="pct"/>
          </w:tcPr>
          <w:p w14:paraId="65C9B81E" w14:textId="77777777">
            <w:pPr>
              <w:pStyle w:val="CodeParagraph"/>
              <w:rPr>
                <w:rStyle w:val="Code"/>
              </w:rPr>
            </w:pPr>
            <w:r>
              <w:rPr>
                <w:rStyle w:val="Code"/>
              </w:rPr>
              <w:t xml:space="preserve">&lt;bibl </w:t>
            </w:r>
            <w:r>
              <w:rPr>
                <w:rStyle w:val="Codeattribute"/>
              </w:rPr>
              <w:t>rend</w:t>
            </w:r>
            <w:r>
              <w:rPr>
                <w:rStyle w:val="Code"/>
              </w:rPr>
              <w:t>=</w:t>
            </w:r>
            <w:r>
              <w:rPr>
                <w:rStyle w:val="Codevalue"/>
              </w:rPr>
              <w:t>"ibid"</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&lt;citedRange&gt;</w:t>
            </w:r>
            <w:r>
              <w:rPr>
                <w:rStyle w:val="Codetext"/>
              </w:rPr>
              <w:t>23-28</w:t>
            </w:r>
            <w:r>
              <w:rPr>
                <w:rStyle w:val="Code"/>
              </w:rPr>
              <w:t>&lt;/citedRange&gt;</w:t>
            </w:r>
            <w:r>
              <w:rPr>
                <w:rStyle w:val="Codetext"/>
              </w:rPr>
              <w:br/>
            </w:r>
            <w:r>
              <w:rPr>
                <w:rStyle w:val="Code"/>
              </w:rPr>
              <w:t>&lt;/bibl&gt;</w:t>
            </w:r>
          </w:p>
        </w:tc>
      </w:tr>
    </w:tbl>
    <w:p w14:paraId="28432058" w14:textId="77777777">
      <w:pPr>
        <w:pStyle w:val="Cmsor3"/>
      </w:pPr>
      <w:bookmarkStart w:id="1013" w:name="_7sk1okht0w4v" w:colFirst="0" w:colLast="0"/>
      <w:bookmarkStart w:id="1014" w:name="_awz2oua7qthd" w:colFirst="0" w:colLast="0"/>
      <w:bookmarkStart w:id="1015" w:name="_wsjjvbttqmtg" w:colFirst="0" w:colLast="0"/>
      <w:bookmarkStart w:id="1016" w:name="_Ref43989551"/>
      <w:bookmarkStart w:id="1017" w:name="_Ref44490119"/>
      <w:bookmarkStart w:id="1018" w:name="_Toc242889654"/>
      <w:bookmarkEnd w:id="1013"/>
      <w:bookmarkEnd w:id="1014"/>
      <w:bookmarkEnd w:id="1015"/>
      <w:r>
        <w:t xml:space="preserve">Crediting publications with </w:t>
      </w:r>
      <w:bookmarkEnd w:id="1016"/>
      <w:r>
        <w:rPr>
          <w:rStyle w:val="Codeattribute"/>
        </w:rPr>
        <w:t>@source</w:t>
      </w:r>
      <w:bookmarkEnd w:id="1017"/>
      <w:bookmarkEnd w:id="1018"/>
    </w:p>
    <w:p w14:paraId="323CA251" w14:textId="2B2B01E3">
      <w:r>
        <w:t xml:space="preserve">The attribute </w:t>
      </w:r>
      <w:r>
        <w:rPr>
          <w:rStyle w:val="Codeattribute"/>
        </w:rPr>
        <w:t>@source</w:t>
      </w:r>
      <w:r>
        <w:t xml:space="preserve"> may be used on certain elements to attribute the content of the element to a particular source such as a publication. Unlike bibliographic citations (§</w:t>
      </w:r>
      <w:r>
        <w:fldChar w:fldCharType="begin"/>
      </w:r>
      <w:r>
        <w:instrText xml:space="preserve"> REF _Ref233877601 \r \h </w:instrText>
      </w:r>
      <w:r>
        <w:fldChar w:fldCharType="separate"/>
      </w:r>
      <w:r>
        <w:t>14.6.1</w:t>
      </w:r>
      <w:r>
        <w:fldChar w:fldCharType="end"/>
      </w:r>
      <w:r>
        <w:t xml:space="preserve">), attribution by means of </w:t>
      </w:r>
      <w:r>
        <w:rPr>
          <w:rStyle w:val="Codeattribute"/>
        </w:rPr>
        <w:t>@source</w:t>
      </w:r>
      <w:r>
        <w:t xml:space="preserve"> applies specifically to an XML element and cannot specify a particular locus within the source.</w:t>
      </w:r>
    </w:p>
    <w:p w14:paraId="5B2BC8CD" w14:textId="77777777">
      <w:pPr>
        <w:pStyle w:val="Lista"/>
      </w:pPr>
      <w:r>
        <w:t xml:space="preserve">in DHARMA practice, </w:t>
      </w:r>
      <w:r>
        <w:rPr>
          <w:rStyle w:val="Codeattribute"/>
        </w:rPr>
        <w:t>@source</w:t>
      </w:r>
      <w:r>
        <w:t xml:space="preserve"> is used only in the following conditions</w:t>
      </w:r>
    </w:p>
    <w:p w14:paraId="39C35656" w14:textId="164D95B1">
      <w:pPr>
        <w:pStyle w:val="Lista2"/>
      </w:pPr>
      <w:r>
        <w:t>in a critical apparatus, for lemmas (§</w:t>
      </w:r>
      <w:r>
        <w:fldChar w:fldCharType="begin"/>
      </w:r>
      <w:r>
        <w:instrText xml:space="preserve"> REF _Ref233625530 \r \h </w:instrText>
      </w:r>
      <w:r>
        <w:fldChar w:fldCharType="separate"/>
      </w:r>
      <w:r>
        <w:t>10.3.3</w:t>
      </w:r>
      <w:r>
        <w:fldChar w:fldCharType="end"/>
      </w:r>
      <w:r>
        <w:t xml:space="preserve">) and alternative readings </w:t>
      </w:r>
      <w:r>
        <w:rPr>
          <w:noProof/>
        </w:rPr>
        <w:t>(</w:t>
      </w:r>
      <w:r>
        <w:t>§</w:t>
      </w:r>
      <w:r>
        <w:fldChar w:fldCharType="begin"/>
      </w:r>
      <w:r>
        <w:instrText xml:space="preserve"> REF _Ref233625579 \r \h </w:instrText>
      </w:r>
      <w:r>
        <w:fldChar w:fldCharType="separate"/>
      </w:r>
      <w:r>
        <w:t>10.4.3</w:t>
      </w:r>
      <w:r>
        <w:fldChar w:fldCharType="end"/>
      </w:r>
      <w:r>
        <w:t>)</w:t>
      </w:r>
    </w:p>
    <w:p w14:paraId="15D3F05F" w14:textId="53406D6A">
      <w:pPr>
        <w:pStyle w:val="Lista2"/>
      </w:pPr>
      <w:r>
        <w:t>notes in translations (§</w:t>
      </w:r>
      <w:r>
        <w:fldChar w:fldCharType="begin"/>
      </w:r>
      <w:r>
        <w:instrText xml:space="preserve"> REF _Ref233298582 \r \h </w:instrText>
      </w:r>
      <w:r>
        <w:fldChar w:fldCharType="separate"/>
      </w:r>
      <w:r>
        <w:t>11.5.3</w:t>
      </w:r>
      <w:r>
        <w:fldChar w:fldCharType="end"/>
      </w:r>
      <w:r>
        <w:t xml:space="preserve">) and elsewhere </w:t>
      </w:r>
      <w:r>
        <w:rPr>
          <w:noProof/>
        </w:rPr>
        <w:t>(</w:t>
      </w:r>
      <w:r>
        <w:t>§</w:t>
      </w:r>
      <w:r>
        <w:fldChar w:fldCharType="begin"/>
      </w:r>
      <w:r>
        <w:instrText xml:space="preserve"> REF _Ref233730339 \r \h </w:instrText>
      </w:r>
      <w:r>
        <w:fldChar w:fldCharType="separate"/>
      </w:r>
      <w:r>
        <w:t>14.5.1.1</w:t>
      </w:r>
      <w:r>
        <w:fldChar w:fldCharType="end"/>
      </w:r>
      <w:r>
        <w:t>)</w:t>
      </w:r>
    </w:p>
    <w:p w14:paraId="7EB918CA" w14:textId="78D1B0E4">
      <w:pPr>
        <w:pStyle w:val="Lista2"/>
      </w:pPr>
      <w:r>
        <w:t xml:space="preserve">translations as a whole </w:t>
      </w:r>
      <w:r>
        <w:rPr>
          <w:noProof/>
        </w:rPr>
        <w:t>(</w:t>
      </w:r>
      <w:r>
        <w:t>§</w:t>
      </w:r>
      <w:r>
        <w:fldChar w:fldCharType="begin"/>
      </w:r>
      <w:r>
        <w:instrText xml:space="preserve"> REF _Ref233887001 \r \h </w:instrText>
      </w:r>
      <w:r>
        <w:fldChar w:fldCharType="separate"/>
      </w:r>
      <w:r>
        <w:t>11.5.2</w:t>
      </w:r>
      <w:r>
        <w:fldChar w:fldCharType="end"/>
      </w:r>
      <w:r>
        <w:t>)</w:t>
      </w:r>
    </w:p>
    <w:p w14:paraId="1DF90B00" w14:textId="77777777">
      <w:pPr>
        <w:pStyle w:val="Lista"/>
      </w:pPr>
      <w:r>
        <w:t xml:space="preserve">to credit a previous publication, the attribute </w:t>
      </w:r>
      <w:r>
        <w:rPr>
          <w:rStyle w:val="Codeattribute"/>
        </w:rPr>
        <w:t>@source</w:t>
      </w:r>
      <w:r>
        <w:t xml:space="preserve"> must be added to the XML entity representing the item you wish to credit</w:t>
      </w:r>
    </w:p>
    <w:p w14:paraId="7627BE29" w14:textId="77777777">
      <w:pPr>
        <w:pStyle w:val="Lista"/>
      </w:pPr>
      <w:r>
        <w:t xml:space="preserve">the value of </w:t>
      </w:r>
      <w:r>
        <w:rPr>
          <w:rStyle w:val="Codeattribute"/>
        </w:rPr>
        <w:t>@source</w:t>
      </w:r>
      <w:r>
        <w:t xml:space="preserve"> shall be the Zotero Short Title (ZG §4.10) of the publication containing the reading you are crediting, prefixed with the string </w:t>
      </w:r>
      <w:r>
        <w:rPr>
          <w:rStyle w:val="Codevalue"/>
        </w:rPr>
        <w:t>bib:</w:t>
      </w:r>
    </w:p>
    <w:p w14:paraId="6DB72FD1" w14:textId="77777777">
      <w:pPr>
        <w:pStyle w:val="Lista"/>
      </w:pPr>
      <w:r>
        <w:t xml:space="preserve">to credit more than one publication </w:t>
      </w:r>
      <w:r>
        <w:rPr>
          <w:noProof/>
        </w:rPr>
        <w:t>(</w:t>
      </w:r>
      <w:r>
        <w:t xml:space="preserve">e.g. because more than one scholar has suggested or endorsed a certain reading, or because a note was published in several publications), list all relevant short title, each with the prefix </w:t>
      </w:r>
      <w:r>
        <w:rPr>
          <w:rStyle w:val="Codevalue"/>
        </w:rPr>
        <w:t>bib:</w:t>
      </w:r>
      <w:r>
        <w:t xml:space="preserve">, within a single </w:t>
      </w:r>
      <w:r>
        <w:rPr>
          <w:rStyle w:val="Codeattribute"/>
        </w:rPr>
        <w:t>@source</w:t>
      </w:r>
      <w:r>
        <w:t xml:space="preserve"> attribute</w:t>
      </w:r>
    </w:p>
    <w:p w14:paraId="27B247C2" w14:textId="77777777">
      <w:pPr>
        <w:pStyle w:val="Lista2"/>
      </w:pPr>
      <w:r>
        <w:t>list the publications in chronological order</w:t>
      </w:r>
    </w:p>
    <w:p w14:paraId="7D77A76D" w14:textId="77777777">
      <w:pPr>
        <w:pStyle w:val="Lista2"/>
      </w:pPr>
      <w:r>
        <w:t>use a space (and nothing else) between the items</w:t>
      </w:r>
    </w:p>
    <w:p w14:paraId="725F0B83" w14:textId="77777777">
      <w:pPr>
        <w:pStyle w:val="Lista2"/>
        <w:rPr>
          <w:rStyle w:val="Code"/>
          <w:rFonts w:ascii="Gentium" w:hAnsi="Gentium" w:cs="Tiro Devanagari Sanskrit"/>
          <w:noProof w:val="0"/>
          <w:color w:val="auto"/>
          <w:shd w:val="clear" w:color="auto" w:fill="auto"/>
        </w:rPr>
      </w:pPr>
      <w:r>
        <w:t xml:space="preserve">e.g. </w:t>
      </w:r>
      <w:r>
        <w:rPr>
          <w:rStyle w:val="Code"/>
        </w:rPr>
        <w:t xml:space="preserve">&lt;rdg </w:t>
      </w:r>
      <w:r>
        <w:rPr>
          <w:rStyle w:val="Codeattribute"/>
        </w:rPr>
        <w:t>source</w:t>
      </w:r>
      <w:r>
        <w:rPr>
          <w:rStyle w:val="Code"/>
        </w:rPr>
        <w:t>=</w:t>
      </w:r>
      <w:r>
        <w:rPr>
          <w:rStyle w:val="Codevalue"/>
        </w:rPr>
        <w:t>"bib:Devadatta1863_01 bib:Doe2019_01"</w:t>
      </w:r>
      <w:r>
        <w:rPr>
          <w:rStyle w:val="Code"/>
        </w:rPr>
        <w:t>&gt;</w:t>
      </w:r>
    </w:p>
    <w:p w14:paraId="434997CD" w14:textId="77777777">
      <w:pPr>
        <w:pStyle w:val="Cmsor3"/>
      </w:pPr>
      <w:bookmarkStart w:id="1019" w:name="_Toc242889655"/>
      <w:r>
        <w:lastRenderedPageBreak/>
        <w:t>Quotation</w:t>
      </w:r>
      <w:bookmarkEnd w:id="1019"/>
    </w:p>
    <w:p w14:paraId="79516D02" w14:textId="77777777">
      <w:pPr>
        <w:pStyle w:val="Cmsor4"/>
      </w:pPr>
      <w:bookmarkStart w:id="1020" w:name="_Ref233880809"/>
      <w:r>
        <w:t>Generic quotes</w:t>
      </w:r>
      <w:bookmarkEnd w:id="1020"/>
    </w:p>
    <w:p w14:paraId="43CFE840" w14:textId="77777777">
      <w:r>
        <w:rPr>
          <w:lang w:eastAsia="en-US" w:bidi="ar-SA"/>
        </w:rPr>
        <w:t xml:space="preserve">Quotations which are not attributed to a publication shall normally </w:t>
      </w:r>
      <w:r>
        <w:t xml:space="preserve">be wrapped in the element </w:t>
      </w:r>
      <w:r>
        <w:rPr>
          <w:rStyle w:val="Code"/>
        </w:rPr>
        <w:t>&lt;q&gt;</w:t>
      </w:r>
      <w:r>
        <w:t xml:space="preserve"> (for “quoted”), available at any point in the XML document where free modern-language text is permitted. Quotation marks will be automatically displayed and must not be entered manually when </w:t>
      </w:r>
      <w:r>
        <w:rPr>
          <w:rStyle w:val="Code"/>
        </w:rPr>
        <w:t>&lt;q&gt;</w:t>
      </w:r>
      <w:r>
        <w:t xml:space="preserve"> is present. </w:t>
      </w:r>
    </w:p>
    <w:p w14:paraId="1A0DC947" w14:textId="748251F7">
      <w:pPr>
        <w:pStyle w:val="Lista"/>
      </w:pPr>
      <w:r>
        <w:t xml:space="preserve">if the quotation is in a modern language other than that of the surrounding text, use </w:t>
      </w:r>
      <w:r>
        <w:rPr>
          <w:rStyle w:val="Codeattribute"/>
        </w:rPr>
        <w:t>@xml:lang</w:t>
      </w:r>
      <w:r>
        <w:t xml:space="preserve"> on the </w:t>
      </w:r>
      <w:r>
        <w:rPr>
          <w:rStyle w:val="Code"/>
        </w:rPr>
        <w:t>&lt;q&gt;</w:t>
      </w:r>
      <w:r>
        <w:t xml:space="preserve"> element, as per §</w:t>
      </w:r>
      <w:r>
        <w:fldChar w:fldCharType="begin"/>
      </w:r>
      <w:r>
        <w:instrText xml:space="preserve"> REF _Ref233727317 \r \h </w:instrText>
      </w:r>
      <w:r>
        <w:fldChar w:fldCharType="separate"/>
      </w:r>
      <w:r>
        <w:t>14.4.1</w:t>
      </w:r>
      <w:r>
        <w:fldChar w:fldCharType="end"/>
      </w:r>
      <w:r>
        <w:t xml:space="preserve"> </w:t>
      </w:r>
    </w:p>
    <w:p w14:paraId="1DEF5D18" w14:textId="09426343">
      <w:pPr>
        <w:pStyle w:val="Lista2"/>
      </w:pPr>
      <w:r>
        <w:t xml:space="preserve">text quoted from a primary source in the original language, to be displayed in italics without quotation marks, shall not be marked up in this way, but must be tagged as </w:t>
      </w:r>
      <w:r>
        <w:rPr>
          <w:rStyle w:val="Code"/>
        </w:rPr>
        <w:t>&lt;foreign&gt;</w:t>
      </w:r>
      <w:r>
        <w:t xml:space="preserve"> as per §</w:t>
      </w:r>
      <w:r>
        <w:fldChar w:fldCharType="begin"/>
      </w:r>
      <w:r>
        <w:instrText xml:space="preserve"> REF _Ref43986658 \r \h </w:instrText>
      </w:r>
      <w:r>
        <w:fldChar w:fldCharType="separate"/>
      </w:r>
      <w:r>
        <w:t>14.4.2</w:t>
      </w:r>
      <w:r>
        <w:fldChar w:fldCharType="end"/>
      </w:r>
    </w:p>
    <w:p w14:paraId="02D33352" w14:textId="77777777">
      <w:pPr>
        <w:pStyle w:val="Lista"/>
      </w:pPr>
      <w:r>
        <w:t xml:space="preserve">by default, a quotation tagged with </w:t>
      </w:r>
      <w:r>
        <w:rPr>
          <w:rStyle w:val="Code"/>
        </w:rPr>
        <w:t>&lt;q&gt;</w:t>
      </w:r>
      <w:r>
        <w:t xml:space="preserve"> will be displayed inline</w:t>
      </w:r>
    </w:p>
    <w:p w14:paraId="7B647CD8" w14:textId="4FF3513B">
      <w:pPr>
        <w:pStyle w:val="Lista2"/>
      </w:pPr>
      <w:r>
        <w:t xml:space="preserve">to create a block quote, add the attribute </w:t>
      </w:r>
      <w:r>
        <w:rPr>
          <w:rStyle w:val="Codeattribute"/>
        </w:rPr>
        <w:t>@rend</w:t>
      </w:r>
      <w:r>
        <w:rPr>
          <w:rStyle w:val="Codetext"/>
        </w:rPr>
        <w:t>=</w:t>
      </w:r>
      <w:r>
        <w:rPr>
          <w:rStyle w:val="Codevalue"/>
        </w:rPr>
        <w:t>"block"</w:t>
      </w:r>
      <w:r>
        <w:t xml:space="preserve"> as described in §</w:t>
      </w:r>
      <w:r>
        <w:fldChar w:fldCharType="begin"/>
      </w:r>
      <w:r>
        <w:instrText xml:space="preserve"> REF _Ref233793283 \r \h </w:instrText>
      </w:r>
      <w:r>
        <w:fldChar w:fldCharType="separate"/>
      </w:r>
      <w:r>
        <w:t>14.3.3</w:t>
      </w:r>
      <w:r>
        <w:fldChar w:fldCharType="end"/>
      </w:r>
      <w:r>
        <w:t xml:space="preserve"> and illustrated in </w:t>
      </w:r>
      <w:r>
        <w:fldChar w:fldCharType="begin"/>
      </w:r>
      <w:r>
        <w:instrText xml:space="preserve"> REF _Ref233795218 \h </w:instrText>
      </w:r>
      <w:r>
        <w:fldChar w:fldCharType="separate"/>
      </w:r>
      <w:r>
        <w:t xml:space="preserve">Exhibit </w:t>
      </w:r>
      <w:r>
        <w:rPr>
          <w:noProof/>
        </w:rPr>
        <w:t>14.3</w:t>
      </w:r>
      <w:r>
        <w:t>.</w:t>
      </w:r>
      <w:r>
        <w:rPr>
          <w:noProof/>
        </w:rPr>
        <w:t>A</w:t>
      </w:r>
      <w:r>
        <w:fldChar w:fldCharType="end"/>
      </w:r>
    </w:p>
    <w:p w14:paraId="5916632E" w14:textId="77777777">
      <w:pPr>
        <w:pStyle w:val="Lista"/>
      </w:pPr>
      <w:r>
        <w:t xml:space="preserve">encoding with </w:t>
      </w:r>
      <w:r>
        <w:rPr>
          <w:rStyle w:val="Code"/>
        </w:rPr>
        <w:t>&lt;q&gt;</w:t>
      </w:r>
      <w:r>
        <w:t xml:space="preserve"> is acceptable but not essential for situations which conventionally involve the use of quotation marks but are not actually quotation, for example with technical terms or glosses</w:t>
      </w:r>
    </w:p>
    <w:p w14:paraId="4AE7BE17" w14:textId="77777777">
      <w:pPr>
        <w:pStyle w:val="Lista2"/>
      </w:pPr>
      <w:r>
        <w:t xml:space="preserve">if you opt for entering quotation marks instead of encoding, preferably use the printer’s quotes applicable to the language and context </w:t>
      </w:r>
      <w:r>
        <w:rPr>
          <w:noProof/>
        </w:rPr>
        <w:t>(</w:t>
      </w:r>
      <w:r>
        <w:t>„...” “...” ‘...’ «...») rather than generic typewriter quotes or apostrophes</w:t>
      </w:r>
    </w:p>
    <w:p w14:paraId="37746527" w14:textId="77777777">
      <w:pPr>
        <w:pStyle w:val="Cmsor4"/>
      </w:pPr>
      <w:bookmarkStart w:id="1021" w:name="_oux10a9n6xn3" w:colFirst="0" w:colLast="0"/>
      <w:bookmarkStart w:id="1022" w:name="_Ref233880854"/>
      <w:bookmarkEnd w:id="1021"/>
      <w:r>
        <w:t>Quotations attributed to a source</w:t>
      </w:r>
      <w:bookmarkEnd w:id="1022"/>
    </w:p>
    <w:p w14:paraId="0759591F" w14:textId="6FFA14FC">
      <w:pPr>
        <w:rPr>
          <w:lang w:eastAsia="en-US" w:bidi="ar-SA"/>
        </w:rPr>
      </w:pPr>
      <w:r>
        <w:rPr>
          <w:lang w:eastAsia="en-US" w:bidi="ar-SA"/>
        </w:rPr>
        <w:t>Quotations from a published source, especially from scholarly literature, may be encoded in a structured manner as follows. Alternatively, the quotation may be encoded as a generic quote (§</w:t>
      </w:r>
      <w:r>
        <w:rPr>
          <w:lang w:eastAsia="en-US" w:bidi="ar-SA"/>
        </w:rPr>
        <w:fldChar w:fldCharType="begin"/>
      </w:r>
      <w:r>
        <w:rPr>
          <w:lang w:eastAsia="en-US" w:bidi="ar-SA"/>
        </w:rPr>
        <w:instrText xml:space="preserve"> REF _Ref233880809 \r \h </w:instrText>
      </w:r>
      <w:r>
        <w:rPr>
          <w:lang w:eastAsia="en-US" w:bidi="ar-SA"/>
        </w:rPr>
      </w:r>
      <w:r>
        <w:rPr>
          <w:lang w:eastAsia="en-US" w:bidi="ar-SA"/>
        </w:rPr>
        <w:fldChar w:fldCharType="separate"/>
      </w:r>
      <w:r>
        <w:rPr>
          <w:lang w:eastAsia="en-US" w:bidi="ar-SA"/>
        </w:rPr>
        <w:t>14.6.3.1</w:t>
      </w:r>
      <w:r>
        <w:rPr>
          <w:lang w:eastAsia="en-US" w:bidi="ar-SA"/>
        </w:rPr>
        <w:fldChar w:fldCharType="end"/>
      </w:r>
      <w:r>
        <w:rPr>
          <w:lang w:eastAsia="en-US" w:bidi="ar-SA"/>
        </w:rPr>
        <w:t xml:space="preserve">) and a bibliographic reference may be integrated into the surrounding text. Both are illustrated in </w:t>
      </w:r>
      <w:r>
        <w:rPr>
          <w:lang w:eastAsia="en-US" w:bidi="ar-SA"/>
        </w:rPr>
        <w:fldChar w:fldCharType="begin"/>
      </w:r>
      <w:r>
        <w:rPr>
          <w:lang w:eastAsia="en-US" w:bidi="ar-SA"/>
        </w:rPr>
        <w:instrText xml:space="preserve"> REF _Ref233881565 \h </w:instrText>
      </w:r>
      <w:r>
        <w:rPr>
          <w:lang w:eastAsia="en-US" w:bidi="ar-SA"/>
        </w:rPr>
      </w:r>
      <w:r>
        <w:rPr>
          <w:lang w:eastAsia="en-US" w:bidi="ar-SA"/>
        </w:rPr>
        <w:fldChar w:fldCharType="separate"/>
      </w:r>
      <w:r>
        <w:t xml:space="preserve">Exhibit </w:t>
      </w:r>
      <w:r>
        <w:rPr>
          <w:noProof/>
        </w:rPr>
        <w:t>14.6</w:t>
      </w:r>
      <w:r>
        <w:t>.</w:t>
      </w:r>
      <w:r>
        <w:rPr>
          <w:noProof/>
        </w:rPr>
        <w:t>K</w:t>
      </w:r>
      <w:r>
        <w:rPr>
          <w:lang w:eastAsia="en-US" w:bidi="ar-SA"/>
        </w:rPr>
        <w:fldChar w:fldCharType="end"/>
      </w:r>
      <w:r>
        <w:rPr>
          <w:lang w:eastAsia="en-US" w:bidi="ar-SA"/>
        </w:rPr>
        <w:t>.</w:t>
      </w:r>
    </w:p>
    <w:p w14:paraId="09BCA679" w14:textId="77777777">
      <w:pPr>
        <w:pStyle w:val="Lista"/>
      </w:pPr>
      <w:r>
        <w:t xml:space="preserve">within the </w:t>
      </w:r>
      <w:r>
        <w:rPr>
          <w:rStyle w:val="Code"/>
        </w:rPr>
        <w:t>&lt;p&gt;</w:t>
      </w:r>
      <w:r>
        <w:t xml:space="preserve"> or </w:t>
      </w:r>
      <w:r>
        <w:rPr>
          <w:rStyle w:val="Code"/>
        </w:rPr>
        <w:t>&lt;note&gt;</w:t>
      </w:r>
      <w:r>
        <w:t xml:space="preserve"> element in which you quote a publication, create the wrapper </w:t>
      </w:r>
      <w:r>
        <w:rPr>
          <w:rStyle w:val="Code"/>
        </w:rPr>
        <w:t>&lt;cit&gt;</w:t>
      </w:r>
    </w:p>
    <w:p w14:paraId="254B29E1" w14:textId="77777777">
      <w:pPr>
        <w:pStyle w:val="Lista2"/>
      </w:pPr>
      <w:r>
        <w:t xml:space="preserve">within </w:t>
      </w:r>
      <w:r>
        <w:rPr>
          <w:rStyle w:val="Code"/>
        </w:rPr>
        <w:t>&lt;cit&gt;</w:t>
      </w:r>
      <w:r>
        <w:t xml:space="preserve">, as its first child, create the element </w:t>
      </w:r>
      <w:r>
        <w:rPr>
          <w:rStyle w:val="Code"/>
        </w:rPr>
        <w:t>&lt;quote&gt;</w:t>
      </w:r>
      <w:r>
        <w:t xml:space="preserve"> (for “quotation”)</w:t>
      </w:r>
    </w:p>
    <w:p w14:paraId="4F925FE0" w14:textId="77777777">
      <w:pPr>
        <w:pStyle w:val="Lista3"/>
      </w:pPr>
      <w:r>
        <w:t xml:space="preserve">enter the quoted text within </w:t>
      </w:r>
      <w:r>
        <w:rPr>
          <w:rStyle w:val="Code"/>
        </w:rPr>
        <w:t>&lt;quote&gt;</w:t>
      </w:r>
    </w:p>
    <w:p w14:paraId="3D74E4A0" w14:textId="77777777">
      <w:pPr>
        <w:pStyle w:val="Lista3"/>
      </w:pPr>
      <w:r>
        <w:t>do not add quotation marks to the text, as these will be automatically produced in display</w:t>
      </w:r>
    </w:p>
    <w:p w14:paraId="48739635" w14:textId="7C8AAF6D">
      <w:pPr>
        <w:pStyle w:val="Lista2"/>
      </w:pPr>
      <w:r>
        <w:t xml:space="preserve">also within </w:t>
      </w:r>
      <w:r>
        <w:rPr>
          <w:rStyle w:val="Code"/>
        </w:rPr>
        <w:t>&lt;cit&gt;</w:t>
      </w:r>
      <w:r>
        <w:t xml:space="preserve">, as its second child immediately after </w:t>
      </w:r>
      <w:r>
        <w:rPr>
          <w:rStyle w:val="Code"/>
        </w:rPr>
        <w:t>&lt;quote&gt;</w:t>
      </w:r>
      <w:r>
        <w:t>, create a bibliographic citation as per §</w:t>
      </w:r>
      <w:r>
        <w:fldChar w:fldCharType="begin"/>
      </w:r>
      <w:r>
        <w:instrText xml:space="preserve"> REF _Ref233877601 \r \h </w:instrText>
      </w:r>
      <w:r>
        <w:fldChar w:fldCharType="separate"/>
      </w:r>
      <w:r>
        <w:t>14.6.1</w:t>
      </w:r>
      <w:r>
        <w:fldChar w:fldCharType="end"/>
      </w:r>
      <w:r>
        <w:t xml:space="preserve"> identifying the source of the quotation</w:t>
      </w:r>
    </w:p>
    <w:p w14:paraId="15563F0E" w14:textId="0C06781E">
      <w:pPr>
        <w:pStyle w:val="Lista"/>
      </w:pPr>
      <w:r>
        <w:t xml:space="preserve">if the quotation is in a modern language other than that of the surrounding text, use </w:t>
      </w:r>
      <w:r>
        <w:rPr>
          <w:rStyle w:val="Codeattribute"/>
        </w:rPr>
        <w:t>@xml:lang</w:t>
      </w:r>
      <w:r>
        <w:t xml:space="preserve"> on the </w:t>
      </w:r>
      <w:r>
        <w:rPr>
          <w:rStyle w:val="Code"/>
        </w:rPr>
        <w:t>&lt;quote&gt;</w:t>
      </w:r>
      <w:r>
        <w:t xml:space="preserve"> element, as per §</w:t>
      </w:r>
      <w:r>
        <w:fldChar w:fldCharType="begin"/>
      </w:r>
      <w:r>
        <w:instrText xml:space="preserve"> REF _Ref233727317 \r \h </w:instrText>
      </w:r>
      <w:r>
        <w:fldChar w:fldCharType="separate"/>
      </w:r>
      <w:r>
        <w:t>14.4.1</w:t>
      </w:r>
      <w:r>
        <w:fldChar w:fldCharType="end"/>
      </w:r>
      <w:r>
        <w:t xml:space="preserve"> </w:t>
      </w:r>
    </w:p>
    <w:p w14:paraId="28BDC0B9" w14:textId="77777777">
      <w:pPr>
        <w:pStyle w:val="Lista"/>
      </w:pPr>
      <w:r>
        <w:t>by default, a quotation encoded in this manner will be displayed inline, with the citation following the quoted text</w:t>
      </w:r>
    </w:p>
    <w:p w14:paraId="12973B5F" w14:textId="3E868A22">
      <w:pPr>
        <w:pStyle w:val="Lista2"/>
      </w:pPr>
      <w:r>
        <w:t xml:space="preserve">to create a block quote, add the attribute </w:t>
      </w:r>
      <w:r>
        <w:rPr>
          <w:rStyle w:val="Codeattribute"/>
        </w:rPr>
        <w:t>@rend</w:t>
      </w:r>
      <w:r>
        <w:rPr>
          <w:rStyle w:val="Codetext"/>
        </w:rPr>
        <w:t>=</w:t>
      </w:r>
      <w:r>
        <w:rPr>
          <w:rStyle w:val="Codevalue"/>
        </w:rPr>
        <w:t>"block"</w:t>
      </w:r>
      <w:r>
        <w:t xml:space="preserve"> to the </w:t>
      </w:r>
      <w:r>
        <w:rPr>
          <w:rStyle w:val="Code"/>
        </w:rPr>
        <w:t>&lt;quote&gt;</w:t>
      </w:r>
      <w:r>
        <w:t xml:space="preserve"> element as described in §</w:t>
      </w:r>
      <w:r>
        <w:fldChar w:fldCharType="begin"/>
      </w:r>
      <w:r>
        <w:instrText xml:space="preserve"> REF _Ref233793283 \r \h </w:instrText>
      </w:r>
      <w:r>
        <w:fldChar w:fldCharType="separate"/>
      </w:r>
      <w:r>
        <w:t>14.3.3</w:t>
      </w:r>
      <w:r>
        <w:fldChar w:fldCharType="end"/>
      </w:r>
    </w:p>
    <w:p w14:paraId="4ECD6DE6" w14:textId="77777777">
      <w:pPr>
        <w:pStyle w:val="Lista"/>
      </w:pPr>
      <w:r>
        <w:t xml:space="preserve">when citing text from a publication with </w:t>
      </w:r>
      <w:r>
        <w:rPr>
          <w:rStyle w:val="Code"/>
        </w:rPr>
        <w:t>&lt;quote&gt;</w:t>
      </w:r>
      <w:r>
        <w:t>, any transliterated words in the cited text shall be retained in their original form rather than being converted to our transliteration system</w:t>
      </w:r>
    </w:p>
    <w:p w14:paraId="39FDE7D9" w14:textId="77777777">
      <w:pPr>
        <w:pStyle w:val="Lista2"/>
      </w:pPr>
      <w:r>
        <w:t xml:space="preserve">but any text adopted without </w:t>
      </w:r>
      <w:r>
        <w:rPr>
          <w:rStyle w:val="Code"/>
        </w:rPr>
        <w:t>&lt;quote&gt;</w:t>
      </w:r>
      <w:r>
        <w:t>, for example in apparatus readings, translations and paraphrased/summarised opinions, should be converted to the DHARMA transliteration system</w:t>
      </w:r>
    </w:p>
    <w:tbl>
      <w:tblPr>
        <w:tblStyle w:val="CodeSampleTable"/>
        <w:tblW w:w="5000" w:type="pct"/>
        <w:tblLook w:val="04A0" w:firstRow="1" w:lastRow="0" w:firstColumn="1" w:lastColumn="0" w:noHBand="0" w:noVBand="1"/>
      </w:tblPr>
      <w:tblGrid>
        <w:gridCol w:w="9628"/>
      </w:tblGrid>
      <w:tr w14:paraId="093F16E5"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CB43AC2" w14:textId="680ED8B1">
            <w:pPr>
              <w:pStyle w:val="Kpalrs"/>
            </w:pPr>
            <w:bookmarkStart w:id="1023" w:name="_Ref233881565"/>
            <w:r>
              <w:t xml:space="preserve">Exhibit </w:t>
            </w:r>
            <w:fldSimple w:instr=" STYLEREF 2 \s ">
              <w:r>
                <w:rPr>
                  <w:noProof/>
                </w:rPr>
                <w:t>14.6</w:t>
              </w:r>
            </w:fldSimple>
            <w:r>
              <w:t>.</w:t>
            </w:r>
            <w:fldSimple w:instr=" SEQ Exhibit \* ALPHABETIC \s 2 ">
              <w:r>
                <w:rPr>
                  <w:noProof/>
                </w:rPr>
                <w:t>K</w:t>
              </w:r>
            </w:fldSimple>
            <w:bookmarkEnd w:id="1023"/>
            <w:r>
              <w:t>: attributing quotations to a publication</w:t>
            </w:r>
          </w:p>
        </w:tc>
      </w:tr>
      <w:tr w14:paraId="37B2B39C" w14:textId="77777777">
        <w:tc>
          <w:tcPr>
            <w:tcW w:w="5000" w:type="pct"/>
          </w:tcPr>
          <w:p w14:paraId="545E10AE" w14:textId="77777777">
            <w:pPr>
              <w:pStyle w:val="TableNote"/>
            </w:pPr>
            <w:r>
              <w:t>encoded as an attributed quotation</w:t>
            </w:r>
          </w:p>
        </w:tc>
      </w:tr>
      <w:tr w14:paraId="0DC876DC" w14:textId="77777777">
        <w:tc>
          <w:tcPr>
            <w:tcW w:w="5000" w:type="pct"/>
          </w:tcPr>
          <w:p w14:paraId="5DA13DB0" w14:textId="77777777">
            <w:pPr>
              <w:pStyle w:val="CodeParagraph"/>
              <w:keepNext/>
              <w:rPr>
                <w:rStyle w:val="Code"/>
              </w:rPr>
            </w:pPr>
            <w:r>
              <w:rPr>
                <w:rStyle w:val="Code"/>
              </w:rPr>
              <w:t>&lt;note&gt;</w:t>
            </w:r>
            <w:r>
              <w:t xml:space="preserve"> </w:t>
            </w:r>
            <w:r>
              <w:rPr>
                <w:rStyle w:val="Codetext"/>
              </w:rPr>
              <w:t xml:space="preserve">Hultzsch notes: </w:t>
            </w:r>
            <w:r>
              <w:rPr>
                <w:rStyle w:val="Code"/>
              </w:rPr>
              <w:t>&lt;cit&gt;&lt;quote&gt;</w:t>
            </w:r>
            <w:r>
              <w:rPr>
                <w:rStyle w:val="Codetext"/>
              </w:rPr>
              <w:t>The genitive bhagavato refers to Chittarathasâmi, the first member of the following compound. This is of course a grammatical blunder of the officer who drafted the inscription</w:t>
            </w:r>
            <w:r>
              <w:rPr>
                <w:rStyle w:val="Code"/>
              </w:rPr>
              <w:t xml:space="preserve">&lt;/quote&gt;&lt;bibl&gt;&lt;ptr </w:t>
            </w:r>
            <w:r>
              <w:rPr>
                <w:rStyle w:val="Codeattribute"/>
              </w:rPr>
              <w:t>target=</w:t>
            </w:r>
            <w:r>
              <w:rPr>
                <w:rStyle w:val="Codevalue"/>
              </w:rPr>
              <w:t>"bib:Hultzsch1907-1908_03"</w:t>
            </w:r>
            <w:r>
              <w:rPr>
                <w:rStyle w:val="Code"/>
              </w:rPr>
              <w:t>/&gt;</w:t>
            </w:r>
            <w:r>
              <w:rPr>
                <w:rStyle w:val="Codetext"/>
              </w:rPr>
              <w:t xml:space="preserve">: </w:t>
            </w:r>
            <w:r>
              <w:rPr>
                <w:rStyle w:val="Code"/>
              </w:rPr>
              <w:t>&lt;citedRange&gt;</w:t>
            </w:r>
            <w:r>
              <w:rPr>
                <w:rStyle w:val="Codetext"/>
              </w:rPr>
              <w:t>59</w:t>
            </w:r>
            <w:r>
              <w:rPr>
                <w:rStyle w:val="Code"/>
              </w:rPr>
              <w:t>&lt;/citedRange&gt;&lt;/bibl&gt;&lt;/cit&gt;</w:t>
            </w:r>
            <w:r>
              <w:rPr>
                <w:rStyle w:val="Codetext"/>
              </w:rPr>
              <w:t>. The same “blunder” is found...</w:t>
            </w:r>
            <w:r>
              <w:rPr>
                <w:rStyle w:val="Code"/>
              </w:rPr>
              <w:t>&lt;/note&gt;</w:t>
            </w:r>
          </w:p>
        </w:tc>
      </w:tr>
      <w:tr w14:paraId="2046E0D2" w14:textId="77777777">
        <w:tc>
          <w:tcPr>
            <w:tcW w:w="5000" w:type="pct"/>
          </w:tcPr>
          <w:p w14:paraId="5E849B4E" w14:textId="77777777">
            <w:pPr>
              <w:pStyle w:val="TableNote"/>
            </w:pPr>
            <w:r>
              <w:t>encoded with a separate citation</w:t>
            </w:r>
          </w:p>
        </w:tc>
      </w:tr>
      <w:tr w14:paraId="556C7B0D" w14:textId="77777777">
        <w:tc>
          <w:tcPr>
            <w:tcW w:w="5000" w:type="pct"/>
          </w:tcPr>
          <w:p w14:paraId="5A2B97D4" w14:textId="77777777">
            <w:pPr>
              <w:pStyle w:val="CodeParagraph"/>
              <w:keepNext/>
              <w:rPr>
                <w:rStyle w:val="Code"/>
              </w:rPr>
            </w:pPr>
            <w:r>
              <w:rPr>
                <w:rStyle w:val="Code"/>
              </w:rPr>
              <w:t>&lt;note&gt;</w:t>
            </w:r>
            <w:r>
              <w:t xml:space="preserve"> </w:t>
            </w:r>
            <w:r>
              <w:rPr>
                <w:rStyle w:val="Codetext"/>
              </w:rPr>
              <w:t>Hultzsch (</w:t>
            </w:r>
            <w:r>
              <w:rPr>
                <w:rStyle w:val="Code"/>
              </w:rPr>
              <w:t xml:space="preserve">&lt;bibl </w:t>
            </w:r>
            <w:r>
              <w:rPr>
                <w:rStyle w:val="Codeattribute"/>
              </w:rPr>
              <w:t>rend</w:t>
            </w:r>
            <w:r>
              <w:rPr>
                <w:rStyle w:val="Code"/>
              </w:rPr>
              <w:t>=</w:t>
            </w:r>
            <w:r>
              <w:rPr>
                <w:rStyle w:val="Codevalue"/>
              </w:rPr>
              <w:t>"omitname"</w:t>
            </w:r>
            <w:r>
              <w:rPr>
                <w:rStyle w:val="Code"/>
              </w:rPr>
              <w:t xml:space="preserve">&gt;&lt;ptr </w:t>
            </w:r>
            <w:r>
              <w:rPr>
                <w:rStyle w:val="Codeattribute"/>
              </w:rPr>
              <w:t>target=</w:t>
            </w:r>
            <w:r>
              <w:rPr>
                <w:rStyle w:val="Codevalue"/>
              </w:rPr>
              <w:t>"bib:Hultzsch1907-1908_03"</w:t>
            </w:r>
            <w:r>
              <w:rPr>
                <w:rStyle w:val="Code"/>
              </w:rPr>
              <w:t>/&gt;</w:t>
            </w:r>
            <w:r>
              <w:rPr>
                <w:rStyle w:val="Codetext"/>
              </w:rPr>
              <w:t xml:space="preserve">: </w:t>
            </w:r>
            <w:r>
              <w:rPr>
                <w:rStyle w:val="Code"/>
              </w:rPr>
              <w:t>&lt;citedRange&gt;</w:t>
            </w:r>
            <w:r>
              <w:rPr>
                <w:rStyle w:val="Codetext"/>
              </w:rPr>
              <w:t>59</w:t>
            </w:r>
            <w:r>
              <w:rPr>
                <w:rStyle w:val="Code"/>
              </w:rPr>
              <w:t>&lt;/citedRange&gt;&lt;/bibl&gt;</w:t>
            </w:r>
            <w:r>
              <w:rPr>
                <w:rStyle w:val="Codetext"/>
              </w:rPr>
              <w:t xml:space="preserve">) notes: </w:t>
            </w:r>
            <w:r>
              <w:rPr>
                <w:rStyle w:val="Code"/>
              </w:rPr>
              <w:t>&lt;q&gt;</w:t>
            </w:r>
            <w:r>
              <w:rPr>
                <w:rStyle w:val="Codetext"/>
              </w:rPr>
              <w:t>The genitive bhagavato refers to Chittarathasâmi, the first member of the following compound. This is of course a grammatical blunder of the officer who drafted the inscription</w:t>
            </w:r>
            <w:r>
              <w:rPr>
                <w:rStyle w:val="Code"/>
              </w:rPr>
              <w:t>&lt;/q&gt;</w:t>
            </w:r>
            <w:r>
              <w:rPr>
                <w:rStyle w:val="Codetext"/>
              </w:rPr>
              <w:t>. The same “blunder” is found...</w:t>
            </w:r>
            <w:r>
              <w:rPr>
                <w:rStyle w:val="Code"/>
              </w:rPr>
              <w:t>&lt;/note&gt;</w:t>
            </w:r>
          </w:p>
        </w:tc>
      </w:tr>
    </w:tbl>
    <w:p w14:paraId="3DB99629" w14:textId="77777777"/>
    <w:p w14:paraId="13C28714" w14:textId="77777777">
      <w:pPr>
        <w:pStyle w:val="Cmsor3"/>
      </w:pPr>
      <w:bookmarkStart w:id="1024" w:name="_Toc242889656"/>
      <w:r>
        <w:lastRenderedPageBreak/>
        <w:t>Referring to web resources</w:t>
      </w:r>
      <w:bookmarkEnd w:id="1024"/>
    </w:p>
    <w:p w14:paraId="28C4B820" w14:textId="7A3202AE">
      <w:r>
        <w:t xml:space="preserve">References to electronic resources available on the internet shall be encoded with the element </w:t>
      </w:r>
      <w:r>
        <w:rPr>
          <w:rStyle w:val="Code"/>
        </w:rPr>
        <w:t>&lt;ref&gt;</w:t>
      </w:r>
      <w:r>
        <w:t xml:space="preserve">, as described in the following subsections. Unlike the </w:t>
      </w:r>
      <w:r>
        <w:rPr>
          <w:rStyle w:val="Code"/>
        </w:rPr>
        <w:t>&lt;ptr/&gt;</w:t>
      </w:r>
      <w:r>
        <w:t xml:space="preserve"> element used in bibliographic citations </w:t>
      </w:r>
      <w:r>
        <w:rPr>
          <w:noProof/>
        </w:rPr>
        <w:t>(</w:t>
      </w:r>
      <w:r>
        <w:t>§</w:t>
      </w:r>
      <w:r>
        <w:fldChar w:fldCharType="begin"/>
      </w:r>
      <w:r>
        <w:instrText xml:space="preserve"> REF _Ref233877601 \r \h </w:instrText>
      </w:r>
      <w:r>
        <w:fldChar w:fldCharType="separate"/>
      </w:r>
      <w:r>
        <w:t>14.6.1</w:t>
      </w:r>
      <w:r>
        <w:fldChar w:fldCharType="end"/>
      </w:r>
      <w:r>
        <w:t xml:space="preserve">), </w:t>
      </w:r>
      <w:r>
        <w:rPr>
          <w:rStyle w:val="Code"/>
        </w:rPr>
        <w:t>&lt;ref&gt;</w:t>
      </w:r>
      <w:r>
        <w:t xml:space="preserve"> must contain the text that is to be shown with a hyperlink to the digital resource. The contents are technically free text, but we strongly recommend that you use short and clear human-readable conventional references in the form that is best integrated into the context. Detailed specification of the reference, such as a line or verse number, is best added outside this markup in plain text for human consumption. Such references may be encoded at any point in the XML document where free modern-language text is permitted.</w:t>
      </w:r>
    </w:p>
    <w:p w14:paraId="1DD85D66" w14:textId="77777777">
      <w:pPr>
        <w:pStyle w:val="Cmsor4"/>
      </w:pPr>
      <w:bookmarkStart w:id="1025" w:name="_Ref43988648"/>
      <w:bookmarkStart w:id="1026" w:name="_Ref148531705"/>
      <w:r>
        <w:t>Referring to editions in the DHARMA corpus</w:t>
      </w:r>
      <w:bookmarkEnd w:id="1025"/>
      <w:bookmarkEnd w:id="1026"/>
    </w:p>
    <w:p w14:paraId="1083C742" w14:textId="77777777">
      <w:pPr>
        <w:pStyle w:val="Lista"/>
      </w:pPr>
      <w:r>
        <w:t xml:space="preserve">to refer to another edition in the DHARMA corpus, use the element </w:t>
      </w:r>
      <w:r>
        <w:rPr>
          <w:rStyle w:val="Code"/>
        </w:rPr>
        <w:t>&lt;ref&gt;</w:t>
      </w:r>
      <w:r>
        <w:t xml:space="preserve"> in the following manner</w:t>
      </w:r>
    </w:p>
    <w:p w14:paraId="2A7FE11B" w14:textId="77777777">
      <w:pPr>
        <w:pStyle w:val="Lista2"/>
      </w:pPr>
      <w:r>
        <w:t xml:space="preserve">add the attribute </w:t>
      </w:r>
      <w:r>
        <w:rPr>
          <w:rStyle w:val="Codeattribute"/>
        </w:rPr>
        <w:t>@target</w:t>
      </w:r>
      <w:r>
        <w:t xml:space="preserve"> with a value that is the full filename of the edition</w:t>
      </w:r>
    </w:p>
    <w:p w14:paraId="06EB9025" w14:textId="77777777">
      <w:pPr>
        <w:pStyle w:val="Lista2"/>
      </w:pPr>
      <w:r>
        <w:t xml:space="preserve">as the contents of </w:t>
      </w:r>
      <w:r>
        <w:rPr>
          <w:rStyle w:val="Code"/>
        </w:rPr>
        <w:t>&lt;ref&gt;</w:t>
      </w:r>
      <w:r>
        <w:t>, enter a human-friendly identifier or title of the edition</w:t>
      </w:r>
    </w:p>
    <w:p w14:paraId="16058BEC" w14:textId="77777777">
      <w:pPr>
        <w:pStyle w:val="Lista"/>
      </w:pPr>
      <w:r>
        <w:t>examples:</w:t>
      </w:r>
    </w:p>
    <w:p w14:paraId="6DD5A437" w14:textId="77777777">
      <w:pPr>
        <w:pStyle w:val="Lista2"/>
        <w:rPr>
          <w:rStyle w:val="Code"/>
          <w:rFonts w:ascii="Gentium" w:hAnsi="Gentium" w:cs="Tiro Devanagari Sanskrit"/>
          <w:noProof w:val="0"/>
          <w:color w:val="auto"/>
          <w:shd w:val="clear" w:color="auto" w:fill="auto"/>
        </w:rPr>
      </w:pPr>
      <w:r>
        <w:rPr>
          <w:rStyle w:val="Code"/>
        </w:rPr>
        <w:t xml:space="preserve">&lt;ref </w:t>
      </w:r>
      <w:r>
        <w:rPr>
          <w:rStyle w:val="Codeattribute"/>
        </w:rPr>
        <w:t>target</w:t>
      </w:r>
      <w:r>
        <w:rPr>
          <w:rStyle w:val="Code"/>
        </w:rPr>
        <w:t>=</w:t>
      </w:r>
      <w:r>
        <w:rPr>
          <w:rStyle w:val="Codevalue"/>
        </w:rPr>
        <w:t>"DHARMA_INSPallava00002.xml"</w:t>
      </w:r>
      <w:r>
        <w:rPr>
          <w:rStyle w:val="Code"/>
        </w:rPr>
        <w:t>&gt;</w:t>
      </w:r>
      <w:r>
        <w:rPr>
          <w:rStyle w:val="Codetext"/>
        </w:rPr>
        <w:t>Pallava 2</w:t>
      </w:r>
      <w:r>
        <w:rPr>
          <w:rStyle w:val="Code"/>
        </w:rPr>
        <w:t>&lt;/ref&gt;</w:t>
      </w:r>
    </w:p>
    <w:p w14:paraId="3809B6C3" w14:textId="77777777">
      <w:pPr>
        <w:pStyle w:val="Lista2"/>
        <w:rPr>
          <w:rStyle w:val="Code"/>
        </w:rPr>
      </w:pPr>
      <w:r>
        <w:rPr>
          <w:rStyle w:val="Code"/>
        </w:rPr>
        <w:t xml:space="preserve">&lt;ref </w:t>
      </w:r>
      <w:r>
        <w:rPr>
          <w:rStyle w:val="Codeattribute"/>
        </w:rPr>
        <w:t>target=</w:t>
      </w:r>
      <w:r>
        <w:rPr>
          <w:rStyle w:val="Codevalue"/>
        </w:rPr>
        <w:t>"DHARMA_INSVengiCalukya00048.xml"</w:t>
      </w:r>
      <w:r>
        <w:rPr>
          <w:rStyle w:val="Code"/>
        </w:rPr>
        <w:t>&gt;</w:t>
      </w:r>
      <w:r>
        <w:rPr>
          <w:rStyle w:val="Codetext"/>
        </w:rPr>
        <w:t>London plates of Maṅgi Yuvarāja</w:t>
      </w:r>
      <w:r>
        <w:rPr>
          <w:rStyle w:val="Code"/>
        </w:rPr>
        <w:t>&lt;/ref&gt;</w:t>
      </w:r>
    </w:p>
    <w:p w14:paraId="67B51627" w14:textId="77777777">
      <w:pPr>
        <w:pStyle w:val="Cmsor4"/>
      </w:pPr>
      <w:bookmarkStart w:id="1027" w:name="_Ref155689459"/>
      <w:r>
        <w:t>Referring to websites</w:t>
      </w:r>
      <w:bookmarkEnd w:id="1027"/>
    </w:p>
    <w:p w14:paraId="291FC2AA" w14:textId="77777777">
      <w:pPr>
        <w:pStyle w:val="Lista"/>
      </w:pPr>
      <w:r>
        <w:t xml:space="preserve">to refer to an external website or other web resource, use the element </w:t>
      </w:r>
      <w:r>
        <w:rPr>
          <w:rStyle w:val="Code"/>
        </w:rPr>
        <w:t>&lt;ref&gt;</w:t>
      </w:r>
      <w:r>
        <w:t xml:space="preserve"> in the following manner</w:t>
      </w:r>
    </w:p>
    <w:p w14:paraId="427BCE32" w14:textId="77777777">
      <w:pPr>
        <w:pStyle w:val="Lista2"/>
      </w:pPr>
      <w:r>
        <w:t xml:space="preserve">add the attribute </w:t>
      </w:r>
      <w:r>
        <w:rPr>
          <w:rStyle w:val="Codeattribute"/>
        </w:rPr>
        <w:t>@target</w:t>
      </w:r>
      <w:r>
        <w:t xml:space="preserve"> with a value that is the full URL of the resource</w:t>
      </w:r>
    </w:p>
    <w:p w14:paraId="22A23739" w14:textId="77777777">
      <w:pPr>
        <w:pStyle w:val="Lista2"/>
      </w:pPr>
      <w:r>
        <w:t xml:space="preserve">as the contents of </w:t>
      </w:r>
      <w:r>
        <w:rPr>
          <w:rStyle w:val="Code"/>
        </w:rPr>
        <w:t>&lt;ref&gt;</w:t>
      </w:r>
      <w:r>
        <w:t>, enter the title of the site or page or simply repeat the URL</w:t>
      </w:r>
    </w:p>
    <w:p w14:paraId="442D3E21" w14:textId="77777777">
      <w:pPr>
        <w:pStyle w:val="Lista"/>
      </w:pPr>
      <w:r>
        <w:t>examples</w:t>
      </w:r>
    </w:p>
    <w:p w14:paraId="16B54937" w14:textId="77777777">
      <w:pPr>
        <w:pStyle w:val="Lista2"/>
      </w:pPr>
      <w:r>
        <w:rPr>
          <w:rStyle w:val="Codetext"/>
        </w:rPr>
        <w:t>&lt;</w:t>
      </w:r>
      <w:r>
        <w:rPr>
          <w:rStyle w:val="Code"/>
        </w:rPr>
        <w:t>ref</w:t>
      </w:r>
      <w:r>
        <w:rPr>
          <w:rStyle w:val="Codetext"/>
        </w:rPr>
        <w:t xml:space="preserve"> </w:t>
      </w:r>
      <w:r>
        <w:rPr>
          <w:rStyle w:val="Codeattribute"/>
        </w:rPr>
        <w:t>target</w:t>
      </w:r>
      <w:r>
        <w:rPr>
          <w:rStyle w:val="Codetext"/>
        </w:rPr>
        <w:t>="</w:t>
      </w:r>
      <w:r>
        <w:rPr>
          <w:rStyle w:val="Codevalue"/>
        </w:rPr>
        <w:t>http://museumsofindia.gov.in/repository/record/im_kol-A20050-9085-18</w:t>
      </w:r>
      <w:r>
        <w:rPr>
          <w:rStyle w:val="Codetext"/>
        </w:rPr>
        <w:t>"&gt;Baigram fragment&lt;/</w:t>
      </w:r>
      <w:r>
        <w:rPr>
          <w:rStyle w:val="Code"/>
        </w:rPr>
        <w:t>ref</w:t>
      </w:r>
      <w:r>
        <w:rPr>
          <w:rStyle w:val="Codetext"/>
        </w:rPr>
        <w:t>&gt;</w:t>
      </w:r>
    </w:p>
    <w:p w14:paraId="43C6728F" w14:textId="3E43D814">
      <w:pPr>
        <w:pStyle w:val="Lista2"/>
      </w:pPr>
      <w:r>
        <w:rPr>
          <w:rStyle w:val="Codetext"/>
        </w:rPr>
        <w:t>&lt;</w:t>
      </w:r>
      <w:r>
        <w:rPr>
          <w:rStyle w:val="Code"/>
        </w:rPr>
        <w:t>ref</w:t>
      </w:r>
      <w:r>
        <w:rPr>
          <w:rStyle w:val="Codetext"/>
        </w:rPr>
        <w:t xml:space="preserve"> </w:t>
      </w:r>
      <w:r>
        <w:rPr>
          <w:rStyle w:val="Codeattribute"/>
        </w:rPr>
        <w:t>target</w:t>
      </w:r>
      <w:r>
        <w:rPr>
          <w:rStyle w:val="Codetext"/>
        </w:rPr>
        <w:t>="</w:t>
      </w:r>
      <w:r>
        <w:rPr>
          <w:rStyle w:val="Codevalue"/>
        </w:rPr>
        <w:t>https://tei-c.org/</w:t>
      </w:r>
      <w:r>
        <w:rPr>
          <w:rStyle w:val="Codetext"/>
        </w:rPr>
        <w:t>"&gt;</w:t>
      </w:r>
      <w:r>
        <w:rPr>
          <w:rFonts w:ascii="Consolas" w:hAnsi="Consolas" w:cs="Consolas"/>
          <w:noProof/>
          <w:shd w:val="clear" w:color="auto" w:fill="F2F2F2" w:themeFill="background1" w:themeFillShade="F2"/>
        </w:rPr>
        <w:t>https://tei-c.org/</w:t>
      </w:r>
      <w:r>
        <w:rPr>
          <w:rStyle w:val="Code"/>
        </w:rPr>
        <w:t>&lt;/ref&gt;</w:t>
      </w:r>
    </w:p>
    <w:p w14:paraId="2F25BEE7" w14:textId="77777777">
      <w:pPr>
        <w:pStyle w:val="Cmsor3"/>
      </w:pPr>
      <w:bookmarkStart w:id="1028" w:name="_57tiei7g7b2r" w:colFirst="0" w:colLast="0"/>
      <w:bookmarkStart w:id="1029" w:name="_dx7skv6pu8qf" w:colFirst="0" w:colLast="0"/>
      <w:bookmarkStart w:id="1030" w:name="_g75gsrc5lpm1" w:colFirst="0" w:colLast="0"/>
      <w:bookmarkStart w:id="1031" w:name="_Ref43989765"/>
      <w:bookmarkStart w:id="1032" w:name="_Toc242889657"/>
      <w:bookmarkEnd w:id="1028"/>
      <w:bookmarkEnd w:id="1029"/>
      <w:bookmarkEnd w:id="1030"/>
      <w:r>
        <w:t xml:space="preserve">Crediting a DHARMA contributor with </w:t>
      </w:r>
      <w:bookmarkEnd w:id="1031"/>
      <w:r>
        <w:rPr>
          <w:rStyle w:val="Codeattribute"/>
        </w:rPr>
        <w:t>@resp</w:t>
      </w:r>
      <w:bookmarkEnd w:id="1032"/>
    </w:p>
    <w:p w14:paraId="56196D6C" w14:textId="5295549B">
      <w:r>
        <w:t xml:space="preserve">The attribute </w:t>
      </w:r>
      <w:r>
        <w:rPr>
          <w:rStyle w:val="Codeattribute"/>
        </w:rPr>
        <w:t>@resp</w:t>
      </w:r>
      <w:r>
        <w:t xml:space="preserve"> </w:t>
      </w:r>
      <w:r>
        <w:rPr>
          <w:noProof/>
        </w:rPr>
        <w:t>(</w:t>
      </w:r>
      <w:r>
        <w:t xml:space="preserve">for “responsibility”) may be added to any XML element to encode the fact that a particular entity is the author of that particular item. In regular DHARMA practice this is done only to attribute the authorship of translations </w:t>
      </w:r>
      <w:r>
        <w:rPr>
          <w:noProof/>
        </w:rPr>
        <w:t>(</w:t>
      </w:r>
      <w:r>
        <w:t>§</w:t>
      </w:r>
      <w:r>
        <w:fldChar w:fldCharType="begin"/>
      </w:r>
      <w:r>
        <w:instrText xml:space="preserve"> REF _Ref233276652 \r \h </w:instrText>
      </w:r>
      <w:r>
        <w:fldChar w:fldCharType="separate"/>
      </w:r>
      <w:r>
        <w:t>11.1.2</w:t>
      </w:r>
      <w:r>
        <w:fldChar w:fldCharType="end"/>
      </w:r>
      <w:r>
        <w:t>) and of individual notes in translations (§</w:t>
      </w:r>
      <w:r>
        <w:fldChar w:fldCharType="begin"/>
      </w:r>
      <w:r>
        <w:instrText xml:space="preserve"> REF _Ref233298582 \r \h </w:instrText>
      </w:r>
      <w:r>
        <w:fldChar w:fldCharType="separate"/>
      </w:r>
      <w:r>
        <w:t>11.5.3</w:t>
      </w:r>
      <w:r>
        <w:fldChar w:fldCharType="end"/>
      </w:r>
      <w:r>
        <w:t>) as well as elsewhere (§</w:t>
      </w:r>
      <w:r>
        <w:fldChar w:fldCharType="begin"/>
      </w:r>
      <w:r>
        <w:instrText xml:space="preserve"> REF _Ref233730339 \r \h </w:instrText>
      </w:r>
      <w:r>
        <w:fldChar w:fldCharType="separate"/>
      </w:r>
      <w:r>
        <w:t>14.5.1.1</w:t>
      </w:r>
      <w:r>
        <w:fldChar w:fldCharType="end"/>
      </w:r>
      <w:r>
        <w:t>) to a DHARMA contributor, but the same encoding may also be used for the tracking and crediting of revisions and improvements to editions encoded by someone else.</w:t>
      </w:r>
    </w:p>
    <w:p w14:paraId="2887A958" w14:textId="77777777">
      <w:pPr>
        <w:pStyle w:val="Lista"/>
      </w:pPr>
      <w:r>
        <w:t xml:space="preserve">the value of </w:t>
      </w:r>
      <w:r>
        <w:rPr>
          <w:rStyle w:val="Codeattribute"/>
        </w:rPr>
        <w:t>@resp</w:t>
      </w:r>
      <w:r>
        <w:t xml:space="preserve"> shall be the personal identifier of a DHARMA contributor, with the prefix </w:t>
      </w:r>
      <w:r>
        <w:rPr>
          <w:rStyle w:val="Codevalue"/>
        </w:rPr>
        <w:t>part:</w:t>
      </w:r>
      <w:r>
        <w:t xml:space="preserve"> </w:t>
      </w:r>
      <w:r>
        <w:rPr>
          <w:noProof/>
        </w:rPr>
        <w:t>(</w:t>
      </w:r>
      <w:r>
        <w:t>as an abbreviated reference to the file listing participants of the project)</w:t>
      </w:r>
    </w:p>
    <w:p w14:paraId="77785807" w14:textId="14E50E63">
      <w:pPr>
        <w:pStyle w:val="Lista2"/>
      </w:pPr>
      <w:r>
        <w:t xml:space="preserve">our personal identifiers are available at </w:t>
      </w:r>
      <w:hyperlink r:id="rId79" w:history="1">
        <w:r>
          <w:rPr>
            <w:rStyle w:val="Hiperhivatkozs"/>
          </w:rPr>
          <w:t>https://dharmalekha.info/contributors</w:t>
        </w:r>
      </w:hyperlink>
      <w:r>
        <w:t xml:space="preserve"> </w:t>
      </w:r>
    </w:p>
    <w:p w14:paraId="5ED5F42F" w14:textId="77777777">
      <w:pPr>
        <w:pStyle w:val="Lista2"/>
      </w:pPr>
      <w:r>
        <w:t xml:space="preserve">to credit more than one contributor, simply include several personal identifiers </w:t>
      </w:r>
      <w:r>
        <w:rPr>
          <w:noProof/>
        </w:rPr>
        <w:t>(</w:t>
      </w:r>
      <w:r>
        <w:t xml:space="preserve">each prefixed as above) within a single </w:t>
      </w:r>
      <w:r>
        <w:rPr>
          <w:rStyle w:val="Codeattribute"/>
        </w:rPr>
        <w:t>@resp</w:t>
      </w:r>
      <w:r>
        <w:t xml:space="preserve"> attribute, separating them with a space and nothing else</w:t>
      </w:r>
    </w:p>
    <w:p w14:paraId="5105A1CA" w14:textId="77777777">
      <w:pPr>
        <w:pStyle w:val="Cmsor3"/>
      </w:pPr>
      <w:bookmarkStart w:id="1033" w:name="_5hzh3m6qj48r" w:colFirst="0" w:colLast="0"/>
      <w:bookmarkStart w:id="1034" w:name="_Ref43988993"/>
      <w:bookmarkStart w:id="1035" w:name="_Toc242889658"/>
      <w:bookmarkEnd w:id="1033"/>
      <w:r>
        <w:t xml:space="preserve">Identifying elements with </w:t>
      </w:r>
      <w:r>
        <w:rPr>
          <w:rStyle w:val="Codeattribute"/>
        </w:rPr>
        <w:t>@xml:id</w:t>
      </w:r>
      <w:bookmarkEnd w:id="1034"/>
      <w:bookmarkEnd w:id="1035"/>
    </w:p>
    <w:p w14:paraId="601C9FBE" w14:textId="186264B3">
      <w:r>
        <w:t xml:space="preserve">The attribute </w:t>
      </w:r>
      <w:r>
        <w:rPr>
          <w:rStyle w:val="Codeattribute"/>
        </w:rPr>
        <w:t>@xml:id</w:t>
      </w:r>
      <w:r>
        <w:t xml:space="preserve"> may be used to assign a unique identifier to any XML element, which can then be used in computer processing to target that element accurately. Although future developments may call for more extensive use of such identification, present DHARMA practice utilises </w:t>
      </w:r>
      <w:r>
        <w:rPr>
          <w:rStyle w:val="Codeattribute"/>
        </w:rPr>
        <w:t>@xml:id</w:t>
      </w:r>
      <w:r>
        <w:t xml:space="preserve"> only for the identification of scribal hands as described in §</w:t>
      </w:r>
      <w:r>
        <w:fldChar w:fldCharType="begin"/>
      </w:r>
      <w:r>
        <w:instrText xml:space="preserve"> REF _Ref231980025 \r \h </w:instrText>
      </w:r>
      <w:r>
        <w:fldChar w:fldCharType="separate"/>
      </w:r>
      <w:r>
        <w:t>15.2.1.2</w:t>
      </w:r>
      <w:r>
        <w:fldChar w:fldCharType="end"/>
      </w:r>
      <w:r>
        <w:t>.</w:t>
      </w:r>
    </w:p>
    <w:p w14:paraId="4529224D" w14:textId="77777777">
      <w:pPr>
        <w:pStyle w:val="Lista"/>
      </w:pPr>
      <w:r>
        <w:t xml:space="preserve">the following technical requirements apply to </w:t>
      </w:r>
      <w:r>
        <w:rPr>
          <w:rStyle w:val="Codeattribute"/>
        </w:rPr>
        <w:t>@xml:id</w:t>
      </w:r>
    </w:p>
    <w:p w14:paraId="5615BB7D" w14:textId="77777777">
      <w:pPr>
        <w:pStyle w:val="Lista2"/>
      </w:pPr>
      <w:r>
        <w:t xml:space="preserve">all </w:t>
      </w:r>
      <w:r>
        <w:rPr>
          <w:rStyle w:val="Codeattribute"/>
        </w:rPr>
        <w:t>@xml:id</w:t>
      </w:r>
      <w:r>
        <w:t xml:space="preserve"> values used within a document must be unique in order to be able to provide unequivocal identification</w:t>
      </w:r>
    </w:p>
    <w:p w14:paraId="1AC68A3F" w14:textId="77777777">
      <w:pPr>
        <w:pStyle w:val="Lista2"/>
      </w:pPr>
      <w:r>
        <w:t xml:space="preserve">the value of </w:t>
      </w:r>
      <w:r>
        <w:rPr>
          <w:rStyle w:val="Codeattribute"/>
        </w:rPr>
        <w:t>@xml:id</w:t>
      </w:r>
      <w:r>
        <w:t xml:space="preserve"> must start with a letter or an underscore (_) and can contain only letters, digits, hyphens, periods (full stops), and underscores</w:t>
      </w:r>
    </w:p>
    <w:p w14:paraId="4DB25293" w14:textId="77777777">
      <w:pPr>
        <w:pStyle w:val="Lista2"/>
      </w:pPr>
      <w:r>
        <w:lastRenderedPageBreak/>
        <w:t xml:space="preserve">the value is case-sensitive, so for instance </w:t>
      </w:r>
      <w:r>
        <w:rPr>
          <w:rStyle w:val="Codeattribute"/>
        </w:rPr>
        <w:t>@xml:id=</w:t>
      </w:r>
      <w:r>
        <w:rPr>
          <w:rStyle w:val="Codevalue"/>
        </w:rPr>
        <w:t>"hand1"</w:t>
      </w:r>
      <w:r>
        <w:t xml:space="preserve"> is not equivalent to </w:t>
      </w:r>
      <w:r>
        <w:rPr>
          <w:rStyle w:val="Codeattribute"/>
        </w:rPr>
        <w:t>@xml:id=</w:t>
      </w:r>
      <w:r>
        <w:rPr>
          <w:rStyle w:val="Codevalue"/>
        </w:rPr>
        <w:t>"Hand1"</w:t>
      </w:r>
    </w:p>
    <w:p w14:paraId="4D16BA60" w14:textId="77777777">
      <w:pPr>
        <w:pStyle w:val="Cmsor2"/>
      </w:pPr>
      <w:bookmarkStart w:id="1036" w:name="_Toc242889659"/>
      <w:r>
        <w:t>Analytical and interpretive markup</w:t>
      </w:r>
      <w:bookmarkEnd w:id="1036"/>
    </w:p>
    <w:p w14:paraId="7BF8E111" w14:textId="28700403">
      <w:r>
        <w:t>The encoding prescribed for numbers and abbreviations in §</w:t>
      </w:r>
      <w:r>
        <w:fldChar w:fldCharType="begin"/>
      </w:r>
      <w:r>
        <w:instrText xml:space="preserve"> REF _Ref232002354 \r \h </w:instrText>
      </w:r>
      <w:r>
        <w:fldChar w:fldCharType="separate"/>
      </w:r>
      <w:r>
        <w:t>9</w:t>
      </w:r>
      <w:r>
        <w:fldChar w:fldCharType="end"/>
      </w:r>
      <w:r>
        <w:t xml:space="preserve"> shall only be used in the edition division and may appear in other divisions only in text cited verbatim from the edition as per §</w:t>
      </w:r>
      <w:r>
        <w:fldChar w:fldCharType="begin"/>
      </w:r>
      <w:r>
        <w:instrText xml:space="preserve"> REF _Ref43990337 \r \h </w:instrText>
      </w:r>
      <w:r>
        <w:fldChar w:fldCharType="separate"/>
      </w:r>
      <w:r>
        <w:t>14.1</w:t>
      </w:r>
      <w:r>
        <w:fldChar w:fldCharType="end"/>
      </w:r>
      <w:r>
        <w:t>. Conversely, the encoding of titles (§</w:t>
      </w:r>
      <w:r>
        <w:fldChar w:fldCharType="begin"/>
      </w:r>
      <w:r>
        <w:instrText xml:space="preserve"> REF _Ref233796804 \r \h </w:instrText>
      </w:r>
      <w:r>
        <w:fldChar w:fldCharType="separate"/>
      </w:r>
      <w:r>
        <w:t>14.7.1</w:t>
      </w:r>
      <w:r>
        <w:fldChar w:fldCharType="end"/>
      </w:r>
      <w:r>
        <w:t>) is only applicable outside the edition. In DHARMA practice, names (§</w:t>
      </w:r>
      <w:r>
        <w:fldChar w:fldCharType="begin"/>
      </w:r>
      <w:r>
        <w:instrText xml:space="preserve"> REF _Ref233882783 \r \h </w:instrText>
      </w:r>
      <w:r>
        <w:fldChar w:fldCharType="separate"/>
      </w:r>
      <w:r>
        <w:t>14.7.2</w:t>
      </w:r>
      <w:r>
        <w:fldChar w:fldCharType="end"/>
      </w:r>
      <w:r>
        <w:t>) are only tagged in the TEI header (§</w:t>
      </w:r>
      <w:r>
        <w:fldChar w:fldCharType="begin"/>
      </w:r>
      <w:r>
        <w:instrText xml:space="preserve"> REF _Ref43990001 \r \h </w:instrText>
      </w:r>
      <w:r>
        <w:fldChar w:fldCharType="separate"/>
      </w:r>
      <w:r>
        <w:t>15.1.2</w:t>
      </w:r>
      <w:r>
        <w:fldChar w:fldCharType="end"/>
      </w:r>
      <w:r>
        <w:t>). Additional semantic encoding (§</w:t>
      </w:r>
      <w:r>
        <w:fldChar w:fldCharType="begin"/>
      </w:r>
      <w:r>
        <w:instrText xml:space="preserve"> REF _Ref232173896 \r \h </w:instrText>
      </w:r>
      <w:r>
        <w:fldChar w:fldCharType="separate"/>
      </w:r>
      <w:r>
        <w:t>14.7.3</w:t>
      </w:r>
      <w:r>
        <w:fldChar w:fldCharType="end"/>
      </w:r>
      <w:r>
        <w:t>) is permitted but not encouraged in DHARMA editions.</w:t>
      </w:r>
    </w:p>
    <w:p w14:paraId="15DF5478" w14:textId="77777777">
      <w:pPr>
        <w:pStyle w:val="Cmsor3"/>
      </w:pPr>
      <w:bookmarkStart w:id="1037" w:name="_m34hlz9vjuhp" w:colFirst="0" w:colLast="0"/>
      <w:bookmarkStart w:id="1038" w:name="_Ref233796804"/>
      <w:bookmarkStart w:id="1039" w:name="_Toc242889660"/>
      <w:bookmarkEnd w:id="1037"/>
      <w:r>
        <w:t>Encoding titles</w:t>
      </w:r>
      <w:bookmarkEnd w:id="1038"/>
      <w:bookmarkEnd w:id="1039"/>
    </w:p>
    <w:p w14:paraId="33B84CD9" w14:textId="77777777">
      <w:r>
        <w:t xml:space="preserve">Any titles you mention outside the edition division (for instance in a note or commentary) shall be tagged as such with the element </w:t>
      </w:r>
      <w:r>
        <w:rPr>
          <w:rStyle w:val="Code"/>
        </w:rPr>
        <w:t>&lt;title&gt;</w:t>
      </w:r>
      <w:r>
        <w:t>.</w:t>
      </w:r>
    </w:p>
    <w:p w14:paraId="4068DEB9" w14:textId="77777777">
      <w:pPr>
        <w:pStyle w:val="Lista"/>
      </w:pPr>
      <w:r>
        <w:t>titles to be tagged in this way include</w:t>
      </w:r>
    </w:p>
    <w:p w14:paraId="12353A66" w14:textId="77777777">
      <w:pPr>
        <w:pStyle w:val="Lista2"/>
      </w:pPr>
      <w:r>
        <w:t xml:space="preserve">non-epigraphic primary sources </w:t>
      </w:r>
      <w:r>
        <w:rPr>
          <w:noProof/>
        </w:rPr>
        <w:t>(</w:t>
      </w:r>
      <w:r>
        <w:t xml:space="preserve">literary texts), e.g. </w:t>
      </w:r>
      <w:r>
        <w:rPr>
          <w:rStyle w:val="Code"/>
        </w:rPr>
        <w:t>&lt;title&gt;</w:t>
      </w:r>
      <w:r>
        <w:rPr>
          <w:rStyle w:val="Codetext"/>
        </w:rPr>
        <w:t>Harivaṁśa</w:t>
      </w:r>
      <w:r>
        <w:rPr>
          <w:rStyle w:val="Code"/>
        </w:rPr>
        <w:t>&lt;/title&gt;</w:t>
      </w:r>
    </w:p>
    <w:p w14:paraId="1F0E10B5" w14:textId="77777777">
      <w:pPr>
        <w:pStyle w:val="Lista2"/>
      </w:pPr>
      <w:r>
        <w:t xml:space="preserve">secondary sources </w:t>
      </w:r>
      <w:r>
        <w:rPr>
          <w:noProof/>
        </w:rPr>
        <w:t>(</w:t>
      </w:r>
      <w:r>
        <w:t>scholarly literature), regardless of whether the title is cited</w:t>
      </w:r>
    </w:p>
    <w:p w14:paraId="79A3A553" w14:textId="77777777">
      <w:pPr>
        <w:pStyle w:val="Lista3"/>
      </w:pPr>
      <w:r>
        <w:t xml:space="preserve">in full, e.g. </w:t>
      </w:r>
      <w:r>
        <w:rPr>
          <w:rStyle w:val="Code"/>
        </w:rPr>
        <w:t>&lt;title&gt;</w:t>
      </w:r>
      <w:r>
        <w:rPr>
          <w:rStyle w:val="Codetext"/>
        </w:rPr>
        <w:t>Early History of the Deccan</w:t>
      </w:r>
      <w:r>
        <w:rPr>
          <w:rStyle w:val="Code"/>
        </w:rPr>
        <w:t>&lt;/title&gt;</w:t>
      </w:r>
      <w:r>
        <w:t>, or</w:t>
      </w:r>
    </w:p>
    <w:p w14:paraId="160A5C7D" w14:textId="77777777">
      <w:pPr>
        <w:pStyle w:val="Lista3"/>
      </w:pPr>
      <w:r>
        <w:t xml:space="preserve">in abbreviated form, e.g. </w:t>
      </w:r>
      <w:r>
        <w:rPr>
          <w:rStyle w:val="Code"/>
        </w:rPr>
        <w:t>&lt;title&gt;</w:t>
      </w:r>
      <w:r>
        <w:rPr>
          <w:rStyle w:val="Codetext"/>
        </w:rPr>
        <w:t>Mahâbodhi</w:t>
      </w:r>
      <w:r>
        <w:rPr>
          <w:rStyle w:val="Code"/>
        </w:rPr>
        <w:t>&lt;/title&gt;</w:t>
      </w:r>
      <w:r>
        <w:t xml:space="preserve"> for the title </w:t>
      </w:r>
      <w:r>
        <w:rPr>
          <w:rStyle w:val="Foreign"/>
        </w:rPr>
        <w:t>Mahâbodhi, or the great Buddhist temple under the Bodhi tree at Buddha-Gaya</w:t>
      </w:r>
      <w:r>
        <w:t>, or</w:t>
      </w:r>
    </w:p>
    <w:p w14:paraId="268ADA4A" w14:textId="77777777">
      <w:pPr>
        <w:pStyle w:val="Lista3"/>
      </w:pPr>
      <w:r>
        <w:t xml:space="preserve">as a widely known acronym, e.g. </w:t>
      </w:r>
      <w:r>
        <w:rPr>
          <w:rStyle w:val="Code"/>
        </w:rPr>
        <w:t>&lt;title&gt;</w:t>
      </w:r>
      <w:r>
        <w:rPr>
          <w:rStyle w:val="Codetext"/>
        </w:rPr>
        <w:t>OJED</w:t>
      </w:r>
      <w:r>
        <w:rPr>
          <w:rStyle w:val="Code"/>
        </w:rPr>
        <w:t>&lt;/title&gt;</w:t>
      </w:r>
      <w:r>
        <w:t xml:space="preserve"> for the title </w:t>
      </w:r>
      <w:r>
        <w:rPr>
          <w:rStyle w:val="Foreign"/>
        </w:rPr>
        <w:t>Old Javanese-English dictionary</w:t>
      </w:r>
    </w:p>
    <w:p w14:paraId="37E5092C" w14:textId="77777777">
      <w:pPr>
        <w:pStyle w:val="Lista"/>
      </w:pPr>
      <w:r>
        <w:t>“titles” designating inscriptions shall not be encoded in this way</w:t>
      </w:r>
    </w:p>
    <w:p w14:paraId="689DB0FA" w14:textId="55B02D97">
      <w:pPr>
        <w:pStyle w:val="Lista2"/>
      </w:pPr>
      <w:r>
        <w:t>but inscriptions edited in the DHARMA corpus are to be encoded as per §</w:t>
      </w:r>
      <w:r>
        <w:fldChar w:fldCharType="begin"/>
      </w:r>
      <w:r>
        <w:instrText xml:space="preserve"> REF _Ref148531705 \r \h </w:instrText>
      </w:r>
      <w:r>
        <w:fldChar w:fldCharType="separate"/>
      </w:r>
      <w:r>
        <w:t>14.6.4.1</w:t>
      </w:r>
      <w:r>
        <w:fldChar w:fldCharType="end"/>
      </w:r>
    </w:p>
    <w:p w14:paraId="049B586A" w14:textId="77777777">
      <w:pPr>
        <w:pStyle w:val="Lista"/>
      </w:pPr>
      <w:r>
        <w:t>by default, all titles tagged in this way will be displayed in italics; when this is not desired, choose the applicable from the following options</w:t>
      </w:r>
    </w:p>
    <w:p w14:paraId="569B9C12" w14:textId="77777777">
      <w:pPr>
        <w:pStyle w:val="Lista2"/>
      </w:pPr>
      <w:r>
        <w:t xml:space="preserve">for titles of chapters </w:t>
      </w:r>
      <w:r>
        <w:rPr>
          <w:noProof/>
        </w:rPr>
        <w:t>(</w:t>
      </w:r>
      <w:r>
        <w:t xml:space="preserve">e.g. in a multi-author book) and articles </w:t>
      </w:r>
      <w:r>
        <w:rPr>
          <w:noProof/>
        </w:rPr>
        <w:t>(</w:t>
      </w:r>
      <w:r>
        <w:t xml:space="preserve">e.g. in a journal), add the attribute </w:t>
      </w:r>
      <w:r>
        <w:rPr>
          <w:rStyle w:val="Codeattribute"/>
        </w:rPr>
        <w:t>@level</w:t>
      </w:r>
      <w:r>
        <w:t xml:space="preserve"> with the value </w:t>
      </w:r>
      <w:r>
        <w:rPr>
          <w:rStyle w:val="Codevalue"/>
        </w:rPr>
        <w:t>"a"</w:t>
      </w:r>
      <w:r>
        <w:t xml:space="preserve"> </w:t>
      </w:r>
      <w:r>
        <w:rPr>
          <w:noProof/>
        </w:rPr>
        <w:t>(</w:t>
      </w:r>
      <w:r>
        <w:t>for “analytic”)</w:t>
      </w:r>
    </w:p>
    <w:p w14:paraId="2ABF35E8" w14:textId="77777777">
      <w:pPr>
        <w:pStyle w:val="Lista3"/>
      </w:pPr>
      <w:r>
        <w:t xml:space="preserve">e.g. </w:t>
      </w:r>
      <w:r>
        <w:rPr>
          <w:rStyle w:val="Code"/>
        </w:rPr>
        <w:t xml:space="preserve">&lt;title </w:t>
      </w:r>
      <w:r>
        <w:rPr>
          <w:rStyle w:val="Codeattribute"/>
        </w:rPr>
        <w:t>level</w:t>
      </w:r>
      <w:r>
        <w:rPr>
          <w:rStyle w:val="Code"/>
        </w:rPr>
        <w:t>=</w:t>
      </w:r>
      <w:r>
        <w:rPr>
          <w:rStyle w:val="Codevalue"/>
        </w:rPr>
        <w:t>"a"</w:t>
      </w:r>
      <w:r>
        <w:rPr>
          <w:rStyle w:val="Code"/>
        </w:rPr>
        <w:t>&gt;</w:t>
      </w:r>
      <w:r>
        <w:rPr>
          <w:rStyle w:val="Codetext"/>
        </w:rPr>
        <w:t>Grants from Valabhî</w:t>
      </w:r>
      <w:r>
        <w:rPr>
          <w:rStyle w:val="Code"/>
        </w:rPr>
        <w:t>&lt;/title&gt;</w:t>
      </w:r>
    </w:p>
    <w:p w14:paraId="0483D72F" w14:textId="77777777">
      <w:pPr>
        <w:pStyle w:val="Lista3"/>
      </w:pPr>
      <w:r>
        <w:t>titles tagged in this way will be displayed in regular type, but with quote marks added around them</w:t>
      </w:r>
    </w:p>
    <w:p w14:paraId="50E2C7A4" w14:textId="77777777">
      <w:pPr>
        <w:pStyle w:val="Lista2"/>
      </w:pPr>
      <w:r>
        <w:t xml:space="preserve">for any other titles that you wish to display without italics for whatever reason, add the attribute </w:t>
      </w:r>
      <w:r>
        <w:rPr>
          <w:rStyle w:val="Codeattribute"/>
        </w:rPr>
        <w:t>@rend</w:t>
      </w:r>
      <w:r>
        <w:t xml:space="preserve"> with the value </w:t>
      </w:r>
      <w:r>
        <w:rPr>
          <w:rStyle w:val="Codevalue"/>
        </w:rPr>
        <w:t>"plain"</w:t>
      </w:r>
    </w:p>
    <w:p w14:paraId="2711C6CE" w14:textId="77777777">
      <w:pPr>
        <w:pStyle w:val="Lista3"/>
      </w:pPr>
      <w:r>
        <w:t>titles tagged in this way will be displayed without any typographic distinction from the surrounding text</w:t>
      </w:r>
    </w:p>
    <w:p w14:paraId="700499B6" w14:textId="77777777">
      <w:pPr>
        <w:pStyle w:val="Cmsor3"/>
      </w:pPr>
      <w:bookmarkStart w:id="1040" w:name="_Ref233882773"/>
      <w:bookmarkStart w:id="1041" w:name="_Ref233882783"/>
      <w:bookmarkStart w:id="1042" w:name="_Toc242889661"/>
      <w:r>
        <w:t>Encoding names</w:t>
      </w:r>
      <w:bookmarkEnd w:id="1040"/>
      <w:bookmarkEnd w:id="1041"/>
      <w:bookmarkEnd w:id="1042"/>
    </w:p>
    <w:p w14:paraId="7B89C2E4" w14:textId="399D3ED1">
      <w:r>
        <w:t xml:space="preserve">Names may, in principle, be tagged anywhere in a document, but we do not recommend doing so in any content except the Responsibility Statement </w:t>
      </w:r>
      <w:r>
        <w:rPr>
          <w:noProof/>
        </w:rPr>
        <w:t>(</w:t>
      </w:r>
      <w:r>
        <w:t>§</w:t>
      </w:r>
      <w:r>
        <w:fldChar w:fldCharType="begin"/>
      </w:r>
      <w:r>
        <w:instrText xml:space="preserve"> REF _Ref43990001 \r \h  \* MERGEFORMAT </w:instrText>
      </w:r>
      <w:r>
        <w:fldChar w:fldCharType="separate"/>
      </w:r>
      <w:r>
        <w:t>15.1.2</w:t>
      </w:r>
      <w:r>
        <w:fldChar w:fldCharType="end"/>
      </w:r>
      <w:r>
        <w:t>). Both modern and historic names may be tagged for analytical purposes as indicated in §</w:t>
      </w:r>
      <w:r>
        <w:fldChar w:fldCharType="begin"/>
      </w:r>
      <w:r>
        <w:instrText xml:space="preserve"> REF _Ref232173896 \r \h </w:instrText>
      </w:r>
      <w:r>
        <w:fldChar w:fldCharType="separate"/>
      </w:r>
      <w:r>
        <w:t>14.7.3</w:t>
      </w:r>
      <w:r>
        <w:fldChar w:fldCharType="end"/>
      </w:r>
      <w:r>
        <w:t xml:space="preserve">. The required encoding for modern names in the Responsibility Statement is as follows, illustrated in </w:t>
      </w:r>
      <w:r>
        <w:fldChar w:fldCharType="begin"/>
      </w:r>
      <w:r>
        <w:instrText xml:space="preserve"> REF _Ref233883689 \h </w:instrText>
      </w:r>
      <w:r>
        <w:fldChar w:fldCharType="separate"/>
      </w:r>
      <w:r>
        <w:t xml:space="preserve">Exhibit </w:t>
      </w:r>
      <w:r>
        <w:rPr>
          <w:noProof/>
        </w:rPr>
        <w:t>14.7</w:t>
      </w:r>
      <w:r>
        <w:t>.</w:t>
      </w:r>
      <w:r>
        <w:rPr>
          <w:noProof/>
        </w:rPr>
        <w:t>A</w:t>
      </w:r>
      <w:r>
        <w:fldChar w:fldCharType="end"/>
      </w:r>
    </w:p>
    <w:p w14:paraId="6F0694B2" w14:textId="77777777">
      <w:pPr>
        <w:pStyle w:val="Lista"/>
      </w:pPr>
      <w:bookmarkStart w:id="1043" w:name="_5n8o6akv2b3b" w:colFirst="0" w:colLast="0"/>
      <w:bookmarkEnd w:id="1043"/>
      <w:r>
        <w:t xml:space="preserve">when a contemporary name requires a tag, wrap the entire name in the element </w:t>
      </w:r>
      <w:r>
        <w:rPr>
          <w:rStyle w:val="Code"/>
        </w:rPr>
        <w:t>&lt;persName&gt;</w:t>
      </w:r>
    </w:p>
    <w:p w14:paraId="6A8351D8" w14:textId="77777777">
      <w:pPr>
        <w:pStyle w:val="Lista2"/>
      </w:pPr>
      <w:r>
        <w:t xml:space="preserve">if the name is that of a DHARMA project participant </w:t>
      </w:r>
      <w:r>
        <w:rPr>
          <w:noProof/>
        </w:rPr>
        <w:t>(</w:t>
      </w:r>
      <w:r>
        <w:t xml:space="preserve">such as your own name), add the attribute </w:t>
      </w:r>
      <w:r>
        <w:rPr>
          <w:rStyle w:val="Codeattribute"/>
        </w:rPr>
        <w:t>@ref</w:t>
      </w:r>
    </w:p>
    <w:p w14:paraId="4AE7BBF0" w14:textId="77777777">
      <w:pPr>
        <w:pStyle w:val="Lista3"/>
      </w:pPr>
      <w:r>
        <w:t xml:space="preserve">the value of this attribute shall be the personal identifier of the contributor, with the prefix </w:t>
      </w:r>
      <w:r>
        <w:rPr>
          <w:rStyle w:val="Codevalue"/>
        </w:rPr>
        <w:t>part:</w:t>
      </w:r>
      <w:r>
        <w:t xml:space="preserve"> </w:t>
      </w:r>
      <w:r>
        <w:rPr>
          <w:noProof/>
        </w:rPr>
        <w:t>(</w:t>
      </w:r>
      <w:r>
        <w:t>as an abbreviated reference to the file listing participants of the project)</w:t>
      </w:r>
    </w:p>
    <w:p w14:paraId="3721B251" w14:textId="5144DF38">
      <w:pPr>
        <w:pStyle w:val="Lista3"/>
      </w:pPr>
      <w:r>
        <w:t xml:space="preserve">our personal identifiers are available at </w:t>
      </w:r>
      <w:hyperlink r:id="rId80" w:history="1">
        <w:r>
          <w:rPr>
            <w:rStyle w:val="Hiperhivatkozs"/>
          </w:rPr>
          <w:t>https://dharmalekha.info/contributors</w:t>
        </w:r>
      </w:hyperlink>
      <w:r>
        <w:t xml:space="preserve"> </w:t>
      </w:r>
    </w:p>
    <w:p w14:paraId="52C9C9CB" w14:textId="4B5BEFAE">
      <w:pPr>
        <w:pStyle w:val="Lista2"/>
      </w:pPr>
      <w:r>
        <w:t>persons who are not DHARMA contributors will not be identified with a machine-readable reference</w:t>
      </w:r>
    </w:p>
    <w:p w14:paraId="22C295E2" w14:textId="77777777">
      <w:pPr>
        <w:pStyle w:val="Lista"/>
      </w:pPr>
      <w:r>
        <w:t>within this element</w:t>
      </w:r>
    </w:p>
    <w:p w14:paraId="1DFCCB62" w14:textId="77777777">
      <w:pPr>
        <w:pStyle w:val="Lista2"/>
      </w:pPr>
      <w:r>
        <w:t xml:space="preserve">either apply the tags </w:t>
      </w:r>
      <w:r>
        <w:rPr>
          <w:rStyle w:val="Code"/>
        </w:rPr>
        <w:t>&lt;forename&gt;</w:t>
      </w:r>
      <w:r>
        <w:t xml:space="preserve"> and </w:t>
      </w:r>
      <w:r>
        <w:rPr>
          <w:rStyle w:val="Code"/>
        </w:rPr>
        <w:t>&lt;surname&gt;</w:t>
      </w:r>
      <w:r>
        <w:t xml:space="preserve"> to the respective components of the name</w:t>
      </w:r>
    </w:p>
    <w:p w14:paraId="06131EA2" w14:textId="77777777">
      <w:pPr>
        <w:pStyle w:val="Lista2"/>
      </w:pPr>
      <w:r>
        <w:t xml:space="preserve">or apply </w:t>
      </w:r>
      <w:r>
        <w:rPr>
          <w:rStyle w:val="Code"/>
        </w:rPr>
        <w:t>&lt;name&gt;</w:t>
      </w:r>
      <w:r>
        <w:t xml:space="preserve"> to the whole of a name if it cannot be broken down in this way</w:t>
      </w:r>
    </w:p>
    <w:p w14:paraId="268AF0E3" w14:textId="77777777"/>
    <w:tbl>
      <w:tblPr>
        <w:tblStyle w:val="CodeSampleTable"/>
        <w:tblW w:w="5000" w:type="pct"/>
        <w:tblLook w:val="04A0" w:firstRow="1" w:lastRow="0" w:firstColumn="1" w:lastColumn="0" w:noHBand="0" w:noVBand="1"/>
      </w:tblPr>
      <w:tblGrid>
        <w:gridCol w:w="9628"/>
      </w:tblGrid>
      <w:tr w14:paraId="55F21CA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B480B9B" w14:textId="50C7AA78">
            <w:pPr>
              <w:pStyle w:val="Kpalrs"/>
            </w:pPr>
            <w:bookmarkStart w:id="1044" w:name="_Ref233883689"/>
            <w:r>
              <w:t xml:space="preserve">Exhibit </w:t>
            </w:r>
            <w:fldSimple w:instr=" STYLEREF 2 \s ">
              <w:r>
                <w:rPr>
                  <w:noProof/>
                </w:rPr>
                <w:t>14.7</w:t>
              </w:r>
            </w:fldSimple>
            <w:r>
              <w:t>.</w:t>
            </w:r>
            <w:fldSimple w:instr=" SEQ Exhibit \* ALPHABETIC \s 2 ">
              <w:r>
                <w:rPr>
                  <w:noProof/>
                </w:rPr>
                <w:t>A</w:t>
              </w:r>
            </w:fldSimple>
            <w:bookmarkEnd w:id="1044"/>
            <w:r>
              <w:t>: encoding the name of a project participant</w:t>
            </w:r>
          </w:p>
        </w:tc>
      </w:tr>
      <w:tr w14:paraId="45512BD3" w14:textId="77777777">
        <w:tc>
          <w:tcPr>
            <w:tcW w:w="5000" w:type="pct"/>
          </w:tcPr>
          <w:p w14:paraId="44427A0D" w14:textId="77777777">
            <w:pPr>
              <w:pStyle w:val="TableNote"/>
            </w:pPr>
            <w:r>
              <w:t>with forename and surname</w:t>
            </w:r>
          </w:p>
        </w:tc>
      </w:tr>
      <w:tr w14:paraId="02351296" w14:textId="77777777">
        <w:tc>
          <w:tcPr>
            <w:tcW w:w="5000" w:type="pct"/>
          </w:tcPr>
          <w:p w14:paraId="560B1518" w14:textId="77777777">
            <w:pPr>
              <w:pStyle w:val="CodeParagraph"/>
              <w:rPr>
                <w:rStyle w:val="Code"/>
              </w:rPr>
            </w:pPr>
            <w:r>
              <w:rPr>
                <w:rStyle w:val="Code"/>
              </w:rPr>
              <w:lastRenderedPageBreak/>
              <w:t xml:space="preserve">&lt;persName </w:t>
            </w:r>
            <w:r>
              <w:rPr>
                <w:rStyle w:val="Codeattribute"/>
              </w:rPr>
              <w:t>ref</w:t>
            </w:r>
            <w:r>
              <w:rPr>
                <w:rStyle w:val="Code"/>
              </w:rPr>
              <w:t>=</w:t>
            </w:r>
            <w:r>
              <w:rPr>
                <w:rStyle w:val="Codevalue"/>
              </w:rPr>
              <w:t>"part:argr"</w:t>
            </w:r>
            <w:r>
              <w:rPr>
                <w:rStyle w:val="Code"/>
              </w:rPr>
              <w:t>&gt;</w:t>
            </w:r>
            <w:r>
              <w:rPr>
                <w:rStyle w:val="Codetext"/>
              </w:rPr>
              <w:br/>
              <w:t xml:space="preserve">  </w:t>
            </w:r>
            <w:r>
              <w:rPr>
                <w:rStyle w:val="Code"/>
              </w:rPr>
              <w:t>&lt;forename&gt;</w:t>
            </w:r>
            <w:r>
              <w:rPr>
                <w:rStyle w:val="Codetext"/>
              </w:rPr>
              <w:t>Arlo</w:t>
            </w:r>
            <w:r>
              <w:rPr>
                <w:rStyle w:val="Code"/>
              </w:rPr>
              <w:t>&lt;/forename&gt;</w:t>
            </w:r>
            <w:r>
              <w:rPr>
                <w:rStyle w:val="Codetext"/>
              </w:rPr>
              <w:br/>
              <w:t xml:space="preserve">  </w:t>
            </w:r>
            <w:r>
              <w:rPr>
                <w:rStyle w:val="Code"/>
              </w:rPr>
              <w:t>&lt;surname&gt;</w:t>
            </w:r>
            <w:r>
              <w:rPr>
                <w:rStyle w:val="Codetext"/>
              </w:rPr>
              <w:t>Griffiths</w:t>
            </w:r>
            <w:r>
              <w:rPr>
                <w:rStyle w:val="Code"/>
              </w:rPr>
              <w:t>&lt;/surname&gt;</w:t>
            </w:r>
            <w:r>
              <w:rPr>
                <w:rStyle w:val="Codetext"/>
              </w:rPr>
              <w:br/>
            </w:r>
            <w:r>
              <w:rPr>
                <w:rStyle w:val="Code"/>
              </w:rPr>
              <w:t>&lt;/persName&gt;</w:t>
            </w:r>
          </w:p>
        </w:tc>
      </w:tr>
      <w:tr w14:paraId="0A0F1A94" w14:textId="77777777">
        <w:tc>
          <w:tcPr>
            <w:tcW w:w="5000" w:type="pct"/>
          </w:tcPr>
          <w:p w14:paraId="4916C84D" w14:textId="77777777">
            <w:pPr>
              <w:pStyle w:val="TableNote"/>
            </w:pPr>
            <w:r>
              <w:t>with a name that resists breaking down into forename and surname</w:t>
            </w:r>
          </w:p>
        </w:tc>
      </w:tr>
      <w:tr w14:paraId="172F57F2" w14:textId="77777777">
        <w:tc>
          <w:tcPr>
            <w:tcW w:w="5000" w:type="pct"/>
          </w:tcPr>
          <w:p w14:paraId="007B59C4" w14:textId="77777777">
            <w:pPr>
              <w:pStyle w:val="CodeParagraph"/>
              <w:rPr>
                <w:rStyle w:val="Code"/>
              </w:rPr>
            </w:pPr>
            <w:r>
              <w:rPr>
                <w:rStyle w:val="Code"/>
              </w:rPr>
              <w:t xml:space="preserve">&lt;persName </w:t>
            </w:r>
            <w:r>
              <w:rPr>
                <w:rStyle w:val="Codeattribute"/>
              </w:rPr>
              <w:t>ref</w:t>
            </w:r>
            <w:r>
              <w:rPr>
                <w:rStyle w:val="Code"/>
              </w:rPr>
              <w:t>=</w:t>
            </w:r>
            <w:r>
              <w:rPr>
                <w:rStyle w:val="Codevalue"/>
              </w:rPr>
              <w:t>"part:</w:t>
            </w:r>
            <w:r>
              <w:t xml:space="preserve"> </w:t>
            </w:r>
            <w:r>
              <w:rPr>
                <w:rStyle w:val="Codevalue"/>
              </w:rPr>
              <w:t>dapu"</w:t>
            </w:r>
            <w:r>
              <w:rPr>
                <w:rStyle w:val="Code"/>
              </w:rPr>
              <w:t>&gt;</w:t>
            </w:r>
            <w:r>
              <w:rPr>
                <w:rStyle w:val="Codetext"/>
              </w:rPr>
              <w:br/>
              <w:t xml:space="preserve">  </w:t>
            </w:r>
            <w:r>
              <w:rPr>
                <w:rStyle w:val="Code"/>
              </w:rPr>
              <w:t>&lt;name&gt;</w:t>
            </w:r>
            <w:r>
              <w:rPr>
                <w:rStyle w:val="Codetext"/>
              </w:rPr>
              <w:t>I Gde Agus Darma Putra</w:t>
            </w:r>
            <w:r>
              <w:rPr>
                <w:rStyle w:val="Code"/>
              </w:rPr>
              <w:t>&lt;/name&gt;</w:t>
            </w:r>
            <w:r>
              <w:rPr>
                <w:rStyle w:val="Codetext"/>
              </w:rPr>
              <w:br/>
            </w:r>
            <w:r>
              <w:rPr>
                <w:rStyle w:val="Code"/>
              </w:rPr>
              <w:t>&lt;/persName&gt;</w:t>
            </w:r>
          </w:p>
        </w:tc>
      </w:tr>
    </w:tbl>
    <w:p w14:paraId="0E4DAB0C" w14:textId="77777777"/>
    <w:p w14:paraId="54A798F4" w14:textId="77777777">
      <w:pPr>
        <w:pStyle w:val="Cmsor3"/>
      </w:pPr>
      <w:bookmarkStart w:id="1045" w:name="_yz32t9xtry6d" w:colFirst="0" w:colLast="0"/>
      <w:bookmarkStart w:id="1046" w:name="_Ref232173896"/>
      <w:bookmarkStart w:id="1047" w:name="_Toc242889662"/>
      <w:bookmarkEnd w:id="1045"/>
      <w:r>
        <w:t xml:space="preserve">Other interpretive and analytical </w:t>
      </w:r>
      <w:bookmarkEnd w:id="1046"/>
      <w:r>
        <w:t>encoding</w:t>
      </w:r>
      <w:bookmarkEnd w:id="1047"/>
    </w:p>
    <w:p w14:paraId="3CA3A391" w14:textId="1EF01113">
      <w:r>
        <w:t>As noted in the introduction to §</w:t>
      </w:r>
      <w:r>
        <w:fldChar w:fldCharType="begin"/>
      </w:r>
      <w:r>
        <w:instrText xml:space="preserve"> REF _Ref232002354 \r \h </w:instrText>
      </w:r>
      <w:r>
        <w:fldChar w:fldCharType="separate"/>
      </w:r>
      <w:r>
        <w:t>9</w:t>
      </w:r>
      <w:r>
        <w:fldChar w:fldCharType="end"/>
      </w:r>
      <w:r>
        <w:t>, interpretive tagging other than the kinds explicitly prescribed by this Guide is not encouraged in DHARMA editions because it greatly increases the presence of overlapping hierarchies in our documents. While project members as well as others adopting the DHARMA encoding scheme are free to experiment with encoding additional interpretive detail, on the whole we recommend that analytical tags should only be added to editions once an entire subcorpus has been encoded as documentary editions and once the precise range of interpretive elements and the conditions of their use has been determined after ripe reflection on the texts and consideration of a particular (set of) research question(s). Even in such a case, it may be desirable to create a fork of the subcorpus, strip it of most of the documentary encoding, and add interpretive encoding to this stripped version.</w:t>
      </w:r>
    </w:p>
    <w:p w14:paraId="6CC6C871" w14:textId="77777777">
      <w:pPr>
        <w:ind w:firstLine="567"/>
      </w:pPr>
      <w:r>
        <w:t>Interpretive tags may be used in the editions or, with a smaller potential for conflict with other elements, in modern-language translations and annotations. Any such tagging that you do choose to apply should be implemented in accordance with the workflow of your task force as determined by and in consultation with the PI of your task force. It is your responsibility as encoder to ensure that overlapping hierarchies are properly handled, without disrupting editorial encoding such as that for reading difficulties and structural containers.</w:t>
      </w:r>
    </w:p>
    <w:p w14:paraId="21047DEE" w14:textId="77777777"/>
    <w:p w14:paraId="445FD612" w14:textId="77777777">
      <w:r>
        <w:t>The DHARMA schema permits the following potentially useful interpretive tags, which shall be used in the manner and with the attributes endorsed by the TEI guidelines.</w:t>
      </w:r>
    </w:p>
    <w:p w14:paraId="2BA45CBD" w14:textId="77777777">
      <w:pPr>
        <w:pStyle w:val="Lista"/>
      </w:pPr>
      <w:r>
        <w:rPr>
          <w:rStyle w:val="Code"/>
        </w:rPr>
        <w:t>&lt;persName&gt;</w:t>
      </w:r>
      <w:r>
        <w:t xml:space="preserve"> – for proper nouns referring to a person, e.g. </w:t>
      </w:r>
      <w:r>
        <w:rPr>
          <w:rStyle w:val="Code"/>
        </w:rPr>
        <w:t xml:space="preserve">&lt;persName </w:t>
      </w:r>
      <w:r>
        <w:rPr>
          <w:rStyle w:val="Codeattribute"/>
        </w:rPr>
        <w:t>type</w:t>
      </w:r>
      <w:r>
        <w:rPr>
          <w:rStyle w:val="Code"/>
        </w:rPr>
        <w:t>=</w:t>
      </w:r>
      <w:r>
        <w:rPr>
          <w:rStyle w:val="Codevalue"/>
        </w:rPr>
        <w:t>"human"</w:t>
      </w:r>
      <w:r>
        <w:t xml:space="preserve"> </w:t>
      </w:r>
      <w:r>
        <w:rPr>
          <w:rStyle w:val="Codeattribute"/>
        </w:rPr>
        <w:t>ref</w:t>
      </w:r>
      <w:r>
        <w:rPr>
          <w:rStyle w:val="Code"/>
        </w:rPr>
        <w:t>=</w:t>
      </w:r>
      <w:r>
        <w:rPr>
          <w:rStyle w:val="Codevalue"/>
        </w:rPr>
        <w:t>"#Rajaraja1"</w:t>
      </w:r>
      <w:r>
        <w:rPr>
          <w:rStyle w:val="Code"/>
        </w:rPr>
        <w:t>&gt;</w:t>
      </w:r>
      <w:r>
        <w:rPr>
          <w:rStyle w:val="Codetext"/>
        </w:rPr>
        <w:t>Arumoḻivarmaṉ</w:t>
      </w:r>
      <w:r>
        <w:rPr>
          <w:rStyle w:val="Code"/>
        </w:rPr>
        <w:t>&lt;/persName&gt;</w:t>
      </w:r>
    </w:p>
    <w:p w14:paraId="5B867D39" w14:textId="77777777">
      <w:pPr>
        <w:pStyle w:val="Lista"/>
      </w:pPr>
      <w:r>
        <w:rPr>
          <w:rStyle w:val="Code"/>
        </w:rPr>
        <w:t>&lt;placeName&gt;</w:t>
      </w:r>
      <w:r>
        <w:t xml:space="preserve"> – for proper nouns and other terms referring to a place </w:t>
      </w:r>
      <w:r>
        <w:rPr>
          <w:rStyle w:val="Code"/>
        </w:rPr>
        <w:t xml:space="preserve">&lt;placeName </w:t>
      </w:r>
      <w:r>
        <w:rPr>
          <w:rStyle w:val="Codeattribute"/>
        </w:rPr>
        <w:t>type</w:t>
      </w:r>
      <w:r>
        <w:rPr>
          <w:rStyle w:val="Code"/>
        </w:rPr>
        <w:t>=</w:t>
      </w:r>
      <w:r>
        <w:rPr>
          <w:rStyle w:val="Codevalue"/>
        </w:rPr>
        <w:t>"territorialDivision"</w:t>
      </w:r>
      <w:r>
        <w:rPr>
          <w:rStyle w:val="Code"/>
        </w:rPr>
        <w:t xml:space="preserve"> </w:t>
      </w:r>
      <w:r>
        <w:rPr>
          <w:rStyle w:val="Codeattribute"/>
        </w:rPr>
        <w:t>subtype</w:t>
      </w:r>
      <w:r>
        <w:rPr>
          <w:rStyle w:val="Code"/>
        </w:rPr>
        <w:t>=</w:t>
      </w:r>
      <w:r>
        <w:rPr>
          <w:rStyle w:val="Codevalue"/>
        </w:rPr>
        <w:t>"village"</w:t>
      </w:r>
      <w:r>
        <w:rPr>
          <w:rStyle w:val="Code"/>
        </w:rPr>
        <w:t>&gt;c</w:t>
      </w:r>
      <w:r>
        <w:rPr>
          <w:rStyle w:val="Codetext"/>
        </w:rPr>
        <w:t>ārukūr</w:t>
      </w:r>
      <w:r>
        <w:rPr>
          <w:rStyle w:val="Code"/>
        </w:rPr>
        <w:t>&lt;/placeName&gt;</w:t>
      </w:r>
    </w:p>
    <w:p w14:paraId="517EE73F" w14:textId="77777777">
      <w:pPr>
        <w:pStyle w:val="Lista"/>
      </w:pPr>
      <w:r>
        <w:rPr>
          <w:rStyle w:val="Code"/>
        </w:rPr>
        <w:t>&lt;roleName&gt;</w:t>
      </w:r>
      <w:r>
        <w:t xml:space="preserve"> – for a name component which indicates that the referent has a particular role or position in society, e.g. </w:t>
      </w:r>
      <w:r>
        <w:rPr>
          <w:rStyle w:val="Code"/>
        </w:rPr>
        <w:t xml:space="preserve">&lt;roleName </w:t>
      </w:r>
      <w:r>
        <w:rPr>
          <w:rStyle w:val="Codeattribute"/>
        </w:rPr>
        <w:t>type</w:t>
      </w:r>
      <w:r>
        <w:rPr>
          <w:rStyle w:val="Code"/>
        </w:rPr>
        <w:t>=</w:t>
      </w:r>
      <w:r>
        <w:rPr>
          <w:rStyle w:val="Codevalue"/>
        </w:rPr>
        <w:t>"king"</w:t>
      </w:r>
      <w:r>
        <w:rPr>
          <w:rStyle w:val="Code"/>
        </w:rPr>
        <w:t>&gt;</w:t>
      </w:r>
      <w:r>
        <w:rPr>
          <w:rStyle w:val="Codetext"/>
        </w:rPr>
        <w:t>mahārājādhirāja</w:t>
      </w:r>
      <w:r>
        <w:rPr>
          <w:rStyle w:val="Code"/>
        </w:rPr>
        <w:t>&lt;/roleName&gt;</w:t>
      </w:r>
    </w:p>
    <w:p w14:paraId="0C7A392D" w14:textId="77777777">
      <w:pPr>
        <w:pStyle w:val="Lista"/>
      </w:pPr>
      <w:r>
        <w:rPr>
          <w:rStyle w:val="Code"/>
        </w:rPr>
        <w:t>&lt;date&gt;</w:t>
      </w:r>
      <w:r>
        <w:t xml:space="preserve"> – for dates in any form, e.g. </w:t>
      </w:r>
      <w:r>
        <w:rPr>
          <w:rStyle w:val="Code"/>
        </w:rPr>
        <w:t xml:space="preserve">&lt;date </w:t>
      </w:r>
      <w:r>
        <w:rPr>
          <w:rStyle w:val="Codeattribute"/>
        </w:rPr>
        <w:t>calendar</w:t>
      </w:r>
      <w:r>
        <w:rPr>
          <w:rStyle w:val="Code"/>
        </w:rPr>
        <w:t>=</w:t>
      </w:r>
      <w:r>
        <w:rPr>
          <w:rStyle w:val="Codevalue"/>
        </w:rPr>
        <w:t>"saka"</w:t>
      </w:r>
      <w:r>
        <w:rPr>
          <w:rStyle w:val="Codeattribute"/>
        </w:rPr>
        <w:t xml:space="preserve"> notBefore</w:t>
      </w:r>
      <w:r>
        <w:rPr>
          <w:rStyle w:val="Code"/>
        </w:rPr>
        <w:t>=</w:t>
      </w:r>
      <w:r>
        <w:rPr>
          <w:rStyle w:val="Codevalue"/>
        </w:rPr>
        <w:t>"0921"</w:t>
      </w:r>
      <w:r>
        <w:rPr>
          <w:rStyle w:val="Codeattribute"/>
        </w:rPr>
        <w:t xml:space="preserve"> notAfter</w:t>
      </w:r>
      <w:r>
        <w:rPr>
          <w:rStyle w:val="Code"/>
        </w:rPr>
        <w:t>=</w:t>
      </w:r>
      <w:r>
        <w:rPr>
          <w:rStyle w:val="Codevalue"/>
        </w:rPr>
        <w:t>"0923"</w:t>
      </w:r>
      <w:r>
        <w:rPr>
          <w:rStyle w:val="Code"/>
        </w:rPr>
        <w:t>&gt;</w:t>
      </w:r>
      <w:r>
        <w:rPr>
          <w:rStyle w:val="Codetext"/>
        </w:rPr>
        <w:t>śaka-vatsareṣu vedāṁburāśi-nidhi-varttiṣu</w:t>
      </w:r>
      <w:r>
        <w:rPr>
          <w:rStyle w:val="Code"/>
        </w:rPr>
        <w:t>&lt;/date&gt;</w:t>
      </w:r>
    </w:p>
    <w:p w14:paraId="47F02C4B" w14:textId="77777777">
      <w:pPr>
        <w:pStyle w:val="Lista"/>
      </w:pPr>
      <w:r>
        <w:rPr>
          <w:rStyle w:val="Code"/>
        </w:rPr>
        <w:t>&lt;measure&gt;</w:t>
      </w:r>
      <w:r>
        <w:t xml:space="preserve"> – for quantities of an object or commodity, e.g. </w:t>
      </w:r>
      <w:r>
        <w:rPr>
          <w:rStyle w:val="Code"/>
        </w:rPr>
        <w:t xml:space="preserve">&lt;measure </w:t>
      </w:r>
      <w:r>
        <w:rPr>
          <w:rStyle w:val="Codeattribute"/>
        </w:rPr>
        <w:t>unit</w:t>
      </w:r>
      <w:r>
        <w:rPr>
          <w:rStyle w:val="Code"/>
        </w:rPr>
        <w:t>=</w:t>
      </w:r>
      <w:r>
        <w:rPr>
          <w:rStyle w:val="Codevalue"/>
        </w:rPr>
        <w:t>"kaḻañcu"</w:t>
      </w:r>
      <w:r>
        <w:rPr>
          <w:rStyle w:val="Code"/>
        </w:rPr>
        <w:t xml:space="preserve"> </w:t>
      </w:r>
      <w:r>
        <w:rPr>
          <w:rStyle w:val="Codeattribute"/>
        </w:rPr>
        <w:t>quantity</w:t>
      </w:r>
      <w:r>
        <w:rPr>
          <w:rStyle w:val="Code"/>
        </w:rPr>
        <w:t>=</w:t>
      </w:r>
      <w:r>
        <w:rPr>
          <w:rStyle w:val="Codevalue"/>
        </w:rPr>
        <w:t>"100"</w:t>
      </w:r>
      <w:r>
        <w:rPr>
          <w:rStyle w:val="Code"/>
        </w:rPr>
        <w:t xml:space="preserve"> </w:t>
      </w:r>
      <w:r>
        <w:rPr>
          <w:rStyle w:val="Codeattribute"/>
        </w:rPr>
        <w:t>commodity</w:t>
      </w:r>
      <w:r>
        <w:rPr>
          <w:rStyle w:val="Code"/>
        </w:rPr>
        <w:t>=</w:t>
      </w:r>
      <w:r>
        <w:rPr>
          <w:rStyle w:val="Codevalue"/>
        </w:rPr>
        <w:t>"gold"</w:t>
      </w:r>
      <w:r>
        <w:rPr>
          <w:rStyle w:val="Code"/>
        </w:rPr>
        <w:t>&gt;</w:t>
      </w:r>
      <w:r>
        <w:rPr>
          <w:rStyle w:val="Codetext"/>
        </w:rPr>
        <w:t>nūṟṟu-k kaḻañcu poṉṉum</w:t>
      </w:r>
      <w:r>
        <w:rPr>
          <w:rStyle w:val="Code"/>
        </w:rPr>
        <w:t>&lt;/measure&gt;</w:t>
      </w:r>
    </w:p>
    <w:p w14:paraId="63E014E2" w14:textId="77777777">
      <w:pPr>
        <w:pStyle w:val="Lista"/>
      </w:pPr>
      <w:r>
        <w:rPr>
          <w:rStyle w:val="Code"/>
        </w:rPr>
        <w:t>&lt;rs&gt;</w:t>
      </w:r>
      <w:r>
        <w:t xml:space="preserve"> – for general-purpose “referring strings” not covered by the specific elements above</w:t>
      </w:r>
    </w:p>
    <w:p w14:paraId="268E0190" w14:textId="77777777">
      <w:pPr>
        <w:pStyle w:val="Lista"/>
      </w:pPr>
      <w:r>
        <w:rPr>
          <w:rStyle w:val="Code"/>
        </w:rPr>
        <w:t>&lt;anchor/&gt;</w:t>
      </w:r>
      <w:r>
        <w:t xml:space="preserve"> – for marking arbitrary points in the document, which may be used as boundary markers for segments of analytic interest without creating overlapping XML hierarchies</w:t>
      </w:r>
    </w:p>
    <w:p w14:paraId="30DEB486" w14:textId="77777777">
      <w:pPr>
        <w:pStyle w:val="Cmsor1"/>
      </w:pPr>
      <w:bookmarkStart w:id="1048" w:name="_ulwrsat15v9f" w:colFirst="0" w:colLast="0"/>
      <w:bookmarkStart w:id="1049" w:name="_k9hfjcx1f0k3" w:colFirst="0" w:colLast="0"/>
      <w:bookmarkStart w:id="1050" w:name="_Ref43978719"/>
      <w:bookmarkStart w:id="1051" w:name="_Toc242889663"/>
      <w:bookmarkEnd w:id="1048"/>
      <w:bookmarkEnd w:id="1049"/>
      <w:r>
        <w:lastRenderedPageBreak/>
        <w:t>The TEI Header</w:t>
      </w:r>
      <w:bookmarkEnd w:id="1050"/>
      <w:bookmarkEnd w:id="1051"/>
    </w:p>
    <w:p w14:paraId="6AC04FE5" w14:textId="769BD880">
      <w:r>
        <w:t>The TEI header (introduced in §</w:t>
      </w:r>
      <w:r>
        <w:fldChar w:fldCharType="begin"/>
      </w:r>
      <w:r>
        <w:instrText xml:space="preserve"> REF _Ref233892229 \r \h </w:instrText>
      </w:r>
      <w:r>
        <w:fldChar w:fldCharType="separate"/>
      </w:r>
      <w:r>
        <w:t>2.2.2</w:t>
      </w:r>
      <w:r>
        <w:fldChar w:fldCharType="end"/>
      </w:r>
      <w:r>
        <w:t>) presents marked-up metadata about the XML document and about the inscription and artefact</w:t>
      </w:r>
      <w:r>
        <w:rPr>
          <w:noProof/>
        </w:rPr>
        <w:t>(</w:t>
      </w:r>
      <w:r>
        <w:t>s) it concerns. The header may be composed of several high-level elements, the most prominent of which is the File Description. The following subsections outline the header elements and their contents that you will need to engage with. These guidelines are intended to help you understand the functions and structure of the TEI header, but you need not be able to create such a header from scratch. Instead, rely on our encoding template and add data to the header only where comments in the template instruct you to do so.</w:t>
      </w:r>
    </w:p>
    <w:p w14:paraId="6EC5EE83" w14:textId="77777777">
      <w:pPr>
        <w:pStyle w:val="Cmsor2"/>
      </w:pPr>
      <w:bookmarkStart w:id="1052" w:name="_23j65vxuxzj5" w:colFirst="0" w:colLast="0"/>
      <w:bookmarkStart w:id="1053" w:name="_Toc242889664"/>
      <w:bookmarkEnd w:id="1052"/>
      <w:r>
        <w:t>Describing the XML document</w:t>
      </w:r>
      <w:bookmarkEnd w:id="1053"/>
    </w:p>
    <w:p w14:paraId="3A5C0E21" w14:textId="3C963372">
      <w:r>
        <w:t xml:space="preserve">The mandatory File Description is enclosed in the element </w:t>
      </w:r>
      <w:r>
        <w:rPr>
          <w:rStyle w:val="Code"/>
        </w:rPr>
        <w:t>&lt;fileDesc&gt;</w:t>
      </w:r>
      <w:r>
        <w:t xml:space="preserve">. The first part of this section describes the current digital edition, with the following mandatory contents in DHARMA editions, illustrated in </w:t>
      </w:r>
      <w:r>
        <w:fldChar w:fldCharType="begin"/>
      </w:r>
      <w:r>
        <w:instrText xml:space="preserve"> REF _Ref239753712 \h </w:instrText>
      </w:r>
      <w:r>
        <w:fldChar w:fldCharType="separate"/>
      </w:r>
      <w:r>
        <w:t xml:space="preserve">Exhibit </w:t>
      </w:r>
      <w:r>
        <w:rPr>
          <w:noProof/>
        </w:rPr>
        <w:t>15.1</w:t>
      </w:r>
      <w:r>
        <w:t>.</w:t>
      </w:r>
      <w:r>
        <w:rPr>
          <w:noProof/>
        </w:rPr>
        <w:t>A</w:t>
      </w:r>
      <w:r>
        <w:fldChar w:fldCharType="end"/>
      </w:r>
    </w:p>
    <w:p w14:paraId="7896C93F" w14:textId="77777777">
      <w:pPr>
        <w:pStyle w:val="Lista"/>
      </w:pPr>
      <w:r>
        <w:t xml:space="preserve">a Title Statement, wrapped in the element </w:t>
      </w:r>
      <w:r>
        <w:rPr>
          <w:rStyle w:val="Code"/>
        </w:rPr>
        <w:t>&lt;titleStmt&gt;</w:t>
      </w:r>
      <w:r>
        <w:t>, with the following items</w:t>
      </w:r>
    </w:p>
    <w:p w14:paraId="4BB37E1B" w14:textId="69FF8208">
      <w:pPr>
        <w:pStyle w:val="Lista2"/>
      </w:pPr>
      <w:r>
        <w:t>information about the title of the digital document (§</w:t>
      </w:r>
      <w:r>
        <w:fldChar w:fldCharType="begin"/>
      </w:r>
      <w:r>
        <w:instrText xml:space="preserve"> REF _Ref233892549 \r \h </w:instrText>
      </w:r>
      <w:r>
        <w:fldChar w:fldCharType="separate"/>
      </w:r>
      <w:r>
        <w:t>15.1.1</w:t>
      </w:r>
      <w:r>
        <w:fldChar w:fldCharType="end"/>
      </w:r>
      <w:r>
        <w:t>)</w:t>
      </w:r>
    </w:p>
    <w:p w14:paraId="3FF9B457" w14:textId="63549482">
      <w:pPr>
        <w:pStyle w:val="Lista2"/>
      </w:pPr>
      <w:r>
        <w:t>information about the persons responsible for its content (§</w:t>
      </w:r>
      <w:r>
        <w:fldChar w:fldCharType="begin"/>
      </w:r>
      <w:r>
        <w:instrText xml:space="preserve"> REF _Ref43990001 \r \h </w:instrText>
      </w:r>
      <w:r>
        <w:fldChar w:fldCharType="separate"/>
      </w:r>
      <w:r>
        <w:t>15.1.2</w:t>
      </w:r>
      <w:r>
        <w:fldChar w:fldCharType="end"/>
      </w:r>
      <w:r>
        <w:t>)</w:t>
      </w:r>
    </w:p>
    <w:p w14:paraId="698841F9" w14:textId="20CFE80B">
      <w:pPr>
        <w:pStyle w:val="Lista"/>
      </w:pPr>
      <w:r>
        <w:t xml:space="preserve">a Publication Statement, tagged as </w:t>
      </w:r>
      <w:r>
        <w:rPr>
          <w:rStyle w:val="Code"/>
        </w:rPr>
        <w:t>&lt;publicationStmt&gt;</w:t>
      </w:r>
      <w:r>
        <w:t xml:space="preserve"> and serving to group together information concerning the publication of the digital document (§</w:t>
      </w:r>
      <w:r>
        <w:fldChar w:fldCharType="begin"/>
      </w:r>
      <w:r>
        <w:instrText xml:space="preserve"> REF _Ref233892566 \r \h </w:instrText>
      </w:r>
      <w:r>
        <w:fldChar w:fldCharType="separate"/>
      </w:r>
      <w:r>
        <w:t>15.1.3</w:t>
      </w:r>
      <w:r>
        <w:fldChar w:fldCharType="end"/>
      </w:r>
      <w:r>
        <w:t>)</w:t>
      </w:r>
    </w:p>
    <w:tbl>
      <w:tblPr>
        <w:tblStyle w:val="CodeSampleTable"/>
        <w:tblW w:w="5000" w:type="pct"/>
        <w:tblLook w:val="04A0" w:firstRow="1" w:lastRow="0" w:firstColumn="1" w:lastColumn="0" w:noHBand="0" w:noVBand="1"/>
      </w:tblPr>
      <w:tblGrid>
        <w:gridCol w:w="9628"/>
      </w:tblGrid>
      <w:tr w14:paraId="648D9D5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B57DB87" w14:textId="657A8EAA">
            <w:pPr>
              <w:pStyle w:val="Kpalrs"/>
            </w:pPr>
            <w:bookmarkStart w:id="1054" w:name="_Ref239753712"/>
            <w:bookmarkStart w:id="1055" w:name="_Ref239753701"/>
            <w:r>
              <w:t xml:space="preserve">Exhibit </w:t>
            </w:r>
            <w:fldSimple w:instr=" STYLEREF 2 \s ">
              <w:r>
                <w:rPr>
                  <w:noProof/>
                </w:rPr>
                <w:t>15.1</w:t>
              </w:r>
            </w:fldSimple>
            <w:r>
              <w:t>.</w:t>
            </w:r>
            <w:fldSimple w:instr=" SEQ Exhibit \* ALPHABETIC \s 2 ">
              <w:r>
                <w:rPr>
                  <w:noProof/>
                </w:rPr>
                <w:t>A</w:t>
              </w:r>
            </w:fldSimple>
            <w:bookmarkEnd w:id="1054"/>
            <w:r>
              <w:t>: the title statement and the publication statement</w:t>
            </w:r>
            <w:bookmarkEnd w:id="1055"/>
          </w:p>
        </w:tc>
      </w:tr>
      <w:tr w14:paraId="10B816D6" w14:textId="77777777">
        <w:tc>
          <w:tcPr>
            <w:tcW w:w="5000" w:type="pct"/>
          </w:tcPr>
          <w:p w14:paraId="27DAD207" w14:textId="77777777">
            <w:pPr>
              <w:pStyle w:val="CodeParagraph"/>
              <w:rPr>
                <w:rStyle w:val="Code"/>
              </w:rPr>
            </w:pPr>
            <w:r>
              <w:rPr>
                <w:rStyle w:val="Code"/>
              </w:rPr>
              <w:t>@add latest template code</w:t>
            </w:r>
          </w:p>
        </w:tc>
      </w:tr>
    </w:tbl>
    <w:p w14:paraId="0150BD61" w14:textId="77777777"/>
    <w:p w14:paraId="117DD71B" w14:textId="77777777">
      <w:pPr>
        <w:pStyle w:val="Cmsor3"/>
      </w:pPr>
      <w:bookmarkStart w:id="1056" w:name="_2jfs86ft37ax" w:colFirst="0" w:colLast="0"/>
      <w:bookmarkStart w:id="1057" w:name="_Ref233892549"/>
      <w:bookmarkStart w:id="1058" w:name="_Toc242889665"/>
      <w:bookmarkEnd w:id="1056"/>
      <w:r>
        <w:t>The title</w:t>
      </w:r>
      <w:bookmarkEnd w:id="1057"/>
      <w:bookmarkEnd w:id="1058"/>
    </w:p>
    <w:p w14:paraId="23B1E860" w14:textId="77777777">
      <w:r>
        <w:t xml:space="preserve">The mandatory </w:t>
      </w:r>
      <w:r>
        <w:rPr>
          <w:rStyle w:val="Code"/>
        </w:rPr>
        <w:t>&lt;title&gt;</w:t>
      </w:r>
      <w:r>
        <w:t xml:space="preserve"> element shall contain the primary title assigned to the text in the DHARMA corpus.</w:t>
      </w:r>
    </w:p>
    <w:p w14:paraId="7B2C6760" w14:textId="77777777">
      <w:pPr>
        <w:pStyle w:val="Lista"/>
      </w:pPr>
      <w:r>
        <w:t>the primary title shall be plain text in English including any applicable diacritical characters but without any additional markup</w:t>
      </w:r>
    </w:p>
    <w:p w14:paraId="7186D4C8" w14:textId="77777777">
      <w:pPr>
        <w:pStyle w:val="Lista"/>
      </w:pPr>
      <w:r>
        <w:t>use a title that clearly and unambiguously identifies the inscription</w:t>
      </w:r>
    </w:p>
    <w:p w14:paraId="5C9DEB79" w14:textId="6C8BB40C">
      <w:pPr>
        <w:pStyle w:val="Lista2"/>
      </w:pPr>
      <w:r>
        <w:fldChar w:fldCharType="begin"/>
      </w:r>
      <w:r>
        <w:instrText xml:space="preserve"> REF _Ref43990834 \r \h  \* MERGEFORMAT </w:instrText>
      </w:r>
      <w:r>
        <w:fldChar w:fldCharType="separate"/>
      </w:r>
      <w:r>
        <w:t>Appendix B</w:t>
      </w:r>
      <w:r>
        <w:fldChar w:fldCharType="end"/>
      </w:r>
      <w:r>
        <w:t xml:space="preserve"> gives additional guidance for assigning titles to epigraphic texts</w:t>
      </w:r>
    </w:p>
    <w:p w14:paraId="315F73AC" w14:textId="77777777">
      <w:pPr>
        <w:pStyle w:val="Cmsor4"/>
      </w:pPr>
      <w:bookmarkStart w:id="1059" w:name="_Ref233986980"/>
      <w:r>
        <w:t>Alternative titles</w:t>
      </w:r>
      <w:bookmarkEnd w:id="1059"/>
    </w:p>
    <w:p w14:paraId="35E56AD9" w14:textId="77777777">
      <w:r>
        <w:t>If an inscription is known by more than one designation, for example because you have given it a different title than that under which it has been published before, or because it has been published under several different titles, then alternative titles can and by recommendation should be encoded in the TEI header. Doing so allows end users to find your edition when they search for it by an alternative title.</w:t>
      </w:r>
    </w:p>
    <w:p w14:paraId="3D40C6BF" w14:textId="77777777">
      <w:pPr>
        <w:pStyle w:val="Lista"/>
      </w:pPr>
      <w:r>
        <w:t xml:space="preserve">to encode alternative titles, add one or more instances of </w:t>
      </w:r>
      <w:r>
        <w:rPr>
          <w:rStyle w:val="Code"/>
        </w:rPr>
        <w:t xml:space="preserve">&lt;title </w:t>
      </w:r>
      <w:r>
        <w:rPr>
          <w:rStyle w:val="Codeattribute"/>
        </w:rPr>
        <w:t>type=</w:t>
      </w:r>
      <w:r>
        <w:rPr>
          <w:rStyle w:val="Codevalue"/>
        </w:rPr>
        <w:t>"alt"</w:t>
      </w:r>
      <w:r>
        <w:rPr>
          <w:rStyle w:val="Code"/>
        </w:rPr>
        <w:t>&gt;</w:t>
      </w:r>
      <w:r>
        <w:t xml:space="preserve"> after the primary </w:t>
      </w:r>
      <w:r>
        <w:rPr>
          <w:rStyle w:val="Code"/>
        </w:rPr>
        <w:t>&lt;title&gt;</w:t>
      </w:r>
    </w:p>
    <w:p w14:paraId="791564E6" w14:textId="77777777">
      <w:pPr>
        <w:pStyle w:val="Cmsor3"/>
      </w:pPr>
      <w:bookmarkStart w:id="1060" w:name="_r3zbaj6a07eq" w:colFirst="0" w:colLast="0"/>
      <w:bookmarkStart w:id="1061" w:name="_Ref43990001"/>
      <w:bookmarkStart w:id="1062" w:name="_Ref240273632"/>
      <w:bookmarkStart w:id="1063" w:name="_Toc242889666"/>
      <w:bookmarkEnd w:id="1060"/>
      <w:r>
        <w:t>The responsibility statement</w:t>
      </w:r>
      <w:bookmarkEnd w:id="1061"/>
      <w:r>
        <w:t>(s)</w:t>
      </w:r>
      <w:bookmarkEnd w:id="1062"/>
      <w:bookmarkEnd w:id="1063"/>
    </w:p>
    <w:p w14:paraId="44CCD1C0" w14:textId="470C27ED">
      <w:r>
        <w:t xml:space="preserve">After the title but still within </w:t>
      </w:r>
      <w:r>
        <w:rPr>
          <w:rStyle w:val="Code"/>
        </w:rPr>
        <w:t>&lt;titleStmt&gt;</w:t>
      </w:r>
      <w:r>
        <w:t xml:space="preserve">, the wrapper </w:t>
      </w:r>
      <w:r>
        <w:rPr>
          <w:rStyle w:val="Code"/>
        </w:rPr>
        <w:t>&lt;respStmt&gt;</w:t>
      </w:r>
      <w:r>
        <w:t xml:space="preserve"> is used for crediting those who have contributed to the current digital edition. This excludes the authors of any previously published editions, even when you are encoding printed editions or ingesting digital editions without substantive revision. The rationale of this approach is that the responsibilities in the TEI header concern primarily the authorship of this particular XML file and not intellectual credit for previous work that allowed this file to come into being. Credit to previously published editions will be given in the epigraphic lemma (§</w:t>
      </w:r>
      <w:r>
        <w:fldChar w:fldCharType="begin"/>
      </w:r>
      <w:r>
        <w:instrText xml:space="preserve"> REF _Ref233623221 \r \h </w:instrText>
      </w:r>
      <w:r>
        <w:fldChar w:fldCharType="separate"/>
      </w:r>
      <w:r>
        <w:t>13.2</w:t>
      </w:r>
      <w:r>
        <w:fldChar w:fldCharType="end"/>
      </w:r>
      <w:r>
        <w:t>) and nowhere else. In complex cases with several authors and/or contributors, the nature and degree of their contributions must also be clarified in the epigraphic lemma.</w:t>
      </w:r>
    </w:p>
    <w:p w14:paraId="009798E2" w14:textId="4A0C546C">
      <w:pPr>
        <w:pStyle w:val="Normlbehzs"/>
      </w:pPr>
      <w:r>
        <w:t xml:space="preserve">As per TEI conventions, a separate responsibility statement must be created for each sphere of responsibility, with the possibility of more than one person or entity being named in each such statement. In order </w:t>
      </w:r>
      <w:r>
        <w:lastRenderedPageBreak/>
        <w:t>to keep things manageable, DHARMA editions only use a mandatory responsibility statement for the creation of the digital edition (§</w:t>
      </w:r>
      <w:r>
        <w:fldChar w:fldCharType="begin"/>
      </w:r>
      <w:r>
        <w:instrText xml:space="preserve"> REF _Ref239687105 \r \h </w:instrText>
      </w:r>
      <w:r>
        <w:fldChar w:fldCharType="separate"/>
      </w:r>
      <w:r>
        <w:t>15.1.2.1</w:t>
      </w:r>
      <w:r>
        <w:fldChar w:fldCharType="end"/>
      </w:r>
      <w:r>
        <w:t>), an optional responsibility statement for contributions (§</w:t>
      </w:r>
      <w:r>
        <w:fldChar w:fldCharType="begin"/>
      </w:r>
      <w:r>
        <w:instrText xml:space="preserve"> REF _Ref239687124 \r \h </w:instrText>
      </w:r>
      <w:r>
        <w:fldChar w:fldCharType="separate"/>
      </w:r>
      <w:r>
        <w:t>15.1.2.2</w:t>
      </w:r>
      <w:r>
        <w:fldChar w:fldCharType="end"/>
      </w:r>
      <w:r>
        <w:t>), and a specialised statement crediting the funder (§</w:t>
      </w:r>
      <w:r>
        <w:fldChar w:fldCharType="begin"/>
      </w:r>
      <w:r>
        <w:instrText xml:space="preserve"> REF _Ref240270689 \r \h </w:instrText>
      </w:r>
      <w:r>
        <w:fldChar w:fldCharType="separate"/>
      </w:r>
      <w:r>
        <w:t>15.1.2.3</w:t>
      </w:r>
      <w:r>
        <w:fldChar w:fldCharType="end"/>
      </w:r>
      <w:r>
        <w:t>).</w:t>
      </w:r>
    </w:p>
    <w:p w14:paraId="52D0B951" w14:textId="77777777">
      <w:pPr>
        <w:pStyle w:val="Cmsor4"/>
      </w:pPr>
      <w:bookmarkStart w:id="1064" w:name="_Ref239687105"/>
      <w:r>
        <w:t>Creators</w:t>
      </w:r>
      <w:bookmarkEnd w:id="1064"/>
    </w:p>
    <w:p w14:paraId="2C624081" w14:textId="77777777">
      <w:pPr>
        <w:rPr>
          <w:lang w:eastAsia="en-US" w:bidi="ar-SA"/>
        </w:rPr>
      </w:pPr>
      <w:r>
        <w:rPr>
          <w:lang w:eastAsia="en-US" w:bidi="ar-SA"/>
        </w:rPr>
        <w:t>For our purposes, the creator or creators of a DHARMA digital edition are the person or people who has created or have collaboratively created the XML document, in particular its edition division, without regard to the magnitude of scholarly effort this has involved.</w:t>
      </w:r>
    </w:p>
    <w:p w14:paraId="50515F44" w14:textId="77777777">
      <w:pPr>
        <w:pStyle w:val="Lista"/>
        <w:rPr>
          <w:lang w:eastAsia="en-US" w:bidi="ar-SA"/>
        </w:rPr>
      </w:pPr>
      <w:r>
        <w:rPr>
          <w:lang w:eastAsia="en-US" w:bidi="ar-SA"/>
        </w:rPr>
        <w:t>all of the following actions qualify as creation:</w:t>
      </w:r>
    </w:p>
    <w:p w14:paraId="5CC09BB4" w14:textId="77777777">
      <w:pPr>
        <w:pStyle w:val="Lista2"/>
        <w:rPr>
          <w:lang w:eastAsia="en-US" w:bidi="ar-SA"/>
        </w:rPr>
      </w:pPr>
      <w:r>
        <w:rPr>
          <w:lang w:eastAsia="en-US" w:bidi="ar-SA"/>
        </w:rPr>
        <w:t>producing a born-digital edition of a previously unpublished inscription</w:t>
      </w:r>
    </w:p>
    <w:p w14:paraId="642226B9" w14:textId="77777777">
      <w:pPr>
        <w:pStyle w:val="Lista2"/>
        <w:rPr>
          <w:lang w:eastAsia="en-US" w:bidi="ar-SA"/>
        </w:rPr>
      </w:pPr>
      <w:r>
        <w:rPr>
          <w:lang w:eastAsia="en-US" w:bidi="ar-SA"/>
        </w:rPr>
        <w:t>producing an unencoded or partially encoded draft edition as a first step toward the creation of a born-digital edition (rather than as a publication on its own)</w:t>
      </w:r>
    </w:p>
    <w:p w14:paraId="0D347B59" w14:textId="77777777">
      <w:pPr>
        <w:pStyle w:val="Lista2"/>
        <w:rPr>
          <w:lang w:eastAsia="en-US" w:bidi="ar-SA"/>
        </w:rPr>
      </w:pPr>
      <w:r>
        <w:t>applying or finalising encoding in an unpublished draft edition prepared by another team member</w:t>
      </w:r>
    </w:p>
    <w:p w14:paraId="316CCDA4" w14:textId="77777777">
      <w:pPr>
        <w:pStyle w:val="Lista2"/>
        <w:rPr>
          <w:lang w:eastAsia="en-US" w:bidi="ar-SA"/>
        </w:rPr>
      </w:pPr>
      <w:r>
        <w:rPr>
          <w:lang w:eastAsia="en-US" w:bidi="ar-SA"/>
        </w:rPr>
        <w:t>creating a digital edition on the basis of one or more previous publications, with or without consulting visual documentation directly</w:t>
      </w:r>
    </w:p>
    <w:p w14:paraId="3619CAEB" w14:textId="77777777">
      <w:pPr>
        <w:pStyle w:val="Lista2"/>
        <w:rPr>
          <w:lang w:eastAsia="en-US" w:bidi="ar-SA"/>
        </w:rPr>
      </w:pPr>
      <w:r>
        <w:rPr>
          <w:lang w:eastAsia="en-US" w:bidi="ar-SA"/>
        </w:rPr>
        <w:t>revising the encoding of a previous digital edition created outside DHARMA to match the DHARMA encoding conventions</w:t>
      </w:r>
    </w:p>
    <w:p w14:paraId="168A7802" w14:textId="77777777">
      <w:pPr>
        <w:pStyle w:val="Lista"/>
        <w:rPr>
          <w:lang w:eastAsia="en-US" w:bidi="ar-SA"/>
        </w:rPr>
      </w:pPr>
      <w:r>
        <w:rPr>
          <w:lang w:eastAsia="en-US" w:bidi="ar-SA"/>
        </w:rPr>
        <w:t xml:space="preserve">the creator’s role is encoded with the element </w:t>
      </w:r>
      <w:r>
        <w:rPr>
          <w:rStyle w:val="Code"/>
        </w:rPr>
        <w:t xml:space="preserve">&lt;resp </w:t>
      </w:r>
      <w:r>
        <w:rPr>
          <w:rStyle w:val="Codeattribute"/>
        </w:rPr>
        <w:t>key=</w:t>
      </w:r>
      <w:r>
        <w:rPr>
          <w:rStyle w:val="Codevalue"/>
        </w:rPr>
        <w:t>"creator"</w:t>
      </w:r>
      <w:r>
        <w:rPr>
          <w:rStyle w:val="Code"/>
        </w:rPr>
        <w:t>/&gt;</w:t>
      </w:r>
      <w:r>
        <w:t xml:space="preserve">, which must be </w:t>
      </w:r>
      <w:r>
        <w:rPr>
          <w:lang w:eastAsia="en-US" w:bidi="ar-SA"/>
        </w:rPr>
        <w:t xml:space="preserve">the first child of the first </w:t>
      </w:r>
      <w:r>
        <w:rPr>
          <w:rStyle w:val="Code"/>
        </w:rPr>
        <w:t>&lt;respStmt&gt;</w:t>
      </w:r>
      <w:r>
        <w:t xml:space="preserve"> within the </w:t>
      </w:r>
      <w:r>
        <w:rPr>
          <w:rStyle w:val="Code"/>
        </w:rPr>
        <w:t>&lt;titleStmt&gt;</w:t>
      </w:r>
    </w:p>
    <w:p w14:paraId="592AA803" w14:textId="2FF408EF">
      <w:pPr>
        <w:pStyle w:val="Lista"/>
      </w:pPr>
      <w:r>
        <w:t xml:space="preserve">after this, add the name of the creator encoded with the tag </w:t>
      </w:r>
      <w:r>
        <w:rPr>
          <w:rStyle w:val="Code"/>
        </w:rPr>
        <w:t>&lt;persName&gt;</w:t>
      </w:r>
      <w:r>
        <w:t xml:space="preserve"> as per §</w:t>
      </w:r>
      <w:r>
        <w:fldChar w:fldCharType="begin"/>
      </w:r>
      <w:r>
        <w:instrText xml:space="preserve"> REF _Ref233882783 \r \h </w:instrText>
      </w:r>
      <w:r>
        <w:fldChar w:fldCharType="separate"/>
      </w:r>
      <w:r>
        <w:t>14.7.2</w:t>
      </w:r>
      <w:r>
        <w:fldChar w:fldCharType="end"/>
      </w:r>
    </w:p>
    <w:p w14:paraId="547C5946" w14:textId="77777777">
      <w:pPr>
        <w:pStyle w:val="Lista"/>
        <w:rPr>
          <w:lang w:eastAsia="en-US" w:bidi="ar-SA"/>
        </w:rPr>
      </w:pPr>
      <w:r>
        <w:rPr>
          <w:lang w:eastAsia="en-US" w:bidi="ar-SA"/>
        </w:rPr>
        <w:t xml:space="preserve">add further </w:t>
      </w:r>
      <w:r>
        <w:rPr>
          <w:rStyle w:val="Code"/>
        </w:rPr>
        <w:t>&lt;persName&gt;</w:t>
      </w:r>
      <w:r>
        <w:t xml:space="preserve"> elements for any additional creators, preferably in a decreasing order of the magnitude of their effort</w:t>
      </w:r>
    </w:p>
    <w:p w14:paraId="4179B8A2" w14:textId="7CC35EBD">
      <w:pPr>
        <w:pStyle w:val="Lista"/>
        <w:rPr>
          <w:lang w:eastAsia="en-US" w:bidi="ar-SA"/>
        </w:rPr>
      </w:pPr>
      <w:r>
        <w:t>when multiple creators have acted in different ways or degrees, their roles may (and preferably should) be clarified in the epigraphic lemma (§</w:t>
      </w:r>
      <w:r>
        <w:fldChar w:fldCharType="begin"/>
      </w:r>
      <w:r>
        <w:instrText xml:space="preserve"> REF _Ref233623221 \r \h </w:instrText>
      </w:r>
      <w:r>
        <w:fldChar w:fldCharType="separate"/>
      </w:r>
      <w:r>
        <w:t>13.2</w:t>
      </w:r>
      <w:r>
        <w:fldChar w:fldCharType="end"/>
      </w:r>
      <w:r>
        <w:t>)</w:t>
      </w:r>
    </w:p>
    <w:p w14:paraId="75ACEF66" w14:textId="77777777">
      <w:pPr>
        <w:pStyle w:val="Cmsor4"/>
      </w:pPr>
      <w:bookmarkStart w:id="1065" w:name="_Ref239687124"/>
      <w:r>
        <w:t>Contributors</w:t>
      </w:r>
      <w:bookmarkEnd w:id="1065"/>
    </w:p>
    <w:p w14:paraId="06690003" w14:textId="77777777">
      <w:pPr>
        <w:rPr>
          <w:lang w:eastAsia="en-US" w:bidi="ar-SA"/>
        </w:rPr>
      </w:pPr>
      <w:r>
        <w:rPr>
          <w:lang w:eastAsia="en-US" w:bidi="ar-SA"/>
        </w:rPr>
        <w:t>Contributors are those who have contributed to a DHARMA digital edition without being themselves authors. Contributors may be optionally encoded in the TEI header at the discretion of the creator(s).</w:t>
      </w:r>
    </w:p>
    <w:p w14:paraId="0532328F" w14:textId="77777777">
      <w:pPr>
        <w:pStyle w:val="Lista"/>
        <w:rPr>
          <w:lang w:eastAsia="en-US" w:bidi="ar-SA"/>
        </w:rPr>
      </w:pPr>
      <w:r>
        <w:rPr>
          <w:lang w:eastAsia="en-US" w:bidi="ar-SA"/>
        </w:rPr>
        <w:t>all of the following actions may qualify as contribution:</w:t>
      </w:r>
    </w:p>
    <w:p w14:paraId="71CA45A7" w14:textId="77777777">
      <w:pPr>
        <w:pStyle w:val="Lista2"/>
        <w:rPr>
          <w:lang w:eastAsia="en-US" w:bidi="ar-SA"/>
        </w:rPr>
      </w:pPr>
      <w:r>
        <w:rPr>
          <w:lang w:eastAsia="en-US" w:bidi="ar-SA"/>
        </w:rPr>
        <w:t>adding a full or partial commentary to the edition</w:t>
      </w:r>
    </w:p>
    <w:p w14:paraId="77DF1039" w14:textId="77777777">
      <w:pPr>
        <w:pStyle w:val="Lista2"/>
        <w:rPr>
          <w:lang w:eastAsia="en-US" w:bidi="ar-SA"/>
        </w:rPr>
      </w:pPr>
      <w:r>
        <w:rPr>
          <w:lang w:eastAsia="en-US" w:bidi="ar-SA"/>
        </w:rPr>
        <w:t>providing consultation or advice to the creator(s), for example on difficult readings, interpretations or context</w:t>
      </w:r>
    </w:p>
    <w:p w14:paraId="437E64F3" w14:textId="77777777">
      <w:pPr>
        <w:pStyle w:val="Lista2"/>
        <w:rPr>
          <w:lang w:eastAsia="en-US" w:bidi="ar-SA"/>
        </w:rPr>
      </w:pPr>
      <w:r>
        <w:rPr>
          <w:lang w:eastAsia="en-US" w:bidi="ar-SA"/>
        </w:rPr>
        <w:t>checking, correcting, revising or improving a DHARMA digital edition created by another team member</w:t>
      </w:r>
    </w:p>
    <w:p w14:paraId="62F39D0F" w14:textId="77777777">
      <w:pPr>
        <w:pStyle w:val="Lista"/>
        <w:rPr>
          <w:lang w:eastAsia="en-US" w:bidi="ar-SA"/>
        </w:rPr>
      </w:pPr>
      <w:r>
        <w:rPr>
          <w:lang w:eastAsia="en-US" w:bidi="ar-SA"/>
        </w:rPr>
        <w:t xml:space="preserve">to add contributors to the TEI header, create a second </w:t>
      </w:r>
      <w:r>
        <w:rPr>
          <w:rStyle w:val="Code"/>
        </w:rPr>
        <w:t>&lt;respStmt&gt;</w:t>
      </w:r>
      <w:r>
        <w:t xml:space="preserve"> (after the first one encoding the creator) within the </w:t>
      </w:r>
      <w:r>
        <w:rPr>
          <w:rStyle w:val="Code"/>
        </w:rPr>
        <w:t>&lt;titleStmt&gt;</w:t>
      </w:r>
    </w:p>
    <w:p w14:paraId="36DD4009" w14:textId="77777777">
      <w:pPr>
        <w:pStyle w:val="Lista"/>
        <w:rPr>
          <w:lang w:eastAsia="en-US" w:bidi="ar-SA"/>
        </w:rPr>
      </w:pPr>
      <w:r>
        <w:rPr>
          <w:lang w:eastAsia="en-US" w:bidi="ar-SA"/>
        </w:rPr>
        <w:t xml:space="preserve">the contributor’s role is encoded with the element </w:t>
      </w:r>
      <w:r>
        <w:rPr>
          <w:rStyle w:val="Code"/>
        </w:rPr>
        <w:t xml:space="preserve">&lt;resp </w:t>
      </w:r>
      <w:r>
        <w:rPr>
          <w:rStyle w:val="Codeattribute"/>
        </w:rPr>
        <w:t>key=</w:t>
      </w:r>
      <w:r>
        <w:rPr>
          <w:rStyle w:val="Codevalue"/>
        </w:rPr>
        <w:t>"contributor"</w:t>
      </w:r>
      <w:r>
        <w:rPr>
          <w:rStyle w:val="Code"/>
        </w:rPr>
        <w:t>/&gt;</w:t>
      </w:r>
      <w:r>
        <w:t xml:space="preserve">, which must be </w:t>
      </w:r>
      <w:r>
        <w:rPr>
          <w:lang w:eastAsia="en-US" w:bidi="ar-SA"/>
        </w:rPr>
        <w:t xml:space="preserve">the first child of the second </w:t>
      </w:r>
      <w:r>
        <w:rPr>
          <w:rStyle w:val="Code"/>
        </w:rPr>
        <w:t>&lt;respStmt&gt;</w:t>
      </w:r>
      <w:r>
        <w:t xml:space="preserve"> within the </w:t>
      </w:r>
      <w:r>
        <w:rPr>
          <w:rStyle w:val="Code"/>
        </w:rPr>
        <w:t>&lt;titleStmt&gt;</w:t>
      </w:r>
    </w:p>
    <w:p w14:paraId="60EE6F36" w14:textId="6D8F5A65">
      <w:pPr>
        <w:pStyle w:val="Lista"/>
      </w:pPr>
      <w:r>
        <w:t xml:space="preserve">after this, add the name of the contributor encoded with the tag </w:t>
      </w:r>
      <w:r>
        <w:rPr>
          <w:rStyle w:val="Code"/>
        </w:rPr>
        <w:t>&lt;persName&gt;</w:t>
      </w:r>
      <w:r>
        <w:t xml:space="preserve"> as per §</w:t>
      </w:r>
      <w:r>
        <w:fldChar w:fldCharType="begin"/>
      </w:r>
      <w:r>
        <w:instrText xml:space="preserve"> REF _Ref233882783 \r \h </w:instrText>
      </w:r>
      <w:r>
        <w:fldChar w:fldCharType="separate"/>
      </w:r>
      <w:r>
        <w:t>14.7.2</w:t>
      </w:r>
      <w:r>
        <w:fldChar w:fldCharType="end"/>
      </w:r>
    </w:p>
    <w:p w14:paraId="362D5192" w14:textId="77777777">
      <w:pPr>
        <w:pStyle w:val="Lista"/>
        <w:rPr>
          <w:lang w:eastAsia="en-US" w:bidi="ar-SA"/>
        </w:rPr>
      </w:pPr>
      <w:r>
        <w:rPr>
          <w:lang w:eastAsia="en-US" w:bidi="ar-SA"/>
        </w:rPr>
        <w:t xml:space="preserve">add further </w:t>
      </w:r>
      <w:r>
        <w:rPr>
          <w:rStyle w:val="Code"/>
        </w:rPr>
        <w:t>&lt;persName&gt;</w:t>
      </w:r>
      <w:r>
        <w:t xml:space="preserve"> elements for any additional contributors, preferably in a decreasing order of the importance of their contribution</w:t>
      </w:r>
    </w:p>
    <w:p w14:paraId="039F178C" w14:textId="1F260CF6">
      <w:pPr>
        <w:pStyle w:val="Lista"/>
        <w:rPr>
          <w:lang w:eastAsia="en-US" w:bidi="ar-SA"/>
        </w:rPr>
      </w:pPr>
      <w:r>
        <w:t>when multiple contributors have contributed in different ways or degrees, their roles may (and preferably should) be clarified in the epigraphic lemma (§</w:t>
      </w:r>
      <w:r>
        <w:fldChar w:fldCharType="begin"/>
      </w:r>
      <w:r>
        <w:instrText xml:space="preserve"> REF _Ref233623221 \r \h </w:instrText>
      </w:r>
      <w:r>
        <w:fldChar w:fldCharType="separate"/>
      </w:r>
      <w:r>
        <w:t>13.2</w:t>
      </w:r>
      <w:r>
        <w:fldChar w:fldCharType="end"/>
      </w:r>
      <w:r>
        <w:t>)</w:t>
      </w:r>
    </w:p>
    <w:p w14:paraId="0957109B" w14:textId="77777777">
      <w:pPr>
        <w:pStyle w:val="Cmsor4"/>
      </w:pPr>
      <w:bookmarkStart w:id="1066" w:name="_Ref240270689"/>
      <w:r>
        <w:t>Funder</w:t>
      </w:r>
      <w:bookmarkEnd w:id="1066"/>
    </w:p>
    <w:p w14:paraId="6C24CD5E" w14:textId="77777777">
      <w:pPr>
        <w:rPr>
          <w:lang w:eastAsia="en-US" w:bidi="ar-SA"/>
        </w:rPr>
      </w:pPr>
      <w:r>
        <w:rPr>
          <w:lang w:eastAsia="en-US" w:bidi="ar-SA"/>
        </w:rPr>
        <w:t xml:space="preserve">In addition to the generic </w:t>
      </w:r>
      <w:r>
        <w:rPr>
          <w:rStyle w:val="Code"/>
        </w:rPr>
        <w:t>&lt;respStmt&gt;</w:t>
      </w:r>
      <w:r>
        <w:t xml:space="preserve"> element, TEI provides a number of specialised elements for common responsibilities, among which our editions contain </w:t>
      </w:r>
      <w:r>
        <w:rPr>
          <w:rStyle w:val="Code"/>
        </w:rPr>
        <w:t>&lt;funder&gt;</w:t>
      </w:r>
      <w:r>
        <w:t xml:space="preserve">. </w:t>
      </w:r>
    </w:p>
    <w:p w14:paraId="5AE77ECA" w14:textId="77777777">
      <w:pPr>
        <w:pStyle w:val="Lista"/>
        <w:rPr>
          <w:lang w:eastAsia="en-US" w:bidi="ar-SA"/>
        </w:rPr>
      </w:pPr>
      <w:r>
        <w:rPr>
          <w:lang w:eastAsia="en-US" w:bidi="ar-SA"/>
        </w:rPr>
        <w:t xml:space="preserve">the item </w:t>
      </w:r>
      <w:r>
        <w:rPr>
          <w:rStyle w:val="Code"/>
          <w:lang w:eastAsia="en-US" w:bidi="ar-SA"/>
        </w:rPr>
        <w:t>&lt;funder&gt;</w:t>
      </w:r>
      <w:r>
        <w:rPr>
          <w:rStyle w:val="Codetext"/>
          <w:lang w:eastAsia="en-US" w:bidi="ar-SA"/>
        </w:rPr>
        <w:t>European Research Council (ERC), grant agreement no 809994</w:t>
      </w:r>
      <w:r>
        <w:rPr>
          <w:rStyle w:val="Code"/>
          <w:lang w:eastAsia="en-US" w:bidi="ar-SA"/>
        </w:rPr>
        <w:t>&lt;/funder&gt;</w:t>
      </w:r>
      <w:r>
        <w:rPr>
          <w:lang w:eastAsia="en-US" w:bidi="ar-SA"/>
        </w:rPr>
        <w:t xml:space="preserve"> is hard-coded into DHARMA edition templates and need not be edited</w:t>
      </w:r>
    </w:p>
    <w:p w14:paraId="7DF7FE18" w14:textId="77777777">
      <w:pPr>
        <w:pStyle w:val="Lista"/>
        <w:rPr>
          <w:lang w:eastAsia="en-US" w:bidi="ar-SA"/>
        </w:rPr>
      </w:pPr>
      <w:r>
        <w:rPr>
          <w:lang w:eastAsia="en-US" w:bidi="ar-SA"/>
        </w:rPr>
        <w:t>for texts encoded according to these conventions outside and after the DHARMA project, this element may be removed or its contents may be replaced as applicable</w:t>
      </w:r>
    </w:p>
    <w:p w14:paraId="2DDBE272" w14:textId="77777777">
      <w:pPr>
        <w:pStyle w:val="Cmsor3"/>
      </w:pPr>
      <w:bookmarkStart w:id="1067" w:name="_vner4ocywhk7" w:colFirst="0" w:colLast="0"/>
      <w:bookmarkStart w:id="1068" w:name="_Ref233892566"/>
      <w:bookmarkStart w:id="1069" w:name="_Toc242889667"/>
      <w:bookmarkEnd w:id="1067"/>
      <w:r>
        <w:lastRenderedPageBreak/>
        <w:t>The publication statement</w:t>
      </w:r>
      <w:bookmarkEnd w:id="1068"/>
      <w:bookmarkEnd w:id="1069"/>
    </w:p>
    <w:p w14:paraId="678AEF7A" w14:textId="77777777">
      <w:pPr>
        <w:pStyle w:val="Lista"/>
      </w:pPr>
      <w:r>
        <w:t>the structure and most of the contents of this statement will be provided in our template, but you will have to add the following data as instructed by comments in the template</w:t>
      </w:r>
    </w:p>
    <w:p w14:paraId="581200C6" w14:textId="77777777">
      <w:pPr>
        <w:pStyle w:val="Lista2"/>
      </w:pPr>
      <w:r>
        <w:t xml:space="preserve">in the element </w:t>
      </w:r>
      <w:r>
        <w:rPr>
          <w:rStyle w:val="Code"/>
        </w:rPr>
        <w:t>&lt;pubPlace&gt;</w:t>
      </w:r>
      <w:r>
        <w:t>, enter the place (city) where you work</w:t>
      </w:r>
    </w:p>
    <w:p w14:paraId="45B48385" w14:textId="77777777">
      <w:pPr>
        <w:pStyle w:val="Lista3"/>
      </w:pPr>
      <w:r>
        <w:t>more than one place name may be listed within this element if applicable</w:t>
      </w:r>
    </w:p>
    <w:p w14:paraId="39266C1E" w14:textId="77777777">
      <w:pPr>
        <w:pStyle w:val="Lista2"/>
        <w:rPr>
          <w:rStyle w:val="Code"/>
          <w:rFonts w:ascii="Gentium" w:hAnsi="Gentium" w:cs="Tiro Devanagari Sanskrit"/>
          <w:noProof w:val="0"/>
          <w:color w:val="auto"/>
          <w:shd w:val="clear" w:color="auto" w:fill="auto"/>
        </w:rPr>
      </w:pPr>
      <w:r>
        <w:t xml:space="preserve">in the element </w:t>
      </w:r>
      <w:r>
        <w:rPr>
          <w:rStyle w:val="Code"/>
        </w:rPr>
        <w:t xml:space="preserve">&lt;idno </w:t>
      </w:r>
      <w:r>
        <w:rPr>
          <w:rStyle w:val="Codeattribute"/>
        </w:rPr>
        <w:t>type=</w:t>
      </w:r>
      <w:r>
        <w:rPr>
          <w:rStyle w:val="Codevalue"/>
        </w:rPr>
        <w:t>"filename"</w:t>
      </w:r>
      <w:r>
        <w:rPr>
          <w:rStyle w:val="Code"/>
        </w:rPr>
        <w:t>&gt;</w:t>
      </w:r>
      <w:r>
        <w:t xml:space="preserve">, the exact name (including the extension </w:t>
      </w:r>
      <w:r>
        <w:rPr>
          <w:rStyle w:val="Code"/>
        </w:rPr>
        <w:t>.xml</w:t>
      </w:r>
      <w:r>
        <w:t xml:space="preserve">) of your XML file, e.g. </w:t>
      </w:r>
      <w:r>
        <w:rPr>
          <w:rStyle w:val="Code"/>
        </w:rPr>
        <w:t>DHARMA_INSPallava00001.xml</w:t>
      </w:r>
    </w:p>
    <w:p w14:paraId="120E9CD5" w14:textId="77777777">
      <w:pPr>
        <w:pStyle w:val="Cmsor2"/>
      </w:pPr>
      <w:bookmarkStart w:id="1070" w:name="_hettlvg4peby" w:colFirst="0" w:colLast="0"/>
      <w:bookmarkStart w:id="1071" w:name="_Ref43978731"/>
      <w:bookmarkStart w:id="1072" w:name="_Toc242889668"/>
      <w:bookmarkEnd w:id="1070"/>
      <w:r>
        <w:t>Describing the original document</w:t>
      </w:r>
      <w:bookmarkEnd w:id="1071"/>
      <w:bookmarkEnd w:id="1072"/>
    </w:p>
    <w:p w14:paraId="55A35A5D" w14:textId="77777777">
      <w:r>
        <w:t xml:space="preserve">The second section of the </w:t>
      </w:r>
      <w:r>
        <w:rPr>
          <w:rStyle w:val="Code"/>
        </w:rPr>
        <w:t>&lt;fileDesc&gt;</w:t>
      </w:r>
      <w:r>
        <w:t xml:space="preserve"> is the Source Description, encoded as the element </w:t>
      </w:r>
      <w:r>
        <w:rPr>
          <w:rStyle w:val="Code"/>
        </w:rPr>
        <w:t>&lt;sourceDesc&gt;</w:t>
      </w:r>
      <w:r>
        <w:t xml:space="preserve">. This mandatory element records details (metadata) of the original from which the digital text is derived. TEI permits the use of various elements in a Source Description, but in the case of epigraphic documents its only child element is the Manuscript Description, </w:t>
      </w:r>
      <w:r>
        <w:rPr>
          <w:rStyle w:val="Code"/>
        </w:rPr>
        <w:t>&lt;msDesc&gt;</w:t>
      </w:r>
      <w:r>
        <w:t>, applicable to any text-bearing object besides manuscripts in the strict sense. The DHARMA project recorded object metadata outside the XML files in order to ensure flexibility and to avoid complications applicable to objects bearing multiple inscriptions and inscriptions borne on multiple objects. Unfortunately, a final database for managing object data and linking them to the editions of inscriptions could not be developed in the lifetime of the project and remains a task for the future. Post-DHARMA editions using the conventions of this Guide may choose whether to record metadata separately or to encode them here in a manner endorsed by TEI.</w:t>
      </w:r>
    </w:p>
    <w:p w14:paraId="76CE8A75" w14:textId="5B9C9A59">
      <w:pPr>
        <w:pStyle w:val="Normlbehzs"/>
      </w:pPr>
      <w:r>
        <w:t>For editions created in the DHARMA project, our template contains a minimum framework for source description, of which the hand description (§</w:t>
      </w:r>
      <w:r>
        <w:fldChar w:fldCharType="begin"/>
      </w:r>
      <w:r>
        <w:instrText xml:space="preserve"> REF _Ref43987455 \r \h </w:instrText>
      </w:r>
      <w:r>
        <w:fldChar w:fldCharType="separate"/>
      </w:r>
      <w:r>
        <w:t>15.2.1</w:t>
      </w:r>
      <w:r>
        <w:fldChar w:fldCharType="end"/>
      </w:r>
      <w:r>
        <w:t>) is the only item that needs the attention of encoders.</w:t>
      </w:r>
    </w:p>
    <w:p w14:paraId="6CA2A130" w14:textId="77777777">
      <w:pPr>
        <w:pStyle w:val="Cmsor3"/>
      </w:pPr>
      <w:bookmarkStart w:id="1073" w:name="_Ref43987455"/>
      <w:bookmarkStart w:id="1074" w:name="_Toc242889669"/>
      <w:r>
        <w:t>The hand description</w:t>
      </w:r>
      <w:bookmarkEnd w:id="1073"/>
      <w:bookmarkEnd w:id="1074"/>
    </w:p>
    <w:p w14:paraId="360EA3DA" w14:textId="4DAF77F4">
      <w:r>
        <w:rPr>
          <w:lang w:eastAsia="en-US" w:bidi="ar-SA"/>
        </w:rPr>
        <w:t xml:space="preserve">The element </w:t>
      </w:r>
      <w:r>
        <w:rPr>
          <w:rStyle w:val="Code"/>
        </w:rPr>
        <w:t>&lt;handDesc&gt;</w:t>
      </w:r>
      <w:r>
        <w:t xml:space="preserve"> is a child (in DHARMA editions, the only child) of </w:t>
      </w:r>
      <w:r>
        <w:rPr>
          <w:rStyle w:val="Code"/>
        </w:rPr>
        <w:t>&lt;physDesc&gt;</w:t>
      </w:r>
      <w:r>
        <w:t xml:space="preserve"> (for “physical description”) within the </w:t>
      </w:r>
      <w:r>
        <w:rPr>
          <w:rStyle w:val="Code"/>
        </w:rPr>
        <w:t>&lt;sourceDesc&gt;</w:t>
      </w:r>
      <w:r>
        <w:t xml:space="preserve"> section of the TEI header. In our template, the </w:t>
      </w:r>
      <w:r>
        <w:rPr>
          <w:rStyle w:val="Code"/>
        </w:rPr>
        <w:t>&lt;handDesc&gt;</w:t>
      </w:r>
      <w:r>
        <w:t xml:space="preserve"> contains an empty </w:t>
      </w:r>
      <w:r>
        <w:rPr>
          <w:rStyle w:val="Code"/>
        </w:rPr>
        <w:t>&lt;p&gt;</w:t>
      </w:r>
      <w:r>
        <w:t xml:space="preserve"> element, where you may write the palaeographic description of the source document as per §</w:t>
      </w:r>
      <w:r>
        <w:fldChar w:fldCharType="begin"/>
      </w:r>
      <w:r>
        <w:instrText xml:space="preserve"> REF _Ref233965237 \r \h </w:instrText>
      </w:r>
      <w:r>
        <w:fldChar w:fldCharType="separate"/>
      </w:r>
      <w:r>
        <w:t>15.2.1.1</w:t>
      </w:r>
      <w:r>
        <w:fldChar w:fldCharType="end"/>
      </w:r>
      <w:r>
        <w:t xml:space="preserve"> and, if applicable, describe multiple hands used in the source as per §</w:t>
      </w:r>
      <w:r>
        <w:fldChar w:fldCharType="begin"/>
      </w:r>
      <w:r>
        <w:instrText xml:space="preserve"> REF _Ref231980025 \r \h </w:instrText>
      </w:r>
      <w:r>
        <w:fldChar w:fldCharType="separate"/>
      </w:r>
      <w:r>
        <w:t>15.2.1.2</w:t>
      </w:r>
      <w:r>
        <w:fldChar w:fldCharType="end"/>
      </w:r>
      <w:r>
        <w:t>.</w:t>
      </w:r>
    </w:p>
    <w:p w14:paraId="6AB0ADF2" w14:textId="77777777">
      <w:pPr>
        <w:pStyle w:val="Cmsor4"/>
      </w:pPr>
      <w:bookmarkStart w:id="1075" w:name="_Ref233965237"/>
      <w:r>
        <w:t>The palaeographic description</w:t>
      </w:r>
      <w:bookmarkEnd w:id="1075"/>
    </w:p>
    <w:p w14:paraId="170E0F42" w14:textId="77777777">
      <w:pPr>
        <w:pStyle w:val="Lista"/>
      </w:pPr>
      <w:r>
        <w:t>writing a palaeographic description is not mandatory</w:t>
      </w:r>
    </w:p>
    <w:p w14:paraId="116C1180" w14:textId="77777777">
      <w:pPr>
        <w:pStyle w:val="Lista"/>
      </w:pPr>
      <w:r>
        <w:t xml:space="preserve">if you write one, make it as terse or extensive as you wish, creating additional </w:t>
      </w:r>
      <w:r>
        <w:rPr>
          <w:rStyle w:val="Code"/>
        </w:rPr>
        <w:t>&lt;p&gt;</w:t>
      </w:r>
      <w:r>
        <w:t xml:space="preserve"> elements as needed</w:t>
      </w:r>
    </w:p>
    <w:p w14:paraId="79E809A7" w14:textId="77777777">
      <w:pPr>
        <w:pStyle w:val="Lista"/>
      </w:pPr>
      <w:r>
        <w:t>items that you may wish to touch upon include</w:t>
      </w:r>
    </w:p>
    <w:p w14:paraId="55C747AC" w14:textId="24573264">
      <w:pPr>
        <w:pStyle w:val="Lista2"/>
      </w:pPr>
      <w:r>
        <w:t>a characterisation of the source script beyond the basic classification encoded as per §</w:t>
      </w:r>
      <w:r>
        <w:fldChar w:fldCharType="begin"/>
      </w:r>
      <w:r>
        <w:instrText xml:space="preserve"> REF _Ref231978545 \r \h </w:instrText>
      </w:r>
      <w:r>
        <w:fldChar w:fldCharType="separate"/>
      </w:r>
      <w:r>
        <w:t>8.2.1</w:t>
      </w:r>
      <w:r>
        <w:fldChar w:fldCharType="end"/>
      </w:r>
    </w:p>
    <w:p w14:paraId="59158300" w14:textId="77777777">
      <w:pPr>
        <w:pStyle w:val="Lista2"/>
      </w:pPr>
      <w:r>
        <w:t xml:space="preserve">the manner in which the source handles vowelless consonants </w:t>
      </w:r>
      <w:r>
        <w:rPr>
          <w:noProof/>
        </w:rPr>
        <w:t>(</w:t>
      </w:r>
      <w:r>
        <w:rPr>
          <w:rStyle w:val="Foreign"/>
        </w:rPr>
        <w:t>virāma/puḷḷi</w:t>
      </w:r>
      <w:r>
        <w:t>, special final consonant forms)</w:t>
      </w:r>
    </w:p>
    <w:p w14:paraId="294F77F5" w14:textId="77777777">
      <w:pPr>
        <w:pStyle w:val="Lista2"/>
      </w:pPr>
      <w:r>
        <w:t>the use of ornamental lettering in whole or part of the text</w:t>
      </w:r>
    </w:p>
    <w:p w14:paraId="68B9CD7D" w14:textId="77777777">
      <w:pPr>
        <w:pStyle w:val="Lista2"/>
      </w:pPr>
      <w:r>
        <w:t xml:space="preserve">the appearance of </w:t>
      </w:r>
      <w:r>
        <w:rPr>
          <w:rStyle w:val="Foreign"/>
        </w:rPr>
        <w:t>anusvāra</w:t>
      </w:r>
      <w:r>
        <w:t xml:space="preserve"> and the manner of its use (vis-à-vis class nasals)</w:t>
      </w:r>
    </w:p>
    <w:p w14:paraId="3B0D2C4C" w14:textId="77777777">
      <w:pPr>
        <w:pStyle w:val="Lista2"/>
      </w:pPr>
      <w:r>
        <w:t xml:space="preserve">whether </w:t>
      </w:r>
      <w:r>
        <w:rPr>
          <w:rStyle w:val="Foreign"/>
        </w:rPr>
        <w:t>upadhmānīya</w:t>
      </w:r>
      <w:r>
        <w:t xml:space="preserve"> and/or </w:t>
      </w:r>
      <w:r>
        <w:rPr>
          <w:rStyle w:val="Foreign"/>
        </w:rPr>
        <w:t>jihvāmūlīya</w:t>
      </w:r>
      <w:r>
        <w:t xml:space="preserve"> are distinguished from </w:t>
      </w:r>
      <w:r>
        <w:rPr>
          <w:rStyle w:val="Foreign"/>
        </w:rPr>
        <w:t>visarga</w:t>
      </w:r>
    </w:p>
    <w:p w14:paraId="03692B11" w14:textId="77777777">
      <w:pPr>
        <w:pStyle w:val="Lista2"/>
      </w:pPr>
      <w:r>
        <w:t>the occurrence of rare glyphs</w:t>
      </w:r>
    </w:p>
    <w:p w14:paraId="74A5DB47" w14:textId="77777777">
      <w:pPr>
        <w:pStyle w:val="Lista2"/>
      </w:pPr>
      <w:r>
        <w:t>unusually formed glyphs and their interpretation</w:t>
      </w:r>
    </w:p>
    <w:p w14:paraId="19DA242A" w14:textId="77777777">
      <w:pPr>
        <w:pStyle w:val="Lista2"/>
      </w:pPr>
      <w:r>
        <w:t>perceived similarity to hands seen in other inscriptions</w:t>
      </w:r>
    </w:p>
    <w:p w14:paraId="60AA0BFD" w14:textId="77777777">
      <w:pPr>
        <w:pStyle w:val="Lista"/>
      </w:pPr>
      <w:r>
        <w:t>to refer to specific loci in the edited text, simply add a human-readable reference to a line number, which you may complement with a lemma</w:t>
      </w:r>
    </w:p>
    <w:p w14:paraId="769AD39B" w14:textId="4B740D61">
      <w:pPr>
        <w:pStyle w:val="Lista"/>
      </w:pPr>
      <w:r>
        <w:t>to refer to other inscriptions in the DHARMA corpus, encode a reference as per §</w:t>
      </w:r>
      <w:r>
        <w:fldChar w:fldCharType="begin"/>
      </w:r>
      <w:r>
        <w:instrText xml:space="preserve"> REF _Ref148531705 \r \h </w:instrText>
      </w:r>
      <w:r>
        <w:fldChar w:fldCharType="separate"/>
      </w:r>
      <w:r>
        <w:t>14.6.4.1</w:t>
      </w:r>
      <w:r>
        <w:fldChar w:fldCharType="end"/>
      </w:r>
    </w:p>
    <w:p w14:paraId="2CB4D453" w14:textId="258864A0">
      <w:pPr>
        <w:pStyle w:val="Lista"/>
      </w:pPr>
      <w:r>
        <w:t xml:space="preserve">preferably use </w:t>
      </w:r>
      <w:r>
        <w:rPr>
          <w:rStyle w:val="Code"/>
        </w:rPr>
        <w:t>&lt;foreign&gt;</w:t>
      </w:r>
      <w:r>
        <w:t xml:space="preserve"> (§</w:t>
      </w:r>
      <w:r>
        <w:fldChar w:fldCharType="begin"/>
      </w:r>
      <w:r>
        <w:instrText xml:space="preserve"> REF _Ref43986658 \r \h </w:instrText>
      </w:r>
      <w:r>
        <w:fldChar w:fldCharType="separate"/>
      </w:r>
      <w:r>
        <w:t>14.4.2</w:t>
      </w:r>
      <w:r>
        <w:fldChar w:fldCharType="end"/>
      </w:r>
      <w:r>
        <w:t>) on characters and words cited from the source</w:t>
      </w:r>
    </w:p>
    <w:p w14:paraId="30424719" w14:textId="339E4E1D">
      <w:pPr>
        <w:pStyle w:val="Lista"/>
      </w:pPr>
      <w:r>
        <w:t>other encoding solutions as per §</w:t>
      </w:r>
      <w:r>
        <w:fldChar w:fldCharType="begin"/>
      </w:r>
      <w:r>
        <w:instrText xml:space="preserve"> REF _Ref43990225 \r \h </w:instrText>
      </w:r>
      <w:r>
        <w:fldChar w:fldCharType="separate"/>
      </w:r>
      <w:r>
        <w:t>14</w:t>
      </w:r>
      <w:r>
        <w:fldChar w:fldCharType="end"/>
      </w:r>
      <w:r>
        <w:t xml:space="preserve"> are available but should be used considerately</w:t>
      </w:r>
    </w:p>
    <w:p w14:paraId="79AE66D7" w14:textId="77777777">
      <w:pPr>
        <w:pStyle w:val="Cmsor4"/>
      </w:pPr>
      <w:bookmarkStart w:id="1076" w:name="_Ref231980025"/>
      <w:r>
        <w:lastRenderedPageBreak/>
        <w:t>Documents written in more than one hand</w:t>
      </w:r>
      <w:bookmarkEnd w:id="1076"/>
    </w:p>
    <w:p w14:paraId="32AC415D" w14:textId="3230637E">
      <w:r>
        <w:t xml:space="preserve">In addition to a </w:t>
      </w:r>
      <w:r>
        <w:rPr>
          <w:rStyle w:val="Code"/>
        </w:rPr>
        <w:t>&lt;p&gt;</w:t>
      </w:r>
      <w:r>
        <w:t xml:space="preserve"> element with free text, the </w:t>
      </w:r>
      <w:r>
        <w:rPr>
          <w:rStyle w:val="Code"/>
        </w:rPr>
        <w:t>&lt;handDesc&gt;</w:t>
      </w:r>
      <w:r>
        <w:t xml:space="preserve"> element may include a structured description of scribal hands. In DHARMA practice this method is only resorted to when more than one hand can be clearly identified within a single document. In this case, use the following encoding illustrated in </w:t>
      </w:r>
      <w:r>
        <w:fldChar w:fldCharType="begin"/>
      </w:r>
      <w:r>
        <w:instrText xml:space="preserve"> REF _Ref233966339 \h </w:instrText>
      </w:r>
      <w:r>
        <w:fldChar w:fldCharType="separate"/>
      </w:r>
      <w:r>
        <w:t xml:space="preserve">Exhibit </w:t>
      </w:r>
      <w:r>
        <w:rPr>
          <w:noProof/>
        </w:rPr>
        <w:t>15.2</w:t>
      </w:r>
      <w:r>
        <w:t>.</w:t>
      </w:r>
      <w:r>
        <w:rPr>
          <w:noProof/>
        </w:rPr>
        <w:t>A</w:t>
      </w:r>
      <w:r>
        <w:fldChar w:fldCharType="end"/>
      </w:r>
      <w:r>
        <w:t>.</w:t>
      </w:r>
    </w:p>
    <w:p w14:paraId="15545EFC" w14:textId="287F4E59">
      <w:pPr>
        <w:pStyle w:val="Lista"/>
      </w:pPr>
      <w:r>
        <w:t xml:space="preserve">within </w:t>
      </w:r>
      <w:r>
        <w:rPr>
          <w:rStyle w:val="Code"/>
        </w:rPr>
        <w:t>&lt;handDesc&gt;</w:t>
      </w:r>
      <w:r>
        <w:t xml:space="preserve">, wrap the </w:t>
      </w:r>
      <w:r>
        <w:rPr>
          <w:rStyle w:val="Code"/>
        </w:rPr>
        <w:t>&lt;p&gt;</w:t>
      </w:r>
      <w:r>
        <w:t xml:space="preserve"> element(s) containing the palaeographic description (§</w:t>
      </w:r>
      <w:r>
        <w:fldChar w:fldCharType="begin"/>
      </w:r>
      <w:r>
        <w:instrText xml:space="preserve"> REF _Ref233965237 \r \h </w:instrText>
      </w:r>
      <w:r>
        <w:fldChar w:fldCharType="separate"/>
      </w:r>
      <w:r>
        <w:t>15.2.1.1</w:t>
      </w:r>
      <w:r>
        <w:fldChar w:fldCharType="end"/>
      </w:r>
      <w:r>
        <w:t xml:space="preserve">) in the element </w:t>
      </w:r>
      <w:r>
        <w:rPr>
          <w:rStyle w:val="Code"/>
        </w:rPr>
        <w:t>&lt;summary&gt;</w:t>
      </w:r>
    </w:p>
    <w:p w14:paraId="60CCA6FD" w14:textId="77777777">
      <w:pPr>
        <w:pStyle w:val="Lista2"/>
      </w:pPr>
      <w:r>
        <w:t>the palaeographic description should in this case contain only observations that apply to the entirety of the inscription</w:t>
      </w:r>
    </w:p>
    <w:p w14:paraId="262F0FA7" w14:textId="77777777">
      <w:pPr>
        <w:pStyle w:val="Lista2"/>
      </w:pPr>
      <w:r>
        <w:t xml:space="preserve">the overall palaeographic description may also be left empty, but the skeleton structure of </w:t>
      </w:r>
      <w:r>
        <w:rPr>
          <w:rStyle w:val="Code"/>
        </w:rPr>
        <w:t>&lt;summary&gt;&lt;p/&gt;&lt;/summary&gt;</w:t>
      </w:r>
      <w:r>
        <w:t xml:space="preserve"> must be preserved</w:t>
      </w:r>
    </w:p>
    <w:p w14:paraId="7678480A" w14:textId="77777777">
      <w:pPr>
        <w:pStyle w:val="Lista"/>
      </w:pPr>
      <w:r>
        <w:t xml:space="preserve">after the </w:t>
      </w:r>
      <w:r>
        <w:rPr>
          <w:rStyle w:val="Code"/>
        </w:rPr>
        <w:t>&lt;summary&gt;</w:t>
      </w:r>
      <w:r>
        <w:t xml:space="preserve"> element, create one </w:t>
      </w:r>
      <w:r>
        <w:rPr>
          <w:rStyle w:val="Code"/>
        </w:rPr>
        <w:t>&lt;handNote&gt;</w:t>
      </w:r>
      <w:r>
        <w:t xml:space="preserve"> element for each hand, with the mandatory attribute </w:t>
      </w:r>
      <w:r>
        <w:rPr>
          <w:rStyle w:val="Codeattribute"/>
        </w:rPr>
        <w:t>@xml:id</w:t>
      </w:r>
      <w:r>
        <w:t xml:space="preserve"> to serve as a unique identifier for each hand</w:t>
      </w:r>
    </w:p>
    <w:p w14:paraId="7F70A7AF" w14:textId="4F472E6B">
      <w:pPr>
        <w:pStyle w:val="Lista2"/>
      </w:pPr>
      <w:r>
        <w:t>as per §</w:t>
      </w:r>
      <w:r>
        <w:fldChar w:fldCharType="begin"/>
      </w:r>
      <w:r>
        <w:instrText xml:space="preserve"> REF _Ref43988993 \w \h  \* MERGEFORMAT </w:instrText>
      </w:r>
      <w:r>
        <w:fldChar w:fldCharType="separate"/>
      </w:r>
      <w:r>
        <w:t>14.6.6</w:t>
      </w:r>
      <w:r>
        <w:fldChar w:fldCharType="end"/>
      </w:r>
      <w:r>
        <w:t xml:space="preserve">, the values of </w:t>
      </w:r>
      <w:r>
        <w:rPr>
          <w:rStyle w:val="Codeattribute"/>
        </w:rPr>
        <w:t>@xml:id</w:t>
      </w:r>
      <w:r>
        <w:t xml:space="preserve"> must consist of simple alphanumeric characters and be unique throughout your XML file</w:t>
      </w:r>
    </w:p>
    <w:p w14:paraId="1FDDCEC0" w14:textId="77777777">
      <w:pPr>
        <w:pStyle w:val="Lista2"/>
      </w:pPr>
      <w:r>
        <w:t xml:space="preserve">the recommended values are </w:t>
      </w:r>
      <w:r>
        <w:rPr>
          <w:rStyle w:val="Codevalue"/>
        </w:rPr>
        <w:t>"hand1"</w:t>
      </w:r>
      <w:r>
        <w:t xml:space="preserve">, </w:t>
      </w:r>
      <w:r>
        <w:rPr>
          <w:rStyle w:val="Codevalue"/>
        </w:rPr>
        <w:t>"hand2"</w:t>
      </w:r>
      <w:r>
        <w:t xml:space="preserve"> and so on for the required number of hands</w:t>
      </w:r>
    </w:p>
    <w:p w14:paraId="1B515E10" w14:textId="77777777">
      <w:pPr>
        <w:pStyle w:val="Lista"/>
      </w:pPr>
      <w:r>
        <w:t xml:space="preserve">in the contents of each </w:t>
      </w:r>
      <w:r>
        <w:rPr>
          <w:rStyle w:val="Code"/>
        </w:rPr>
        <w:t>&lt;handNote&gt;</w:t>
      </w:r>
      <w:r>
        <w:t xml:space="preserve"> element, write a concise, freeform description of the hand</w:t>
      </w:r>
    </w:p>
    <w:p w14:paraId="1B925C23" w14:textId="5B7016C5">
      <w:pPr>
        <w:pStyle w:val="Lista"/>
      </w:pPr>
      <w:r>
        <w:t xml:space="preserve">once the hands have been encoded in the header as above, use </w:t>
      </w:r>
      <w:r>
        <w:rPr>
          <w:rStyle w:val="Code"/>
        </w:rPr>
        <w:t>&lt;handShift/&gt;</w:t>
      </w:r>
      <w:r>
        <w:t xml:space="preserve"> within your edition to indicate hands, as described in §</w:t>
      </w:r>
      <w:r>
        <w:fldChar w:fldCharType="begin"/>
      </w:r>
      <w:r>
        <w:instrText xml:space="preserve"> REF _Ref231978881 \r \h </w:instrText>
      </w:r>
      <w:r>
        <w:fldChar w:fldCharType="separate"/>
      </w:r>
      <w:r>
        <w:t>8.3</w:t>
      </w:r>
      <w:r>
        <w:fldChar w:fldCharType="end"/>
      </w:r>
    </w:p>
    <w:tbl>
      <w:tblPr>
        <w:tblStyle w:val="CodeSampleTable"/>
        <w:tblW w:w="5000" w:type="pct"/>
        <w:tblLook w:val="04A0" w:firstRow="1" w:lastRow="0" w:firstColumn="1" w:lastColumn="0" w:noHBand="0" w:noVBand="1"/>
      </w:tblPr>
      <w:tblGrid>
        <w:gridCol w:w="9628"/>
      </w:tblGrid>
      <w:tr w14:paraId="767D1FE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8E579C3" w14:textId="5A8813D1">
            <w:pPr>
              <w:pStyle w:val="Kpalrs"/>
            </w:pPr>
            <w:bookmarkStart w:id="1077" w:name="_Ref233966339"/>
            <w:r>
              <w:t xml:space="preserve">Exhibit </w:t>
            </w:r>
            <w:fldSimple w:instr=" STYLEREF 2 \s ">
              <w:r>
                <w:rPr>
                  <w:noProof/>
                </w:rPr>
                <w:t>15.2</w:t>
              </w:r>
            </w:fldSimple>
            <w:r>
              <w:t>.</w:t>
            </w:r>
            <w:fldSimple w:instr=" SEQ Exhibit \* ALPHABETIC \s 2 ">
              <w:r>
                <w:rPr>
                  <w:noProof/>
                </w:rPr>
                <w:t>A</w:t>
              </w:r>
            </w:fldSimple>
            <w:bookmarkEnd w:id="1077"/>
            <w:r>
              <w:t>: hand description with multiple hands</w:t>
            </w:r>
          </w:p>
        </w:tc>
      </w:tr>
      <w:tr w14:paraId="6C1210E4" w14:textId="77777777">
        <w:tc>
          <w:tcPr>
            <w:tcW w:w="5000" w:type="pct"/>
          </w:tcPr>
          <w:p w14:paraId="393CE61C" w14:textId="77777777">
            <w:pPr>
              <w:pStyle w:val="CodeParagraph"/>
              <w:rPr>
                <w:rStyle w:val="Code"/>
              </w:rPr>
            </w:pPr>
            <w:r>
              <w:rPr>
                <w:rStyle w:val="Code"/>
              </w:rPr>
              <w:t>&lt;handDesc&gt;</w:t>
            </w:r>
          </w:p>
          <w:p w14:paraId="7054A53F" w14:textId="77777777">
            <w:pPr>
              <w:pStyle w:val="CodeParagraph"/>
              <w:rPr>
                <w:rStyle w:val="Code"/>
              </w:rPr>
            </w:pPr>
            <w:r>
              <w:rPr>
                <w:rStyle w:val="Code"/>
              </w:rPr>
              <w:t xml:space="preserve">  &lt;summary&gt;</w:t>
            </w:r>
          </w:p>
          <w:p w14:paraId="7A54635C" w14:textId="77777777">
            <w:pPr>
              <w:pStyle w:val="CodeParagraph"/>
              <w:rPr>
                <w:rStyle w:val="Codetext"/>
              </w:rPr>
            </w:pPr>
            <w:r>
              <w:rPr>
                <w:rStyle w:val="Codetext"/>
              </w:rPr>
              <w:t xml:space="preserve">    </w:t>
            </w:r>
            <w:r>
              <w:rPr>
                <w:rStyle w:val="Code"/>
              </w:rPr>
              <w:t>&lt;p&gt;</w:t>
            </w:r>
            <w:r>
              <w:rPr>
                <w:rStyle w:val="Codetext"/>
              </w:rPr>
              <w:t xml:space="preserve">Final </w:t>
            </w:r>
            <w:r>
              <w:rPr>
                <w:rStyle w:val="Code"/>
              </w:rPr>
              <w:t>&lt;foreign&gt;</w:t>
            </w:r>
            <w:r>
              <w:rPr>
                <w:rStyle w:val="Codetext"/>
              </w:rPr>
              <w:t>T</w:t>
            </w:r>
            <w:r>
              <w:rPr>
                <w:rStyle w:val="Code"/>
              </w:rPr>
              <w:t>&lt;/foreign&gt;</w:t>
            </w:r>
            <w:r>
              <w:rPr>
                <w:rStyle w:val="Codetext"/>
              </w:rPr>
              <w:t xml:space="preserve"> looks like a full-sized </w:t>
            </w:r>
            <w:r>
              <w:rPr>
                <w:rStyle w:val="Code"/>
              </w:rPr>
              <w:t>&lt;foreign&gt;</w:t>
            </w:r>
            <w:r>
              <w:rPr>
                <w:rStyle w:val="Codetext"/>
              </w:rPr>
              <w:t>ta</w:t>
            </w:r>
            <w:r>
              <w:rPr>
                <w:rStyle w:val="Code"/>
              </w:rPr>
              <w:t>&lt;/foreign&gt;</w:t>
            </w:r>
            <w:r>
              <w:rPr>
                <w:rStyle w:val="Codetext"/>
              </w:rPr>
              <w:t xml:space="preserve"> without a headmark (. l21, l. 47) ... </w:t>
            </w:r>
            <w:r>
              <w:rPr>
                <w:rStyle w:val="Code"/>
              </w:rPr>
              <w:t>&lt;/p&gt;</w:t>
            </w:r>
          </w:p>
          <w:p w14:paraId="1274BBD5" w14:textId="77777777">
            <w:pPr>
              <w:pStyle w:val="CodeParagraph"/>
              <w:rPr>
                <w:rStyle w:val="Codetext"/>
              </w:rPr>
            </w:pPr>
            <w:r>
              <w:rPr>
                <w:rStyle w:val="Code"/>
              </w:rPr>
              <w:t xml:space="preserve">    &lt;p&gt;</w:t>
            </w:r>
            <w:r>
              <w:rPr>
                <w:rStyle w:val="Codetext"/>
              </w:rPr>
              <w:t xml:space="preserve">Original punctuation marks are plain straight verticals ... </w:t>
            </w:r>
            <w:r>
              <w:rPr>
                <w:rStyle w:val="Code"/>
              </w:rPr>
              <w:t>&lt;/p&gt;</w:t>
            </w:r>
          </w:p>
          <w:p w14:paraId="23569427" w14:textId="77777777">
            <w:pPr>
              <w:pStyle w:val="CodeParagraph"/>
              <w:rPr>
                <w:rStyle w:val="Codetext"/>
              </w:rPr>
            </w:pPr>
            <w:r>
              <w:rPr>
                <w:rStyle w:val="Codetext"/>
              </w:rPr>
              <w:t xml:space="preserve">    </w:t>
            </w:r>
            <w:r>
              <w:rPr>
                <w:rStyle w:val="Code"/>
              </w:rPr>
              <w:t>&lt;p&gt;&lt;foreign&gt;</w:t>
            </w:r>
            <w:r>
              <w:rPr>
                <w:rStyle w:val="Codetext"/>
              </w:rPr>
              <w:t>Anusvāra</w:t>
            </w:r>
            <w:r>
              <w:rPr>
                <w:rStyle w:val="Code"/>
              </w:rPr>
              <w:t>&lt;/foreign&gt;</w:t>
            </w:r>
            <w:r>
              <w:rPr>
                <w:rStyle w:val="Codetext"/>
              </w:rPr>
              <w:t xml:space="preserve"> is a dot after the character to which it belongs ... </w:t>
            </w:r>
            <w:r>
              <w:rPr>
                <w:rStyle w:val="Code"/>
              </w:rPr>
              <w:t>&lt;/p&gt;</w:t>
            </w:r>
          </w:p>
          <w:p w14:paraId="4B7E515E" w14:textId="77777777">
            <w:pPr>
              <w:pStyle w:val="CodeParagraph"/>
              <w:rPr>
                <w:rStyle w:val="Code"/>
              </w:rPr>
            </w:pPr>
            <w:r>
              <w:rPr>
                <w:rStyle w:val="Code"/>
              </w:rPr>
              <w:t xml:space="preserve">  &lt;/summary&gt;</w:t>
            </w:r>
          </w:p>
          <w:p w14:paraId="48045BA3" w14:textId="77777777">
            <w:pPr>
              <w:pStyle w:val="CodeParagraph"/>
              <w:rPr>
                <w:rStyle w:val="Codetext"/>
              </w:rPr>
            </w:pPr>
            <w:r>
              <w:rPr>
                <w:rStyle w:val="Code"/>
              </w:rPr>
              <w:t xml:space="preserve">  &lt;handNote </w:t>
            </w:r>
            <w:r>
              <w:rPr>
                <w:rStyle w:val="Codeattribute"/>
              </w:rPr>
              <w:t>xml:id=</w:t>
            </w:r>
            <w:r>
              <w:rPr>
                <w:rStyle w:val="Codevalue"/>
              </w:rPr>
              <w:t>"hand1"</w:t>
            </w:r>
            <w:r>
              <w:rPr>
                <w:rStyle w:val="Code"/>
              </w:rPr>
              <w:t>&gt;</w:t>
            </w:r>
            <w:r>
              <w:rPr>
                <w:rStyle w:val="Codetext"/>
              </w:rPr>
              <w:t xml:space="preserve">The hand responsible for most of the inscription, characterised by relatively small and squarish character bodies and a very large number of scribal mistakes ... </w:t>
            </w:r>
            <w:r>
              <w:rPr>
                <w:rStyle w:val="Code"/>
              </w:rPr>
              <w:t>&lt;/handNote&gt;</w:t>
            </w:r>
          </w:p>
          <w:p w14:paraId="6A3C69E8" w14:textId="77777777">
            <w:pPr>
              <w:pStyle w:val="CodeParagraph"/>
              <w:rPr>
                <w:rStyle w:val="Codetext"/>
              </w:rPr>
            </w:pPr>
            <w:r>
              <w:rPr>
                <w:rStyle w:val="Code"/>
              </w:rPr>
              <w:t xml:space="preserve">  &lt;handNote </w:t>
            </w:r>
            <w:r>
              <w:rPr>
                <w:rStyle w:val="Codeattribute"/>
              </w:rPr>
              <w:t>xml:id=</w:t>
            </w:r>
            <w:r>
              <w:rPr>
                <w:rStyle w:val="Codevalue"/>
              </w:rPr>
              <w:t>"hand2"</w:t>
            </w:r>
            <w:r>
              <w:rPr>
                <w:rStyle w:val="Code"/>
              </w:rPr>
              <w:t>&gt;</w:t>
            </w:r>
            <w:r>
              <w:rPr>
                <w:rStyle w:val="Codetext"/>
              </w:rPr>
              <w:t xml:space="preserve">A hand characterised by characters which are are bolder and more evenly written, have a more cursive ductus and a slant to the right ... </w:t>
            </w:r>
            <w:r>
              <w:rPr>
                <w:rStyle w:val="Code"/>
              </w:rPr>
              <w:t>&lt;/handNote&gt;</w:t>
            </w:r>
          </w:p>
          <w:p w14:paraId="2AB7E67D" w14:textId="77777777">
            <w:pPr>
              <w:pStyle w:val="CodeParagraph"/>
              <w:rPr>
                <w:rStyle w:val="Code"/>
              </w:rPr>
            </w:pPr>
            <w:r>
              <w:rPr>
                <w:rStyle w:val="Code"/>
              </w:rPr>
              <w:t>&lt;/handDesc&gt;</w:t>
            </w:r>
          </w:p>
        </w:tc>
      </w:tr>
    </w:tbl>
    <w:p w14:paraId="0C1EDF9C" w14:textId="77777777"/>
    <w:p w14:paraId="177522FD" w14:textId="77777777">
      <w:pPr>
        <w:pStyle w:val="Cmsor2"/>
      </w:pPr>
      <w:bookmarkStart w:id="1078" w:name="_l88w6yddwwcn" w:colFirst="0" w:colLast="0"/>
      <w:bookmarkStart w:id="1079" w:name="_wnsvz48xieus" w:colFirst="0" w:colLast="0"/>
      <w:bookmarkStart w:id="1080" w:name="_Ref240276652"/>
      <w:bookmarkStart w:id="1081" w:name="_Toc242889670"/>
      <w:bookmarkEnd w:id="1078"/>
      <w:bookmarkEnd w:id="1079"/>
      <w:r>
        <w:t>Keeping track of file history</w:t>
      </w:r>
      <w:bookmarkEnd w:id="1080"/>
      <w:bookmarkEnd w:id="1081"/>
    </w:p>
    <w:p w14:paraId="03CC0A0C" w14:textId="7FE91FD3">
      <w:r>
        <w:t xml:space="preserve">From the moment it is created, the life-cycle of any XML file is liable to include any number of changes, such as additions, updates, corrections, or transformations. The history of the file is to be recorded in the Revision Description, encoded in </w:t>
      </w:r>
      <w:r>
        <w:rPr>
          <w:rStyle w:val="Code"/>
        </w:rPr>
        <w:t>&lt;revisionDesc&gt;</w:t>
      </w:r>
      <w:r>
        <w:t xml:space="preserve"> as the final high-level element in the TEI header, illustrated in </w:t>
      </w:r>
      <w:r>
        <w:fldChar w:fldCharType="begin"/>
      </w:r>
      <w:r>
        <w:instrText xml:space="preserve"> REF _Ref233967208 \h </w:instrText>
      </w:r>
      <w:r>
        <w:fldChar w:fldCharType="separate"/>
      </w:r>
      <w:r>
        <w:t xml:space="preserve">Exhibit </w:t>
      </w:r>
      <w:r>
        <w:rPr>
          <w:noProof/>
        </w:rPr>
        <w:t>15.3</w:t>
      </w:r>
      <w:r>
        <w:t>.</w:t>
      </w:r>
      <w:r>
        <w:rPr>
          <w:noProof/>
        </w:rPr>
        <w:t>A</w:t>
      </w:r>
      <w:r>
        <w:fldChar w:fldCharType="end"/>
      </w:r>
      <w:r>
        <w:t>. Once the initial encoding of a file has been completed, or the unfinished file is put aside to pick up later, any substantive alterations (extensive changes, deletions and additions) should be recorded in the revision description. Doing so at a manageable yet still meaningful level of detail can become an asset for the management and control of the files, for instance by helping to resolve issues regarding the encoding choices that can arise when files are being edited by multiple team members, and to gain a quick overview of the latest changes made when you return to work on a file after some time. We therefore recommend that you always check this part of the file before resuming your work to be sure that you have a clear understanding of the state of the encoding and avoid undoing changes made by others.</w:t>
      </w:r>
    </w:p>
    <w:p w14:paraId="45AA226F" w14:textId="77777777">
      <w:pPr>
        <w:pStyle w:val="Lista"/>
      </w:pPr>
      <w:r>
        <w:t xml:space="preserve">each substantive change shall be recorded as a </w:t>
      </w:r>
      <w:r>
        <w:rPr>
          <w:rStyle w:val="Code"/>
        </w:rPr>
        <w:t>&lt;change&gt;</w:t>
      </w:r>
      <w:r>
        <w:t xml:space="preserve"> element with the following attributes:</w:t>
      </w:r>
    </w:p>
    <w:p w14:paraId="2AF7DF62" w14:textId="77777777">
      <w:pPr>
        <w:pStyle w:val="Lista2"/>
      </w:pPr>
      <w:r>
        <w:t xml:space="preserve">mandatorily, </w:t>
      </w:r>
      <w:r>
        <w:rPr>
          <w:rStyle w:val="Codeattribute"/>
        </w:rPr>
        <w:t>@who</w:t>
      </w:r>
      <w:r>
        <w:t>, the value of which shall be the personal identifier of the person</w:t>
      </w:r>
      <w:r>
        <w:rPr>
          <w:noProof/>
        </w:rPr>
        <w:t>(</w:t>
      </w:r>
      <w:r>
        <w:t xml:space="preserve">s) making the change, i.e. normally yours, with the prefix </w:t>
      </w:r>
      <w:r>
        <w:rPr>
          <w:rStyle w:val="Codevalue"/>
        </w:rPr>
        <w:t>part:</w:t>
      </w:r>
      <w:r>
        <w:t xml:space="preserve"> </w:t>
      </w:r>
      <w:r>
        <w:rPr>
          <w:noProof/>
        </w:rPr>
        <w:t>(</w:t>
      </w:r>
      <w:r>
        <w:t>as an abbreviated reference to the file listing participants of the project)</w:t>
      </w:r>
    </w:p>
    <w:p w14:paraId="02416B07" w14:textId="16343151">
      <w:pPr>
        <w:pStyle w:val="Lista3"/>
      </w:pPr>
      <w:r>
        <w:t xml:space="preserve">our personal identifiers are available at </w:t>
      </w:r>
      <w:hyperlink r:id="rId81" w:history="1">
        <w:r>
          <w:rPr>
            <w:rStyle w:val="Hiperhivatkozs"/>
          </w:rPr>
          <w:t>https://dharmalekha.info/contributors</w:t>
        </w:r>
      </w:hyperlink>
      <w:r>
        <w:t xml:space="preserve"> </w:t>
      </w:r>
    </w:p>
    <w:p w14:paraId="22B39667" w14:textId="77777777">
      <w:pPr>
        <w:pStyle w:val="Lista3"/>
      </w:pPr>
      <w:r>
        <w:lastRenderedPageBreak/>
        <w:t>to record multiple identifiers for a single change, prefix each as above and separate them by a space</w:t>
      </w:r>
    </w:p>
    <w:p w14:paraId="5E9DC35D" w14:textId="77777777">
      <w:pPr>
        <w:pStyle w:val="Lista2"/>
      </w:pPr>
      <w:r>
        <w:t xml:space="preserve">mandatorily, </w:t>
      </w:r>
      <w:r>
        <w:rPr>
          <w:rStyle w:val="Codeattribute"/>
        </w:rPr>
        <w:t>@when</w:t>
      </w:r>
      <w:r>
        <w:t>, the value of which shall be the date of the change in ISO format, i.e. YYYY-MM-DD</w:t>
      </w:r>
    </w:p>
    <w:p w14:paraId="655C9E60" w14:textId="77777777">
      <w:pPr>
        <w:pStyle w:val="Lista2"/>
      </w:pPr>
      <w:r>
        <w:t xml:space="preserve">optionally as applicable, </w:t>
      </w:r>
      <w:r>
        <w:rPr>
          <w:rStyle w:val="Codeattribute"/>
        </w:rPr>
        <w:t>@status</w:t>
      </w:r>
      <w:r>
        <w:t xml:space="preserve"> with one of the following values, to help keep track of significant milestones in the process of editing, especially when the work is done by a less experienced contributor under supervision</w:t>
      </w:r>
    </w:p>
    <w:p w14:paraId="2D34AFAE" w14:textId="77777777">
      <w:pPr>
        <w:pStyle w:val="Lista3"/>
      </w:pPr>
      <w:r>
        <w:rPr>
          <w:rStyle w:val="Codevalue"/>
        </w:rPr>
        <w:t>"draft"</w:t>
      </w:r>
    </w:p>
    <w:p w14:paraId="594461C7" w14:textId="77777777">
      <w:pPr>
        <w:pStyle w:val="Lista3"/>
      </w:pPr>
      <w:r>
        <w:rPr>
          <w:rStyle w:val="Codevalue"/>
        </w:rPr>
        <w:t>"candidate"</w:t>
      </w:r>
    </w:p>
    <w:p w14:paraId="2F67F8A5" w14:textId="77777777">
      <w:pPr>
        <w:pStyle w:val="Lista3"/>
      </w:pPr>
      <w:r>
        <w:rPr>
          <w:rStyle w:val="Codevalue"/>
        </w:rPr>
        <w:t>"approved"</w:t>
      </w:r>
    </w:p>
    <w:p w14:paraId="42BA9441" w14:textId="77777777">
      <w:pPr>
        <w:pStyle w:val="Lista3"/>
      </w:pPr>
      <w:r>
        <w:rPr>
          <w:rStyle w:val="Codevalue"/>
        </w:rPr>
        <w:t>"published"</w:t>
      </w:r>
    </w:p>
    <w:p w14:paraId="0AD651F1" w14:textId="77777777">
      <w:pPr>
        <w:pStyle w:val="Lista3"/>
        <w:rPr>
          <w:rStyle w:val="Codevalue"/>
          <w:rFonts w:ascii="Gentium" w:eastAsiaTheme="minorEastAsia" w:hAnsi="Gentium" w:cs="Tiro Devanagari Sanskrit"/>
          <w:noProof w:val="0"/>
          <w:color w:val="auto"/>
          <w:shd w:val="clear" w:color="auto" w:fill="auto"/>
        </w:rPr>
      </w:pPr>
      <w:r>
        <w:rPr>
          <w:rStyle w:val="Codevalue"/>
        </w:rPr>
        <w:t>"withdrawn"</w:t>
      </w:r>
    </w:p>
    <w:p w14:paraId="5B12333C" w14:textId="77777777">
      <w:pPr>
        <w:pStyle w:val="Lista"/>
      </w:pPr>
      <w:r>
        <w:t xml:space="preserve">the contents of </w:t>
      </w:r>
      <w:r>
        <w:rPr>
          <w:rStyle w:val="Code"/>
        </w:rPr>
        <w:t>&lt;change&gt;</w:t>
      </w:r>
      <w:r>
        <w:t xml:space="preserve"> shall be a freeform description of the modification</w:t>
      </w:r>
    </w:p>
    <w:p w14:paraId="644476D6" w14:textId="77777777">
      <w:pPr>
        <w:pStyle w:val="Lista2"/>
      </w:pPr>
      <w:r>
        <w:t>please be concise, but avoid generic formulations and favour precise ones</w:t>
      </w:r>
    </w:p>
    <w:p w14:paraId="318FDB1E" w14:textId="77777777">
      <w:pPr>
        <w:pStyle w:val="Lista"/>
      </w:pPr>
      <w:r>
        <w:t>when first beginning to work on a file using a blank template or recycling one of your other editions</w:t>
      </w:r>
    </w:p>
    <w:p w14:paraId="76D5CC89" w14:textId="77777777">
      <w:pPr>
        <w:pStyle w:val="Lista2"/>
      </w:pPr>
      <w:r>
        <w:t xml:space="preserve">delete all but one of the </w:t>
      </w:r>
      <w:r>
        <w:rPr>
          <w:rStyle w:val="Code"/>
        </w:rPr>
        <w:t>&lt;change&gt;</w:t>
      </w:r>
      <w:r>
        <w:t xml:space="preserve"> elements already present</w:t>
      </w:r>
    </w:p>
    <w:p w14:paraId="03149E48" w14:textId="77777777">
      <w:pPr>
        <w:pStyle w:val="Lista2"/>
      </w:pPr>
      <w:r>
        <w:t xml:space="preserve">edit the retained </w:t>
      </w:r>
      <w:r>
        <w:rPr>
          <w:rStyle w:val="Code"/>
        </w:rPr>
        <w:t>&lt;change&gt;</w:t>
      </w:r>
      <w:r>
        <w:t xml:space="preserve"> element’s attributes and content to record the event of initial encoding</w:t>
      </w:r>
    </w:p>
    <w:p w14:paraId="4908E308" w14:textId="77777777">
      <w:pPr>
        <w:pStyle w:val="Lista2"/>
      </w:pPr>
      <w:r>
        <w:t>the date shall be the start of your work on the file</w:t>
      </w:r>
    </w:p>
    <w:p w14:paraId="74FA908F" w14:textId="77777777">
      <w:pPr>
        <w:pStyle w:val="Lista3"/>
      </w:pPr>
      <w:r>
        <w:t>if initial encoding is completed within a reasonable period of time, the completion of initial encoding need not be recorded as a separate event</w:t>
      </w:r>
    </w:p>
    <w:p w14:paraId="4B88A8F2" w14:textId="77777777">
      <w:pPr>
        <w:pStyle w:val="Lista"/>
      </w:pPr>
      <w:r>
        <w:t>whenever you return to the file and make a substantive change</w:t>
      </w:r>
    </w:p>
    <w:p w14:paraId="54C63470" w14:textId="77777777">
      <w:pPr>
        <w:pStyle w:val="Lista2"/>
      </w:pPr>
      <w:r>
        <w:t xml:space="preserve">create a new </w:t>
      </w:r>
      <w:r>
        <w:rPr>
          <w:rStyle w:val="Code"/>
        </w:rPr>
        <w:t>&lt;change&gt;</w:t>
      </w:r>
      <w:r>
        <w:t xml:space="preserve"> element (or replicate an existing one)</w:t>
      </w:r>
    </w:p>
    <w:p w14:paraId="52D69570" w14:textId="77777777">
      <w:pPr>
        <w:pStyle w:val="Lista2"/>
      </w:pPr>
      <w:r>
        <w:t xml:space="preserve">the new </w:t>
      </w:r>
      <w:r>
        <w:rPr>
          <w:rStyle w:val="Code"/>
        </w:rPr>
        <w:t>&lt;change&gt;</w:t>
      </w:r>
      <w:r>
        <w:t xml:space="preserve"> element must always be at the top, so that events are listed in a reverse chronological order with the most recent at the top</w:t>
      </w:r>
    </w:p>
    <w:p w14:paraId="0D2FC0FB" w14:textId="77777777">
      <w:pPr>
        <w:pStyle w:val="Lista2"/>
      </w:pPr>
      <w:r>
        <w:t xml:space="preserve">fill or edit the contents of the new </w:t>
      </w:r>
      <w:r>
        <w:rPr>
          <w:rStyle w:val="Code"/>
        </w:rPr>
        <w:t>&lt;change&gt;</w:t>
      </w:r>
      <w:r>
        <w:t xml:space="preserve"> element to record the details of the change </w:t>
      </w:r>
    </w:p>
    <w:p w14:paraId="7C0B281C" w14:textId="77777777"/>
    <w:tbl>
      <w:tblPr>
        <w:tblStyle w:val="CodeSampleTable"/>
        <w:tblW w:w="5000" w:type="pct"/>
        <w:tblLook w:val="04A0" w:firstRow="1" w:lastRow="0" w:firstColumn="1" w:lastColumn="0" w:noHBand="0" w:noVBand="1"/>
      </w:tblPr>
      <w:tblGrid>
        <w:gridCol w:w="9628"/>
      </w:tblGrid>
      <w:tr w14:paraId="74FFDE6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30EAC96" w14:textId="182304E5">
            <w:pPr>
              <w:pStyle w:val="Kpalrs"/>
            </w:pPr>
            <w:bookmarkStart w:id="1082" w:name="_Ref233967208"/>
            <w:r>
              <w:t xml:space="preserve">Exhibit </w:t>
            </w:r>
            <w:fldSimple w:instr=" STYLEREF 2 \s ">
              <w:r>
                <w:rPr>
                  <w:noProof/>
                </w:rPr>
                <w:t>15.3</w:t>
              </w:r>
            </w:fldSimple>
            <w:r>
              <w:t>.</w:t>
            </w:r>
            <w:fldSimple w:instr=" SEQ Exhibit \* ALPHABETIC \s 2 ">
              <w:r>
                <w:rPr>
                  <w:noProof/>
                </w:rPr>
                <w:t>A</w:t>
              </w:r>
            </w:fldSimple>
            <w:bookmarkEnd w:id="1082"/>
            <w:r>
              <w:t>: the revision description</w:t>
            </w:r>
          </w:p>
        </w:tc>
      </w:tr>
      <w:tr w14:paraId="239EA435" w14:textId="77777777">
        <w:tc>
          <w:tcPr>
            <w:tcW w:w="5000" w:type="pct"/>
          </w:tcPr>
          <w:p w14:paraId="1704863E" w14:textId="77777777">
            <w:pPr>
              <w:pStyle w:val="CodeParagraph"/>
              <w:rPr>
                <w:rStyle w:val="Code"/>
              </w:rPr>
            </w:pPr>
            <w:r>
              <w:rPr>
                <w:rStyle w:val="Code"/>
              </w:rPr>
              <w:t>&lt;revisionDesc&gt;</w:t>
            </w:r>
            <w:r>
              <w:rPr>
                <w:rStyle w:val="Codetext"/>
              </w:rPr>
              <w:br/>
              <w:t xml:space="preserve">  </w:t>
            </w:r>
            <w:r>
              <w:rPr>
                <w:rStyle w:val="Code"/>
              </w:rPr>
              <w:t xml:space="preserve">&lt;change </w:t>
            </w:r>
            <w:r>
              <w:rPr>
                <w:rStyle w:val="Codeattribute"/>
              </w:rPr>
              <w:t>who</w:t>
            </w:r>
            <w:r>
              <w:rPr>
                <w:rStyle w:val="Code"/>
              </w:rPr>
              <w:t>=</w:t>
            </w:r>
            <w:r>
              <w:rPr>
                <w:rStyle w:val="Codevalue"/>
              </w:rPr>
              <w:t>"part:daba"</w:t>
            </w:r>
            <w:r>
              <w:rPr>
                <w:rStyle w:val="Code"/>
              </w:rPr>
              <w:t xml:space="preserve"> </w:t>
            </w:r>
            <w:r>
              <w:rPr>
                <w:rStyle w:val="Codeattribute"/>
              </w:rPr>
              <w:t>when</w:t>
            </w:r>
            <w:r>
              <w:rPr>
                <w:rStyle w:val="Code"/>
              </w:rPr>
              <w:t>=</w:t>
            </w:r>
            <w:r>
              <w:rPr>
                <w:rStyle w:val="Codevalue"/>
              </w:rPr>
              <w:t xml:space="preserve">"2024-07-05" </w:t>
            </w:r>
            <w:r>
              <w:rPr>
                <w:rStyle w:val="Codeattribute"/>
              </w:rPr>
              <w:t>status</w:t>
            </w:r>
            <w:r>
              <w:rPr>
                <w:rStyle w:val="Code"/>
              </w:rPr>
              <w:t>=</w:t>
            </w:r>
            <w:r>
              <w:rPr>
                <w:rStyle w:val="Codevalue"/>
              </w:rPr>
              <w:t>"published"</w:t>
            </w:r>
            <w:r>
              <w:rPr>
                <w:rStyle w:val="Code"/>
              </w:rPr>
              <w:t>&gt;</w:t>
            </w:r>
            <w:r>
              <w:rPr>
                <w:rStyle w:val="Codetext"/>
              </w:rPr>
              <w:t>Re-collation with new photos</w:t>
            </w:r>
            <w:r>
              <w:rPr>
                <w:rStyle w:val="Code"/>
              </w:rPr>
              <w:t>&lt;/change&gt;</w:t>
            </w:r>
            <w:r>
              <w:rPr>
                <w:rStyle w:val="Codetext"/>
              </w:rPr>
              <w:br/>
              <w:t xml:space="preserve">  </w:t>
            </w:r>
            <w:r>
              <w:rPr>
                <w:rStyle w:val="Code"/>
              </w:rPr>
              <w:t xml:space="preserve">&lt;change </w:t>
            </w:r>
            <w:r>
              <w:rPr>
                <w:rStyle w:val="Codeattribute"/>
              </w:rPr>
              <w:t>who</w:t>
            </w:r>
            <w:r>
              <w:rPr>
                <w:rStyle w:val="Code"/>
              </w:rPr>
              <w:t>=</w:t>
            </w:r>
            <w:r>
              <w:rPr>
                <w:rStyle w:val="Codevalue"/>
              </w:rPr>
              <w:t>"part:daba"</w:t>
            </w:r>
            <w:r>
              <w:rPr>
                <w:rStyle w:val="Code"/>
              </w:rPr>
              <w:t xml:space="preserve"> </w:t>
            </w:r>
            <w:r>
              <w:rPr>
                <w:rStyle w:val="Codeattribute"/>
              </w:rPr>
              <w:t>when</w:t>
            </w:r>
            <w:r>
              <w:rPr>
                <w:rStyle w:val="Code"/>
              </w:rPr>
              <w:t>=</w:t>
            </w:r>
            <w:r>
              <w:rPr>
                <w:rStyle w:val="Codevalue"/>
              </w:rPr>
              <w:t xml:space="preserve">"2020-03-10" </w:t>
            </w:r>
            <w:r>
              <w:rPr>
                <w:rStyle w:val="Codeattribute"/>
              </w:rPr>
              <w:t>status</w:t>
            </w:r>
            <w:r>
              <w:rPr>
                <w:rStyle w:val="Code"/>
              </w:rPr>
              <w:t>=</w:t>
            </w:r>
            <w:r>
              <w:rPr>
                <w:rStyle w:val="Codevalue"/>
              </w:rPr>
              <w:t>"published"</w:t>
            </w:r>
            <w:r>
              <w:rPr>
                <w:rStyle w:val="Code"/>
              </w:rPr>
              <w:t>&gt;</w:t>
            </w:r>
            <w:r>
              <w:rPr>
                <w:rStyle w:val="Codetext"/>
              </w:rPr>
              <w:t>Adding translation</w:t>
            </w:r>
            <w:r>
              <w:rPr>
                <w:rStyle w:val="Code"/>
              </w:rPr>
              <w:t>&lt;/change&gt;</w:t>
            </w:r>
            <w:r>
              <w:rPr>
                <w:rStyle w:val="Codetext"/>
              </w:rPr>
              <w:br/>
              <w:t xml:space="preserve">  </w:t>
            </w:r>
            <w:r>
              <w:rPr>
                <w:rStyle w:val="Code"/>
              </w:rPr>
              <w:t xml:space="preserve">&lt;change </w:t>
            </w:r>
            <w:r>
              <w:rPr>
                <w:rStyle w:val="Codeattribute"/>
              </w:rPr>
              <w:t>who</w:t>
            </w:r>
            <w:r>
              <w:rPr>
                <w:rStyle w:val="Code"/>
              </w:rPr>
              <w:t>=</w:t>
            </w:r>
            <w:r>
              <w:rPr>
                <w:rStyle w:val="Codevalue"/>
              </w:rPr>
              <w:t>"part:daba"</w:t>
            </w:r>
            <w:r>
              <w:rPr>
                <w:rStyle w:val="Code"/>
              </w:rPr>
              <w:t xml:space="preserve"> </w:t>
            </w:r>
            <w:r>
              <w:rPr>
                <w:rStyle w:val="Codeattribute"/>
              </w:rPr>
              <w:t>when</w:t>
            </w:r>
            <w:r>
              <w:rPr>
                <w:rStyle w:val="Code"/>
              </w:rPr>
              <w:t>=</w:t>
            </w:r>
            <w:r>
              <w:rPr>
                <w:rStyle w:val="Codevalue"/>
              </w:rPr>
              <w:t xml:space="preserve">"2019-12-01" </w:t>
            </w:r>
            <w:r>
              <w:rPr>
                <w:rStyle w:val="Codeattribute"/>
              </w:rPr>
              <w:t>status</w:t>
            </w:r>
            <w:r>
              <w:rPr>
                <w:rStyle w:val="Code"/>
              </w:rPr>
              <w:t>=</w:t>
            </w:r>
            <w:r>
              <w:rPr>
                <w:rStyle w:val="Codevalue"/>
              </w:rPr>
              <w:t>"draft"</w:t>
            </w:r>
            <w:r>
              <w:rPr>
                <w:rStyle w:val="Code"/>
              </w:rPr>
              <w:t>&gt;</w:t>
            </w:r>
            <w:r>
              <w:rPr>
                <w:rStyle w:val="Codetext"/>
              </w:rPr>
              <w:t>Initial encoding</w:t>
            </w:r>
            <w:r>
              <w:rPr>
                <w:rStyle w:val="Code"/>
              </w:rPr>
              <w:t>&lt;/change&gt;</w:t>
            </w:r>
            <w:r>
              <w:rPr>
                <w:rStyle w:val="Codetext"/>
              </w:rPr>
              <w:br/>
            </w:r>
            <w:r>
              <w:rPr>
                <w:rStyle w:val="Code"/>
              </w:rPr>
              <w:t>&lt;/revisionDesc&gt;</w:t>
            </w:r>
          </w:p>
        </w:tc>
      </w:tr>
    </w:tbl>
    <w:p w14:paraId="69B64174" w14:textId="77777777">
      <w:pPr>
        <w:pStyle w:val="Cmsor1"/>
      </w:pPr>
      <w:bookmarkStart w:id="1083" w:name="_m394n9pgjwwz" w:colFirst="0" w:colLast="0"/>
      <w:bookmarkStart w:id="1084" w:name="_Toc242889671"/>
      <w:bookmarkEnd w:id="1083"/>
      <w:r>
        <w:lastRenderedPageBreak/>
        <w:t>Good encoding practice</w:t>
      </w:r>
      <w:bookmarkEnd w:id="1084"/>
    </w:p>
    <w:p w14:paraId="0FF9E9C4" w14:textId="77777777">
      <w:pPr>
        <w:pStyle w:val="Cmsor2"/>
      </w:pPr>
      <w:bookmarkStart w:id="1085" w:name="_udlxmxv788yo" w:colFirst="0" w:colLast="0"/>
      <w:bookmarkStart w:id="1086" w:name="_i3nexhtm21xy" w:colFirst="0" w:colLast="0"/>
      <w:bookmarkStart w:id="1087" w:name="_Ref43989206"/>
      <w:bookmarkStart w:id="1088" w:name="_Toc242889672"/>
      <w:bookmarkEnd w:id="1085"/>
      <w:bookmarkEnd w:id="1086"/>
      <w:r>
        <w:t>White space</w:t>
      </w:r>
      <w:bookmarkEnd w:id="1087"/>
      <w:bookmarkEnd w:id="1088"/>
    </w:p>
    <w:p w14:paraId="0189C9E4" w14:textId="77777777">
      <w:r>
        <w:t xml:space="preserve">In coding terminology, white space (or whitespace) means a blank space in a document, i.e. any combination of spaces, tabs and new line </w:t>
      </w:r>
      <w:r>
        <w:rPr>
          <w:noProof/>
        </w:rPr>
        <w:t>(</w:t>
      </w:r>
      <w:r>
        <w:t>carriage return) characters.</w:t>
      </w:r>
      <w:r>
        <w:rPr>
          <w:rStyle w:val="Lbjegyzet-hivatkozs"/>
        </w:rPr>
        <w:footnoteReference w:id="43"/>
      </w:r>
      <w:r>
        <w:t xml:space="preserve"> White space that affects the processing and transformation of an XML document is called significant, while white space that does not is called insignificant. While editing an XML file, take care to use significant white space correctly, adding no more and no less than necessary, to ensure that processing and displaying take place correctly.</w:t>
      </w:r>
    </w:p>
    <w:p w14:paraId="1E12E076" w14:textId="77777777">
      <w:pPr>
        <w:pStyle w:val="Lista"/>
      </w:pPr>
      <w:r>
        <w:t>white space inside XML tags is as generally insignificant</w:t>
      </w:r>
    </w:p>
    <w:p w14:paraId="5539BDEC" w14:textId="77777777">
      <w:pPr>
        <w:pStyle w:val="Lista2"/>
      </w:pPr>
      <w:r>
        <w:t>thus, each of the following are perfectly equivalent:</w:t>
      </w:r>
    </w:p>
    <w:p w14:paraId="2337EEC6" w14:textId="77777777">
      <w:pPr>
        <w:pStyle w:val="Lista3"/>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break</w:t>
      </w:r>
      <w:r>
        <w:rPr>
          <w:rStyle w:val="Code"/>
        </w:rPr>
        <w:t>=</w:t>
      </w:r>
      <w:r>
        <w:rPr>
          <w:rStyle w:val="Codevalue"/>
        </w:rPr>
        <w:t>"no"</w:t>
      </w:r>
      <w:r>
        <w:rPr>
          <w:rStyle w:val="Code"/>
        </w:rPr>
        <w:t>/&gt;</w:t>
      </w:r>
    </w:p>
    <w:p w14:paraId="33CFF09B" w14:textId="77777777">
      <w:pPr>
        <w:pStyle w:val="Lista3"/>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 xml:space="preserve">break </w:t>
      </w:r>
      <w:r>
        <w:rPr>
          <w:rStyle w:val="Code"/>
        </w:rPr>
        <w:t xml:space="preserve">= </w:t>
      </w:r>
      <w:r>
        <w:rPr>
          <w:rStyle w:val="Codevalue"/>
        </w:rPr>
        <w:t xml:space="preserve">"no" </w:t>
      </w:r>
      <w:r>
        <w:rPr>
          <w:rStyle w:val="Code"/>
        </w:rPr>
        <w:t>/ &gt;</w:t>
      </w:r>
    </w:p>
    <w:p w14:paraId="4B4E3982" w14:textId="77777777">
      <w:pPr>
        <w:pStyle w:val="Lista3"/>
      </w:pPr>
      <w:r>
        <w:rPr>
          <w:rStyle w:val="Code"/>
        </w:rPr>
        <w:t>&lt;lb</w:t>
      </w:r>
      <w:r>
        <w:rPr>
          <w:rStyle w:val="Code"/>
        </w:rPr>
        <w:br/>
      </w:r>
      <w:r>
        <w:rPr>
          <w:rStyle w:val="Codeattribute"/>
        </w:rPr>
        <w:t>n</w:t>
      </w:r>
      <w:r>
        <w:rPr>
          <w:rStyle w:val="Code"/>
        </w:rPr>
        <w:t>=</w:t>
      </w:r>
      <w:r>
        <w:rPr>
          <w:rStyle w:val="Codevalue"/>
        </w:rPr>
        <w:t>"1"</w:t>
      </w:r>
      <w:r>
        <w:rPr>
          <w:rStyle w:val="Code"/>
        </w:rPr>
        <w:br/>
      </w:r>
      <w:r>
        <w:rPr>
          <w:rStyle w:val="Codeattribute"/>
        </w:rPr>
        <w:t>break</w:t>
      </w:r>
      <w:r>
        <w:rPr>
          <w:rStyle w:val="Code"/>
        </w:rPr>
        <w:t>=</w:t>
      </w:r>
      <w:r>
        <w:rPr>
          <w:rStyle w:val="Codevalue"/>
        </w:rPr>
        <w:t>"no"</w:t>
      </w:r>
      <w:r>
        <w:rPr>
          <w:rStyle w:val="Code"/>
        </w:rPr>
        <w:t>/&gt;</w:t>
      </w:r>
    </w:p>
    <w:p w14:paraId="130109D8" w14:textId="77777777">
      <w:pPr>
        <w:pStyle w:val="Lista2"/>
      </w:pPr>
      <w:r>
        <w:t>some form of white space must, however, be present before all attribute names, so the above are not equivalent to the following:</w:t>
      </w:r>
    </w:p>
    <w:p w14:paraId="29E3603D" w14:textId="77777777">
      <w:pPr>
        <w:pStyle w:val="Lista3"/>
      </w:pPr>
      <w:r>
        <w:rPr>
          <w:rStyle w:val="Code"/>
        </w:rPr>
        <w:t xml:space="preserve">&lt;lb </w:t>
      </w:r>
      <w:r>
        <w:rPr>
          <w:rStyle w:val="Codeattribute"/>
        </w:rPr>
        <w:t>n</w:t>
      </w:r>
      <w:r>
        <w:rPr>
          <w:rStyle w:val="Code"/>
        </w:rPr>
        <w:t>=</w:t>
      </w:r>
      <w:r>
        <w:rPr>
          <w:rStyle w:val="Codevalue"/>
        </w:rPr>
        <w:t>"1"</w:t>
      </w:r>
      <w:r>
        <w:rPr>
          <w:rStyle w:val="Codeattribute"/>
        </w:rPr>
        <w:t>break</w:t>
      </w:r>
      <w:r>
        <w:rPr>
          <w:rStyle w:val="Code"/>
        </w:rPr>
        <w:t>=</w:t>
      </w:r>
      <w:r>
        <w:rPr>
          <w:rStyle w:val="Codevalue"/>
        </w:rPr>
        <w:t>"no"</w:t>
      </w:r>
      <w:r>
        <w:rPr>
          <w:rStyle w:val="Code"/>
        </w:rPr>
        <w:t>/&gt;</w:t>
      </w:r>
      <w:r>
        <w:t>, which is incorrect XML</w:t>
      </w:r>
    </w:p>
    <w:p w14:paraId="12EFC38D" w14:textId="77777777">
      <w:pPr>
        <w:pStyle w:val="Lista2"/>
      </w:pPr>
      <w:r>
        <w:t>white space within attribute values is significant, so the above are also not equivalent to either of the following:</w:t>
      </w:r>
    </w:p>
    <w:p w14:paraId="132DC554" w14:textId="77777777">
      <w:pPr>
        <w:pStyle w:val="Lista3"/>
      </w:pPr>
      <w:r>
        <w:rPr>
          <w:rStyle w:val="Code"/>
        </w:rPr>
        <w:t xml:space="preserve">&lt;lb </w:t>
      </w:r>
      <w:r>
        <w:rPr>
          <w:rStyle w:val="Codeattribute"/>
        </w:rPr>
        <w:t>n</w:t>
      </w:r>
      <w:r>
        <w:rPr>
          <w:rStyle w:val="Code"/>
        </w:rPr>
        <w:t>=</w:t>
      </w:r>
      <w:r>
        <w:rPr>
          <w:rStyle w:val="Codevalue"/>
        </w:rPr>
        <w:t>" 1"</w:t>
      </w:r>
      <w:r>
        <w:rPr>
          <w:rStyle w:val="Code"/>
        </w:rPr>
        <w:t xml:space="preserve"> </w:t>
      </w:r>
      <w:r>
        <w:rPr>
          <w:rStyle w:val="Codeattribute"/>
        </w:rPr>
        <w:t>break</w:t>
      </w:r>
      <w:r>
        <w:rPr>
          <w:rStyle w:val="Code"/>
        </w:rPr>
        <w:t>=</w:t>
      </w:r>
      <w:r>
        <w:rPr>
          <w:rStyle w:val="Codevalue"/>
        </w:rPr>
        <w:t>"no"</w:t>
      </w:r>
      <w:r>
        <w:rPr>
          <w:rStyle w:val="Code"/>
        </w:rPr>
        <w:t>/&gt;</w:t>
      </w:r>
      <w:r>
        <w:t>, which is a different value than “1”</w:t>
      </w:r>
    </w:p>
    <w:p w14:paraId="5DF7D778" w14:textId="77777777">
      <w:pPr>
        <w:pStyle w:val="Lista3"/>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break</w:t>
      </w:r>
      <w:r>
        <w:rPr>
          <w:rStyle w:val="Code"/>
        </w:rPr>
        <w:t>=</w:t>
      </w:r>
      <w:r>
        <w:rPr>
          <w:rStyle w:val="Codevalue"/>
        </w:rPr>
        <w:t>"no "</w:t>
      </w:r>
      <w:r>
        <w:rPr>
          <w:rStyle w:val="Code"/>
        </w:rPr>
        <w:t>/&gt;</w:t>
      </w:r>
      <w:r>
        <w:t>, which is not meaningful in TEI</w:t>
      </w:r>
    </w:p>
    <w:p w14:paraId="0811FA07" w14:textId="77777777">
      <w:pPr>
        <w:pStyle w:val="Lista"/>
      </w:pPr>
      <w:r>
        <w:t>when an element contains only other elements and white space, this space is as a rule insignificant</w:t>
      </w:r>
    </w:p>
    <w:p w14:paraId="34B19372" w14:textId="77777777">
      <w:pPr>
        <w:pStyle w:val="Lista2"/>
      </w:pPr>
      <w:r>
        <w:t>thus, each of the following are perfectly equivalent:</w:t>
      </w:r>
    </w:p>
    <w:p w14:paraId="1B723909" w14:textId="77777777">
      <w:pPr>
        <w:pStyle w:val="Lista3"/>
        <w:rPr>
          <w:rStyle w:val="Code"/>
          <w:rFonts w:ascii="Gentium" w:hAnsi="Gentium" w:cs="Tiro Devanagari Sanskrit"/>
          <w:noProof w:val="0"/>
          <w:color w:val="auto"/>
          <w:shd w:val="clear" w:color="auto" w:fill="auto"/>
        </w:rPr>
      </w:pPr>
      <w:r>
        <w:rPr>
          <w:rStyle w:val="Code"/>
        </w:rPr>
        <w:t xml:space="preserve">&lt;p&gt;&lt;lb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/&gt;&lt;/p&gt;</w:t>
      </w:r>
    </w:p>
    <w:p w14:paraId="0802BFBA" w14:textId="77777777">
      <w:pPr>
        <w:pStyle w:val="Lista3"/>
      </w:pPr>
      <w:r>
        <w:rPr>
          <w:rStyle w:val="Code"/>
        </w:rPr>
        <w:t xml:space="preserve">&lt;p&gt; &lt;lb </w:t>
      </w:r>
      <w:r>
        <w:rPr>
          <w:rStyle w:val="Codeattribute"/>
        </w:rPr>
        <w:t>n</w:t>
      </w:r>
      <w:r>
        <w:rPr>
          <w:rStyle w:val="Code"/>
        </w:rPr>
        <w:t>=</w:t>
      </w:r>
      <w:r>
        <w:rPr>
          <w:rStyle w:val="Codevalue"/>
        </w:rPr>
        <w:t>"1"</w:t>
      </w:r>
      <w:r>
        <w:rPr>
          <w:rStyle w:val="Code"/>
        </w:rPr>
        <w:t xml:space="preserve">/&gt;      &lt;gap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   &lt;/p&gt;</w:t>
      </w:r>
    </w:p>
    <w:p w14:paraId="6C81F18C" w14:textId="77777777">
      <w:pPr>
        <w:pStyle w:val="Lista3"/>
      </w:pPr>
      <w:r>
        <w:rPr>
          <w:rStyle w:val="Code"/>
        </w:rPr>
        <w:t>&lt;p&gt;</w:t>
      </w:r>
      <w:r>
        <w:rPr>
          <w:rStyle w:val="Code"/>
        </w:rPr>
        <w:br/>
        <w:t xml:space="preserve">&lt;lb </w:t>
      </w:r>
      <w:r>
        <w:rPr>
          <w:rStyle w:val="Codeattribute"/>
        </w:rPr>
        <w:t>n</w:t>
      </w:r>
      <w:r>
        <w:rPr>
          <w:rStyle w:val="Code"/>
        </w:rPr>
        <w:t>=</w:t>
      </w:r>
      <w:r>
        <w:rPr>
          <w:rStyle w:val="Codevalue"/>
        </w:rPr>
        <w:t>"1"</w:t>
      </w:r>
      <w:r>
        <w:rPr>
          <w:rStyle w:val="Code"/>
        </w:rPr>
        <w:t>/&gt;</w:t>
      </w:r>
      <w:r>
        <w:rPr>
          <w:rStyle w:val="Code"/>
        </w:rPr>
        <w:b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w:t>
      </w:r>
      <w:r>
        <w:rPr>
          <w:rStyle w:val="Code"/>
        </w:rPr>
        <w:br/>
        <w:t>&lt;/p&gt;</w:t>
      </w:r>
    </w:p>
    <w:p w14:paraId="501C83CA" w14:textId="77777777">
      <w:pPr>
        <w:pStyle w:val="Lista"/>
      </w:pPr>
      <w:r>
        <w:t>the handling of white space within text-containing elements is a complex matter controlled by the software processing and transforming the XML document; for our purposes</w:t>
      </w:r>
    </w:p>
    <w:p w14:paraId="70F8C701" w14:textId="77777777">
      <w:pPr>
        <w:pStyle w:val="Lista2"/>
      </w:pPr>
      <w:r>
        <w:t xml:space="preserve">in general, white space in content is significant, but it is </w:t>
      </w:r>
      <w:r>
        <w:rPr>
          <w:rStyle w:val="Foreign"/>
        </w:rPr>
        <w:t>collapsed</w:t>
      </w:r>
      <w:r>
        <w:t xml:space="preserve"> and </w:t>
      </w:r>
      <w:r>
        <w:rPr>
          <w:rStyle w:val="Foreign"/>
        </w:rPr>
        <w:t>trimmed</w:t>
      </w:r>
      <w:r>
        <w:t xml:space="preserve"> in the course of processing</w:t>
      </w:r>
    </w:p>
    <w:p w14:paraId="12F75D6A" w14:textId="77777777">
      <w:pPr>
        <w:pStyle w:val="Lista3"/>
      </w:pPr>
      <w:r>
        <w:t>collapsing means that any type and quantity of white space is reduced to a single space character</w:t>
      </w:r>
    </w:p>
    <w:p w14:paraId="36C75C49" w14:textId="77777777">
      <w:pPr>
        <w:pStyle w:val="Lista3"/>
      </w:pPr>
      <w:r>
        <w:t>trimming means that space is stripped from the beginning and end of the text content of an element</w:t>
      </w:r>
    </w:p>
    <w:p w14:paraId="192C3FE1" w14:textId="77777777">
      <w:pPr>
        <w:pStyle w:val="Lista2"/>
      </w:pPr>
      <w:r>
        <w:t>thus, each of the following will normally produce the same transformed text:</w:t>
      </w:r>
    </w:p>
    <w:p w14:paraId="519B48AB" w14:textId="77777777">
      <w:pPr>
        <w:pStyle w:val="Lista3"/>
      </w:pPr>
      <w:r>
        <w:rPr>
          <w:rStyle w:val="Code"/>
        </w:rPr>
        <w:t>&lt;p&gt;</w:t>
      </w:r>
      <w:r>
        <w:rPr>
          <w:rStyle w:val="Codetext"/>
        </w:rPr>
        <w:t>In a hole in the ground there lived a hobbit.</w:t>
      </w:r>
      <w:r>
        <w:rPr>
          <w:rStyle w:val="Code"/>
        </w:rPr>
        <w:t>&lt;/p&gt;</w:t>
      </w:r>
      <w:r>
        <w:t xml:space="preserve"> </w:t>
      </w:r>
    </w:p>
    <w:p w14:paraId="4D3FAF39" w14:textId="77777777">
      <w:pPr>
        <w:pStyle w:val="Lista3"/>
      </w:pPr>
      <w:r>
        <w:rPr>
          <w:rStyle w:val="Code"/>
        </w:rPr>
        <w:t xml:space="preserve">&lt;p&gt; </w:t>
      </w:r>
      <w:r>
        <w:rPr>
          <w:rStyle w:val="Codetext"/>
        </w:rPr>
        <w:t xml:space="preserve">In   a hole in the ground there lived a hobbit.  </w:t>
      </w:r>
      <w:r>
        <w:rPr>
          <w:rStyle w:val="Code"/>
        </w:rPr>
        <w:t>&lt;/p&gt;</w:t>
      </w:r>
    </w:p>
    <w:p w14:paraId="1F31F527" w14:textId="77777777">
      <w:pPr>
        <w:pStyle w:val="Lista3"/>
      </w:pPr>
      <w:r>
        <w:rPr>
          <w:rStyle w:val="Code"/>
        </w:rPr>
        <w:t>&lt;p&gt;</w:t>
      </w:r>
      <w:r>
        <w:rPr>
          <w:rStyle w:val="Code"/>
        </w:rPr>
        <w:br/>
      </w:r>
      <w:r>
        <w:rPr>
          <w:rStyle w:val="Codetext"/>
        </w:rPr>
        <w:t xml:space="preserve">In a hole in the ground </w:t>
      </w:r>
      <w:r>
        <w:rPr>
          <w:rStyle w:val="Codetext"/>
        </w:rPr>
        <w:br/>
        <w:t>there lived a hobbit.</w:t>
      </w:r>
      <w:r>
        <w:rPr>
          <w:rStyle w:val="Codetext"/>
        </w:rPr>
        <w:br/>
      </w:r>
      <w:r>
        <w:rPr>
          <w:rStyle w:val="Code"/>
        </w:rPr>
        <w:t>&lt;/p&gt;</w:t>
      </w:r>
    </w:p>
    <w:p w14:paraId="5A968BAB" w14:textId="77777777">
      <w:pPr>
        <w:pStyle w:val="Lista2"/>
      </w:pPr>
      <w:r>
        <w:t xml:space="preserve">moreover, the transformed text generated from </w:t>
      </w:r>
      <w:r>
        <w:rPr>
          <w:rStyle w:val="Code"/>
        </w:rPr>
        <w:t xml:space="preserve">&lt;p&gt;&lt;lb </w:t>
      </w:r>
      <w:r>
        <w:rPr>
          <w:rStyle w:val="Codeattribute"/>
        </w:rPr>
        <w:t>n</w:t>
      </w:r>
      <w:r>
        <w:rPr>
          <w:rStyle w:val="Code"/>
        </w:rPr>
        <w:t>=</w:t>
      </w:r>
      <w:r>
        <w:rPr>
          <w:rStyle w:val="Codevalue"/>
        </w:rPr>
        <w:t>"1"</w:t>
      </w:r>
      <w:r>
        <w:rPr>
          <w:rStyle w:val="Code"/>
        </w:rPr>
        <w:t>/&gt;</w:t>
      </w:r>
      <w:r>
        <w:rPr>
          <w:rStyle w:val="Codetext"/>
        </w:rPr>
        <w:t xml:space="preserve">In a </w:t>
      </w:r>
      <w:r>
        <w:rPr>
          <w:rStyle w:val="Code"/>
        </w:rPr>
        <w:t>&lt;unclear&gt;</w:t>
      </w:r>
      <w:r>
        <w:rPr>
          <w:rStyle w:val="Codetext"/>
        </w:rPr>
        <w:t>hole</w:t>
      </w:r>
      <w:r>
        <w:rPr>
          <w:rStyle w:val="Code"/>
        </w:rPr>
        <w:t>&lt;/unclear&gt;</w:t>
      </w:r>
      <w:r>
        <w:rPr>
          <w:rStyle w:val="Codetext"/>
        </w:rPr>
        <w:t xml:space="preserve">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i</w:t>
      </w:r>
      <w:r>
        <w:rPr>
          <w:rStyle w:val="Code"/>
        </w:rPr>
        <w:t>&lt;/supplied&gt;</w:t>
      </w:r>
      <w:r>
        <w:rPr>
          <w:rStyle w:val="Codetext"/>
        </w:rPr>
        <w:t>n the ground there lived a hobbit</w:t>
      </w:r>
      <w:r>
        <w:rPr>
          <w:rStyle w:val="Code"/>
        </w:rPr>
        <w:t xml:space="preserve">&lt;g </w:t>
      </w:r>
      <w:r>
        <w:rPr>
          <w:rStyle w:val="Codeattribute"/>
        </w:rPr>
        <w:t>ref</w:t>
      </w:r>
      <w:r>
        <w:rPr>
          <w:rStyle w:val="Code"/>
        </w:rPr>
        <w:t>=</w:t>
      </w:r>
      <w:r>
        <w:rPr>
          <w:rStyle w:val="Codevalue"/>
        </w:rPr>
        <w:t>"sym:floret"</w:t>
      </w:r>
      <w:r>
        <w:rPr>
          <w:rStyle w:val="Code"/>
        </w:rPr>
        <w:t>/&gt;</w:t>
      </w:r>
      <w:r>
        <w:rPr>
          <w:rStyle w:val="Codetext"/>
        </w:rPr>
        <w:t>*</w:t>
      </w:r>
      <w:r>
        <w:rPr>
          <w:rStyle w:val="Code"/>
        </w:rPr>
        <w:t>&lt;/g&gt;&lt;/p&gt;</w:t>
      </w:r>
      <w:r>
        <w:t xml:space="preserve"> will normally not be affected by any of the following alterations:</w:t>
      </w:r>
    </w:p>
    <w:p w14:paraId="5C79094B" w14:textId="77777777">
      <w:pPr>
        <w:pStyle w:val="Lista3"/>
      </w:pPr>
      <w:r>
        <w:rPr>
          <w:rStyle w:val="Code"/>
        </w:rPr>
        <w:t xml:space="preserve">... &lt;unclear&gt;  </w:t>
      </w:r>
      <w:r>
        <w:rPr>
          <w:rStyle w:val="Codetext"/>
        </w:rPr>
        <w:t xml:space="preserve">hole </w:t>
      </w:r>
      <w:r>
        <w:rPr>
          <w:rStyle w:val="Code"/>
        </w:rPr>
        <w:t>&lt;/unclear&gt;</w:t>
      </w:r>
      <w:r>
        <w:rPr>
          <w:rStyle w:val="Codetext"/>
        </w:rPr>
        <w:t xml:space="preserve"> ...</w:t>
      </w:r>
    </w:p>
    <w:p w14:paraId="2A666AD9" w14:textId="77777777">
      <w:pPr>
        <w:pStyle w:val="Lista4"/>
      </w:pPr>
      <w:r>
        <w:lastRenderedPageBreak/>
        <w:t xml:space="preserve">the space at the beginning and end of the text content of the </w:t>
      </w:r>
      <w:r>
        <w:rPr>
          <w:rStyle w:val="Code"/>
        </w:rPr>
        <w:t>&lt;unclear&gt;</w:t>
      </w:r>
      <w:r>
        <w:t xml:space="preserve"> element is trimmed</w:t>
      </w:r>
    </w:p>
    <w:p w14:paraId="361DD030" w14:textId="77777777">
      <w:pPr>
        <w:pStyle w:val="Lista3"/>
      </w:pPr>
      <w:r>
        <w:rPr>
          <w:rStyle w:val="Code"/>
        </w:rPr>
        <w:t xml:space="preserve">...&lt;supplied </w:t>
      </w:r>
      <w:r>
        <w:rPr>
          <w:rStyle w:val="Codeattribute"/>
        </w:rPr>
        <w:t>reason</w:t>
      </w:r>
      <w:r>
        <w:rPr>
          <w:rStyle w:val="Code"/>
        </w:rPr>
        <w:t>=</w:t>
      </w:r>
      <w:r>
        <w:rPr>
          <w:rStyle w:val="Codevalue"/>
        </w:rPr>
        <w:t>"omitted"</w:t>
      </w:r>
      <w:r>
        <w:rPr>
          <w:rStyle w:val="Code"/>
        </w:rPr>
        <w:t xml:space="preserve">&gt; </w:t>
      </w:r>
      <w:r>
        <w:rPr>
          <w:rStyle w:val="Codetext"/>
        </w:rPr>
        <w:t xml:space="preserve">i </w:t>
      </w:r>
      <w:r>
        <w:rPr>
          <w:rStyle w:val="Code"/>
        </w:rPr>
        <w:t>&lt;/supplied&gt;</w:t>
      </w:r>
      <w:r>
        <w:rPr>
          <w:rStyle w:val="Codetext"/>
        </w:rPr>
        <w:t>n the...</w:t>
      </w:r>
    </w:p>
    <w:p w14:paraId="30C8949C" w14:textId="77777777">
      <w:pPr>
        <w:pStyle w:val="Lista4"/>
      </w:pPr>
      <w:r>
        <w:t xml:space="preserve">the space at the beginning and end of the text content of the </w:t>
      </w:r>
      <w:r>
        <w:rPr>
          <w:rStyle w:val="Code"/>
        </w:rPr>
        <w:t>&lt;supplied&gt;</w:t>
      </w:r>
      <w:r>
        <w:t xml:space="preserve"> element is trimmed</w:t>
      </w:r>
    </w:p>
    <w:p w14:paraId="19F9EFFA" w14:textId="77777777">
      <w:pPr>
        <w:pStyle w:val="Lista2"/>
      </w:pPr>
      <w:r>
        <w:t xml:space="preserve">however, each of the following alterations </w:t>
      </w:r>
      <w:r>
        <w:rPr>
          <w:b/>
          <w:bCs/>
        </w:rPr>
        <w:t>will</w:t>
      </w:r>
      <w:r>
        <w:t xml:space="preserve"> affect the output:</w:t>
      </w:r>
    </w:p>
    <w:p w14:paraId="2478125A" w14:textId="77777777">
      <w:pPr>
        <w:pStyle w:val="Lista3"/>
      </w:pPr>
      <w:r>
        <w:rPr>
          <w:rStyle w:val="Code"/>
        </w:rPr>
        <w:t xml:space="preserve">&lt;p&gt;&lt;lb </w:t>
      </w:r>
      <w:r>
        <w:rPr>
          <w:rStyle w:val="Codeattribute"/>
        </w:rPr>
        <w:t>n</w:t>
      </w:r>
      <w:r>
        <w:rPr>
          <w:rStyle w:val="Code"/>
        </w:rPr>
        <w:t>=</w:t>
      </w:r>
      <w:r>
        <w:rPr>
          <w:rStyle w:val="Codevalue"/>
        </w:rPr>
        <w:t>"1"</w:t>
      </w:r>
      <w:r>
        <w:rPr>
          <w:rStyle w:val="Code"/>
        </w:rPr>
        <w:t xml:space="preserve">/&gt; </w:t>
      </w:r>
      <w:r>
        <w:rPr>
          <w:rStyle w:val="Codetext"/>
        </w:rPr>
        <w:t>In a …</w:t>
      </w:r>
    </w:p>
    <w:p w14:paraId="2D64D9F1" w14:textId="77777777">
      <w:pPr>
        <w:pStyle w:val="Lista4"/>
      </w:pPr>
      <w:r>
        <w:t xml:space="preserve">the space before “In” will not be trimmed as is not at the beginning of an element’s content (because </w:t>
      </w:r>
      <w:r>
        <w:rPr>
          <w:rStyle w:val="Code"/>
        </w:rPr>
        <w:t>&lt;lb/&gt;</w:t>
      </w:r>
      <w:r>
        <w:t xml:space="preserve"> is not a container, while the container </w:t>
      </w:r>
      <w:r>
        <w:rPr>
          <w:rStyle w:val="Code"/>
        </w:rPr>
        <w:t>&lt;p&gt;</w:t>
      </w:r>
      <w:r>
        <w:t xml:space="preserve">’s content begins with </w:t>
      </w:r>
      <w:r>
        <w:rPr>
          <w:rStyle w:val="Code"/>
        </w:rPr>
        <w:t>&lt;lb/&gt;</w:t>
      </w:r>
      <w:r>
        <w:t>, not with the space)</w:t>
      </w:r>
    </w:p>
    <w:p w14:paraId="1109C4D3" w14:textId="77777777">
      <w:pPr>
        <w:pStyle w:val="Lista3"/>
      </w:pPr>
      <w:r>
        <w:rPr>
          <w:rStyle w:val="Code"/>
        </w:rPr>
        <w:t xml:space="preserve">&lt;p&gt;&lt;lb </w:t>
      </w:r>
      <w:r>
        <w:rPr>
          <w:rStyle w:val="Codeattribute"/>
        </w:rPr>
        <w:t>n</w:t>
      </w:r>
      <w:r>
        <w:rPr>
          <w:rStyle w:val="Code"/>
        </w:rPr>
        <w:t>=</w:t>
      </w:r>
      <w:r>
        <w:rPr>
          <w:rStyle w:val="Codevalue"/>
        </w:rPr>
        <w:t>"1"</w:t>
      </w:r>
      <w:r>
        <w:rPr>
          <w:rStyle w:val="Code"/>
        </w:rPr>
        <w:t>/&gt;</w:t>
      </w:r>
      <w:r>
        <w:rPr>
          <w:rStyle w:val="Codetext"/>
        </w:rPr>
        <w:t>In a</w:t>
      </w:r>
      <w:r>
        <w:rPr>
          <w:rStyle w:val="Code"/>
        </w:rPr>
        <w:t xml:space="preserve">&lt;unclear&gt; </w:t>
      </w:r>
      <w:r>
        <w:rPr>
          <w:rStyle w:val="Codetext"/>
        </w:rPr>
        <w:t>hole</w:t>
      </w:r>
      <w:r>
        <w:rPr>
          <w:rStyle w:val="Code"/>
        </w:rPr>
        <w:t>&lt;/unclear&gt;</w:t>
      </w:r>
    </w:p>
    <w:p w14:paraId="3ED09710" w14:textId="77777777">
      <w:pPr>
        <w:pStyle w:val="Lista4"/>
      </w:pPr>
      <w:r>
        <w:t xml:space="preserve">the space moved from a position after “a” to one before “hole” within </w:t>
      </w:r>
      <w:r>
        <w:rPr>
          <w:rStyle w:val="Code"/>
        </w:rPr>
        <w:t>&lt;unclear&gt;</w:t>
      </w:r>
      <w:r>
        <w:t xml:space="preserve"> will be trimmed, since it is now the first in that element</w:t>
      </w:r>
    </w:p>
    <w:p w14:paraId="6340146E" w14:textId="77777777">
      <w:pPr>
        <w:pStyle w:val="Lista3"/>
      </w:pPr>
      <w:r>
        <w:rPr>
          <w:rStyle w:val="Code"/>
        </w:rPr>
        <w:t>...&lt;unclear&gt;</w:t>
      </w:r>
      <w:r>
        <w:rPr>
          <w:rStyle w:val="Codetext"/>
        </w:rPr>
        <w:t>hole</w:t>
      </w:r>
      <w:r>
        <w:rPr>
          <w:rStyle w:val="Code"/>
        </w:rPr>
        <w:t xml:space="preserve">&lt;/unclear&gt;&lt;supplied </w:t>
      </w:r>
      <w:r>
        <w:rPr>
          <w:rStyle w:val="Codeattribute"/>
        </w:rPr>
        <w:t>reason</w:t>
      </w:r>
      <w:r>
        <w:rPr>
          <w:rStyle w:val="Code"/>
        </w:rPr>
        <w:t>=</w:t>
      </w:r>
      <w:r>
        <w:rPr>
          <w:rStyle w:val="Codevalue"/>
        </w:rPr>
        <w:t>"omitted"</w:t>
      </w:r>
      <w:r>
        <w:rPr>
          <w:rStyle w:val="Code"/>
        </w:rPr>
        <w:t>&gt;</w:t>
      </w:r>
      <w:r>
        <w:rPr>
          <w:rStyle w:val="Codetext"/>
        </w:rPr>
        <w:t>i</w:t>
      </w:r>
      <w:r>
        <w:rPr>
          <w:rStyle w:val="Code"/>
        </w:rPr>
        <w:t>&lt;/supplied&gt;</w:t>
      </w:r>
      <w:r>
        <w:rPr>
          <w:rStyle w:val="Codetext"/>
        </w:rPr>
        <w:t>n the...</w:t>
      </w:r>
    </w:p>
    <w:p w14:paraId="2C5CB513" w14:textId="77777777">
      <w:pPr>
        <w:pStyle w:val="Lista4"/>
      </w:pPr>
      <w:r>
        <w:t xml:space="preserve">the deleted space between </w:t>
      </w:r>
      <w:r>
        <w:rPr>
          <w:rStyle w:val="Code"/>
        </w:rPr>
        <w:t>&lt;/unclear&gt;</w:t>
      </w:r>
      <w:r>
        <w:t xml:space="preserve"> and </w:t>
      </w:r>
      <w:r>
        <w:rPr>
          <w:rStyle w:val="Code"/>
        </w:rPr>
        <w:t>&lt;supplied&gt;</w:t>
      </w:r>
      <w:r>
        <w:t xml:space="preserve"> will not be automatically added in processing</w:t>
      </w:r>
    </w:p>
    <w:p w14:paraId="7B9B7011" w14:textId="77777777">
      <w:pPr>
        <w:pStyle w:val="Lista3"/>
      </w:pPr>
      <w:r>
        <w:rPr>
          <w:rStyle w:val="Codetext"/>
        </w:rPr>
        <w:t xml:space="preserve">... there lived a hobbit </w:t>
      </w:r>
      <w:r>
        <w:rPr>
          <w:rStyle w:val="Code"/>
        </w:rPr>
        <w:t xml:space="preserve">&lt;g </w:t>
      </w:r>
      <w:r>
        <w:rPr>
          <w:rStyle w:val="Codeattribute"/>
        </w:rPr>
        <w:t>ref</w:t>
      </w:r>
      <w:r>
        <w:rPr>
          <w:rStyle w:val="Code"/>
        </w:rPr>
        <w:t>=</w:t>
      </w:r>
      <w:r>
        <w:rPr>
          <w:rStyle w:val="Codevalue"/>
        </w:rPr>
        <w:t>"sym:floret"</w:t>
      </w:r>
      <w:r>
        <w:rPr>
          <w:rStyle w:val="Code"/>
        </w:rPr>
        <w:t>/&gt;</w:t>
      </w:r>
      <w:r>
        <w:rPr>
          <w:rStyle w:val="Codetext"/>
        </w:rPr>
        <w:t>*</w:t>
      </w:r>
      <w:r>
        <w:rPr>
          <w:rStyle w:val="Code"/>
        </w:rPr>
        <w:t>&lt;/g&gt;&lt;/p&gt;</w:t>
      </w:r>
    </w:p>
    <w:p w14:paraId="15273809" w14:textId="77777777">
      <w:pPr>
        <w:pStyle w:val="Lista4"/>
      </w:pPr>
      <w:r>
        <w:t>the added space after “hobbit” is not the last in the content of any element, so it will not be trimmed</w:t>
      </w:r>
    </w:p>
    <w:p w14:paraId="1C9D6E7D" w14:textId="77777777">
      <w:pPr>
        <w:pStyle w:val="Cmsor2"/>
      </w:pPr>
      <w:bookmarkStart w:id="1089" w:name="_8hshbbqbehg5" w:colFirst="0" w:colLast="0"/>
      <w:bookmarkStart w:id="1090" w:name="_7ept2hrl5gak" w:colFirst="0" w:colLast="0"/>
      <w:bookmarkStart w:id="1091" w:name="_Ref43978660"/>
      <w:bookmarkStart w:id="1092" w:name="_Toc242889673"/>
      <w:bookmarkEnd w:id="1089"/>
      <w:bookmarkEnd w:id="1090"/>
      <w:r>
        <w:t>Top to bottom hierarchy</w:t>
      </w:r>
      <w:bookmarkEnd w:id="1091"/>
      <w:bookmarkEnd w:id="1092"/>
    </w:p>
    <w:p w14:paraId="5EA4743F" w14:textId="77777777">
      <w:pPr>
        <w:pStyle w:val="Lista"/>
      </w:pPr>
      <w:r>
        <w:t>while applying markup to encode various features, it is useful to keep in mind the rough hierarchy outlined below</w:t>
      </w:r>
    </w:p>
    <w:p w14:paraId="660C6F9F" w14:textId="77777777">
      <w:pPr>
        <w:pStyle w:val="Lista2"/>
      </w:pPr>
      <w:r>
        <w:t>the tiers presented below comprise an arbitrary hierarchy practical for our purposes, which does not wholly coincide with the XML hierarchy of TEI documents in general</w:t>
      </w:r>
    </w:p>
    <w:p w14:paraId="062325B2" w14:textId="77777777">
      <w:pPr>
        <w:pStyle w:val="Lista2"/>
      </w:pPr>
      <w:r>
        <w:t>any element of a particular tier may contain elements of a lower tier and in many cases also elements of the same tier, but may not contain elements of a higher tier</w:t>
      </w:r>
    </w:p>
    <w:p w14:paraId="0D69C59B" w14:textId="77777777">
      <w:pPr>
        <w:pStyle w:val="Lista2"/>
      </w:pPr>
      <w:r>
        <w:t xml:space="preserve">in case of overlap, elements lower in the hierarchy must give way to higher-tier elements, i.e. the lower-tier element must be split into two parts across the boundary of the higher-tier element </w:t>
      </w:r>
      <w:r>
        <w:rPr>
          <w:noProof/>
        </w:rPr>
        <w:t>(</w:t>
      </w:r>
      <w:r>
        <w:t>examples below)</w:t>
      </w:r>
    </w:p>
    <w:p w14:paraId="2DCE77AB" w14:textId="77777777">
      <w:pPr>
        <w:pStyle w:val="Cmsor3"/>
      </w:pPr>
      <w:bookmarkStart w:id="1093" w:name="_oo0c5sndse6h" w:colFirst="0" w:colLast="0"/>
      <w:bookmarkStart w:id="1094" w:name="_Ref43979443"/>
      <w:bookmarkStart w:id="1095" w:name="_Toc242889674"/>
      <w:bookmarkEnd w:id="1093"/>
      <w:r>
        <w:t>Tier 1, block-level elements representing XML structure and extrinsic structure</w:t>
      </w:r>
      <w:bookmarkEnd w:id="1094"/>
      <w:bookmarkEnd w:id="1095"/>
    </w:p>
    <w:p w14:paraId="64D1A2FA" w14:textId="77777777">
      <w:pPr>
        <w:pStyle w:val="Lista"/>
      </w:pPr>
      <w:r>
        <w:t xml:space="preserve">text divisions: the edition </w:t>
      </w:r>
      <w:r>
        <w:rPr>
          <w:rStyle w:val="Code"/>
        </w:rPr>
        <w:t>&lt;div&gt;</w:t>
      </w:r>
      <w:r>
        <w:t xml:space="preserve"> wraps everything within your edition</w:t>
      </w:r>
    </w:p>
    <w:p w14:paraId="59663213" w14:textId="43FFE919">
      <w:pPr>
        <w:pStyle w:val="Lista"/>
      </w:pPr>
      <w:r>
        <w:t xml:space="preserve">if textpart divisions </w:t>
      </w:r>
      <w:r>
        <w:rPr>
          <w:noProof/>
        </w:rPr>
        <w:t>(</w:t>
      </w:r>
      <w:r>
        <w:t>§</w:t>
      </w:r>
      <w:r>
        <w:fldChar w:fldCharType="begin"/>
      </w:r>
      <w:r>
        <w:instrText xml:space="preserve"> REF _Ref225778181 \r \h </w:instrText>
      </w:r>
      <w:r>
        <w:fldChar w:fldCharType="separate"/>
      </w:r>
      <w:r>
        <w:t>4.2</w:t>
      </w:r>
      <w:r>
        <w:fldChar w:fldCharType="end"/>
      </w:r>
      <w:r>
        <w:t xml:space="preserve">) are present, then these are the direct children of the edition </w:t>
      </w:r>
      <w:r>
        <w:rPr>
          <w:rStyle w:val="Code"/>
        </w:rPr>
        <w:t>&lt;div&gt;</w:t>
      </w:r>
      <w:r>
        <w:t xml:space="preserve"> and wrap everything else</w:t>
      </w:r>
    </w:p>
    <w:p w14:paraId="409BFA43" w14:textId="77777777">
      <w:pPr>
        <w:pStyle w:val="Cmsor3"/>
      </w:pPr>
      <w:bookmarkStart w:id="1096" w:name="_avslxtgod3of" w:colFirst="0" w:colLast="0"/>
      <w:bookmarkStart w:id="1097" w:name="_Toc242889675"/>
      <w:bookmarkEnd w:id="1096"/>
      <w:r>
        <w:t>Tier 2, block-level elements representing intrinsic structure</w:t>
      </w:r>
      <w:bookmarkEnd w:id="1097"/>
    </w:p>
    <w:p w14:paraId="3ADCC3BE" w14:textId="77777777">
      <w:pPr>
        <w:pStyle w:val="Lista"/>
      </w:pPr>
      <w:r>
        <w:t xml:space="preserve">all text in your edition must be contained in one of the block-level elements representing intrinsic structure: </w:t>
      </w:r>
      <w:r>
        <w:rPr>
          <w:rStyle w:val="Code"/>
        </w:rPr>
        <w:t>&lt;p&gt;</w:t>
      </w:r>
      <w:r>
        <w:t xml:space="preserve">, </w:t>
      </w:r>
      <w:r>
        <w:rPr>
          <w:rStyle w:val="Code"/>
        </w:rPr>
        <w:t>&lt;ab&gt;</w:t>
      </w:r>
      <w:r>
        <w:t xml:space="preserve">, or </w:t>
      </w:r>
      <w:r>
        <w:rPr>
          <w:rStyle w:val="Code"/>
        </w:rPr>
        <w:t>&lt;lg&gt;</w:t>
      </w:r>
      <w:r>
        <w:t xml:space="preserve"> and </w:t>
      </w:r>
      <w:r>
        <w:rPr>
          <w:rStyle w:val="Code"/>
        </w:rPr>
        <w:t>&lt;l&gt;</w:t>
      </w:r>
    </w:p>
    <w:p w14:paraId="424E1CFA" w14:textId="77777777">
      <w:pPr>
        <w:pStyle w:val="Lista"/>
      </w:pPr>
      <w:r>
        <w:t>these elements must appear directly within the divisions, never outside them</w:t>
      </w:r>
    </w:p>
    <w:p w14:paraId="49BA6B33" w14:textId="77777777">
      <w:pPr>
        <w:pStyle w:val="Lista"/>
      </w:pPr>
      <w:r>
        <w:t xml:space="preserve">these elements must never be nested inside another element of this tier, except that </w:t>
      </w:r>
      <w:r>
        <w:rPr>
          <w:rStyle w:val="Code"/>
        </w:rPr>
        <w:t>&lt;l&gt;</w:t>
      </w:r>
      <w:r>
        <w:t xml:space="preserve"> elements must always be nested in </w:t>
      </w:r>
      <w:r>
        <w:rPr>
          <w:rStyle w:val="Code"/>
        </w:rPr>
        <w:t>&lt;lg&gt;</w:t>
      </w:r>
      <w:r>
        <w:t xml:space="preserve"> elements</w:t>
      </w:r>
    </w:p>
    <w:p w14:paraId="0FAF6F34" w14:textId="1374D8FC">
      <w:pPr>
        <w:pStyle w:val="Lista"/>
      </w:pPr>
      <w:r>
        <w:t xml:space="preserve">as a special block-level container, </w:t>
      </w:r>
      <w:r>
        <w:rPr>
          <w:rStyle w:val="Code"/>
        </w:rPr>
        <w:t>&lt;fw&gt;</w:t>
      </w:r>
      <w:r>
        <w:t xml:space="preserve"> will normally be nested within one of the above regular block-level containers, but may in some unlikely cases be outside them </w:t>
      </w:r>
      <w:r>
        <w:rPr>
          <w:noProof/>
        </w:rPr>
        <w:t>(</w:t>
      </w:r>
      <w:r>
        <w:t>§</w:t>
      </w:r>
      <w:r>
        <w:fldChar w:fldCharType="begin"/>
      </w:r>
      <w:r>
        <w:instrText xml:space="preserve"> REF _Ref43984607 \w \h  \* MERGEFORMAT </w:instrText>
      </w:r>
      <w:r>
        <w:fldChar w:fldCharType="separate"/>
      </w:r>
      <w:r>
        <w:t>4.7.2</w:t>
      </w:r>
      <w:r>
        <w:fldChar w:fldCharType="end"/>
      </w:r>
      <w:r>
        <w:t>)</w:t>
      </w:r>
    </w:p>
    <w:p w14:paraId="5849D20A" w14:textId="77777777">
      <w:pPr>
        <w:pStyle w:val="Lista"/>
        <w:rPr>
          <w:rStyle w:val="Code"/>
          <w:rFonts w:ascii="Gentium" w:hAnsi="Gentium" w:cs="Tiro Devanagari Sanskrit"/>
          <w:noProof w:val="0"/>
          <w:color w:val="auto"/>
          <w:shd w:val="clear" w:color="auto" w:fill="auto"/>
        </w:rPr>
      </w:pPr>
      <w:r>
        <w:t xml:space="preserve">as a special block-level container, </w:t>
      </w:r>
      <w:r>
        <w:rPr>
          <w:rStyle w:val="Code"/>
        </w:rPr>
        <w:t>&lt;list&gt;</w:t>
      </w:r>
      <w:r>
        <w:t xml:space="preserve"> will always be nested within </w:t>
      </w:r>
      <w:r>
        <w:rPr>
          <w:rStyle w:val="Code"/>
        </w:rPr>
        <w:t>&lt;p&gt;</w:t>
      </w:r>
    </w:p>
    <w:p w14:paraId="230BB3A9" w14:textId="77777777">
      <w:pPr>
        <w:pStyle w:val="Cmsor3"/>
      </w:pPr>
      <w:bookmarkStart w:id="1098" w:name="_Toc242889676"/>
      <w:r>
        <w:t>Tier 2A, phrase-level elements representing semantic information</w:t>
      </w:r>
      <w:bookmarkEnd w:id="1098"/>
    </w:p>
    <w:p w14:paraId="12F80EB3" w14:textId="77777777">
      <w:pPr>
        <w:pStyle w:val="Lista"/>
      </w:pPr>
      <w:r>
        <w:t>elements belonging to this tier include those used in encoding</w:t>
      </w:r>
    </w:p>
    <w:p w14:paraId="51589443" w14:textId="4FCE1AC1">
      <w:pPr>
        <w:pStyle w:val="Lista2"/>
      </w:pPr>
      <w:r>
        <w:t>language (§</w:t>
      </w:r>
      <w:r>
        <w:fldChar w:fldCharType="begin"/>
      </w:r>
      <w:r>
        <w:instrText xml:space="preserve"> REF _Ref232070683 \r \h </w:instrText>
      </w:r>
      <w:r>
        <w:fldChar w:fldCharType="separate"/>
      </w:r>
      <w:r>
        <w:t>8.1</w:t>
      </w:r>
      <w:r>
        <w:fldChar w:fldCharType="end"/>
      </w:r>
      <w:r>
        <w:t xml:space="preserve">) and script </w:t>
      </w:r>
      <w:r>
        <w:rPr>
          <w:noProof/>
        </w:rPr>
        <w:t>(</w:t>
      </w:r>
      <w:r>
        <w:t>§</w:t>
      </w:r>
      <w:r>
        <w:fldChar w:fldCharType="begin"/>
      </w:r>
      <w:r>
        <w:instrText xml:space="preserve"> REF _Ref231979678 \r \h </w:instrText>
      </w:r>
      <w:r>
        <w:fldChar w:fldCharType="separate"/>
      </w:r>
      <w:r>
        <w:t>8.2</w:t>
      </w:r>
      <w:r>
        <w:fldChar w:fldCharType="end"/>
      </w:r>
      <w:r>
        <w:t>)</w:t>
      </w:r>
    </w:p>
    <w:p w14:paraId="4E3CA0C3" w14:textId="3EEDC86F">
      <w:pPr>
        <w:pStyle w:val="Lista2"/>
      </w:pPr>
      <w:r>
        <w:t xml:space="preserve">interpretive markup, e.g. for numbers </w:t>
      </w:r>
      <w:r>
        <w:rPr>
          <w:noProof/>
        </w:rPr>
        <w:t>(</w:t>
      </w:r>
      <w:r>
        <w:t>§</w:t>
      </w:r>
      <w:r>
        <w:fldChar w:fldCharType="begin"/>
      </w:r>
      <w:r>
        <w:instrText xml:space="preserve"> REF _Ref43980607 \r \h  \* MERGEFORMAT </w:instrText>
      </w:r>
      <w:r>
        <w:fldChar w:fldCharType="separate"/>
      </w:r>
      <w:r>
        <w:t>9.1</w:t>
      </w:r>
      <w:r>
        <w:fldChar w:fldCharType="end"/>
      </w:r>
      <w:r>
        <w:t xml:space="preserve">) and abbreviations </w:t>
      </w:r>
      <w:r>
        <w:rPr>
          <w:noProof/>
        </w:rPr>
        <w:t>(</w:t>
      </w:r>
      <w:r>
        <w:t>§</w:t>
      </w:r>
      <w:r>
        <w:fldChar w:fldCharType="begin"/>
      </w:r>
      <w:r>
        <w:instrText xml:space="preserve"> REF _Ref232002201 \r \h </w:instrText>
      </w:r>
      <w:r>
        <w:fldChar w:fldCharType="separate"/>
      </w:r>
      <w:r>
        <w:t>9.2</w:t>
      </w:r>
      <w:r>
        <w:fldChar w:fldCharType="end"/>
      </w:r>
      <w:r>
        <w:t>)</w:t>
      </w:r>
    </w:p>
    <w:p w14:paraId="06F02B31" w14:textId="77777777">
      <w:pPr>
        <w:pStyle w:val="Lista"/>
      </w:pPr>
      <w:r>
        <w:t>such phrase-level markup encoding semantic or descriptive information about specific characters must</w:t>
      </w:r>
    </w:p>
    <w:p w14:paraId="46B59BD1" w14:textId="77777777">
      <w:pPr>
        <w:pStyle w:val="Lista2"/>
      </w:pPr>
      <w:r>
        <w:t>always be contained within tier-2 elements</w:t>
      </w:r>
    </w:p>
    <w:p w14:paraId="4027706D" w14:textId="77777777">
      <w:pPr>
        <w:pStyle w:val="Lista2"/>
      </w:pPr>
      <w:r>
        <w:lastRenderedPageBreak/>
        <w:t>split into parts when they overlap a boundary between tier-2 elements</w:t>
      </w:r>
    </w:p>
    <w:p w14:paraId="4410D4B9" w14:textId="77777777">
      <w:pPr>
        <w:pStyle w:val="Lista"/>
      </w:pPr>
      <w:r>
        <w:t>there is no technical reason preventing such elements from containing any lower-tier element, but since the semantic properties encoded by these elements do not in fact pertain to tier-3 elements, it is good practice to split these elements into parts around tier-3 elements when feasible</w:t>
      </w:r>
    </w:p>
    <w:p w14:paraId="54BD8FDA" w14:textId="77777777">
      <w:pPr>
        <w:pStyle w:val="Cmsor3"/>
      </w:pPr>
      <w:bookmarkStart w:id="1099" w:name="_b4084bcsknv2" w:colFirst="0" w:colLast="0"/>
      <w:bookmarkStart w:id="1100" w:name="_Ref43979552"/>
      <w:bookmarkStart w:id="1101" w:name="_Toc242889677"/>
      <w:bookmarkEnd w:id="1099"/>
      <w:r>
        <w:t>Tier 3, empty elements representing extrinsic structure</w:t>
      </w:r>
      <w:bookmarkEnd w:id="1100"/>
      <w:bookmarkEnd w:id="1101"/>
    </w:p>
    <w:p w14:paraId="07448573" w14:textId="5A367EB3">
      <w:pPr>
        <w:pStyle w:val="Lista"/>
      </w:pPr>
      <w:r>
        <w:t xml:space="preserve">elements marking transition points, namely line beginnings </w:t>
      </w:r>
      <w:r>
        <w:rPr>
          <w:noProof/>
        </w:rPr>
        <w:t>(</w:t>
      </w:r>
      <w:r>
        <w:t>§</w:t>
      </w:r>
      <w:r>
        <w:fldChar w:fldCharType="begin"/>
      </w:r>
      <w:r>
        <w:instrText xml:space="preserve"> REF _Ref43980100 \r \h  \* MERGEFORMAT </w:instrText>
      </w:r>
      <w:r>
        <w:fldChar w:fldCharType="separate"/>
      </w:r>
      <w:r>
        <w:t>4.5.1</w:t>
      </w:r>
      <w:r>
        <w:fldChar w:fldCharType="end"/>
      </w:r>
      <w:r>
        <w:t xml:space="preserve">), page beginnings </w:t>
      </w:r>
      <w:r>
        <w:rPr>
          <w:noProof/>
        </w:rPr>
        <w:t>(</w:t>
      </w:r>
      <w:r>
        <w:t>§</w:t>
      </w:r>
      <w:r>
        <w:fldChar w:fldCharType="begin"/>
      </w:r>
      <w:r>
        <w:instrText xml:space="preserve"> REF _Ref183083980 \r \h </w:instrText>
      </w:r>
      <w:r>
        <w:fldChar w:fldCharType="separate"/>
      </w:r>
      <w:r>
        <w:t>4.4.2</w:t>
      </w:r>
      <w:r>
        <w:fldChar w:fldCharType="end"/>
      </w:r>
      <w:r>
        <w:t xml:space="preserve">) and pagelike milestones </w:t>
      </w:r>
      <w:r>
        <w:rPr>
          <w:noProof/>
        </w:rPr>
        <w:t>(</w:t>
      </w:r>
      <w:r>
        <w:t>§</w:t>
      </w:r>
      <w:r>
        <w:fldChar w:fldCharType="begin"/>
      </w:r>
      <w:r>
        <w:instrText xml:space="preserve"> REF _Ref43986679 \w \h  \* MERGEFORMAT </w:instrText>
      </w:r>
      <w:r>
        <w:fldChar w:fldCharType="separate"/>
      </w:r>
      <w:r>
        <w:t>4.4.2.1</w:t>
      </w:r>
      <w:r>
        <w:fldChar w:fldCharType="end"/>
      </w:r>
      <w:r>
        <w:t>), must normally be placed within tier-2 elements</w:t>
      </w:r>
      <w:r>
        <w:rPr>
          <w:rStyle w:val="Lbjegyzet-hivatkozs"/>
        </w:rPr>
        <w:footnoteReference w:id="44"/>
      </w:r>
    </w:p>
    <w:p w14:paraId="6AC04BCA" w14:textId="77777777">
      <w:pPr>
        <w:pStyle w:val="Lista2"/>
      </w:pPr>
      <w:r>
        <w:rPr>
          <w:rStyle w:val="Foreign"/>
        </w:rPr>
        <w:t>except</w:t>
      </w:r>
      <w:r>
        <w:t xml:space="preserve"> special cases where such transition points cannot be integrated into the text following them, namely</w:t>
      </w:r>
    </w:p>
    <w:p w14:paraId="6E287B5E" w14:textId="7191D66A">
      <w:pPr>
        <w:pStyle w:val="Lista3"/>
      </w:pPr>
      <w:r>
        <w:t xml:space="preserve">page beginnings for the first and last blank pages of a set of copper plates </w:t>
      </w:r>
      <w:r>
        <w:rPr>
          <w:noProof/>
        </w:rPr>
        <w:t>(</w:t>
      </w:r>
      <w:r>
        <w:t>§</w:t>
      </w:r>
      <w:r>
        <w:fldChar w:fldCharType="begin"/>
      </w:r>
      <w:r>
        <w:instrText xml:space="preserve"> REF _Ref182318940 \r \h </w:instrText>
      </w:r>
      <w:r>
        <w:fldChar w:fldCharType="separate"/>
      </w:r>
      <w:r>
        <w:t>4.4.2.2</w:t>
      </w:r>
      <w:r>
        <w:fldChar w:fldCharType="end"/>
      </w:r>
      <w:r>
        <w:t>), which have no associated text</w:t>
      </w:r>
    </w:p>
    <w:p w14:paraId="2211B013" w14:textId="3FC52B73">
      <w:pPr>
        <w:pStyle w:val="Lista3"/>
      </w:pPr>
      <w:r>
        <w:t xml:space="preserve">reconstructed transition points </w:t>
      </w:r>
      <w:r>
        <w:rPr>
          <w:noProof/>
        </w:rPr>
        <w:t>(</w:t>
      </w:r>
      <w:r>
        <w:t xml:space="preserve">of any kind) in massive initial or medial lacunae </w:t>
      </w:r>
      <w:r>
        <w:rPr>
          <w:noProof/>
        </w:rPr>
        <w:t>(</w:t>
      </w:r>
      <w:r>
        <w:t>§</w:t>
      </w:r>
      <w:r>
        <w:fldChar w:fldCharType="begin"/>
      </w:r>
      <w:r>
        <w:instrText xml:space="preserve"> REF _Ref43981711 \w \h  \* MERGEFORMAT </w:instrText>
      </w:r>
      <w:r>
        <w:fldChar w:fldCharType="separate"/>
      </w:r>
      <w:r>
        <w:t>6.5.4</w:t>
      </w:r>
      <w:r>
        <w:fldChar w:fldCharType="end"/>
      </w:r>
      <w:r>
        <w:t>)</w:t>
      </w:r>
    </w:p>
    <w:p w14:paraId="1B9C842C" w14:textId="77777777">
      <w:pPr>
        <w:pStyle w:val="Cmsor3"/>
      </w:pPr>
      <w:bookmarkStart w:id="1102" w:name="_6kukm0ycu92" w:colFirst="0" w:colLast="0"/>
      <w:bookmarkStart w:id="1103" w:name="_Ref43979566"/>
      <w:bookmarkStart w:id="1104" w:name="_Toc242889678"/>
      <w:bookmarkEnd w:id="1102"/>
      <w:r>
        <w:t>Tier 4, empty elements representing local features</w:t>
      </w:r>
      <w:bookmarkEnd w:id="1103"/>
      <w:bookmarkEnd w:id="1104"/>
    </w:p>
    <w:p w14:paraId="5E875975" w14:textId="71646563">
      <w:pPr>
        <w:pStyle w:val="Lista"/>
      </w:pPr>
      <w:r>
        <w:t xml:space="preserve">elements belonging to this tier are spaces </w:t>
      </w:r>
      <w:r>
        <w:rPr>
          <w:noProof/>
        </w:rPr>
        <w:t>(</w:t>
      </w:r>
      <w:r>
        <w:t>§</w:t>
      </w:r>
      <w:r>
        <w:fldChar w:fldCharType="begin"/>
      </w:r>
      <w:r>
        <w:instrText xml:space="preserve"> REF _Ref43989284 \w \h  \* MERGEFORMAT </w:instrText>
      </w:r>
      <w:r>
        <w:fldChar w:fldCharType="separate"/>
      </w:r>
      <w:r>
        <w:t>5.4.5</w:t>
      </w:r>
      <w:r>
        <w:fldChar w:fldCharType="end"/>
      </w:r>
      <w:r>
        <w:t xml:space="preserve">) and unrestored lacunae </w:t>
      </w:r>
      <w:r>
        <w:rPr>
          <w:noProof/>
        </w:rPr>
        <w:t>(</w:t>
      </w:r>
      <w:r>
        <w:t>§</w:t>
      </w:r>
      <w:r>
        <w:fldChar w:fldCharType="begin"/>
      </w:r>
      <w:r>
        <w:instrText xml:space="preserve"> REF _Ref228460110 \r \h </w:instrText>
      </w:r>
      <w:r>
        <w:fldChar w:fldCharType="separate"/>
      </w:r>
      <w:r>
        <w:t>6.5</w:t>
      </w:r>
      <w:r>
        <w:fldChar w:fldCharType="end"/>
      </w:r>
      <w:r>
        <w:t xml:space="preserve">) including lacunae with known metre </w:t>
      </w:r>
      <w:r>
        <w:rPr>
          <w:noProof/>
        </w:rPr>
        <w:t>(</w:t>
      </w:r>
      <w:r>
        <w:t>§</w:t>
      </w:r>
      <w:r>
        <w:fldChar w:fldCharType="begin"/>
      </w:r>
      <w:r>
        <w:instrText xml:space="preserve"> REF _Ref228275301 \r \h </w:instrText>
      </w:r>
      <w:r>
        <w:fldChar w:fldCharType="separate"/>
      </w:r>
      <w:r>
        <w:t>6.5.2.3</w:t>
      </w:r>
      <w:r>
        <w:fldChar w:fldCharType="end"/>
      </w:r>
      <w:r>
        <w:t>)</w:t>
      </w:r>
    </w:p>
    <w:p w14:paraId="097FD6AB" w14:textId="77777777">
      <w:pPr>
        <w:pStyle w:val="Lista"/>
      </w:pPr>
      <w:r>
        <w:t>these empty elements with a spatial extent must by default be contained within tier-2 elements and must not be placed before the first tier-3 element of a document</w:t>
      </w:r>
    </w:p>
    <w:p w14:paraId="085B0696" w14:textId="15C5E07A">
      <w:pPr>
        <w:pStyle w:val="Lista2"/>
      </w:pPr>
      <w:r>
        <w:rPr>
          <w:rStyle w:val="Foreign"/>
        </w:rPr>
        <w:t>except</w:t>
      </w:r>
      <w:r>
        <w:t xml:space="preserve"> that when necessary, lacuna markup may appear outside an element of intrinsic structure and before the first tier-3 element  </w:t>
      </w:r>
      <w:r>
        <w:rPr>
          <w:noProof/>
        </w:rPr>
        <w:t>(</w:t>
      </w:r>
      <w:r>
        <w:t>§</w:t>
      </w:r>
      <w:r>
        <w:fldChar w:fldCharType="begin"/>
      </w:r>
      <w:r>
        <w:instrText xml:space="preserve"> REF _Ref43981711 \w \h  \* MERGEFORMAT </w:instrText>
      </w:r>
      <w:r>
        <w:fldChar w:fldCharType="separate"/>
      </w:r>
      <w:r>
        <w:t>6.5.4</w:t>
      </w:r>
      <w:r>
        <w:fldChar w:fldCharType="end"/>
      </w:r>
      <w:r>
        <w:t>)</w:t>
      </w:r>
    </w:p>
    <w:p w14:paraId="27185F44" w14:textId="77777777">
      <w:pPr>
        <w:pStyle w:val="Lista"/>
      </w:pPr>
      <w:r>
        <w:t>these empty elements with a spatial extent must give way to elements of tier 3 and above in case of conflict</w:t>
      </w:r>
    </w:p>
    <w:p w14:paraId="6D0B8513" w14:textId="4067EDAB">
      <w:pPr>
        <w:pStyle w:val="Lista2"/>
      </w:pPr>
      <w:r>
        <w:t xml:space="preserve">thus, a space or lacuna interrupted by the start-tag or end-tag of any element of intrinsic structure </w:t>
      </w:r>
      <w:r>
        <w:rPr>
          <w:noProof/>
        </w:rPr>
        <w:t>(</w:t>
      </w:r>
      <w:r>
        <w:t xml:space="preserve">e.g. a verse line) or by an element of extrinsic structure </w:t>
      </w:r>
      <w:r>
        <w:rPr>
          <w:noProof/>
        </w:rPr>
        <w:t>(</w:t>
      </w:r>
      <w:r>
        <w:t xml:space="preserve">e.g. a line break) must be encoded as two separate instances, as in </w:t>
      </w:r>
      <w:r>
        <w:fldChar w:fldCharType="begin"/>
      </w:r>
      <w:r>
        <w:instrText xml:space="preserve"> REF _Ref232070261 \h </w:instrText>
      </w:r>
      <w:r>
        <w:fldChar w:fldCharType="separate"/>
      </w:r>
      <w:r>
        <w:t xml:space="preserve">Exhibit </w:t>
      </w:r>
      <w:r>
        <w:rPr>
          <w:noProof/>
        </w:rPr>
        <w:t>16.2</w:t>
      </w:r>
      <w:r>
        <w:t>.</w:t>
      </w:r>
      <w:r>
        <w:rPr>
          <w:noProof/>
        </w:rPr>
        <w:t>A</w:t>
      </w:r>
      <w:r>
        <w:fldChar w:fldCharType="end"/>
      </w:r>
    </w:p>
    <w:tbl>
      <w:tblPr>
        <w:tblStyle w:val="CodeSampleTable"/>
        <w:tblW w:w="5000" w:type="pct"/>
        <w:tblLook w:val="04A0" w:firstRow="1" w:lastRow="0" w:firstColumn="1" w:lastColumn="0" w:noHBand="0" w:noVBand="1"/>
      </w:tblPr>
      <w:tblGrid>
        <w:gridCol w:w="9628"/>
      </w:tblGrid>
      <w:tr w14:paraId="2006907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DFD0DC7" w14:textId="33ADB801">
            <w:pPr>
              <w:pStyle w:val="Kpalrs"/>
            </w:pPr>
            <w:bookmarkStart w:id="1105" w:name="_Ref232070261"/>
            <w:r>
              <w:t xml:space="preserve">Exhibit </w:t>
            </w:r>
            <w:fldSimple w:instr=" STYLEREF 2 \s ">
              <w:r>
                <w:rPr>
                  <w:noProof/>
                </w:rPr>
                <w:t>16.2</w:t>
              </w:r>
            </w:fldSimple>
            <w:r>
              <w:t>.</w:t>
            </w:r>
            <w:fldSimple w:instr=" SEQ Exhibit \* ALPHABETIC \s 2 ">
              <w:r>
                <w:rPr>
                  <w:noProof/>
                </w:rPr>
                <w:t>A</w:t>
              </w:r>
            </w:fldSimple>
            <w:bookmarkEnd w:id="1105"/>
            <w:r>
              <w:t>: lacuna split across line break</w:t>
            </w:r>
          </w:p>
        </w:tc>
      </w:tr>
      <w:tr w14:paraId="4CE0033E" w14:textId="77777777">
        <w:tc>
          <w:tcPr>
            <w:tcW w:w="5000" w:type="pct"/>
          </w:tcPr>
          <w:p w14:paraId="36E01059" w14:textId="77777777">
            <w:pPr>
              <w:pStyle w:val="CodeParagraph"/>
              <w:keepNext/>
            </w:pPr>
            <w:r>
              <w:rPr>
                <w:rStyle w:val="Code"/>
              </w:rPr>
              <w:t xml:space="preserve">&lt;lb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w:t>
            </w:r>
            <w:r>
              <w:rPr>
                <w:rStyle w:val="Codetext"/>
              </w:rPr>
              <w:t>devyām utpanna</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/&gt;&lt;lb </w:t>
            </w:r>
            <w:r>
              <w:rPr>
                <w:rStyle w:val="Codeattribute"/>
              </w:rPr>
              <w:t>n</w:t>
            </w:r>
            <w:r>
              <w:rPr>
                <w:rStyle w:val="Code"/>
              </w:rPr>
              <w:t>=</w:t>
            </w:r>
            <w:r>
              <w:rPr>
                <w:rStyle w:val="Codevalue"/>
              </w:rPr>
              <w:t>"2"</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w:t>
            </w:r>
            <w:r>
              <w:rPr>
                <w:rStyle w:val="Codetext"/>
              </w:rPr>
              <w:t>ṭṭārikā-devyām utpannaḥ śrī-mahārājeśvaravarmmā...</w:t>
            </w:r>
          </w:p>
        </w:tc>
      </w:tr>
      <w:tr w14:paraId="37F020F0" w14:textId="77777777">
        <w:tc>
          <w:tcPr>
            <w:tcW w:w="5000" w:type="pct"/>
          </w:tcPr>
          <w:p w14:paraId="48E9445B" w14:textId="77777777">
            <w:pPr>
              <w:pStyle w:val="TableNote"/>
              <w:rPr>
                <w:rStyle w:val="Code"/>
              </w:rPr>
            </w:pPr>
            <w:r>
              <w:t xml:space="preserve">here, the lacuna between </w:t>
            </w:r>
            <w:r>
              <w:rPr>
                <w:rStyle w:val="Foreign"/>
              </w:rPr>
              <w:t>utpanna</w:t>
            </w:r>
            <w:r>
              <w:t xml:space="preserve"> and </w:t>
            </w:r>
            <w:r>
              <w:rPr>
                <w:rStyle w:val="Foreign"/>
              </w:rPr>
              <w:t>ṭṭārikā</w:t>
            </w:r>
            <w:r>
              <w:t xml:space="preserve"> is encoded as two separate lacunae, one at the end of line 1, and another at the beginning of line 2; the line beginning element stands between these two</w:t>
            </w:r>
          </w:p>
        </w:tc>
      </w:tr>
    </w:tbl>
    <w:p w14:paraId="122C74C7" w14:textId="77777777">
      <w:pPr>
        <w:pStyle w:val="Cmsor3"/>
      </w:pPr>
      <w:bookmarkStart w:id="1106" w:name="_jr9td4xsvig6" w:colFirst="0" w:colLast="0"/>
      <w:bookmarkStart w:id="1107" w:name="_Ref43987901"/>
      <w:bookmarkStart w:id="1108" w:name="_Toc242889679"/>
      <w:bookmarkEnd w:id="1106"/>
      <w:r>
        <w:t>Tier 5, phrase-level elements</w:t>
      </w:r>
      <w:bookmarkEnd w:id="1107"/>
      <w:r>
        <w:t xml:space="preserve"> representing changes to the text</w:t>
      </w:r>
      <w:bookmarkEnd w:id="1108"/>
    </w:p>
    <w:p w14:paraId="4E88A4BF" w14:textId="77777777">
      <w:pPr>
        <w:pStyle w:val="Lista"/>
      </w:pPr>
      <w:r>
        <w:t>elements belonging to this tier include those used in encoding</w:t>
      </w:r>
    </w:p>
    <w:p w14:paraId="6B2524E7" w14:textId="4D465271">
      <w:pPr>
        <w:pStyle w:val="Lista2"/>
      </w:pPr>
      <w:r>
        <w:t>scribal intervention (§</w:t>
      </w:r>
      <w:r>
        <w:fldChar w:fldCharType="begin"/>
      </w:r>
      <w:r>
        <w:instrText xml:space="preserve"> REF _Ref228799393 \r \h </w:instrText>
      </w:r>
      <w:r>
        <w:fldChar w:fldCharType="separate"/>
      </w:r>
      <w:r>
        <w:t>5.6</w:t>
      </w:r>
      <w:r>
        <w:fldChar w:fldCharType="end"/>
      </w:r>
      <w:r>
        <w:t>)</w:t>
      </w:r>
    </w:p>
    <w:p w14:paraId="0B0592E1" w14:textId="68214F2D">
      <w:pPr>
        <w:pStyle w:val="Lista2"/>
      </w:pPr>
      <w:r>
        <w:t>editorial intervention (§</w:t>
      </w:r>
      <w:r>
        <w:fldChar w:fldCharType="begin"/>
      </w:r>
      <w:r>
        <w:instrText xml:space="preserve"> REF _Ref229054270 \r \h </w:instrText>
      </w:r>
      <w:r>
        <w:fldChar w:fldCharType="separate"/>
      </w:r>
      <w:r>
        <w:t>7.2</w:t>
      </w:r>
      <w:r>
        <w:fldChar w:fldCharType="end"/>
      </w:r>
      <w:r>
        <w:t xml:space="preserve">) and restoration </w:t>
      </w:r>
      <w:r>
        <w:rPr>
          <w:noProof/>
        </w:rPr>
        <w:t>(</w:t>
      </w:r>
      <w:r>
        <w:t>§</w:t>
      </w:r>
      <w:r>
        <w:fldChar w:fldCharType="begin"/>
      </w:r>
      <w:r>
        <w:instrText xml:space="preserve"> REF _Ref228459751 \r \h </w:instrText>
      </w:r>
      <w:r>
        <w:fldChar w:fldCharType="separate"/>
      </w:r>
      <w:r>
        <w:t>6.4</w:t>
      </w:r>
      <w:r>
        <w:fldChar w:fldCharType="end"/>
      </w:r>
      <w:r>
        <w:t xml:space="preserve">) </w:t>
      </w:r>
    </w:p>
    <w:p w14:paraId="6FE07702" w14:textId="77777777">
      <w:pPr>
        <w:pStyle w:val="Lista"/>
      </w:pPr>
      <w:r>
        <w:t>such phrase-level markup must</w:t>
      </w:r>
    </w:p>
    <w:p w14:paraId="11428D8D" w14:textId="77777777">
      <w:pPr>
        <w:pStyle w:val="Lista2"/>
      </w:pPr>
      <w:r>
        <w:t>always be contained within tier-2 elements</w:t>
      </w:r>
    </w:p>
    <w:p w14:paraId="413D1D95" w14:textId="77777777">
      <w:pPr>
        <w:pStyle w:val="Lista2"/>
      </w:pPr>
      <w:r>
        <w:t>in case of conflict give way to elements of tier 4 and above</w:t>
      </w:r>
    </w:p>
    <w:p w14:paraId="60A4C248" w14:textId="47174544">
      <w:pPr>
        <w:pStyle w:val="Lista"/>
      </w:pPr>
      <w:r>
        <w:t xml:space="preserve">thus, such a phrase-level element interrupted by the start-tag or end-tag of any element of intrinsic structure or by an element of extrinsic structure must be encoded as two separate instances as in </w:t>
      </w:r>
      <w:r>
        <w:fldChar w:fldCharType="begin"/>
      </w:r>
      <w:r>
        <w:instrText xml:space="preserve"> REF _Ref232071972 \h </w:instrText>
      </w:r>
      <w:r>
        <w:fldChar w:fldCharType="separate"/>
      </w:r>
      <w:r>
        <w:t xml:space="preserve">Exhibit </w:t>
      </w:r>
      <w:r>
        <w:rPr>
          <w:noProof/>
        </w:rPr>
        <w:t>16.2</w:t>
      </w:r>
      <w:r>
        <w:t>.</w:t>
      </w:r>
      <w:r>
        <w:rPr>
          <w:noProof/>
        </w:rPr>
        <w:t>B</w:t>
      </w:r>
      <w:r>
        <w:fldChar w:fldCharType="end"/>
      </w:r>
    </w:p>
    <w:p w14:paraId="2BBE263D" w14:textId="77777777">
      <w:pPr>
        <w:pStyle w:val="Lista"/>
      </w:pPr>
      <w:r>
        <w:t>these phrase-level elements may be nested inside other tier-5 elements when doing so is essential, so long as overlaps are avoided</w:t>
      </w:r>
    </w:p>
    <w:p w14:paraId="38CDC315" w14:textId="77777777"/>
    <w:tbl>
      <w:tblPr>
        <w:tblStyle w:val="CodeSampleTable"/>
        <w:tblW w:w="5000" w:type="pct"/>
        <w:tblLook w:val="04A0" w:firstRow="1" w:lastRow="0" w:firstColumn="1" w:lastColumn="0" w:noHBand="0" w:noVBand="1"/>
      </w:tblPr>
      <w:tblGrid>
        <w:gridCol w:w="9628"/>
      </w:tblGrid>
      <w:tr w14:paraId="504A7FE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8C1DD10" w14:textId="005DB2A4">
            <w:pPr>
              <w:pStyle w:val="Kpalrs"/>
            </w:pPr>
            <w:bookmarkStart w:id="1109" w:name="_Ref232071972"/>
            <w:r>
              <w:lastRenderedPageBreak/>
              <w:t xml:space="preserve">Exhibit </w:t>
            </w:r>
            <w:fldSimple w:instr=" STYLEREF 2 \s ">
              <w:r>
                <w:rPr>
                  <w:noProof/>
                </w:rPr>
                <w:t>16.2</w:t>
              </w:r>
            </w:fldSimple>
            <w:r>
              <w:t>.</w:t>
            </w:r>
            <w:fldSimple w:instr=" SEQ Exhibit \* ALPHABETIC \s 2 ">
              <w:r>
                <w:rPr>
                  <w:noProof/>
                </w:rPr>
                <w:t>B</w:t>
              </w:r>
            </w:fldSimple>
            <w:bookmarkEnd w:id="1109"/>
            <w:r>
              <w:t>: editorial restoration split across verse lines</w:t>
            </w:r>
          </w:p>
        </w:tc>
      </w:tr>
      <w:tr w14:paraId="38A7BDCA" w14:textId="77777777">
        <w:tc>
          <w:tcPr>
            <w:tcW w:w="5000" w:type="pct"/>
          </w:tcPr>
          <w:p w14:paraId="5518EF78" w14:textId="77777777">
            <w:pPr>
              <w:pStyle w:val="CodeParagraph"/>
              <w:keepNext/>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&gt;</w:t>
            </w:r>
            <w:r>
              <w:rPr>
                <w:rStyle w:val="Codetext"/>
              </w:rPr>
              <w:t>svadattām para-dattām vā</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&gt;</w:t>
            </w:r>
            <w:r>
              <w:rPr>
                <w:rStyle w:val="Codetext"/>
              </w:rPr>
              <w:t>yo hareta va</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sundharām</w:t>
            </w:r>
            <w:r>
              <w:rPr>
                <w:rStyle w:val="Code"/>
              </w:rPr>
              <w:t>&lt;/supplied&gt;&lt;/l&gt;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sa viṣṭhāyāṁ kr̥mir bhūtvā</w:t>
            </w:r>
            <w:r>
              <w:rPr>
                <w:rStyle w:val="Code"/>
              </w:rPr>
              <w:t>&lt;/supplied&gt;&lt;/l&gt;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pitr̥</w:t>
            </w:r>
            <w:r>
              <w:rPr>
                <w:rStyle w:val="Code"/>
              </w:rPr>
              <w:t>&lt;/supplied&gt;</w:t>
            </w:r>
            <w:r>
              <w:rPr>
                <w:rStyle w:val="Codetext"/>
              </w:rPr>
              <w:t>bhiḥ saha pacyate</w:t>
            </w:r>
            <w:r>
              <w:rPr>
                <w:rStyle w:val="Code"/>
              </w:rPr>
              <w:t>&lt;/l&gt;</w:t>
            </w:r>
            <w:r>
              <w:rPr>
                <w:rStyle w:val="Codetext"/>
              </w:rPr>
              <w:br/>
            </w:r>
            <w:r>
              <w:rPr>
                <w:rStyle w:val="Code"/>
              </w:rPr>
              <w:t>&lt;/lg&gt;</w:t>
            </w:r>
          </w:p>
        </w:tc>
      </w:tr>
      <w:tr w14:paraId="3306A1DE" w14:textId="77777777">
        <w:tc>
          <w:tcPr>
            <w:tcW w:w="5000" w:type="pct"/>
          </w:tcPr>
          <w:p w14:paraId="1628B724" w14:textId="77777777">
            <w:pPr>
              <w:pStyle w:val="TableNote"/>
              <w:rPr>
                <w:rStyle w:val="Code"/>
              </w:rPr>
            </w:pPr>
            <w:r>
              <w:t xml:space="preserve">the lost and supplied text in the middle of the stanza is encoded as three separate instances of supplied text: the end of </w:t>
            </w:r>
            <w:r>
              <w:rPr>
                <w:rStyle w:val="Foreign"/>
              </w:rPr>
              <w:t>pāda</w:t>
            </w:r>
            <w:r>
              <w:t xml:space="preserve">s </w:t>
            </w:r>
            <w:r>
              <w:rPr>
                <w:rStyle w:val="Foreign"/>
              </w:rPr>
              <w:t>b</w:t>
            </w:r>
            <w:r>
              <w:t xml:space="preserve">, all of </w:t>
            </w:r>
            <w:r>
              <w:rPr>
                <w:rStyle w:val="Foreign"/>
              </w:rPr>
              <w:t>pāda</w:t>
            </w:r>
            <w:r>
              <w:t xml:space="preserve"> </w:t>
            </w:r>
            <w:r>
              <w:rPr>
                <w:rStyle w:val="Foreign"/>
              </w:rPr>
              <w:t>c</w:t>
            </w:r>
            <w:r>
              <w:t xml:space="preserve">, and the beginning of </w:t>
            </w:r>
            <w:r>
              <w:rPr>
                <w:rStyle w:val="Foreign"/>
              </w:rPr>
              <w:t>pāda</w:t>
            </w:r>
            <w:r>
              <w:t xml:space="preserve"> d</w:t>
            </w:r>
          </w:p>
        </w:tc>
      </w:tr>
    </w:tbl>
    <w:p w14:paraId="207C878F" w14:textId="77777777">
      <w:pPr>
        <w:pStyle w:val="Cmsor3"/>
      </w:pPr>
      <w:bookmarkStart w:id="1110" w:name="_Ref232072486"/>
      <w:bookmarkStart w:id="1111" w:name="_Toc242889680"/>
      <w:r>
        <w:t>Tier 6, unclear</w:t>
      </w:r>
      <w:bookmarkEnd w:id="1110"/>
      <w:bookmarkEnd w:id="1111"/>
    </w:p>
    <w:p w14:paraId="64693E7B" w14:textId="77777777">
      <w:pPr>
        <w:pStyle w:val="Lista"/>
      </w:pPr>
      <w:r>
        <w:t xml:space="preserve">the element </w:t>
      </w:r>
      <w:r>
        <w:rPr>
          <w:rStyle w:val="Code"/>
        </w:rPr>
        <w:t>&lt;unclear&gt;</w:t>
      </w:r>
      <w:r>
        <w:t xml:space="preserve"> must, by EpiDoc rules, contain only text and may never contain any markup elements except </w:t>
      </w:r>
      <w:r>
        <w:rPr>
          <w:rStyle w:val="Code"/>
        </w:rPr>
        <w:t>&lt;g&gt;</w:t>
      </w:r>
      <w:r>
        <w:t>; thus,</w:t>
      </w:r>
    </w:p>
    <w:p w14:paraId="348EE41A" w14:textId="50F7E768">
      <w:pPr>
        <w:pStyle w:val="Lista2"/>
      </w:pPr>
      <w:r>
        <w:t xml:space="preserve">when unclarity overlaps with another encoded feature, it is always </w:t>
      </w:r>
      <w:r>
        <w:rPr>
          <w:rStyle w:val="Code"/>
        </w:rPr>
        <w:t>&lt;unclear&gt;</w:t>
      </w:r>
      <w:r>
        <w:t xml:space="preserve"> that must be split into separate parts inside and outside the other element, as in </w:t>
      </w:r>
      <w:r>
        <w:fldChar w:fldCharType="begin"/>
      </w:r>
      <w:r>
        <w:instrText xml:space="preserve"> REF _Ref44072089 \h  \* MERGEFORMAT </w:instrText>
      </w:r>
      <w:r>
        <w:fldChar w:fldCharType="separate"/>
      </w:r>
      <w:r>
        <w:t xml:space="preserve">Exhibit </w:t>
      </w:r>
      <w:r>
        <w:rPr>
          <w:noProof/>
        </w:rPr>
        <w:t>16.2.C</w:t>
      </w:r>
      <w:r>
        <w:fldChar w:fldCharType="end"/>
      </w:r>
    </w:p>
    <w:p w14:paraId="68D1971A" w14:textId="7F20FF0D">
      <w:pPr>
        <w:pStyle w:val="Lista2"/>
      </w:pPr>
      <w:r>
        <w:t xml:space="preserve">when an unclear stretch contains another encoded feature </w:t>
      </w:r>
      <w:r>
        <w:rPr>
          <w:noProof/>
        </w:rPr>
        <w:t>(</w:t>
      </w:r>
      <w:r>
        <w:t xml:space="preserve">other than </w:t>
      </w:r>
      <w:r>
        <w:rPr>
          <w:rStyle w:val="Code"/>
        </w:rPr>
        <w:t>&lt;g&gt;</w:t>
      </w:r>
      <w:r>
        <w:t xml:space="preserve">), then </w:t>
      </w:r>
      <w:r>
        <w:rPr>
          <w:rStyle w:val="Code"/>
        </w:rPr>
        <w:t>&lt;unclear&gt;</w:t>
      </w:r>
      <w:r>
        <w:t xml:space="preserve"> must be split into separate parts as in </w:t>
      </w:r>
      <w:r>
        <w:fldChar w:fldCharType="begin"/>
      </w:r>
      <w:r>
        <w:instrText xml:space="preserve"> REF _Ref44072159 \h  \* MERGEFORMAT </w:instrText>
      </w:r>
      <w:r>
        <w:fldChar w:fldCharType="separate"/>
      </w:r>
      <w:r>
        <w:t xml:space="preserve">Exhibit </w:t>
      </w:r>
      <w:r>
        <w:rPr>
          <w:noProof/>
        </w:rPr>
        <w:t>16.2.D</w:t>
      </w:r>
      <w:r>
        <w:fldChar w:fldCharType="end"/>
      </w:r>
      <w:r>
        <w:t xml:space="preserve">, to allow the nesting of </w:t>
      </w:r>
      <w:r>
        <w:rPr>
          <w:rStyle w:val="Code"/>
        </w:rPr>
        <w:t>&lt;unclear&gt;</w:t>
      </w:r>
      <w:r>
        <w:t xml:space="preserve"> within the other element instead of the other way round</w:t>
      </w:r>
    </w:p>
    <w:p w14:paraId="4B9EC298" w14:textId="77777777"/>
    <w:tbl>
      <w:tblPr>
        <w:tblStyle w:val="CodeSampleTable"/>
        <w:tblW w:w="5000" w:type="pct"/>
        <w:tblLook w:val="04A0" w:firstRow="1" w:lastRow="0" w:firstColumn="1" w:lastColumn="0" w:noHBand="0" w:noVBand="1"/>
      </w:tblPr>
      <w:tblGrid>
        <w:gridCol w:w="9628"/>
      </w:tblGrid>
      <w:tr w14:paraId="16B51E5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49C2E9E" w14:textId="0A72B459">
            <w:pPr>
              <w:pStyle w:val="Kpalrs"/>
            </w:pPr>
            <w:bookmarkStart w:id="1112" w:name="_Ref44072089"/>
            <w:r>
              <w:t xml:space="preserve">Exhibit </w:t>
            </w:r>
            <w:fldSimple w:instr=" STYLEREF 2 \s ">
              <w:r>
                <w:rPr>
                  <w:noProof/>
                </w:rPr>
                <w:t>16.2</w:t>
              </w:r>
            </w:fldSimple>
            <w:r>
              <w:t>.</w:t>
            </w:r>
            <w:fldSimple w:instr=" SEQ Exhibit \* ALPHABETIC \s 2 ">
              <w:r>
                <w:rPr>
                  <w:noProof/>
                </w:rPr>
                <w:t>C</w:t>
              </w:r>
            </w:fldSimple>
            <w:bookmarkEnd w:id="1112"/>
            <w:r>
              <w:t>: unclear with an overlapping element</w:t>
            </w:r>
          </w:p>
        </w:tc>
      </w:tr>
      <w:tr w14:paraId="60883FD0" w14:textId="77777777">
        <w:tc>
          <w:tcPr>
            <w:tcW w:w="5000" w:type="pct"/>
          </w:tcPr>
          <w:p w14:paraId="3D5AD41D" w14:textId="77777777">
            <w:pPr>
              <w:keepNext/>
              <w:jc w:val="center"/>
              <w:rPr>
                <w:rStyle w:val="Codetext"/>
              </w:rPr>
            </w:pPr>
            <w:r>
              <w:rPr>
                <w:rStyle w:val="Foreign"/>
              </w:rPr>
              <w:t>uktañ ca bhagavatā ve</w:t>
            </w:r>
            <w:r>
              <w:rPr>
                <w:rStyle w:val="Foreign"/>
                <w:dstrike/>
              </w:rPr>
              <w:t>da-vyāsena vyāsena vyā</w:t>
            </w:r>
            <w:r>
              <w:rPr>
                <w:rStyle w:val="Foreign"/>
              </w:rPr>
              <w:t>sena</w:t>
            </w:r>
          </w:p>
        </w:tc>
      </w:tr>
      <w:tr w14:paraId="1400C507" w14:textId="77777777">
        <w:tc>
          <w:tcPr>
            <w:tcW w:w="5000" w:type="pct"/>
          </w:tcPr>
          <w:p w14:paraId="66050240" w14:textId="77777777">
            <w:pPr>
              <w:pStyle w:val="TableNote"/>
              <w:keepNext/>
              <w:ind w:left="0" w:firstLine="0"/>
              <w:contextualSpacing w:val="0"/>
            </w:pPr>
            <w:r>
              <w:t>the stretch struck out in the text above represents unclear text in the original</w:t>
            </w:r>
          </w:p>
          <w:p w14:paraId="69343C78" w14:textId="77777777">
            <w:pPr>
              <w:pStyle w:val="TableNote"/>
              <w:keepNext/>
              <w:ind w:left="0" w:firstLine="0"/>
              <w:contextualSpacing w:val="0"/>
            </w:pPr>
            <w:r>
              <w:t xml:space="preserve">the last iteration of </w:t>
            </w:r>
            <w:r>
              <w:rPr>
                <w:rStyle w:val="Foreign"/>
              </w:rPr>
              <w:t>vyāsena</w:t>
            </w:r>
            <w:r>
              <w:t xml:space="preserve"> is scribal dittography, which you as editor suppress</w:t>
            </w:r>
          </w:p>
        </w:tc>
      </w:tr>
      <w:tr w14:paraId="3AF9BA18" w14:textId="77777777">
        <w:tc>
          <w:tcPr>
            <w:tcW w:w="5000" w:type="pct"/>
          </w:tcPr>
          <w:p w14:paraId="7C935390" w14:textId="77777777">
            <w:pPr>
              <w:pStyle w:val="CodeParagraph"/>
              <w:keepNext/>
            </w:pPr>
            <w:r>
              <w:rPr>
                <w:rStyle w:val="Codetext"/>
              </w:rPr>
              <w:t>uktañ ca bhagavatā ve</w:t>
            </w:r>
            <w:r>
              <w:rPr>
                <w:rStyle w:val="Code"/>
              </w:rPr>
              <w:t>&lt;unclear&gt;</w:t>
            </w:r>
            <w:r>
              <w:rPr>
                <w:rStyle w:val="Codetext"/>
              </w:rPr>
              <w:t>da-vyāsena vyāsena</w:t>
            </w:r>
            <w:r>
              <w:rPr>
                <w:rStyle w:val="Code"/>
              </w:rPr>
              <w:t>&lt;/unclear&gt;</w:t>
            </w:r>
            <w:r>
              <w:rPr>
                <w:rStyle w:val="Codetext"/>
              </w:rPr>
              <w:t xml:space="preserve"> </w:t>
            </w:r>
            <w:r>
              <w:rPr>
                <w:rStyle w:val="Code"/>
              </w:rPr>
              <w:t>&lt;surplus&gt;&lt;unclear&gt;</w:t>
            </w:r>
            <w:r>
              <w:rPr>
                <w:rStyle w:val="Codetext"/>
              </w:rPr>
              <w:t>vyā</w:t>
            </w:r>
            <w:r>
              <w:rPr>
                <w:rStyle w:val="Code"/>
              </w:rPr>
              <w:t>&lt;/unclear&gt;</w:t>
            </w:r>
            <w:r>
              <w:rPr>
                <w:rStyle w:val="Codetext"/>
              </w:rPr>
              <w:t>sena</w:t>
            </w:r>
            <w:r>
              <w:rPr>
                <w:rStyle w:val="Code"/>
              </w:rPr>
              <w:t>&lt;/surplus&gt;</w:t>
            </w:r>
          </w:p>
        </w:tc>
      </w:tr>
      <w:tr w14:paraId="4F9B5F97" w14:textId="77777777">
        <w:tc>
          <w:tcPr>
            <w:tcW w:w="5000" w:type="pct"/>
          </w:tcPr>
          <w:p w14:paraId="1964EB16" w14:textId="77777777">
            <w:pPr>
              <w:pStyle w:val="TableNote"/>
              <w:rPr>
                <w:rStyle w:val="Code"/>
              </w:rPr>
            </w:pPr>
            <w:r>
              <w:t xml:space="preserve">the </w:t>
            </w:r>
            <w:r>
              <w:rPr>
                <w:rStyle w:val="Code"/>
              </w:rPr>
              <w:t>&lt;unclear&gt;</w:t>
            </w:r>
            <w:r>
              <w:t xml:space="preserve"> element is split into two parts, one in the retained text and one in the suppressed segment</w:t>
            </w:r>
          </w:p>
        </w:tc>
      </w:tr>
    </w:tbl>
    <w:p w14:paraId="16AF1154" w14:textId="77777777"/>
    <w:tbl>
      <w:tblPr>
        <w:tblStyle w:val="CodeSampleTable"/>
        <w:tblW w:w="5000" w:type="pct"/>
        <w:tblLook w:val="04A0" w:firstRow="1" w:lastRow="0" w:firstColumn="1" w:lastColumn="0" w:noHBand="0" w:noVBand="1"/>
      </w:tblPr>
      <w:tblGrid>
        <w:gridCol w:w="9628"/>
      </w:tblGrid>
      <w:tr w14:paraId="746486F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5388574" w14:textId="00FC2C91">
            <w:pPr>
              <w:pStyle w:val="Kpalrs"/>
            </w:pPr>
            <w:bookmarkStart w:id="1113" w:name="_Ref44072159"/>
            <w:r>
              <w:t xml:space="preserve">Exhibit </w:t>
            </w:r>
            <w:fldSimple w:instr=" STYLEREF 2 \s ">
              <w:r>
                <w:rPr>
                  <w:noProof/>
                </w:rPr>
                <w:t>16.2</w:t>
              </w:r>
            </w:fldSimple>
            <w:r>
              <w:t>.</w:t>
            </w:r>
            <w:fldSimple w:instr=" SEQ Exhibit \* ALPHABETIC \s 2 ">
              <w:r>
                <w:rPr>
                  <w:noProof/>
                </w:rPr>
                <w:t>D</w:t>
              </w:r>
            </w:fldSimple>
            <w:bookmarkEnd w:id="1113"/>
            <w:r>
              <w:t>: unclear with a nested element</w:t>
            </w:r>
          </w:p>
        </w:tc>
      </w:tr>
      <w:tr w14:paraId="152075D9" w14:textId="77777777">
        <w:tc>
          <w:tcPr>
            <w:tcW w:w="5000" w:type="pct"/>
          </w:tcPr>
          <w:p w14:paraId="4F9B5533" w14:textId="77777777">
            <w:pPr>
              <w:keepNext/>
              <w:jc w:val="center"/>
              <w:rPr>
                <w:rStyle w:val="Codetext"/>
              </w:rPr>
            </w:pPr>
            <w:r>
              <w:rPr>
                <w:rStyle w:val="Foreign"/>
              </w:rPr>
              <w:t>puṇyābhi</w:t>
            </w:r>
            <w:r>
              <w:rPr>
                <w:rStyle w:val="Foreign"/>
                <w:dstrike/>
              </w:rPr>
              <w:t>vriddhaye</w:t>
            </w:r>
          </w:p>
        </w:tc>
      </w:tr>
      <w:tr w14:paraId="6A388544" w14:textId="77777777">
        <w:tc>
          <w:tcPr>
            <w:tcW w:w="5000" w:type="pct"/>
          </w:tcPr>
          <w:p w14:paraId="1955C406" w14:textId="77777777">
            <w:pPr>
              <w:pStyle w:val="TableNote"/>
              <w:keepNext/>
              <w:ind w:left="0" w:firstLine="0"/>
              <w:contextualSpacing w:val="0"/>
            </w:pPr>
            <w:r>
              <w:t>the stretch struck out in the text above represents unclear text in the original</w:t>
            </w:r>
          </w:p>
          <w:p w14:paraId="0A4DEAE2" w14:textId="77777777">
            <w:pPr>
              <w:pStyle w:val="TableNote"/>
              <w:keepNext/>
              <w:ind w:left="0" w:firstLine="0"/>
              <w:contextualSpacing w:val="0"/>
            </w:pPr>
            <w:r>
              <w:t xml:space="preserve">the spelling </w:t>
            </w:r>
            <w:r>
              <w:rPr>
                <w:rStyle w:val="Foreign"/>
              </w:rPr>
              <w:t>ri</w:t>
            </w:r>
            <w:r>
              <w:t xml:space="preserve"> is non-standard and you, as editor, flag it as such</w:t>
            </w:r>
          </w:p>
        </w:tc>
      </w:tr>
      <w:tr w14:paraId="3A17AEF6" w14:textId="77777777">
        <w:tc>
          <w:tcPr>
            <w:tcW w:w="5000" w:type="pct"/>
          </w:tcPr>
          <w:p w14:paraId="155D5F24" w14:textId="77777777">
            <w:pPr>
              <w:pStyle w:val="CodeParagraph"/>
              <w:keepNext/>
            </w:pPr>
            <w:r>
              <w:rPr>
                <w:rStyle w:val="Codetext"/>
              </w:rPr>
              <w:t>puṇyābhi</w:t>
            </w:r>
            <w:r>
              <w:rPr>
                <w:rStyle w:val="Code"/>
              </w:rPr>
              <w:t>&lt;unclear&gt;</w:t>
            </w:r>
            <w:r>
              <w:rPr>
                <w:rStyle w:val="Codetext"/>
              </w:rPr>
              <w:t>v</w:t>
            </w:r>
            <w:r>
              <w:rPr>
                <w:rStyle w:val="Code"/>
              </w:rPr>
              <w:t>&lt;/unclear&gt;&lt;orig&gt;&lt;unclear&gt;</w:t>
            </w:r>
            <w:r>
              <w:rPr>
                <w:rStyle w:val="Codetext"/>
              </w:rPr>
              <w:t>ri</w:t>
            </w:r>
            <w:r>
              <w:rPr>
                <w:rStyle w:val="Code"/>
              </w:rPr>
              <w:t>&lt;/unclear&gt;&lt;/orig&gt;&lt;unclear&gt;</w:t>
            </w:r>
            <w:r>
              <w:rPr>
                <w:rStyle w:val="Codetext"/>
              </w:rPr>
              <w:t>ddhaye</w:t>
            </w:r>
            <w:r>
              <w:rPr>
                <w:rStyle w:val="Code"/>
              </w:rPr>
              <w:t>&lt;/unclear&gt;</w:t>
            </w:r>
          </w:p>
        </w:tc>
      </w:tr>
      <w:tr w14:paraId="4664A70C" w14:textId="77777777">
        <w:tc>
          <w:tcPr>
            <w:tcW w:w="5000" w:type="pct"/>
          </w:tcPr>
          <w:p w14:paraId="399FE6C3" w14:textId="77777777">
            <w:pPr>
              <w:pStyle w:val="TableNote"/>
              <w:rPr>
                <w:rStyle w:val="Codetext"/>
                <w:i/>
              </w:rPr>
            </w:pPr>
            <w:r>
              <w:t xml:space="preserve">the </w:t>
            </w:r>
            <w:r>
              <w:rPr>
                <w:rStyle w:val="Code"/>
              </w:rPr>
              <w:t>&lt;unclear&gt;</w:t>
            </w:r>
            <w:r>
              <w:t xml:space="preserve"> element is split into three parts, one before the flag, one for the flagged segment within the </w:t>
            </w:r>
            <w:r>
              <w:rPr>
                <w:rStyle w:val="Code"/>
              </w:rPr>
              <w:t>&lt;orig&gt;</w:t>
            </w:r>
            <w:r>
              <w:t xml:space="preserve"> tag, and one after it</w:t>
            </w:r>
          </w:p>
        </w:tc>
      </w:tr>
    </w:tbl>
    <w:p w14:paraId="1E6959E4" w14:textId="77777777">
      <w:pPr>
        <w:pStyle w:val="Cmsor2"/>
      </w:pPr>
      <w:bookmarkStart w:id="1114" w:name="_k7hidbku03us" w:colFirst="0" w:colLast="0"/>
      <w:bookmarkStart w:id="1115" w:name="_Ref227844670"/>
      <w:bookmarkStart w:id="1116" w:name="_Ref43990429"/>
      <w:bookmarkStart w:id="1117" w:name="_Toc242889681"/>
      <w:bookmarkEnd w:id="1114"/>
      <w:r>
        <w:t>Graphemes and the granularity of encoding</w:t>
      </w:r>
      <w:bookmarkEnd w:id="1115"/>
      <w:bookmarkEnd w:id="1117"/>
    </w:p>
    <w:p w14:paraId="4AAA5432" w14:textId="77777777">
      <w:r>
        <w:t xml:space="preserve">As discussed in §2 of the TG (expanding on the quick definitions of the grapholinguistic terminology in TG §1.6), our original inscriptions are written in a complex script where most characters </w:t>
      </w:r>
      <w:r>
        <w:rPr>
          <w:noProof/>
        </w:rPr>
        <w:t>(</w:t>
      </w:r>
      <w:r>
        <w:rPr>
          <w:rStyle w:val="Foreign"/>
        </w:rPr>
        <w:t>akṣara</w:t>
      </w:r>
      <w:r>
        <w:rPr>
          <w:rStyle w:val="Foreign"/>
          <w:i w:val="0"/>
          <w:iCs w:val="0"/>
        </w:rPr>
        <w:t>s</w:t>
      </w:r>
      <w:r>
        <w:t>) are comprised of more than one grapheme, while our editions are in Romanised transliteration where characters coincide with a single grapheme but some source graphemes are represented by two target graphemes (digraphs like &lt;au&gt; and &lt;kh&gt;). This situation has the potential to create confusion in our encoding, whose minimal units are always source graphemes. This section addresses that confusion in order to pre-empt it.</w:t>
      </w:r>
    </w:p>
    <w:p w14:paraId="036CF03D" w14:textId="77777777">
      <w:pPr>
        <w:pStyle w:val="Cmsor3"/>
      </w:pPr>
      <w:bookmarkStart w:id="1118" w:name="_Ref232085052"/>
      <w:bookmarkStart w:id="1119" w:name="_Toc242889682"/>
      <w:r>
        <w:t>Grapholinguistic recap</w:t>
      </w:r>
      <w:bookmarkEnd w:id="1118"/>
      <w:bookmarkEnd w:id="1119"/>
    </w:p>
    <w:p w14:paraId="0549011F" w14:textId="77777777">
      <w:pPr>
        <w:pStyle w:val="Lista"/>
      </w:pPr>
      <w:r>
        <w:t>recall from TG §2.3.1 that graphemes are signifiers of minimal units of abstract linguistic information pertaining to a given domain of analytic interest</w:t>
      </w:r>
    </w:p>
    <w:p w14:paraId="5CBCB523" w14:textId="77777777">
      <w:pPr>
        <w:pStyle w:val="Lista2"/>
      </w:pPr>
      <w:r>
        <w:t>phonographic graphemes, which comprise most of our texts, are signifiers of information pertaining to abstract archetypal phonemes, whose mapping to the actual phonemes of spoken language depends on varyingly complex rules in the Indic writing systems of various languages</w:t>
      </w:r>
    </w:p>
    <w:p w14:paraId="4E7DE65E" w14:textId="77777777">
      <w:pPr>
        <w:pStyle w:val="Lista2"/>
      </w:pPr>
      <w:r>
        <w:lastRenderedPageBreak/>
        <w:t>for reasons discussed in the TG, among the phonographic graphemes of Indic writing systems we recognise not only the straightforward “letters” such as &lt;u&gt; and &lt;k&gt;, but also</w:t>
      </w:r>
    </w:p>
    <w:p w14:paraId="4EFB7824" w14:textId="77777777">
      <w:pPr>
        <w:pStyle w:val="Lista3"/>
      </w:pPr>
      <w:r>
        <w:t>the inherent vowel &lt;a&gt; (TG §2.3.2.1), even though it does not correspond to an isolable graphic sign</w:t>
      </w:r>
    </w:p>
    <w:p w14:paraId="203CEEAC" w14:textId="77777777">
      <w:pPr>
        <w:pStyle w:val="Lista3"/>
      </w:pPr>
      <w:r>
        <w:t xml:space="preserve">the vowel killer </w:t>
      </w:r>
      <w:r>
        <w:rPr>
          <w:rStyle w:val="Foreign"/>
        </w:rPr>
        <w:t>virāma</w:t>
      </w:r>
      <w:r>
        <w:t xml:space="preserve"> &lt;·&gt; (TG §2.6.3)</w:t>
      </w:r>
    </w:p>
    <w:p w14:paraId="5C9CFE0C" w14:textId="77777777">
      <w:pPr>
        <w:pStyle w:val="Lista"/>
      </w:pPr>
      <w:r>
        <w:t>recall from TG §2.3.1 that a grapheme is an emic (i.e. abstract) entity, not an actual graphic sign</w:t>
      </w:r>
    </w:p>
    <w:p w14:paraId="0DCAE9BB" w14:textId="77777777">
      <w:pPr>
        <w:pStyle w:val="Lista2"/>
      </w:pPr>
      <w:r>
        <w:t>the etic (concrete) graphic signs corresponding to graphemes are called graphs</w:t>
      </w:r>
    </w:p>
    <w:p w14:paraId="3C755678" w14:textId="77777777">
      <w:pPr>
        <w:pStyle w:val="Lista"/>
      </w:pPr>
      <w:r>
        <w:t>recall from TG §2.4.1 that the autonomous graphic segments of writing are what we call characters</w:t>
      </w:r>
    </w:p>
    <w:p w14:paraId="7C830186" w14:textId="77777777">
      <w:pPr>
        <w:pStyle w:val="Lista2"/>
      </w:pPr>
      <w:r>
        <w:t>characters are not the same as graphemes: the two normally coincide in the Latin writing system but tend not to coincide in the Indic writing system</w:t>
      </w:r>
    </w:p>
    <w:p w14:paraId="48DE59E8" w14:textId="77777777">
      <w:pPr>
        <w:pStyle w:val="Lista2"/>
      </w:pPr>
      <w:r>
        <w:t xml:space="preserve">the characters of the Indic writing system, called </w:t>
      </w:r>
      <w:r>
        <w:rPr>
          <w:rStyle w:val="Foreign"/>
        </w:rPr>
        <w:t>akṣara</w:t>
      </w:r>
      <w:r>
        <w:rPr>
          <w:rStyle w:val="Foreign"/>
          <w:i w:val="0"/>
          <w:iCs w:val="0"/>
        </w:rPr>
        <w:t>s</w:t>
      </w:r>
      <w:r>
        <w:t xml:space="preserve"> in Sanskrit, are thus </w:t>
      </w:r>
      <w:r>
        <w:rPr>
          <w:i/>
          <w:iCs/>
        </w:rPr>
        <w:t>not</w:t>
      </w:r>
      <w:r>
        <w:t xml:space="preserve"> graphemes (TG §2.3.1.1)</w:t>
      </w:r>
    </w:p>
    <w:p w14:paraId="152BE63C" w14:textId="77777777">
      <w:pPr>
        <w:pStyle w:val="Lista3"/>
      </w:pPr>
      <w:r>
        <w:t xml:space="preserve">typical </w:t>
      </w:r>
      <w:r>
        <w:rPr>
          <w:rStyle w:val="Foreign"/>
        </w:rPr>
        <w:t>akṣara</w:t>
      </w:r>
      <w:r>
        <w:rPr>
          <w:rStyle w:val="Foreign"/>
          <w:i w:val="0"/>
          <w:iCs w:val="0"/>
        </w:rPr>
        <w:t>s</w:t>
      </w:r>
      <w:r>
        <w:t xml:space="preserve"> such as &lt;ka&gt; and &lt;rddhe&gt; are comprised of two or more graphemes</w:t>
      </w:r>
    </w:p>
    <w:p w14:paraId="502C542D" w14:textId="77777777">
      <w:pPr>
        <w:pStyle w:val="Lista3"/>
      </w:pPr>
      <w:r>
        <w:t xml:space="preserve">although some </w:t>
      </w:r>
      <w:r>
        <w:rPr>
          <w:rStyle w:val="Foreign"/>
        </w:rPr>
        <w:t>akṣara</w:t>
      </w:r>
      <w:r>
        <w:t>s, such as &lt;A&gt; and &lt;K&gt; are comprised of a single grapheme</w:t>
      </w:r>
    </w:p>
    <w:p w14:paraId="4FA62E05" w14:textId="77777777">
      <w:pPr>
        <w:pStyle w:val="Lista"/>
      </w:pPr>
      <w:r>
        <w:t xml:space="preserve">digraphs, such as </w:t>
      </w:r>
      <w:r>
        <w:rPr>
          <w:rStyle w:val="Foreign"/>
        </w:rPr>
        <w:t>au</w:t>
      </w:r>
      <w:r>
        <w:t xml:space="preserve"> and </w:t>
      </w:r>
      <w:r>
        <w:rPr>
          <w:rStyle w:val="Foreign"/>
        </w:rPr>
        <w:t>kh</w:t>
      </w:r>
      <w:r>
        <w:t xml:space="preserve"> in our transliteration scheme or </w:t>
      </w:r>
      <w:r>
        <w:rPr>
          <w:rStyle w:val="Foreign"/>
        </w:rPr>
        <w:t>sh</w:t>
      </w:r>
      <w:r>
        <w:t xml:space="preserve"> and </w:t>
      </w:r>
      <w:r>
        <w:rPr>
          <w:rStyle w:val="Foreign"/>
        </w:rPr>
        <w:t>th</w:t>
      </w:r>
      <w:r>
        <w:t xml:space="preserve"> in the English writing system, are neither graphemes nor characters</w:t>
      </w:r>
    </w:p>
    <w:p w14:paraId="35405055" w14:textId="77777777">
      <w:pPr>
        <w:pStyle w:val="Lista2"/>
      </w:pPr>
      <w:r>
        <w:t>instead, they are simply clusters of graphemes (and, in the Latin writing system, of characters) which, when occurring together, are mapped to a particular spoken phoneme</w:t>
      </w:r>
    </w:p>
    <w:p w14:paraId="7F569089" w14:textId="77777777">
      <w:pPr>
        <w:pStyle w:val="Lista2"/>
      </w:pPr>
      <w:r>
        <w:t xml:space="preserve">however, the digraphs of our transliteration </w:t>
      </w:r>
      <w:r>
        <w:rPr>
          <w:i/>
          <w:iCs/>
        </w:rPr>
        <w:t>represent</w:t>
      </w:r>
      <w:r>
        <w:t xml:space="preserve"> single source graphemes, such as the graphemes &lt;au&gt; and &lt;kh&gt; of the Indic writing system</w:t>
      </w:r>
    </w:p>
    <w:p w14:paraId="36F3D8CC" w14:textId="77777777">
      <w:pPr>
        <w:pStyle w:val="Lista"/>
      </w:pPr>
      <w:r>
        <w:t>like graphemes, characters are emic units</w:t>
      </w:r>
    </w:p>
    <w:p w14:paraId="43D0DBDB" w14:textId="77777777">
      <w:pPr>
        <w:pStyle w:val="Lista2"/>
      </w:pPr>
      <w:r>
        <w:t>their etic counterparts, i.e. their concrete written manifestations, are called glyphs</w:t>
      </w:r>
    </w:p>
    <w:p w14:paraId="3E8F40EB" w14:textId="77777777">
      <w:pPr>
        <w:pStyle w:val="Lista2"/>
      </w:pPr>
      <w:r>
        <w:t xml:space="preserve">the term </w:t>
      </w:r>
      <w:r>
        <w:rPr>
          <w:rStyle w:val="Foreign"/>
        </w:rPr>
        <w:t>akṣara</w:t>
      </w:r>
      <w:r>
        <w:t xml:space="preserve"> may refer either to a character or a glyph of the Indic writing system</w:t>
      </w:r>
    </w:p>
    <w:p w14:paraId="18BA417A" w14:textId="77777777">
      <w:pPr>
        <w:pStyle w:val="Lista"/>
      </w:pPr>
      <w:r>
        <w:t>as discussed in TG §2.4.3, the Indic writing system’s characters and glyphs can both be complex, and the former (graphemic complexity) and the latter (graphetic complexity) do not always coincide, although they usually do so</w:t>
      </w:r>
    </w:p>
    <w:p w14:paraId="3C6EB173" w14:textId="77777777">
      <w:pPr>
        <w:pStyle w:val="Lista"/>
      </w:pPr>
      <w:r>
        <w:t>the constituent graphs of complex glyphs can themselves consist of several parts, which we call graphic elements or simply elements</w:t>
      </w:r>
    </w:p>
    <w:p w14:paraId="7D9A513B" w14:textId="77777777">
      <w:pPr>
        <w:pStyle w:val="Lista2"/>
      </w:pPr>
      <w:r>
        <w:t>graphic elements are not graphs because they do not manifest graphemes, i.e. they do not signify linguistic information in a given domain of analytic interest</w:t>
      </w:r>
    </w:p>
    <w:p w14:paraId="242B3713" w14:textId="77777777">
      <w:pPr>
        <w:pStyle w:val="Lista2"/>
      </w:pPr>
      <w:r>
        <w:t>some graphic elements can, however, look identical to certain graphs because of the phenomenon called dual patterning (TG §2.4.4.1)</w:t>
      </w:r>
    </w:p>
    <w:p w14:paraId="28ECAA72" w14:textId="77777777">
      <w:pPr>
        <w:pStyle w:val="Lista3"/>
      </w:pPr>
      <w:r>
        <w:t xml:space="preserve">for example, Devanagari </w:t>
      </w:r>
      <w:r>
        <w:rPr>
          <w:rFonts w:cs="Latha"/>
          <w:lang w:bidi="ta-IN"/>
        </w:rPr>
        <w:t>|</w:t>
      </w:r>
      <w:r>
        <w:rPr>
          <w:rStyle w:val="ForeignDevanagariScript0"/>
          <w:rFonts w:hint="cs"/>
          <w:cs/>
        </w:rPr>
        <w:t>ा</w:t>
      </w:r>
      <w:r>
        <w:rPr>
          <w:rFonts w:cs="Latha"/>
          <w:lang w:bidi="ta-IN"/>
        </w:rPr>
        <w:t>|</w:t>
      </w:r>
      <w:r>
        <w:t xml:space="preserve"> is a graph</w:t>
      </w:r>
      <w:r>
        <w:rPr>
          <w:rFonts w:hint="cs"/>
          <w:cs/>
        </w:rPr>
        <w:t xml:space="preserve"> </w:t>
      </w:r>
      <w:r>
        <w:t xml:space="preserve">(corresponding to the grapheme &lt;ā&gt;) in the glyph </w:t>
      </w:r>
      <w:r>
        <w:rPr>
          <w:rFonts w:cs="Latha"/>
          <w:lang w:bidi="ta-IN"/>
        </w:rPr>
        <w:t>|</w:t>
      </w:r>
      <w:r>
        <w:rPr>
          <w:rStyle w:val="ForeignDevanagariScript0"/>
          <w:rFonts w:hint="cs"/>
          <w:cs/>
        </w:rPr>
        <w:t>का</w:t>
      </w:r>
      <w:r>
        <w:rPr>
          <w:rFonts w:cs="Latha"/>
          <w:lang w:bidi="ta-IN"/>
        </w:rPr>
        <w:t>|</w:t>
      </w:r>
      <w:r>
        <w:t xml:space="preserve"> (corresponding to the character &lt;kā&gt;)</w:t>
      </w:r>
    </w:p>
    <w:p w14:paraId="1A53A963" w14:textId="77777777">
      <w:pPr>
        <w:pStyle w:val="Lista3"/>
      </w:pPr>
      <w:r>
        <w:t xml:space="preserve">but in the glyph </w:t>
      </w:r>
      <w:r>
        <w:rPr>
          <w:rFonts w:cs="Latha"/>
          <w:lang w:bidi="ta-IN"/>
        </w:rPr>
        <w:t>|</w:t>
      </w:r>
      <w:r>
        <w:rPr>
          <w:rStyle w:val="ForeignDevanagariScript0"/>
          <w:rFonts w:hint="cs"/>
          <w:cs/>
        </w:rPr>
        <w:t>को</w:t>
      </w:r>
      <w:r>
        <w:rPr>
          <w:rFonts w:cs="Latha"/>
          <w:lang w:bidi="ta-IN"/>
        </w:rPr>
        <w:t xml:space="preserve">| (&lt;ko&gt;), </w:t>
      </w:r>
      <w:r>
        <w:t xml:space="preserve">the same shape </w:t>
      </w:r>
      <w:r>
        <w:rPr>
          <w:rFonts w:cs="Latha"/>
          <w:lang w:bidi="ta-IN"/>
        </w:rPr>
        <w:t>|</w:t>
      </w:r>
      <w:r>
        <w:rPr>
          <w:rStyle w:val="ForeignDevanagariScript0"/>
          <w:rFonts w:hint="cs"/>
          <w:cs/>
        </w:rPr>
        <w:t>ा</w:t>
      </w:r>
      <w:r>
        <w:rPr>
          <w:rFonts w:cs="Latha"/>
          <w:lang w:bidi="ta-IN"/>
        </w:rPr>
        <w:t>|</w:t>
      </w:r>
      <w:r>
        <w:t xml:space="preserve"> is merely an element (of the graph </w:t>
      </w:r>
      <w:r>
        <w:rPr>
          <w:rFonts w:cs="Latha"/>
          <w:lang w:bidi="ta-IN"/>
        </w:rPr>
        <w:t>|</w:t>
      </w:r>
      <w:r>
        <w:rPr>
          <w:rStyle w:val="ForeignDevanagariScript0"/>
          <w:rFonts w:hint="cs"/>
          <w:cs/>
        </w:rPr>
        <w:t>ो</w:t>
      </w:r>
      <w:r>
        <w:rPr>
          <w:rFonts w:cs="Latha"/>
          <w:lang w:bidi="ta-IN"/>
        </w:rPr>
        <w:t>| corresponding to the grapheme &lt;o&gt;)</w:t>
      </w:r>
    </w:p>
    <w:p w14:paraId="169609DE" w14:textId="77777777">
      <w:pPr>
        <w:pStyle w:val="Lista3"/>
      </w:pPr>
      <w:r>
        <w:rPr>
          <w:rFonts w:cs="Latha"/>
          <w:lang w:bidi="ta-IN"/>
        </w:rPr>
        <w:t>analogously, Latin |l| in itself is a graph (corresponding to the grapheme &lt;l&gt;), but in the graph |k| the same shape |l|</w:t>
      </w:r>
      <w:r>
        <w:t xml:space="preserve"> is merely an element</w:t>
      </w:r>
    </w:p>
    <w:p w14:paraId="15054764" w14:textId="77777777">
      <w:pPr>
        <w:pStyle w:val="Cmsor3"/>
      </w:pPr>
      <w:bookmarkStart w:id="1120" w:name="_Toc242889683"/>
      <w:r>
        <w:t>Encoding Indic documents in Romanised transliteration</w:t>
      </w:r>
      <w:bookmarkEnd w:id="1120"/>
    </w:p>
    <w:p w14:paraId="06909495" w14:textId="28E6933B">
      <w:r>
        <w:t>The minimal units of our encoding are always source graphemes, meaning that encoding can never apply to anything that is smaller than a source grapheme, and alterations to the text below the level of source graphemes must be represented as alterations at the level of source graphemes. In the light of the grapholinguistic concepts summarised in §</w:t>
      </w:r>
      <w:r>
        <w:fldChar w:fldCharType="begin"/>
      </w:r>
      <w:r>
        <w:instrText xml:space="preserve"> REF _Ref232085052 \r \h </w:instrText>
      </w:r>
      <w:r>
        <w:fldChar w:fldCharType="separate"/>
      </w:r>
      <w:r>
        <w:t>16.3.1</w:t>
      </w:r>
      <w:r>
        <w:fldChar w:fldCharType="end"/>
      </w:r>
      <w:r>
        <w:t xml:space="preserve"> above, this has the following implications. Because encoding a change in the text is most prone to confusion over graphemic units, the potential problems are also discussed separately and explicitly for the encoding of scribal intervention (§</w:t>
      </w:r>
      <w:r>
        <w:fldChar w:fldCharType="begin"/>
      </w:r>
      <w:r>
        <w:instrText xml:space="preserve"> REF _Ref228890328 \r \h </w:instrText>
      </w:r>
      <w:r>
        <w:fldChar w:fldCharType="separate"/>
      </w:r>
      <w:r>
        <w:t>5.6.4</w:t>
      </w:r>
      <w:r>
        <w:fldChar w:fldCharType="end"/>
      </w:r>
      <w:r>
        <w:t>) and editorial intervention (§</w:t>
      </w:r>
      <w:r>
        <w:fldChar w:fldCharType="begin"/>
      </w:r>
      <w:r>
        <w:instrText xml:space="preserve"> REF _Ref228952859 \r \h </w:instrText>
      </w:r>
      <w:r>
        <w:fldChar w:fldCharType="separate"/>
      </w:r>
      <w:r>
        <w:t>7.7.1</w:t>
      </w:r>
      <w:r>
        <w:fldChar w:fldCharType="end"/>
      </w:r>
      <w:r>
        <w:t>).</w:t>
      </w:r>
    </w:p>
    <w:p w14:paraId="73A0D604" w14:textId="77777777">
      <w:pPr>
        <w:pStyle w:val="Lista"/>
      </w:pPr>
      <w:r>
        <w:t xml:space="preserve">encoding </w:t>
      </w:r>
      <w:r>
        <w:rPr>
          <w:i/>
          <w:iCs/>
        </w:rPr>
        <w:t xml:space="preserve">cannot </w:t>
      </w:r>
      <w:r>
        <w:t xml:space="preserve">apply to individual target graphemes which are members of a digraph in our transliteration system, such as </w:t>
      </w:r>
      <w:r>
        <w:rPr>
          <w:rStyle w:val="Foreign"/>
        </w:rPr>
        <w:t>au</w:t>
      </w:r>
      <w:r>
        <w:t xml:space="preserve"> and </w:t>
      </w:r>
      <w:r>
        <w:rPr>
          <w:rStyle w:val="Foreign"/>
        </w:rPr>
        <w:t>kh</w:t>
      </w:r>
    </w:p>
    <w:p w14:paraId="7C3F5900" w14:textId="77777777">
      <w:pPr>
        <w:pStyle w:val="Lista2"/>
      </w:pPr>
      <w:r>
        <w:t>digraphs are for our purposes atomic units, as their members do not, in themselves, represent a source grapheme</w:t>
      </w:r>
    </w:p>
    <w:p w14:paraId="25465774" w14:textId="77777777">
      <w:pPr>
        <w:pStyle w:val="Lista2"/>
      </w:pPr>
      <w:r>
        <w:lastRenderedPageBreak/>
        <w:t xml:space="preserve">for example, the glyphs for &lt;pa&gt; and &lt;pha&gt; look rather similar in many Indic scripts, but in a hypothetical situation where the editor is uncertain which of these was inscribed, encoding </w:t>
      </w:r>
      <w:r>
        <w:rPr>
          <w:rStyle w:val="Codetext"/>
        </w:rPr>
        <w:t>p</w:t>
      </w:r>
      <w:r>
        <w:rPr>
          <w:rStyle w:val="Code"/>
        </w:rPr>
        <w:t xml:space="preserve">&lt;unclear </w:t>
      </w:r>
      <w:r>
        <w:rPr>
          <w:rStyle w:val="Codeattribute"/>
        </w:rPr>
        <w:t>cert</w:t>
      </w:r>
      <w:r>
        <w:rPr>
          <w:rStyle w:val="Code"/>
        </w:rPr>
        <w:t>=</w:t>
      </w:r>
      <w:r>
        <w:rPr>
          <w:rStyle w:val="Codevalue"/>
        </w:rPr>
        <w:t>"low"</w:t>
      </w:r>
      <w:r>
        <w:rPr>
          <w:rStyle w:val="Code"/>
        </w:rPr>
        <w:t>&gt;</w:t>
      </w:r>
      <w:r>
        <w:rPr>
          <w:rStyle w:val="Codetext"/>
        </w:rPr>
        <w:t>h</w:t>
      </w:r>
      <w:r>
        <w:rPr>
          <w:rStyle w:val="Code"/>
        </w:rPr>
        <w:t>&lt;/unclear&gt;</w:t>
      </w:r>
      <w:r>
        <w:rPr>
          <w:rStyle w:val="Codetext"/>
        </w:rPr>
        <w:t>a</w:t>
      </w:r>
      <w:r>
        <w:t xml:space="preserve"> is </w:t>
      </w:r>
      <w:r>
        <w:rPr>
          <w:i/>
          <w:iCs/>
        </w:rPr>
        <w:t>not</w:t>
      </w:r>
      <w:r>
        <w:t xml:space="preserve"> an option</w:t>
      </w:r>
    </w:p>
    <w:p w14:paraId="1695B9C3" w14:textId="77777777">
      <w:pPr>
        <w:pStyle w:val="Lista3"/>
      </w:pPr>
      <w:r>
        <w:t>(instead, encode the more likely reading as unclear or both as an ambivalent choice)</w:t>
      </w:r>
    </w:p>
    <w:p w14:paraId="09041F4C" w14:textId="77777777">
      <w:pPr>
        <w:pStyle w:val="Lista"/>
      </w:pPr>
      <w:r>
        <w:t xml:space="preserve">encoding </w:t>
      </w:r>
      <w:r>
        <w:rPr>
          <w:i/>
          <w:iCs/>
        </w:rPr>
        <w:t xml:space="preserve">can </w:t>
      </w:r>
      <w:r>
        <w:t>apply to source graphemes which are components of a complex character in the source, even if it would be impossible to single them out in the original script</w:t>
      </w:r>
    </w:p>
    <w:p w14:paraId="7E315596" w14:textId="77777777">
      <w:pPr>
        <w:pStyle w:val="Lista2"/>
      </w:pPr>
      <w:r>
        <w:t xml:space="preserve">while a printed edition in an Indic script such as Devanagari often applies editorial markup (such as brackets) to entire </w:t>
      </w:r>
      <w:r>
        <w:rPr>
          <w:rStyle w:val="Foreign"/>
        </w:rPr>
        <w:t>akṣara</w:t>
      </w:r>
      <w:r>
        <w:rPr>
          <w:rStyle w:val="Foreign"/>
          <w:i w:val="0"/>
          <w:iCs w:val="0"/>
        </w:rPr>
        <w:t>s</w:t>
      </w:r>
      <w:r>
        <w:t xml:space="preserve">, this need not and should not be done in a digital edition of a transliterated text unless of course the markup in question is applicable to all the graphemes of an </w:t>
      </w:r>
      <w:r>
        <w:rPr>
          <w:rStyle w:val="Foreign"/>
        </w:rPr>
        <w:t>akṣara</w:t>
      </w:r>
    </w:p>
    <w:p w14:paraId="45AD576C" w14:textId="77777777">
      <w:pPr>
        <w:pStyle w:val="Lista2"/>
        <w:rPr>
          <w:rStyle w:val="Codetext"/>
          <w:rFonts w:ascii="Gentium" w:hAnsi="Gentium" w:cs="Tiro Devanagari Sanskrit"/>
          <w:noProof w:val="0"/>
          <w:color w:val="auto"/>
          <w:shd w:val="clear" w:color="auto" w:fill="auto"/>
        </w:rPr>
      </w:pPr>
      <w:r>
        <w:t xml:space="preserve">for example, if the subscript part of the glyph |dvi| is unclear while the rest of it is clear, the correct encoding is </w:t>
      </w:r>
      <w:r>
        <w:rPr>
          <w:rStyle w:val="Codetext"/>
        </w:rPr>
        <w:t>d</w:t>
      </w:r>
      <w:r>
        <w:rPr>
          <w:rStyle w:val="Code"/>
        </w:rPr>
        <w:t>&lt;unclear&gt;</w:t>
      </w:r>
      <w:r>
        <w:rPr>
          <w:rStyle w:val="Codetext"/>
        </w:rPr>
        <w:t>v</w:t>
      </w:r>
      <w:r>
        <w:rPr>
          <w:rStyle w:val="Code"/>
        </w:rPr>
        <w:t>&lt;/unclear&gt;</w:t>
      </w:r>
      <w:r>
        <w:rPr>
          <w:rStyle w:val="Codetext"/>
        </w:rPr>
        <w:t>i</w:t>
      </w:r>
      <w:r>
        <w:t xml:space="preserve">, and </w:t>
      </w:r>
      <w:r>
        <w:rPr>
          <w:i/>
          <w:iCs/>
        </w:rPr>
        <w:t>not</w:t>
      </w:r>
      <w:r>
        <w:t xml:space="preserve"> </w:t>
      </w:r>
      <w:r>
        <w:rPr>
          <w:rStyle w:val="Code"/>
        </w:rPr>
        <w:t>&lt;unclear&gt;</w:t>
      </w:r>
      <w:r>
        <w:rPr>
          <w:rStyle w:val="Codetext"/>
        </w:rPr>
        <w:t>dvi</w:t>
      </w:r>
      <w:r>
        <w:rPr>
          <w:rStyle w:val="Code"/>
        </w:rPr>
        <w:t>&lt;/unclear&gt;</w:t>
      </w:r>
    </w:p>
    <w:p w14:paraId="25FFB4DC" w14:textId="77777777">
      <w:pPr>
        <w:pStyle w:val="Lista"/>
      </w:pPr>
      <w:r>
        <w:t xml:space="preserve">when encoding scribal and editorial intervention, modifications that involve the addition or deletion of a source graph (such as a vowel marker or a </w:t>
      </w:r>
      <w:r>
        <w:rPr>
          <w:rStyle w:val="Foreign"/>
        </w:rPr>
        <w:t>virāma</w:t>
      </w:r>
      <w:r>
        <w:t>) cannot be encoded as addition or deletion because on the graphemic level it results in the swapping of one grapheme for another</w:t>
      </w:r>
    </w:p>
    <w:p w14:paraId="5DCA219B" w14:textId="75298142">
      <w:pPr>
        <w:pStyle w:val="Lista2"/>
      </w:pPr>
      <w:r>
        <w:t xml:space="preserve">instead, they must be encoded as a substitution (of the inherent vowel with another vowel or the </w:t>
      </w:r>
      <w:r>
        <w:rPr>
          <w:rStyle w:val="Foreign"/>
        </w:rPr>
        <w:t>virāma</w:t>
      </w:r>
      <w:r>
        <w:t>, or vice versa), as discussed in more detail with examples in §</w:t>
      </w:r>
      <w:r>
        <w:fldChar w:fldCharType="begin"/>
      </w:r>
      <w:r>
        <w:instrText xml:space="preserve"> REF _Ref228890328 \r \h </w:instrText>
      </w:r>
      <w:r>
        <w:fldChar w:fldCharType="separate"/>
      </w:r>
      <w:r>
        <w:t>5.6.4</w:t>
      </w:r>
      <w:r>
        <w:fldChar w:fldCharType="end"/>
      </w:r>
      <w:r>
        <w:t xml:space="preserve"> and §</w:t>
      </w:r>
      <w:r>
        <w:fldChar w:fldCharType="begin"/>
      </w:r>
      <w:r>
        <w:instrText xml:space="preserve"> REF _Ref228952859 \r \h </w:instrText>
      </w:r>
      <w:r>
        <w:fldChar w:fldCharType="separate"/>
      </w:r>
      <w:r>
        <w:t>7.7.1</w:t>
      </w:r>
      <w:r>
        <w:fldChar w:fldCharType="end"/>
      </w:r>
    </w:p>
    <w:p w14:paraId="2E780E4D" w14:textId="77777777">
      <w:pPr>
        <w:pStyle w:val="Lista"/>
      </w:pPr>
      <w:r>
        <w:t>because our transliteration treats the independent forms of vowels and consonants as graphemes distinct from their in-</w:t>
      </w:r>
      <w:r>
        <w:rPr>
          <w:rStyle w:val="Foreign"/>
        </w:rPr>
        <w:t>akṣara</w:t>
      </w:r>
      <w:r>
        <w:t xml:space="preserve"> forms, when encoding editorial intervention, modifications that involve the addition or deletion of a grapheme may require an adjacent grapheme to be changed from its in-</w:t>
      </w:r>
      <w:r>
        <w:rPr>
          <w:rStyle w:val="Foreign"/>
        </w:rPr>
        <w:t>akṣara</w:t>
      </w:r>
      <w:r>
        <w:t xml:space="preserve"> form to its independent form or vice versa</w:t>
      </w:r>
    </w:p>
    <w:p w14:paraId="4EC97564" w14:textId="394F109D">
      <w:pPr>
        <w:pStyle w:val="Lista2"/>
      </w:pPr>
      <w:r>
        <w:t>this is discussed in more detail with examples in §</w:t>
      </w:r>
      <w:r>
        <w:fldChar w:fldCharType="begin"/>
      </w:r>
      <w:r>
        <w:instrText xml:space="preserve"> REF _Ref228952859 \r \h </w:instrText>
      </w:r>
      <w:r>
        <w:fldChar w:fldCharType="separate"/>
      </w:r>
      <w:r>
        <w:t>7.7.1</w:t>
      </w:r>
      <w:r>
        <w:fldChar w:fldCharType="end"/>
      </w:r>
    </w:p>
    <w:bookmarkEnd w:id="1116"/>
    <w:p w14:paraId="180E5B20" w14:textId="77777777">
      <w:pPr>
        <w:pStyle w:val="Cm"/>
      </w:pPr>
      <w:r>
        <w:lastRenderedPageBreak/>
        <w:t>Appendices</w:t>
      </w:r>
    </w:p>
    <w:p w14:paraId="01E419A4" w14:textId="77777777">
      <w:pPr>
        <w:pStyle w:val="Tabletext"/>
      </w:pPr>
      <w:bookmarkStart w:id="1121" w:name="_qidxc825gutk" w:colFirst="0" w:colLast="0"/>
      <w:bookmarkEnd w:id="1121"/>
    </w:p>
    <w:p w14:paraId="26B860DA" w14:textId="16DF50AB">
      <w:pPr>
        <w:pStyle w:val="Cmsor1"/>
        <w:numPr>
          <w:ilvl w:val="0"/>
          <w:numId w:val="7"/>
        </w:numPr>
      </w:pPr>
      <w:bookmarkStart w:id="1122" w:name="_9d8e21ca9gia" w:colFirst="0" w:colLast="0"/>
      <w:bookmarkStart w:id="1123" w:name="_Ref43985466"/>
      <w:bookmarkStart w:id="1124" w:name="_Toc242889684"/>
      <w:bookmarkEnd w:id="1122"/>
      <w:r>
        <w:lastRenderedPageBreak/>
        <w:t>Case Studies in encoding complex layout</w:t>
      </w:r>
      <w:bookmarkEnd w:id="1123"/>
      <w:bookmarkEnd w:id="1124"/>
    </w:p>
    <w:p w14:paraId="0A684E7D" w14:textId="27D74FD1">
      <w:pPr>
        <w:pStyle w:val="Cmsor2"/>
        <w:numPr>
          <w:ilvl w:val="1"/>
          <w:numId w:val="7"/>
        </w:numPr>
      </w:pPr>
      <w:bookmarkStart w:id="1125" w:name="_fxhw8prafv6z" w:colFirst="0" w:colLast="0"/>
      <w:bookmarkStart w:id="1126" w:name="_Ref239844299"/>
      <w:bookmarkStart w:id="1127" w:name="_Toc242889685"/>
      <w:bookmarkEnd w:id="1125"/>
      <w:r>
        <w:t>Slab in two non-contiguous fragments</w:t>
      </w:r>
      <w:bookmarkEnd w:id="1126"/>
      <w:bookmarkEnd w:id="1127"/>
    </w:p>
    <w:p w14:paraId="5E97B9DF" w14:textId="77777777">
      <w:pPr>
        <w:pStyle w:val="Image"/>
      </w:pPr>
      <w:r>
        <w:drawing>
          <wp:inline distT="0" distB="0" distL="0" distR="0" wp14:anchorId="057C2F1A" wp14:editId="533305CA">
            <wp:extent cx="4497070" cy="3056890"/>
            <wp:effectExtent l="0" t="0" r="0" b="0"/>
            <wp:docPr id="27767941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97070" cy="3056890"/>
                    </a:xfrm>
                    <a:prstGeom prst="rect">
                      <a:avLst/>
                    </a:prstGeom>
                    <a:noFill/>
                    <a:ln>
                      <a:noFill/>
                    </a:ln>
                  </pic:spPr>
                </pic:pic>
              </a:graphicData>
            </a:graphic>
          </wp:inline>
        </w:drawing>
      </w:r>
    </w:p>
    <w:p w14:paraId="7DC27D25" w14:textId="77777777">
      <w:pPr>
        <w:pStyle w:val="Lista"/>
      </w:pPr>
      <w:r>
        <w:t>here we have two fragments of a slab, which are clearly from the top and bottom of a single inscription, but there is no way to know how much text is lost between the two</w:t>
      </w:r>
    </w:p>
    <w:p w14:paraId="2947EC2E" w14:textId="2A6C3FDA">
      <w:pPr>
        <w:pStyle w:val="Lista"/>
      </w:pPr>
      <w:r>
        <w:t>therefore the fragments have been encoded as textpart divisions as per §</w:t>
      </w:r>
      <w:r>
        <w:fldChar w:fldCharType="begin"/>
      </w:r>
      <w:r>
        <w:instrText xml:space="preserve"> REF _Ref225346692 \r \h </w:instrText>
      </w:r>
      <w:r>
        <w:fldChar w:fldCharType="separate"/>
      </w:r>
      <w:r>
        <w:t>4.7.3.2</w:t>
      </w:r>
      <w:r>
        <w:fldChar w:fldCharType="end"/>
      </w:r>
    </w:p>
    <w:p w14:paraId="473C5E60" w14:textId="74AB2BE6">
      <w:pPr>
        <w:pStyle w:val="Lista"/>
      </w:pPr>
      <w:r>
        <w:t>the lost text in between is not encoded, as per §</w:t>
      </w:r>
      <w:r>
        <w:fldChar w:fldCharType="begin"/>
      </w:r>
      <w:r>
        <w:instrText xml:space="preserve"> REF _Ref43981711 \w \h  \* MERGEFORMAT </w:instrText>
      </w:r>
      <w:r>
        <w:fldChar w:fldCharType="separate"/>
      </w:r>
      <w:r>
        <w:t>6.5.4</w:t>
      </w:r>
      <w:r>
        <w:fldChar w:fldCharType="end"/>
      </w:r>
    </w:p>
    <w:p w14:paraId="71FD7585" w14:textId="139AD4A5">
      <w:pPr>
        <w:pStyle w:val="Lista"/>
      </w:pPr>
      <w:r>
        <w:t>the incomplete semantic paragraphs are encoded as per §</w:t>
      </w:r>
      <w:r>
        <w:fldChar w:fldCharType="begin"/>
      </w:r>
      <w:r>
        <w:instrText xml:space="preserve"> REF _Ref228980509 \r \h </w:instrText>
      </w:r>
      <w:r>
        <w:fldChar w:fldCharType="separate"/>
      </w:r>
      <w:r>
        <w:t>3.2.3.1</w:t>
      </w:r>
      <w:r>
        <w:fldChar w:fldCharType="end"/>
      </w:r>
      <w:r>
        <w:t xml:space="preserve"> </w:t>
      </w:r>
    </w:p>
    <w:p w14:paraId="239257B2" w14:textId="77777777">
      <w:pPr>
        <w:pStyle w:val="CodeParagraph"/>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&lt;p </w:t>
      </w:r>
      <w:r>
        <w:rPr>
          <w:rStyle w:val="Codeattribute"/>
        </w:rPr>
        <w:t>part</w:t>
      </w:r>
      <w:r>
        <w:rPr>
          <w:rStyle w:val="Code"/>
        </w:rPr>
        <w:t>=</w:t>
      </w:r>
      <w:r>
        <w:rPr>
          <w:rStyle w:val="Codevalue"/>
        </w:rPr>
        <w:t>"I"</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and an oozy smell, nor yet a dry, bare, sandy h</w:t>
      </w:r>
      <w:r>
        <w:rPr>
          <w:rStyle w:val="Code"/>
        </w:rPr>
        <w:t>&lt;unclear&gt;</w:t>
      </w:r>
      <w:r>
        <w:rPr>
          <w:rStyle w:val="Codetext"/>
        </w:rPr>
        <w:t>ol</w:t>
      </w:r>
      <w:r>
        <w:rPr>
          <w:rStyle w:val="Code"/>
        </w:rPr>
        <w:t xml:space="preserve">&lt;/unclear&gt;&lt;supplied </w:t>
      </w:r>
      <w:r>
        <w:rPr>
          <w:rStyle w:val="Codeattribute"/>
        </w:rPr>
        <w:t>reason</w:t>
      </w:r>
      <w:r>
        <w:rPr>
          <w:rStyle w:val="Code"/>
        </w:rPr>
        <w:t>=</w:t>
      </w:r>
      <w:r>
        <w:rPr>
          <w:rStyle w:val="Codevalue"/>
        </w:rPr>
        <w:t>"lost"</w:t>
      </w:r>
      <w:r>
        <w:rPr>
          <w:rStyle w:val="Code"/>
        </w:rPr>
        <w:t>&gt;</w:t>
      </w:r>
      <w:r>
        <w:rPr>
          <w:rStyle w:val="Codetext"/>
        </w:rPr>
        <w:t>e</w:t>
      </w:r>
      <w:r>
        <w:rPr>
          <w:rStyle w:val="Code"/>
        </w:rPr>
        <w:t>&lt;/supplied</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/&gt;</w:t>
      </w:r>
      <w:r>
        <w:rPr>
          <w:rStyle w:val="Codetext"/>
        </w:rPr>
        <w:t xml:space="preserve">with nothing in it to </w:t>
      </w:r>
      <w:r>
        <w:rPr>
          <w:rStyle w:val="Code"/>
        </w:rPr>
        <w:t xml:space="preserve">&lt;unclear </w:t>
      </w:r>
      <w:r>
        <w:rPr>
          <w:rStyle w:val="Codeattribute"/>
        </w:rPr>
        <w:t>cert</w:t>
      </w:r>
      <w:r>
        <w:rPr>
          <w:rStyle w:val="Code"/>
        </w:rPr>
        <w:t>=</w:t>
      </w:r>
      <w:r>
        <w:rPr>
          <w:rStyle w:val="Codevalue"/>
        </w:rPr>
        <w:t>"low"</w:t>
      </w:r>
      <w:r>
        <w:rPr>
          <w:rStyle w:val="Code"/>
        </w:rPr>
        <w:t>&gt;</w:t>
      </w:r>
      <w:r>
        <w:rPr>
          <w:rStyle w:val="Codetext"/>
        </w:rPr>
        <w:t>sit</w:t>
      </w:r>
      <w:r>
        <w:rPr>
          <w:rStyle w:val="Code"/>
        </w:rPr>
        <w:t>&lt;/unclear&gt;</w:t>
      </w:r>
      <w:r>
        <w:rPr>
          <w:rStyle w:val="Codetext"/>
        </w:rPr>
        <w:t xml:space="preserve"> down on or to eat: it </w:t>
      </w:r>
      <w:r>
        <w:rPr>
          <w:rStyle w:val="Code"/>
        </w:rPr>
        <w:t>&lt;unclear&gt;</w:t>
      </w:r>
      <w:r>
        <w:rPr>
          <w:rStyle w:val="Codetext"/>
        </w:rPr>
        <w:t>w</w:t>
      </w:r>
      <w:r>
        <w:rPr>
          <w:rStyle w:val="Code"/>
        </w:rPr>
        <w:t xml:space="preserve">&lt;/unclear&gt;&lt;supplied </w:t>
      </w:r>
      <w:r>
        <w:rPr>
          <w:rStyle w:val="Codeattribute"/>
        </w:rPr>
        <w:t>reason</w:t>
      </w:r>
      <w:r>
        <w:rPr>
          <w:rStyle w:val="Code"/>
        </w:rPr>
        <w:t>=</w:t>
      </w:r>
      <w:r>
        <w:rPr>
          <w:rStyle w:val="Codevalue"/>
        </w:rPr>
        <w:t>"lost"</w:t>
      </w:r>
      <w:r>
        <w:rPr>
          <w:rStyle w:val="Code"/>
        </w:rPr>
        <w:t>&gt;</w:t>
      </w:r>
      <w:r>
        <w:rPr>
          <w:rStyle w:val="Codetext"/>
        </w:rPr>
        <w:t>as a</w:t>
      </w:r>
      <w:r>
        <w:rPr>
          <w:rStyle w:val="Code"/>
        </w:rPr>
        <w:t>&lt;/supplied&gt;</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/&gt;</w:t>
      </w:r>
      <w:r>
        <w:rPr>
          <w:rStyle w:val="Codetext"/>
        </w:rPr>
        <w:t>hobbit-h</w:t>
      </w:r>
      <w:r>
        <w:rPr>
          <w:rStyle w:val="Code"/>
        </w:rPr>
        <w:t>&lt;unclear&gt;</w:t>
      </w:r>
      <w:r>
        <w:rPr>
          <w:rStyle w:val="Codetext"/>
        </w:rPr>
        <w:t>ol</w:t>
      </w:r>
      <w:r>
        <w:rPr>
          <w:rStyle w:val="Code"/>
        </w:rPr>
        <w:t xml:space="preserve">&lt;/unclear&gt;&lt;supplied </w:t>
      </w:r>
      <w:r>
        <w:rPr>
          <w:rStyle w:val="Codeattribute"/>
        </w:rPr>
        <w:t>reason</w:t>
      </w:r>
      <w:r>
        <w:rPr>
          <w:rStyle w:val="Code"/>
        </w:rPr>
        <w:t>=</w:t>
      </w:r>
      <w:r>
        <w:rPr>
          <w:rStyle w:val="Codevalue"/>
        </w:rPr>
        <w:t>"lost"</w:t>
      </w:r>
      <w:r>
        <w:rPr>
          <w:rStyle w:val="Code"/>
        </w:rPr>
        <w:t>&gt;</w:t>
      </w:r>
      <w:r>
        <w:rPr>
          <w:rStyle w:val="Codetext"/>
        </w:rPr>
        <w:t>e</w:t>
      </w:r>
      <w:r>
        <w:rPr>
          <w:rStyle w:val="Code"/>
        </w:rPr>
        <w:t>&lt;/supplied&gt;</w:t>
      </w:r>
      <w:r>
        <w:rPr>
          <w:rStyle w:val="Codetext"/>
        </w:rPr>
        <w:t xml:space="preserve">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"18"</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/&gt;&lt;unclear&gt;</w:t>
      </w:r>
      <w:r>
        <w:rPr>
          <w:rStyle w:val="Codetext"/>
        </w:rPr>
        <w:t>f</w:t>
      </w:r>
      <w:r>
        <w:rPr>
          <w:rStyle w:val="Code"/>
        </w:rPr>
        <w:t xml:space="preserve">&lt;/unclear&gt;&lt;gap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w:t>
      </w:r>
      <w:r>
        <w:rPr>
          <w:rStyle w:val="Codetext"/>
        </w:rPr>
        <w:br/>
        <w:t xml:space="preserve">  </w:t>
      </w:r>
      <w:r>
        <w:rPr>
          <w:rStyle w:val="Code"/>
        </w:rPr>
        <w:t>&lt;/p&gt;</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r>
        <w:rPr>
          <w:rStyle w:val="Code"/>
        </w:rPr>
        <w:t xml:space="preserve">&lt;p </w:t>
      </w:r>
      <w:r>
        <w:rPr>
          <w:rStyle w:val="Codeattribute"/>
        </w:rPr>
        <w:t>part</w:t>
      </w:r>
      <w:r>
        <w:rPr>
          <w:rStyle w:val="Code"/>
        </w:rPr>
        <w:t>=</w:t>
      </w:r>
      <w:r>
        <w:rPr>
          <w:rStyle w:val="Codevalue"/>
        </w:rPr>
        <w:t>"F"</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/&gt;&lt;unclear&gt;</w:t>
      </w:r>
      <w:r>
        <w:rPr>
          <w:rStyle w:val="Codetext"/>
        </w:rPr>
        <w:t>w</w:t>
      </w:r>
      <w:r>
        <w:rPr>
          <w:rStyle w:val="Code"/>
        </w:rPr>
        <w:t>&lt;/unclear&gt;</w:t>
      </w:r>
      <w:r>
        <w:rPr>
          <w:rStyle w:val="Codetext"/>
        </w:rPr>
        <w:t>as a very well-to-do hobbit, and his</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"5"</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/&gt;&lt;unclear&gt;</w:t>
      </w:r>
      <w:r>
        <w:rPr>
          <w:rStyle w:val="Codetext"/>
        </w:rPr>
        <w:t>w</w:t>
      </w:r>
      <w:r>
        <w:rPr>
          <w:rStyle w:val="Code"/>
        </w:rPr>
        <w:t>&lt;/unclear&gt;</w:t>
      </w:r>
      <w:r>
        <w:rPr>
          <w:rStyle w:val="Codetext"/>
        </w:rPr>
        <w:t>as Baggins. The Bagginses had lived in the</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/&gt;&lt;unclear&gt;</w:t>
      </w:r>
      <w:r>
        <w:rPr>
          <w:rStyle w:val="Codetext"/>
        </w:rPr>
        <w:t>n</w:t>
      </w:r>
      <w:r>
        <w:rPr>
          <w:rStyle w:val="Code"/>
        </w:rPr>
        <w:t>&lt;/unclear&gt;e</w:t>
      </w:r>
      <w:r>
        <w:rPr>
          <w:rStyle w:val="Codetext"/>
        </w:rPr>
        <w:t>ighbourhood of The Hill for time out of mind, and</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/&gt;</w:t>
      </w:r>
      <w:r>
        <w:rPr>
          <w:rStyle w:val="Codetext"/>
        </w:rPr>
        <w:t>people considered them very respectable</w:t>
      </w:r>
      <w:r>
        <w:rPr>
          <w:rStyle w:val="Codetext"/>
        </w:rPr>
        <w:br/>
        <w:t xml:space="preserve">  </w:t>
      </w:r>
      <w:r>
        <w:rPr>
          <w:rStyle w:val="Code"/>
        </w:rPr>
        <w:t>&lt;/p&gt;</w:t>
      </w:r>
      <w:r>
        <w:rPr>
          <w:rStyle w:val="Codetext"/>
        </w:rPr>
        <w:br/>
      </w:r>
      <w:r>
        <w:rPr>
          <w:rStyle w:val="Code"/>
        </w:rPr>
        <w:t>&lt;/div&gt;</w:t>
      </w:r>
    </w:p>
    <w:p w14:paraId="403AFC30" w14:textId="77777777">
      <w:pPr>
        <w:rPr>
          <w:lang w:eastAsia="en-US" w:bidi="ar-SA"/>
        </w:rPr>
      </w:pPr>
    </w:p>
    <w:p w14:paraId="31E9A3F1" w14:textId="35CA0475">
      <w:pPr>
        <w:pStyle w:val="Cmsor2"/>
        <w:numPr>
          <w:ilvl w:val="1"/>
          <w:numId w:val="7"/>
        </w:numPr>
      </w:pPr>
      <w:bookmarkStart w:id="1128" w:name="_mqsd94x1tblc" w:colFirst="0" w:colLast="0"/>
      <w:bookmarkStart w:id="1129" w:name="_Ref239844102"/>
      <w:bookmarkStart w:id="1130" w:name="_Ref239844124"/>
      <w:bookmarkStart w:id="1131" w:name="_Ref239844181"/>
      <w:bookmarkStart w:id="1132" w:name="_Ref239844274"/>
      <w:bookmarkStart w:id="1133" w:name="_Ref239844290"/>
      <w:bookmarkStart w:id="1134" w:name="_Toc242889686"/>
      <w:bookmarkEnd w:id="1128"/>
      <w:r>
        <w:lastRenderedPageBreak/>
        <w:t>Copperplate charter with seal and other goodies</w:t>
      </w:r>
      <w:bookmarkEnd w:id="1129"/>
      <w:bookmarkEnd w:id="1130"/>
      <w:bookmarkEnd w:id="1131"/>
      <w:bookmarkEnd w:id="1132"/>
      <w:bookmarkEnd w:id="1133"/>
      <w:bookmarkEnd w:id="1134"/>
    </w:p>
    <w:p w14:paraId="6B431A9B" w14:textId="77777777">
      <w:pPr>
        <w:pStyle w:val="Image"/>
      </w:pPr>
      <w:r>
        <w:drawing>
          <wp:inline distT="0" distB="0" distL="0" distR="0" wp14:anchorId="7479F439" wp14:editId="059B2818">
            <wp:extent cx="5400000" cy="5400000"/>
            <wp:effectExtent l="0" t="0" r="0" b="0"/>
            <wp:docPr id="1570425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400000" cy="5400000"/>
                    </a:xfrm>
                    <a:prstGeom prst="rect">
                      <a:avLst/>
                    </a:prstGeom>
                    <a:noFill/>
                    <a:ln>
                      <a:noFill/>
                    </a:ln>
                  </pic:spPr>
                </pic:pic>
              </a:graphicData>
            </a:graphic>
          </wp:inline>
        </w:drawing>
      </w:r>
    </w:p>
    <w:p w14:paraId="0860A625" w14:textId="77777777">
      <w:pPr>
        <w:pStyle w:val="Lista"/>
      </w:pPr>
      <w:r>
        <w:t>this imaginary set of copper plates consists of</w:t>
      </w:r>
    </w:p>
    <w:p w14:paraId="7ED29A67" w14:textId="77777777">
      <w:pPr>
        <w:pStyle w:val="Lista2"/>
      </w:pPr>
      <w:r>
        <w:t>an inscribed seal</w:t>
      </w:r>
    </w:p>
    <w:p w14:paraId="707A4DC3" w14:textId="77777777">
      <w:pPr>
        <w:pStyle w:val="Lista2"/>
      </w:pPr>
      <w:r>
        <w:t>three plates, the first and the last inscribed only on their inner faces</w:t>
      </w:r>
    </w:p>
    <w:p w14:paraId="1F0624DB" w14:textId="77777777">
      <w:pPr>
        <w:pStyle w:val="Lista3"/>
      </w:pPr>
      <w:r>
        <w:t>with foliation marks on the recto faces of the second and third plate</w:t>
      </w:r>
    </w:p>
    <w:p w14:paraId="49C0B881" w14:textId="77777777">
      <w:pPr>
        <w:pStyle w:val="Lista3"/>
      </w:pPr>
      <w:r>
        <w:t>with an inset initial text on the first page</w:t>
      </w:r>
    </w:p>
    <w:p w14:paraId="017309A1" w14:textId="77777777">
      <w:pPr>
        <w:pStyle w:val="Lista3"/>
      </w:pPr>
      <w:r>
        <w:t>with a visually separated colophon on the last page</w:t>
      </w:r>
    </w:p>
    <w:p w14:paraId="35451405" w14:textId="66FA7064">
      <w:pPr>
        <w:pStyle w:val="Lista"/>
      </w:pPr>
      <w:r>
        <w:t xml:space="preserve">the seal and the plates comprise a boxlike partition that must be encoded as two textpart divisions </w:t>
      </w:r>
      <w:r>
        <w:rPr>
          <w:noProof/>
        </w:rPr>
        <w:t>(</w:t>
      </w:r>
      <w:r>
        <w:t>§</w:t>
      </w:r>
      <w:r>
        <w:fldChar w:fldCharType="begin"/>
      </w:r>
      <w:r>
        <w:instrText xml:space="preserve"> REF _Ref225778181 \r \h </w:instrText>
      </w:r>
      <w:r>
        <w:fldChar w:fldCharType="separate"/>
      </w:r>
      <w:r>
        <w:t>4.2</w:t>
      </w:r>
      <w:r>
        <w:fldChar w:fldCharType="end"/>
      </w:r>
      <w:r>
        <w:t>)</w:t>
      </w:r>
    </w:p>
    <w:p w14:paraId="361DD5F1" w14:textId="7EF65150">
      <w:pPr>
        <w:pStyle w:val="Lista"/>
      </w:pPr>
      <w:r>
        <w:t xml:space="preserve">the second division is a virtual zone subdivided into pagelike partitions </w:t>
      </w:r>
      <w:r>
        <w:rPr>
          <w:noProof/>
        </w:rPr>
        <w:t>(</w:t>
      </w:r>
      <w:r>
        <w:t>§</w:t>
      </w:r>
      <w:r>
        <w:fldChar w:fldCharType="begin"/>
      </w:r>
      <w:r>
        <w:instrText xml:space="preserve"> REF _Ref233982406 \r \h </w:instrText>
      </w:r>
      <w:r>
        <w:fldChar w:fldCharType="separate"/>
      </w:r>
      <w:r>
        <w:t>4.4</w:t>
      </w:r>
      <w:r>
        <w:fldChar w:fldCharType="end"/>
      </w:r>
      <w:r>
        <w:t xml:space="preserve">), which are actual pages and must thus be encoded as </w:t>
      </w:r>
      <w:r>
        <w:rPr>
          <w:rStyle w:val="Code"/>
        </w:rPr>
        <w:t>&lt;pb/&gt;</w:t>
      </w:r>
      <w:r>
        <w:t xml:space="preserve"> elements (§</w:t>
      </w:r>
      <w:r>
        <w:fldChar w:fldCharType="begin"/>
      </w:r>
      <w:r>
        <w:instrText xml:space="preserve"> REF _Ref183083979 \r \h </w:instrText>
      </w:r>
      <w:r>
        <w:fldChar w:fldCharType="separate"/>
      </w:r>
      <w:r>
        <w:t>4.4.2</w:t>
      </w:r>
      <w:r>
        <w:fldChar w:fldCharType="end"/>
      </w:r>
      <w:r>
        <w:t>)</w:t>
      </w:r>
    </w:p>
    <w:p w14:paraId="31A54087" w14:textId="207B696C">
      <w:pPr>
        <w:pStyle w:val="Lista2"/>
      </w:pPr>
      <w:r>
        <w:t xml:space="preserve">the blank outer pages must also be encoded </w:t>
      </w:r>
      <w:r>
        <w:rPr>
          <w:noProof/>
        </w:rPr>
        <w:t>(</w:t>
      </w:r>
      <w:r>
        <w:t>§</w:t>
      </w:r>
      <w:r>
        <w:fldChar w:fldCharType="begin"/>
      </w:r>
      <w:r>
        <w:instrText xml:space="preserve"> REF _Ref182318940 \r \h </w:instrText>
      </w:r>
      <w:r>
        <w:fldChar w:fldCharType="separate"/>
      </w:r>
      <w:r>
        <w:t>4.4.2.2</w:t>
      </w:r>
      <w:r>
        <w:fldChar w:fldCharType="end"/>
      </w:r>
      <w:r>
        <w:t>)</w:t>
      </w:r>
    </w:p>
    <w:p w14:paraId="2BA93F3B" w14:textId="77777777">
      <w:pPr>
        <w:pStyle w:val="Lista"/>
      </w:pPr>
      <w:r>
        <w:t>within the second division,</w:t>
      </w:r>
    </w:p>
    <w:p w14:paraId="16EB7927" w14:textId="33A23705">
      <w:pPr>
        <w:pStyle w:val="Lista2"/>
      </w:pPr>
      <w:r>
        <w:t xml:space="preserve">text begins with a floating incipit, which must be marked up as a special line </w:t>
      </w:r>
      <w:r>
        <w:rPr>
          <w:noProof/>
        </w:rPr>
        <w:t>(</w:t>
      </w:r>
      <w:r>
        <w:t>§</w:t>
      </w:r>
      <w:r>
        <w:fldChar w:fldCharType="begin"/>
      </w:r>
      <w:r>
        <w:instrText xml:space="preserve"> REF _Ref43978135 \r \h  \* MERGEFORMAT </w:instrText>
      </w:r>
      <w:r>
        <w:fldChar w:fldCharType="separate"/>
      </w:r>
      <w:r>
        <w:t>4.7.1.1</w:t>
      </w:r>
      <w:r>
        <w:fldChar w:fldCharType="end"/>
      </w:r>
      <w:r>
        <w:t>)</w:t>
      </w:r>
    </w:p>
    <w:p w14:paraId="629381EA" w14:textId="4AFE149B">
      <w:pPr>
        <w:pStyle w:val="Lista2"/>
      </w:pPr>
      <w:r>
        <w:t xml:space="preserve">the foliation numbers comprise forme work </w:t>
      </w:r>
      <w:r>
        <w:rPr>
          <w:noProof/>
        </w:rPr>
        <w:t>(</w:t>
      </w:r>
      <w:r>
        <w:t>§</w:t>
      </w:r>
      <w:r>
        <w:fldChar w:fldCharType="begin"/>
      </w:r>
      <w:r>
        <w:instrText xml:space="preserve"> REF _Ref43984607 \w \h  \* MERGEFORMAT </w:instrText>
      </w:r>
      <w:r>
        <w:fldChar w:fldCharType="separate"/>
      </w:r>
      <w:r>
        <w:t>4.7.2</w:t>
      </w:r>
      <w:r>
        <w:fldChar w:fldCharType="end"/>
      </w:r>
      <w:r>
        <w:t>), each attached to the relevant page</w:t>
      </w:r>
    </w:p>
    <w:p w14:paraId="4FEBE96A" w14:textId="360568DB">
      <w:pPr>
        <w:pStyle w:val="Lista2"/>
      </w:pPr>
      <w:r>
        <w:t xml:space="preserve">the special alignment of the colophon may optionally be encoded </w:t>
      </w:r>
      <w:r>
        <w:rPr>
          <w:noProof/>
        </w:rPr>
        <w:t>(</w:t>
      </w:r>
      <w:r>
        <w:t>§</w:t>
      </w:r>
      <w:r>
        <w:fldChar w:fldCharType="begin"/>
      </w:r>
      <w:r>
        <w:instrText xml:space="preserve"> REF _Ref43987598 \r \h  \* MERGEFORMAT </w:instrText>
      </w:r>
      <w:r>
        <w:fldChar w:fldCharType="separate"/>
      </w:r>
      <w:r>
        <w:t>8.5.1</w:t>
      </w:r>
      <w:r>
        <w:fldChar w:fldCharType="end"/>
      </w:r>
      <w:r>
        <w:t>)</w:t>
      </w:r>
    </w:p>
    <w:p w14:paraId="28666791" w14:textId="77777777"/>
    <w:p w14:paraId="7B9FFA44" w14:textId="16996774">
      <w:pPr>
        <w:pStyle w:val="CodeParagraph"/>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comment"/>
        </w:rPr>
        <w:t>&lt;!--Seal as a division. Since the two divisions are different in nature, @subtype is not used; instead, a &lt;head&gt; is added for identification, §</w:t>
      </w:r>
      <w:r>
        <w:rPr>
          <w:rStyle w:val="Codecomment"/>
        </w:rPr>
        <w:fldChar w:fldCharType="begin"/>
      </w:r>
      <w:r>
        <w:rPr>
          <w:rStyle w:val="Codecomment"/>
        </w:rPr>
        <w:instrText xml:space="preserve"> REF _Ref225177909 \r \h </w:instrText>
      </w:r>
      <w:r>
        <w:rPr>
          <w:rStyle w:val="Codecomment"/>
        </w:rPr>
      </w:r>
      <w:r>
        <w:rPr>
          <w:rStyle w:val="Codecomment"/>
        </w:rPr>
        <w:fldChar w:fldCharType="separate"/>
      </w:r>
      <w:r>
        <w:rPr>
          <w:rStyle w:val="Codecomment"/>
        </w:rPr>
        <w:t>4.2.1.3</w:t>
      </w:r>
      <w:r>
        <w:rPr>
          <w:rStyle w:val="Codecomment"/>
        </w:rPr>
        <w:fldChar w:fldCharType="end"/>
      </w:r>
      <w:r>
        <w:rPr>
          <w:rStyle w:val="Codecomment"/>
        </w:rPr>
        <w:t>.--&gt;&lt;!--By project convention, the seal is encoded before the text of the plates.--&gt;</w:t>
      </w:r>
      <w:r>
        <w:rPr>
          <w:rStyle w:val="Codetext"/>
        </w:rPr>
        <w:br/>
      </w:r>
      <w:r>
        <w:rPr>
          <w:rStyle w:val="Codetext"/>
        </w:rPr>
        <w:lastRenderedPageBreak/>
        <w:t xml:space="preserve">  </w:t>
      </w:r>
      <w:r>
        <w:rPr>
          <w:rStyle w:val="Code"/>
        </w:rPr>
        <w:t>&lt;ab&gt;</w:t>
      </w:r>
      <w:r>
        <w:rPr>
          <w:rStyle w:val="Codecomment"/>
        </w:rPr>
        <w:t>&lt;!--Seal text wrapped in a block-level element, in this case &lt;ab&gt; because it does not qualify as a paragraph, §</w:t>
      </w:r>
      <w:r>
        <w:rPr>
          <w:rStyle w:val="Codecomment"/>
          <w:rFonts w:eastAsia="Arial Unicode MS"/>
        </w:rPr>
        <w:fldChar w:fldCharType="begin"/>
      </w:r>
      <w:r>
        <w:rPr>
          <w:rStyle w:val="Codecomment"/>
          <w:rFonts w:eastAsia="Arial Unicode MS"/>
        </w:rPr>
        <w:instrText xml:space="preserve"> REF _Ref43981028 \r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3.2.1.2</w:t>
      </w:r>
      <w:r>
        <w:rPr>
          <w:rStyle w:val="Codecomment"/>
          <w:rFonts w:eastAsia="Arial Unicode MS"/>
        </w:rPr>
        <w:fldChar w:fldCharType="end"/>
      </w:r>
      <w:r>
        <w:rPr>
          <w:rStyle w:val="Codecomment"/>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J R R</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Tolkien</w:t>
      </w:r>
      <w:r>
        <w:rPr>
          <w:rStyle w:val="Codetext"/>
        </w:rPr>
        <w:br/>
        <w:t xml:space="preserve">  </w:t>
      </w:r>
      <w:r>
        <w:rPr>
          <w:rStyle w:val="Code"/>
        </w:rPr>
        <w:t>&lt;/ab&gt;</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Plates</w:t>
      </w:r>
      <w:r>
        <w:rPr>
          <w:rStyle w:val="Code"/>
        </w:rPr>
        <w:t>&lt;/head&gt;</w:t>
      </w:r>
      <w:r>
        <w:rPr>
          <w:rStyle w:val="Codetext"/>
        </w:rPr>
        <w:br/>
        <w:t xml:space="preserve">  </w:t>
      </w:r>
      <w:r>
        <w:rPr>
          <w:rStyle w:val="Code"/>
        </w:rPr>
        <w:t xml:space="preserve">&lt;pb </w:t>
      </w:r>
      <w:r>
        <w:rPr>
          <w:rStyle w:val="Codeattribute"/>
        </w:rPr>
        <w:t>n</w:t>
      </w:r>
      <w:r>
        <w:rPr>
          <w:rStyle w:val="Code"/>
        </w:rPr>
        <w:t>=</w:t>
      </w:r>
      <w:r>
        <w:rPr>
          <w:rStyle w:val="Codevalue"/>
        </w:rPr>
        <w:t>"1r"</w:t>
      </w:r>
      <w:r>
        <w:rPr>
          <w:rStyle w:val="Code"/>
        </w:rPr>
        <w:t>/&gt;</w:t>
      </w:r>
      <w:r>
        <w:rPr>
          <w:rStyle w:val="Codecomment"/>
        </w:rPr>
        <w:t>&lt;!--Blank outer page; the page beginning is not inside a block-level element, §</w:t>
      </w:r>
      <w:r>
        <w:rPr>
          <w:rStyle w:val="Codecomment"/>
        </w:rPr>
        <w:fldChar w:fldCharType="begin"/>
      </w:r>
      <w:r>
        <w:rPr>
          <w:rStyle w:val="Codecomment"/>
        </w:rPr>
        <w:instrText xml:space="preserve"> REF _Ref182318940 \r \h </w:instrText>
      </w:r>
      <w:r>
        <w:rPr>
          <w:rStyle w:val="Codecomment"/>
        </w:rPr>
      </w:r>
      <w:r>
        <w:rPr>
          <w:rStyle w:val="Codecomment"/>
        </w:rPr>
        <w:fldChar w:fldCharType="separate"/>
      </w:r>
      <w:r>
        <w:rPr>
          <w:rStyle w:val="Codecomment"/>
        </w:rPr>
        <w:t>4.4.2.2</w:t>
      </w:r>
      <w:r>
        <w:rPr>
          <w:rStyle w:val="Codecomment"/>
        </w:rPr>
        <w:fldChar w:fldCharType="end"/>
      </w:r>
      <w:r>
        <w:rPr>
          <w:rStyle w:val="Codecomment"/>
        </w:rPr>
        <w:t>.--&gt;</w:t>
      </w:r>
      <w:r>
        <w:rPr>
          <w:rStyle w:val="Codetext"/>
        </w:rPr>
        <w:br/>
        <w:t xml:space="preserve">  </w:t>
      </w:r>
      <w:r>
        <w:rPr>
          <w:rStyle w:val="Code"/>
        </w:rPr>
        <w:t>&lt;ab&gt;</w:t>
      </w:r>
    </w:p>
    <w:p w14:paraId="435105AE" w14:textId="3AD8ED9A">
      <w:pPr>
        <w:pStyle w:val="CodeParagraph"/>
        <w:rPr>
          <w:rStyle w:val="Codetext"/>
        </w:rPr>
      </w:pPr>
      <w:r>
        <w:rPr>
          <w:rStyle w:val="Codetext"/>
        </w:rP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comment"/>
        </w:rPr>
        <w:t>&lt;!--This page beginning is inside the first block-level container of the text, which happens to be the &lt;ab&gt; wrapper for the incipit. This does not imply that the page break is part of that &lt;ab&gt;.--&gt;</w:t>
      </w:r>
      <w:r>
        <w:rPr>
          <w:rStyle w:val="Codetext"/>
        </w:rPr>
        <w:br/>
        <w:t xml:space="preserve">    </w:t>
      </w:r>
      <w:r>
        <w:rPr>
          <w:rStyle w:val="Code"/>
        </w:rPr>
        <w:t xml:space="preserve">&lt;lb </w:t>
      </w:r>
      <w:r>
        <w:rPr>
          <w:rStyle w:val="Codeattribute"/>
        </w:rPr>
        <w:t>n</w:t>
      </w:r>
      <w:r>
        <w:rPr>
          <w:rStyle w:val="Code"/>
        </w:rPr>
        <w:t>=</w:t>
      </w:r>
      <w:r>
        <w:rPr>
          <w:rStyle w:val="Codevalue"/>
        </w:rPr>
        <w:t>"01"</w:t>
      </w:r>
      <w:r>
        <w:rPr>
          <w:rStyle w:val="Code"/>
        </w:rPr>
        <w:t>/&gt;</w:t>
      </w:r>
      <w:r>
        <w:rPr>
          <w:rStyle w:val="Codetext"/>
        </w:rPr>
        <w:t>The Hobbit</w:t>
      </w:r>
      <w:r>
        <w:rPr>
          <w:rStyle w:val="Codecomment"/>
        </w:rPr>
        <w:t>&lt;!--Line numbers are restarted in the second textpart, §</w:t>
      </w:r>
      <w:r>
        <w:rPr>
          <w:rStyle w:val="Codecomment"/>
          <w:rFonts w:eastAsia="Arial Unicode MS"/>
        </w:rPr>
        <w:fldChar w:fldCharType="begin"/>
      </w:r>
      <w:r>
        <w:rPr>
          <w:rStyle w:val="Codecomment"/>
          <w:rFonts w:eastAsia="Arial Unicode MS"/>
        </w:rPr>
        <w:instrText xml:space="preserve"> REF _Ref43986747 \w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4.2.1.4</w:t>
      </w:r>
      <w:r>
        <w:rPr>
          <w:rStyle w:val="Codecomment"/>
          <w:rFonts w:eastAsia="Arial Unicode MS"/>
        </w:rPr>
        <w:fldChar w:fldCharType="end"/>
      </w:r>
      <w:r>
        <w:rPr>
          <w:rStyle w:val="Codecomment"/>
        </w:rPr>
        <w:t>. The specially positioned incipit has the line number 01, §</w:t>
      </w:r>
      <w:r>
        <w:rPr>
          <w:rStyle w:val="Codecomment"/>
          <w:rFonts w:eastAsia="Arial Unicode MS"/>
        </w:rPr>
        <w:fldChar w:fldCharType="begin"/>
      </w:r>
      <w:r>
        <w:rPr>
          <w:rStyle w:val="Codecomment"/>
          <w:rFonts w:eastAsia="Arial Unicode MS"/>
        </w:rPr>
        <w:instrText xml:space="preserve"> REF _Ref43978135 \r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4.7.1.1</w:t>
      </w:r>
      <w:r>
        <w:rPr>
          <w:rStyle w:val="Codecomment"/>
          <w:rFonts w:eastAsia="Arial Unicode MS"/>
        </w:rPr>
        <w:fldChar w:fldCharType="end"/>
      </w:r>
      <w:r>
        <w:rPr>
          <w:rStyle w:val="Codecomment"/>
        </w:rPr>
        <w:t>.--&gt;</w:t>
      </w:r>
      <w:r>
        <w:rPr>
          <w:rStyle w:val="Codetext"/>
        </w:rPr>
        <w:br/>
        <w:t xml:space="preserve">  </w:t>
      </w:r>
      <w:r>
        <w:rPr>
          <w:rStyle w:val="Code"/>
        </w:rPr>
        <w:t>&lt;/ab&gt;</w:t>
      </w:r>
      <w:r>
        <w:rPr>
          <w:rStyle w:val="Codetext"/>
        </w:rPr>
        <w:br/>
        <w:t xml:space="preserve">  </w:t>
      </w:r>
      <w:r>
        <w:rPr>
          <w:rStyle w:val="Code"/>
        </w:rPr>
        <w:t>&lt;p&gt;</w:t>
      </w:r>
      <w:r>
        <w:rPr>
          <w:rStyle w:val="Codecomment"/>
        </w:rPr>
        <w:t>&lt;!--First semantic paragraph of the text.--&gt;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 there lived a hobbit. Not</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a nasty, dirty, wet hole, filled with the ends of worm</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and an oozy smell, nor yet a dry, bare, sandy hole with</w:t>
      </w:r>
      <w:r>
        <w:rPr>
          <w:rStyle w:val="Codetext"/>
        </w:rPr>
        <w:br/>
        <w:t xml:space="preserve">  </w:t>
      </w:r>
      <w:r>
        <w:rPr>
          <w:rStyle w:val="Code"/>
        </w:rPr>
        <w:t xml:space="preserve">&lt;pb </w:t>
      </w:r>
      <w:r>
        <w:rPr>
          <w:rStyle w:val="Codeattribute"/>
        </w:rPr>
        <w:t>n</w:t>
      </w:r>
      <w:r>
        <w:rPr>
          <w:rStyle w:val="Code"/>
        </w:rPr>
        <w:t>=</w:t>
      </w:r>
      <w:r>
        <w:rPr>
          <w:rStyle w:val="Codevalue"/>
        </w:rPr>
        <w:t>"2r"</w:t>
      </w:r>
      <w:r>
        <w:rPr>
          <w:rStyle w:val="Code"/>
        </w:rPr>
        <w:t>/&gt;</w:t>
      </w:r>
      <w:r>
        <w:rPr>
          <w:rStyle w:val="Codetext"/>
        </w:rPr>
        <w:br/>
        <w:t xml:space="preserve">  </w:t>
      </w:r>
      <w:r>
        <w:rPr>
          <w:rStyle w:val="Codecomment"/>
        </w:rPr>
        <w:t>&lt;!--Within a textpart, line numbers are continued on subsequent pages as recommended under §</w:t>
      </w:r>
      <w:r>
        <w:rPr>
          <w:rStyle w:val="Codecomment"/>
        </w:rPr>
        <w:fldChar w:fldCharType="begin"/>
      </w:r>
      <w:r>
        <w:rPr>
          <w:rStyle w:val="Codecomment"/>
        </w:rPr>
        <w:instrText xml:space="preserve"> REF _Ref225429069 \r \h </w:instrText>
      </w:r>
      <w:r>
        <w:rPr>
          <w:rStyle w:val="Codecomment"/>
        </w:rPr>
      </w:r>
      <w:r>
        <w:rPr>
          <w:rStyle w:val="Codecomment"/>
        </w:rPr>
        <w:fldChar w:fldCharType="separate"/>
      </w:r>
      <w:r>
        <w:rPr>
          <w:rStyle w:val="Codecomment"/>
        </w:rPr>
        <w:t>4.5.2.1</w:t>
      </w:r>
      <w:r>
        <w:rPr>
          <w:rStyle w:val="Codecomment"/>
        </w:rPr>
        <w:fldChar w:fldCharType="end"/>
      </w:r>
      <w:r>
        <w:rPr>
          <w:rStyle w:val="Codecomment"/>
        </w:rPr>
        <w:t xml:space="preserve">. Alternatively, they could be reset to 1 on each page, provided that the number of the current page is incorporated into each line number to maintain uniqueness, </w:t>
      </w:r>
      <w:r>
        <w:rPr>
          <w:rStyle w:val="Codecomment"/>
        </w:rPr>
        <w:fldChar w:fldCharType="begin"/>
      </w:r>
      <w:r>
        <w:rPr>
          <w:rStyle w:val="Codecomment"/>
        </w:rPr>
        <w:instrText xml:space="preserve"> REF _Ref182228380 \r \h </w:instrText>
      </w:r>
      <w:r>
        <w:rPr>
          <w:rStyle w:val="Codecomment"/>
        </w:rPr>
      </w:r>
      <w:r>
        <w:rPr>
          <w:rStyle w:val="Codecomment"/>
        </w:rPr>
        <w:fldChar w:fldCharType="separate"/>
      </w:r>
      <w:r>
        <w:rPr>
          <w:rStyle w:val="Codecomment"/>
        </w:rPr>
        <w:t>4.5.2.2</w:t>
      </w:r>
      <w:r>
        <w:rPr>
          <w:rStyle w:val="Codecomment"/>
        </w:rPr>
        <w:fldChar w:fldCharType="end"/>
      </w:r>
      <w:r>
        <w:rPr>
          <w:rStyle w:val="Codecomment"/>
        </w:rPr>
        <w:t>.--&gt;</w:t>
      </w:r>
    </w:p>
    <w:p w14:paraId="1653AB2C" w14:textId="77777777">
      <w:pPr>
        <w:pStyle w:val="CodeParagraph"/>
        <w:rPr>
          <w:rStyle w:val="Code"/>
        </w:rPr>
      </w:pPr>
      <w:r>
        <w:rPr>
          <w:rStyle w:val="Codetext"/>
        </w:rPr>
        <w:t xml:space="preserve">  </w:t>
      </w:r>
      <w:r>
        <w:rPr>
          <w:rStyle w:val="Code"/>
        </w:rPr>
        <w:t xml:space="preserve">&lt;fw </w:t>
      </w:r>
      <w:r>
        <w:rPr>
          <w:rStyle w:val="Codeattribute"/>
        </w:rPr>
        <w:t>place</w:t>
      </w:r>
      <w:r>
        <w:rPr>
          <w:rStyle w:val="Code"/>
        </w:rPr>
        <w:t>=</w:t>
      </w:r>
      <w:r>
        <w:rPr>
          <w:rStyle w:val="Codevalue"/>
        </w:rPr>
        <w:t>"bot-left"</w:t>
      </w:r>
      <w:r>
        <w:rPr>
          <w:rStyle w:val="Code"/>
        </w:rPr>
        <w:t xml:space="preserve"> </w:t>
      </w:r>
      <w:r>
        <w:rPr>
          <w:rStyle w:val="Codeattribute"/>
        </w:rPr>
        <w:t>n</w:t>
      </w:r>
      <w:r>
        <w:rPr>
          <w:rStyle w:val="Code"/>
        </w:rPr>
        <w:t>=</w:t>
      </w:r>
      <w:r>
        <w:rPr>
          <w:rStyle w:val="Codevalue"/>
        </w:rPr>
        <w:t>"2r"</w:t>
      </w:r>
      <w:r>
        <w:rPr>
          <w:rStyle w:val="Code"/>
        </w:rPr>
        <w:t>&gt;</w:t>
      </w:r>
    </w:p>
    <w:p w14:paraId="22DA6AFD" w14:textId="782D3BA8">
      <w:pPr>
        <w:pStyle w:val="CodeParagraph"/>
      </w:pPr>
      <w:r>
        <w:rPr>
          <w:rStyle w:val="Codecomment"/>
        </w:rPr>
        <w:t xml:space="preserve">    &lt;!--Foliation encoded right after the page beginning, §</w:t>
      </w:r>
      <w:r>
        <w:rPr>
          <w:rStyle w:val="Codecomment"/>
          <w:rFonts w:eastAsia="Arial Unicode MS"/>
        </w:rPr>
        <w:fldChar w:fldCharType="begin"/>
      </w:r>
      <w:r>
        <w:rPr>
          <w:rStyle w:val="Codecomment"/>
          <w:rFonts w:eastAsia="Arial Unicode MS"/>
        </w:rPr>
        <w:instrText xml:space="preserve"> REF _Ref43984607 \w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4.7.2</w:t>
      </w:r>
      <w:r>
        <w:rPr>
          <w:rStyle w:val="Codecomment"/>
          <w:rFonts w:eastAsia="Arial Unicode MS"/>
        </w:rPr>
        <w:fldChar w:fldCharType="end"/>
      </w:r>
      <w:r>
        <w:rPr>
          <w:rStyle w:val="Codecomment"/>
        </w:rPr>
        <w:t>.--&gt;</w:t>
      </w:r>
      <w:r>
        <w:rPr>
          <w:rStyle w:val="Codetext"/>
        </w:rPr>
        <w:br/>
        <w:t xml:space="preserve">    </w:t>
      </w:r>
      <w:r>
        <w:rPr>
          <w:rStyle w:val="Code"/>
        </w:rPr>
        <w:t xml:space="preserve">&lt;num </w:t>
      </w:r>
      <w:r>
        <w:rPr>
          <w:rStyle w:val="Codeattribute"/>
        </w:rPr>
        <w:t>value</w:t>
      </w:r>
      <w:r>
        <w:rPr>
          <w:rStyle w:val="Code"/>
        </w:rPr>
        <w:t>=</w:t>
      </w:r>
      <w:r>
        <w:rPr>
          <w:rStyle w:val="Codevalue"/>
        </w:rPr>
        <w:t>"2"</w:t>
      </w:r>
      <w:r>
        <w:rPr>
          <w:rStyle w:val="Code"/>
        </w:rPr>
        <w:t>&gt;</w:t>
      </w:r>
      <w:r>
        <w:rPr>
          <w:rStyle w:val="Codetext"/>
        </w:rPr>
        <w:t>2</w:t>
      </w:r>
      <w:r>
        <w:rPr>
          <w:rStyle w:val="Code"/>
        </w:rPr>
        <w:t>&lt;/num&gt;</w:t>
      </w:r>
      <w:r>
        <w:rPr>
          <w:rStyle w:val="Codetext"/>
        </w:rPr>
        <w:br/>
        <w:t xml:space="preserve">  </w:t>
      </w:r>
      <w:r>
        <w:rPr>
          <w:rStyle w:val="Code"/>
        </w:rPr>
        <w:t>&lt;/fw&gt;</w:t>
      </w:r>
      <w:r>
        <w:rPr>
          <w:rStyle w:val="Codetext"/>
        </w:rPr>
        <w:t xml:space="preserve">  </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/&gt;</w:t>
      </w:r>
      <w:r>
        <w:rPr>
          <w:rStyle w:val="Codetext"/>
        </w:rPr>
        <w:t>nothing in it to sit 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/&gt;</w:t>
      </w:r>
      <w:r>
        <w:rPr>
          <w:rStyle w:val="Codetext"/>
        </w:rPr>
        <w:t>hobbit-hole, and that means comfort.</w:t>
      </w:r>
      <w:r>
        <w:rPr>
          <w:rStyle w:val="Codetext"/>
        </w:rPr>
        <w:br/>
        <w:t xml:space="preserve">  </w:t>
      </w:r>
      <w:r>
        <w:rPr>
          <w:rStyle w:val="Code"/>
        </w:rPr>
        <w:t>&lt;/p&gt;</w:t>
      </w:r>
      <w:r>
        <w:rPr>
          <w:rStyle w:val="Codecomment"/>
        </w:rPr>
        <w:t>&lt;!--Ending a semantic paragraph here and starting a new one.--&gt;</w:t>
      </w:r>
      <w:r>
        <w:rPr>
          <w:rStyle w:val="Codetext"/>
        </w:rPr>
        <w:br/>
        <w:t xml:space="preserve">  </w:t>
      </w:r>
      <w:r>
        <w:rPr>
          <w:rStyle w:val="Code"/>
        </w:rPr>
        <w:t>&lt;p&gt;</w:t>
      </w:r>
      <w:r>
        <w:rPr>
          <w:rStyle w:val="Codetext"/>
        </w:rPr>
        <w:t>It had a perfectly</w:t>
      </w:r>
      <w:r>
        <w:rPr>
          <w:rStyle w:val="Codetext"/>
        </w:rPr>
        <w:br/>
        <w:t xml:space="preserve">  </w:t>
      </w:r>
      <w:r>
        <w:rPr>
          <w:rStyle w:val="Code"/>
        </w:rPr>
        <w:t xml:space="preserve">&lt;lb </w:t>
      </w:r>
      <w:r>
        <w:rPr>
          <w:rStyle w:val="Codeattribute"/>
        </w:rPr>
        <w:t>n</w:t>
      </w:r>
      <w:r>
        <w:rPr>
          <w:rStyle w:val="Code"/>
        </w:rPr>
        <w:t>=</w:t>
      </w:r>
      <w:r>
        <w:rPr>
          <w:rStyle w:val="Codevalue"/>
        </w:rPr>
        <w:t>"6"</w:t>
      </w:r>
      <w:r>
        <w:rPr>
          <w:rStyle w:val="Code"/>
        </w:rPr>
        <w:t>/&gt;</w:t>
      </w:r>
      <w:r>
        <w:rPr>
          <w:rStyle w:val="Codetext"/>
        </w:rPr>
        <w:t>round door like a porthole, painted green, with a shiny</w:t>
      </w:r>
      <w:r>
        <w:rPr>
          <w:rStyle w:val="Codetext"/>
        </w:rPr>
        <w:br/>
        <w:t xml:space="preserve">  </w:t>
      </w:r>
      <w:r>
        <w:rPr>
          <w:rStyle w:val="Code"/>
        </w:rPr>
        <w:t xml:space="preserve">&lt;pb </w:t>
      </w:r>
      <w:r>
        <w:rPr>
          <w:rStyle w:val="Codeattribute"/>
        </w:rPr>
        <w:t>n</w:t>
      </w:r>
      <w:r>
        <w:rPr>
          <w:rStyle w:val="Code"/>
        </w:rPr>
        <w:t>=</w:t>
      </w:r>
      <w:r>
        <w:rPr>
          <w:rStyle w:val="Codevalue"/>
        </w:rPr>
        <w:t>"2v"</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"7"</w:t>
      </w:r>
      <w:r>
        <w:rPr>
          <w:rStyle w:val="Code"/>
        </w:rPr>
        <w:t>/&gt;</w:t>
      </w:r>
      <w:r>
        <w:rPr>
          <w:rStyle w:val="Codetext"/>
        </w:rPr>
        <w:t>yellow brass knob in the exact middle. The door opened</w:t>
      </w:r>
      <w:r>
        <w:rPr>
          <w:rStyle w:val="Codetext"/>
        </w:rPr>
        <w:br/>
        <w:t xml:space="preserve">  </w:t>
      </w:r>
      <w:r>
        <w:rPr>
          <w:rStyle w:val="Code"/>
        </w:rPr>
        <w:t xml:space="preserve">&lt;lb </w:t>
      </w:r>
      <w:r>
        <w:rPr>
          <w:rStyle w:val="Codeattribute"/>
        </w:rPr>
        <w:t>n</w:t>
      </w:r>
      <w:r>
        <w:rPr>
          <w:rStyle w:val="Code"/>
        </w:rPr>
        <w:t>=</w:t>
      </w:r>
      <w:r>
        <w:rPr>
          <w:rStyle w:val="Codevalue"/>
        </w:rPr>
        <w:t>"8"</w:t>
      </w:r>
      <w:r>
        <w:rPr>
          <w:rStyle w:val="Code"/>
        </w:rPr>
        <w:t>/&gt;</w:t>
      </w:r>
      <w:r>
        <w:rPr>
          <w:rStyle w:val="Codetext"/>
        </w:rPr>
        <w:t>on to a tube-shaped hall like a tunnel: a very</w:t>
      </w:r>
      <w:r>
        <w:rPr>
          <w:rStyle w:val="Codetext"/>
        </w:rPr>
        <w:br/>
        <w:t xml:space="preserve">  </w:t>
      </w:r>
      <w:r>
        <w:rPr>
          <w:rStyle w:val="Code"/>
        </w:rPr>
        <w:t xml:space="preserve">&lt;lb </w:t>
      </w:r>
      <w:r>
        <w:rPr>
          <w:rStyle w:val="Codeattribute"/>
        </w:rPr>
        <w:t>n</w:t>
      </w:r>
      <w:r>
        <w:rPr>
          <w:rStyle w:val="Code"/>
        </w:rPr>
        <w:t>=</w:t>
      </w:r>
      <w:r>
        <w:rPr>
          <w:rStyle w:val="Codevalue"/>
        </w:rPr>
        <w:t>"9"</w:t>
      </w:r>
      <w:r>
        <w:rPr>
          <w:rStyle w:val="Code"/>
        </w:rPr>
        <w:t>/&gt;</w:t>
      </w:r>
      <w:r>
        <w:rPr>
          <w:rStyle w:val="Codetext"/>
        </w:rPr>
        <w:t>comfortable tunnel without smoke, with panelled walls,</w:t>
      </w:r>
      <w:r>
        <w:rPr>
          <w:rStyle w:val="Codetext"/>
        </w:rPr>
        <w:br/>
        <w:t xml:space="preserve">  </w:t>
      </w:r>
      <w:r>
        <w:rPr>
          <w:rStyle w:val="Code"/>
        </w:rPr>
        <w:t xml:space="preserve">&lt;pb </w:t>
      </w:r>
      <w:r>
        <w:rPr>
          <w:rStyle w:val="Codeattribute"/>
        </w:rPr>
        <w:t>n</w:t>
      </w:r>
      <w:r>
        <w:rPr>
          <w:rStyle w:val="Code"/>
        </w:rPr>
        <w:t>=</w:t>
      </w:r>
      <w:r>
        <w:rPr>
          <w:rStyle w:val="Codevalue"/>
        </w:rPr>
        <w:t>"3r"</w:t>
      </w:r>
      <w:r>
        <w:rPr>
          <w:rStyle w:val="Code"/>
        </w:rPr>
        <w:t>/&gt;</w:t>
      </w:r>
      <w:r>
        <w:rPr>
          <w:rStyle w:val="Codetext"/>
        </w:rPr>
        <w:br/>
        <w:t xml:space="preserve">  </w:t>
      </w:r>
      <w:r>
        <w:rPr>
          <w:rStyle w:val="Code"/>
        </w:rPr>
        <w:t xml:space="preserve">&lt;fw </w:t>
      </w:r>
      <w:r>
        <w:rPr>
          <w:rStyle w:val="Codeattribute"/>
        </w:rPr>
        <w:t>place</w:t>
      </w:r>
      <w:r>
        <w:rPr>
          <w:rStyle w:val="Code"/>
        </w:rPr>
        <w:t>=</w:t>
      </w:r>
      <w:r>
        <w:rPr>
          <w:rStyle w:val="Codevalue"/>
        </w:rPr>
        <w:t>"bot-left"</w:t>
      </w:r>
      <w:r>
        <w:rPr>
          <w:rStyle w:val="Code"/>
        </w:rPr>
        <w:t xml:space="preserve"> </w:t>
      </w:r>
      <w:r>
        <w:rPr>
          <w:rStyle w:val="Codeattribute"/>
        </w:rPr>
        <w:t>n</w:t>
      </w:r>
      <w:r>
        <w:rPr>
          <w:rStyle w:val="Code"/>
        </w:rPr>
        <w:t>=</w:t>
      </w:r>
      <w:r>
        <w:rPr>
          <w:rStyle w:val="Codevalue"/>
        </w:rPr>
        <w:t>"3r"</w:t>
      </w:r>
      <w:r>
        <w:rPr>
          <w:rStyle w:val="Code"/>
        </w:rPr>
        <w:t>&gt;</w:t>
      </w:r>
      <w:r>
        <w:rPr>
          <w:rStyle w:val="Codetext"/>
        </w:rPr>
        <w:br/>
        <w:t xml:space="preserve">    </w:t>
      </w:r>
      <w:r>
        <w:rPr>
          <w:rStyle w:val="Codecomment"/>
        </w:rPr>
        <w:t>&lt;!--Foliation right after the page beginning.--&gt;</w:t>
      </w:r>
      <w:r>
        <w:rPr>
          <w:rStyle w:val="Codetext"/>
        </w:rPr>
        <w:br/>
        <w:t xml:space="preserve">    </w:t>
      </w:r>
      <w:r>
        <w:rPr>
          <w:rStyle w:val="Code"/>
        </w:rPr>
        <w:t xml:space="preserve">&lt;num </w:t>
      </w:r>
      <w:r>
        <w:rPr>
          <w:rStyle w:val="Codeattribute"/>
        </w:rPr>
        <w:t>value</w:t>
      </w:r>
      <w:r>
        <w:rPr>
          <w:rStyle w:val="Code"/>
        </w:rPr>
        <w:t>=</w:t>
      </w:r>
      <w:r>
        <w:rPr>
          <w:rStyle w:val="Codevalue"/>
        </w:rPr>
        <w:t>"3"</w:t>
      </w:r>
      <w:r>
        <w:rPr>
          <w:rStyle w:val="Code"/>
        </w:rPr>
        <w:t>&gt;</w:t>
      </w:r>
      <w:r>
        <w:rPr>
          <w:rStyle w:val="Codetext"/>
        </w:rPr>
        <w:t>3</w:t>
      </w:r>
      <w:r>
        <w:rPr>
          <w:rStyle w:val="Code"/>
        </w:rPr>
        <w:t>&lt;/num&gt;</w:t>
      </w:r>
      <w:r>
        <w:rPr>
          <w:rStyle w:val="Codetext"/>
        </w:rPr>
        <w:br/>
        <w:t xml:space="preserve">  </w:t>
      </w:r>
      <w:r>
        <w:rPr>
          <w:rStyle w:val="Code"/>
        </w:rPr>
        <w:t>&lt;/fw&gt;</w:t>
      </w:r>
      <w:r>
        <w:rPr>
          <w:rStyle w:val="Codetext"/>
        </w:rPr>
        <w:br/>
        <w:t xml:space="preserve">  </w:t>
      </w:r>
      <w:r>
        <w:rPr>
          <w:rStyle w:val="Code"/>
        </w:rPr>
        <w:t xml:space="preserve">&lt;lb </w:t>
      </w:r>
      <w:r>
        <w:rPr>
          <w:rStyle w:val="Codeattribute"/>
        </w:rPr>
        <w:t>n</w:t>
      </w:r>
      <w:r>
        <w:rPr>
          <w:rStyle w:val="Code"/>
        </w:rPr>
        <w:t>=</w:t>
      </w:r>
      <w:r>
        <w:rPr>
          <w:rStyle w:val="Codevalue"/>
        </w:rPr>
        <w:t>"10"</w:t>
      </w:r>
      <w:r>
        <w:rPr>
          <w:rStyle w:val="Code"/>
        </w:rPr>
        <w:t>/&gt;</w:t>
      </w:r>
      <w:r>
        <w:rPr>
          <w:rStyle w:val="Codetext"/>
        </w:rPr>
        <w:t>and floors tiled and carpeted, provided with polished</w:t>
      </w:r>
      <w:r>
        <w:rPr>
          <w:rStyle w:val="Codetext"/>
        </w:rPr>
        <w:br/>
        <w:t xml:space="preserve">  </w:t>
      </w:r>
      <w:r>
        <w:rPr>
          <w:rStyle w:val="Code"/>
        </w:rPr>
        <w:t xml:space="preserve">&lt;lb </w:t>
      </w:r>
      <w:r>
        <w:rPr>
          <w:rStyle w:val="Codeattribute"/>
        </w:rPr>
        <w:t>n</w:t>
      </w:r>
      <w:r>
        <w:rPr>
          <w:rStyle w:val="Code"/>
        </w:rPr>
        <w:t>=</w:t>
      </w:r>
      <w:r>
        <w:rPr>
          <w:rStyle w:val="Codevalue"/>
        </w:rPr>
        <w:t>"11"</w:t>
      </w:r>
      <w:r>
        <w:rPr>
          <w:rStyle w:val="Code"/>
        </w:rPr>
        <w:t>/&gt;</w:t>
      </w:r>
      <w:r>
        <w:rPr>
          <w:rStyle w:val="Codetext"/>
        </w:rPr>
        <w:t>chairs, and lots and lots of pegs for hats and coats.</w:t>
      </w:r>
      <w:r>
        <w:rPr>
          <w:rStyle w:val="Codetext"/>
        </w:rPr>
        <w:br/>
        <w:t xml:space="preserve">  </w:t>
      </w:r>
      <w:r>
        <w:rPr>
          <w:rStyle w:val="Code"/>
        </w:rPr>
        <w:t>&lt;/p&gt;</w:t>
      </w:r>
      <w:r>
        <w:rPr>
          <w:rStyle w:val="Codetext"/>
        </w:rPr>
        <w:br/>
        <w:t xml:space="preserve">  </w:t>
      </w:r>
      <w:r>
        <w:rPr>
          <w:rStyle w:val="Code"/>
        </w:rPr>
        <w:t>&lt;ab&gt;</w:t>
      </w:r>
      <w:r>
        <w:rPr>
          <w:rStyle w:val="Codecomment"/>
        </w:rPr>
        <w:t>&lt;!--The colophon is an incomplete sentence, so it gets an &lt;ab&gt; wrapper.--&gt;</w:t>
      </w:r>
      <w:r>
        <w:rPr>
          <w:rStyle w:val="Codetext"/>
        </w:rPr>
        <w:br/>
        <w:t xml:space="preserve">  </w:t>
      </w:r>
      <w:r>
        <w:rPr>
          <w:rStyle w:val="Code"/>
        </w:rPr>
        <w:t xml:space="preserve">&lt;lb </w:t>
      </w:r>
      <w:r>
        <w:rPr>
          <w:rStyle w:val="Codeattribute"/>
        </w:rPr>
        <w:t>n</w:t>
      </w:r>
      <w:r>
        <w:rPr>
          <w:rStyle w:val="Code"/>
        </w:rPr>
        <w:t>=</w:t>
      </w:r>
      <w:r>
        <w:rPr>
          <w:rStyle w:val="Codevalue"/>
        </w:rPr>
        <w:t>"12"</w:t>
      </w:r>
      <w:r>
        <w:rPr>
          <w:rStyle w:val="Code"/>
        </w:rPr>
        <w:t xml:space="preserve"> </w:t>
      </w:r>
      <w:r>
        <w:rPr>
          <w:rStyle w:val="Codeattribute"/>
        </w:rPr>
        <w:t>style</w:t>
      </w:r>
      <w:r>
        <w:rPr>
          <w:rStyle w:val="Code"/>
        </w:rPr>
        <w:t>=</w:t>
      </w:r>
      <w:r>
        <w:rPr>
          <w:rStyle w:val="Codevalue"/>
        </w:rPr>
        <w:t>"text-align: right"</w:t>
      </w:r>
      <w:r>
        <w:rPr>
          <w:rStyle w:val="Code"/>
        </w:rPr>
        <w:t>/&gt;</w:t>
      </w:r>
      <w:r>
        <w:rPr>
          <w:rStyle w:val="Codecomment"/>
        </w:rPr>
        <w:t>&lt;!--Optionally marking up right-aligned line.--&gt;</w:t>
      </w:r>
      <w:r>
        <w:rPr>
          <w:rStyle w:val="Codetext"/>
        </w:rPr>
        <w:br/>
        <w:t xml:space="preserve">  </w:t>
      </w:r>
      <w:r>
        <w:rPr>
          <w:rStyle w:val="Code"/>
        </w:rPr>
        <w:t xml:space="preserve">&lt;num </w:t>
      </w:r>
      <w:r>
        <w:rPr>
          <w:rStyle w:val="Codeattribute"/>
        </w:rPr>
        <w:t>value</w:t>
      </w:r>
      <w:r>
        <w:rPr>
          <w:rStyle w:val="Code"/>
        </w:rPr>
        <w:t>=</w:t>
      </w:r>
      <w:r>
        <w:rPr>
          <w:rStyle w:val="Codevalue"/>
        </w:rPr>
        <w:t>"29"</w:t>
      </w:r>
      <w:r>
        <w:rPr>
          <w:rStyle w:val="Code"/>
        </w:rPr>
        <w:t>&gt;</w:t>
      </w:r>
      <w:r>
        <w:rPr>
          <w:rStyle w:val="Codetext"/>
        </w:rPr>
        <w:t>29</w:t>
      </w:r>
      <w:r>
        <w:rPr>
          <w:rStyle w:val="Code"/>
        </w:rPr>
        <w:t>&lt;/num&gt;</w:t>
      </w:r>
      <w:r>
        <w:rPr>
          <w:rStyle w:val="Codetext"/>
        </w:rPr>
        <w:t xml:space="preserve"> September </w:t>
      </w:r>
      <w:r>
        <w:rPr>
          <w:rStyle w:val="Code"/>
        </w:rPr>
        <w:t xml:space="preserve">&lt;num </w:t>
      </w:r>
      <w:r>
        <w:rPr>
          <w:rStyle w:val="Codeattribute"/>
        </w:rPr>
        <w:t>value</w:t>
      </w:r>
      <w:r>
        <w:rPr>
          <w:rStyle w:val="Code"/>
        </w:rPr>
        <w:t>=</w:t>
      </w:r>
      <w:r>
        <w:rPr>
          <w:rStyle w:val="Codevalue"/>
        </w:rPr>
        <w:t>"2019"</w:t>
      </w:r>
      <w:r>
        <w:rPr>
          <w:rStyle w:val="Code"/>
        </w:rPr>
        <w:t>&gt;</w:t>
      </w:r>
      <w:r>
        <w:rPr>
          <w:rStyle w:val="Codetext"/>
        </w:rPr>
        <w:t>2019</w:t>
      </w:r>
      <w:r>
        <w:rPr>
          <w:rStyle w:val="Code"/>
        </w:rPr>
        <w:t>&lt;/num&gt;</w:t>
      </w:r>
      <w:r>
        <w:rPr>
          <w:rStyle w:val="Codetext"/>
        </w:rPr>
        <w:br/>
        <w:t xml:space="preserve">  </w:t>
      </w:r>
      <w:r>
        <w:rPr>
          <w:rStyle w:val="Code"/>
        </w:rPr>
        <w:t>&lt;/ab&gt;</w:t>
      </w:r>
      <w:r>
        <w:rPr>
          <w:rStyle w:val="Codetext"/>
        </w:rPr>
        <w:br/>
        <w:t xml:space="preserve">  </w:t>
      </w:r>
      <w:r>
        <w:rPr>
          <w:rStyle w:val="Code"/>
        </w:rPr>
        <w:t xml:space="preserve">&lt;pb </w:t>
      </w:r>
      <w:r>
        <w:rPr>
          <w:rStyle w:val="Codeattribute"/>
        </w:rPr>
        <w:t>n</w:t>
      </w:r>
      <w:r>
        <w:rPr>
          <w:rStyle w:val="Code"/>
        </w:rPr>
        <w:t>=</w:t>
      </w:r>
      <w:r>
        <w:rPr>
          <w:rStyle w:val="Codevalue"/>
        </w:rPr>
        <w:t>"3v"</w:t>
      </w:r>
      <w:r>
        <w:rPr>
          <w:rStyle w:val="Code"/>
        </w:rPr>
        <w:t>/&gt;</w:t>
      </w:r>
      <w:r>
        <w:rPr>
          <w:rStyle w:val="Codecomment"/>
        </w:rPr>
        <w:t>&lt;!--Blank outer page; the &lt;pb/&gt; element is not inside a block-level container.--&gt;</w:t>
      </w:r>
      <w:r>
        <w:rPr>
          <w:rStyle w:val="Codetext"/>
        </w:rPr>
        <w:br/>
      </w:r>
      <w:r>
        <w:rPr>
          <w:rStyle w:val="Code"/>
        </w:rPr>
        <w:t>&lt;/div&gt;</w:t>
      </w:r>
    </w:p>
    <w:p w14:paraId="304721A3" w14:textId="500AD023">
      <w:pPr>
        <w:pStyle w:val="Cmsor2"/>
        <w:numPr>
          <w:ilvl w:val="1"/>
          <w:numId w:val="7"/>
        </w:numPr>
      </w:pPr>
      <w:bookmarkStart w:id="1135" w:name="_q8mje15sbli5" w:colFirst="0" w:colLast="0"/>
      <w:bookmarkStart w:id="1136" w:name="_Ref239844217"/>
      <w:bookmarkStart w:id="1137" w:name="_Ref239844389"/>
      <w:bookmarkStart w:id="1138" w:name="_Toc242889687"/>
      <w:bookmarkEnd w:id="1135"/>
      <w:r>
        <w:lastRenderedPageBreak/>
        <w:t>Copperplate charter with a lost plate reconstructed</w:t>
      </w:r>
      <w:bookmarkEnd w:id="1136"/>
      <w:bookmarkEnd w:id="1137"/>
      <w:bookmarkEnd w:id="1138"/>
    </w:p>
    <w:p w14:paraId="33E226C2" w14:textId="77777777">
      <w:pPr>
        <w:pStyle w:val="Image"/>
      </w:pPr>
      <w:r>
        <w:drawing>
          <wp:inline distT="0" distB="0" distL="0" distR="0" wp14:anchorId="2C5DDE16" wp14:editId="281DC2C4">
            <wp:extent cx="5400000" cy="2030400"/>
            <wp:effectExtent l="0" t="0" r="0" b="8255"/>
            <wp:docPr id="22357745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400000" cy="2030400"/>
                    </a:xfrm>
                    <a:prstGeom prst="rect">
                      <a:avLst/>
                    </a:prstGeom>
                    <a:noFill/>
                    <a:ln>
                      <a:noFill/>
                    </a:ln>
                  </pic:spPr>
                </pic:pic>
              </a:graphicData>
            </a:graphic>
          </wp:inline>
        </w:drawing>
      </w:r>
    </w:p>
    <w:p w14:paraId="05F5B154" w14:textId="67FF382E">
      <w:pPr>
        <w:pStyle w:val="Lista"/>
      </w:pPr>
      <w:r>
        <w:t xml:space="preserve">as a variation on </w:t>
      </w:r>
      <w:r>
        <w:fldChar w:fldCharType="begin"/>
      </w:r>
      <w:r>
        <w:instrText xml:space="preserve"> REF _Ref239844102 \r \h </w:instrText>
      </w:r>
      <w:r>
        <w:fldChar w:fldCharType="separate"/>
      </w:r>
      <w:r>
        <w:t>Appendix A.2</w:t>
      </w:r>
      <w:r>
        <w:fldChar w:fldCharType="end"/>
      </w:r>
      <w:r>
        <w:t>, we now have a partial set of plates where the middle plate is missing along with the seal</w:t>
      </w:r>
    </w:p>
    <w:p w14:paraId="3DA0969E" w14:textId="3D6A97CE">
      <w:pPr>
        <w:pStyle w:val="Lista"/>
      </w:pPr>
      <w:r>
        <w:t xml:space="preserve">from the presence of foliation marks </w:t>
      </w:r>
      <w:r>
        <w:rPr>
          <w:noProof/>
        </w:rPr>
        <w:t>(</w:t>
      </w:r>
      <w:r>
        <w:t xml:space="preserve">and from our intimate knowledge of the Middle Earth copper plate corpus) we can infer that exactly one plate was lost, therefore we include the lost plate in our edition instead of creating textpart divisions </w:t>
      </w:r>
      <w:r>
        <w:rPr>
          <w:noProof/>
        </w:rPr>
        <w:t>(</w:t>
      </w:r>
      <w:r>
        <w:t>§</w:t>
      </w:r>
      <w:r>
        <w:fldChar w:fldCharType="begin"/>
      </w:r>
      <w:r>
        <w:instrText xml:space="preserve"> REF _Ref149918878 \r \h </w:instrText>
      </w:r>
      <w:r>
        <w:fldChar w:fldCharType="separate"/>
      </w:r>
      <w:r>
        <w:t>6.5.5.3</w:t>
      </w:r>
      <w:r>
        <w:fldChar w:fldCharType="end"/>
      </w:r>
      <w:r>
        <w:t>)</w:t>
      </w:r>
    </w:p>
    <w:p w14:paraId="54BF0097" w14:textId="77777777">
      <w:pPr>
        <w:pStyle w:val="Lista2"/>
      </w:pPr>
      <w:r>
        <w:t>we can also infer that the lost plate would have been inscribed with exactly three lines on both faces, so this is also encoded in the edition</w:t>
      </w:r>
    </w:p>
    <w:p w14:paraId="3E868EDA" w14:textId="0B5E9BB2">
      <w:pPr>
        <w:pStyle w:val="Lista"/>
      </w:pPr>
      <w:r>
        <w:t xml:space="preserve">extant details are encoded as in </w:t>
      </w:r>
      <w:r>
        <w:fldChar w:fldCharType="begin"/>
      </w:r>
      <w:r>
        <w:instrText xml:space="preserve"> REF _Ref239844102 \r \h </w:instrText>
      </w:r>
      <w:r>
        <w:fldChar w:fldCharType="separate"/>
      </w:r>
      <w:r>
        <w:t>Appendix A.2</w:t>
      </w:r>
      <w:r>
        <w:fldChar w:fldCharType="end"/>
      </w:r>
      <w:r>
        <w:t xml:space="preserve"> above</w:t>
      </w:r>
    </w:p>
    <w:p w14:paraId="4B230D8C" w14:textId="77777777"/>
    <w:p w14:paraId="1ACB9139" w14:textId="1E7F950F">
      <w:pPr>
        <w:pStyle w:val="CodeParagraph"/>
      </w:pPr>
      <w:r>
        <w:rPr>
          <w:rStyle w:val="Code"/>
        </w:rPr>
        <w:t xml:space="preserve">&lt;pb </w:t>
      </w:r>
      <w:r>
        <w:rPr>
          <w:rStyle w:val="Codeattribute"/>
        </w:rPr>
        <w:t>n</w:t>
      </w:r>
      <w:r>
        <w:rPr>
          <w:rStyle w:val="Code"/>
        </w:rPr>
        <w:t>=</w:t>
      </w:r>
      <w:r>
        <w:rPr>
          <w:rStyle w:val="Codevalue"/>
        </w:rPr>
        <w:t>"1r"</w:t>
      </w:r>
      <w:r>
        <w:rPr>
          <w:rStyle w:val="Code"/>
        </w:rPr>
        <w:t>/&gt;</w:t>
      </w:r>
      <w:r>
        <w:rPr>
          <w:rStyle w:val="Codetext"/>
        </w:rPr>
        <w:br/>
      </w:r>
      <w:r>
        <w:rPr>
          <w:rStyle w:val="Code"/>
        </w:rPr>
        <w:t>&lt;ab&gt;</w:t>
      </w:r>
      <w:r>
        <w:rPr>
          <w:rStyle w:val="Codetext"/>
        </w:rPr>
        <w:b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"1v0"</w:t>
      </w:r>
      <w:r>
        <w:rPr>
          <w:rStyle w:val="Code"/>
        </w:rPr>
        <w:t>/&gt;</w:t>
      </w:r>
      <w:r>
        <w:rPr>
          <w:rStyle w:val="Codetext"/>
        </w:rPr>
        <w:t>The Hobbit</w:t>
      </w:r>
      <w:r>
        <w:rPr>
          <w:rStyle w:val="Codetext"/>
        </w:rPr>
        <w:br/>
      </w:r>
      <w:r>
        <w:rPr>
          <w:rStyle w:val="Code"/>
        </w:rPr>
        <w:t>&lt;/ab&gt;</w:t>
      </w:r>
      <w:r>
        <w:rPr>
          <w:rStyle w:val="Codetext"/>
        </w:rPr>
        <w:br/>
      </w:r>
      <w:r>
        <w:rPr>
          <w:rStyle w:val="Codecomment"/>
        </w:rPr>
        <w:t>&lt;!--In this edition, line numbering is restarted on each page, and page numbers are incorporated in line numbers as per §</w:t>
      </w:r>
      <w:r>
        <w:rPr>
          <w:rStyle w:val="Codecomment"/>
        </w:rPr>
        <w:fldChar w:fldCharType="begin"/>
      </w:r>
      <w:r>
        <w:rPr>
          <w:rStyle w:val="Codecomment"/>
        </w:rPr>
        <w:instrText xml:space="preserve"> REF _Ref182228380 \r \h </w:instrText>
      </w:r>
      <w:r>
        <w:rPr>
          <w:rStyle w:val="Codecomment"/>
        </w:rPr>
      </w:r>
      <w:r>
        <w:rPr>
          <w:rStyle w:val="Codecomment"/>
        </w:rPr>
        <w:fldChar w:fldCharType="separate"/>
      </w:r>
      <w:r>
        <w:rPr>
          <w:rStyle w:val="Codecomment"/>
        </w:rPr>
        <w:t>4.5.2.2</w:t>
      </w:r>
      <w:r>
        <w:rPr>
          <w:rStyle w:val="Codecomment"/>
        </w:rPr>
        <w:fldChar w:fldCharType="end"/>
      </w:r>
      <w:r>
        <w:rPr>
          <w:rStyle w:val="Codecomment"/>
        </w:rPr>
        <w:t>. Since the number of lines per page is known, we could also have opted to number lines consecutively, logically continuing line numbers after the lacuna §</w:t>
      </w:r>
      <w:r>
        <w:rPr>
          <w:rStyle w:val="Codecomment"/>
        </w:rPr>
        <w:fldChar w:fldCharType="begin"/>
      </w:r>
      <w:r>
        <w:rPr>
          <w:rStyle w:val="Codecomment"/>
        </w:rPr>
        <w:instrText xml:space="preserve"> REF _Ref149918878 \r \h  \* MERGEFORMAT </w:instrText>
      </w:r>
      <w:r>
        <w:rPr>
          <w:rStyle w:val="Codecomment"/>
        </w:rPr>
      </w:r>
      <w:r>
        <w:rPr>
          <w:rStyle w:val="Codecomment"/>
        </w:rPr>
        <w:fldChar w:fldCharType="separate"/>
      </w:r>
      <w:r>
        <w:rPr>
          <w:rStyle w:val="Codecomment"/>
        </w:rPr>
        <w:t>6.5.5.3</w:t>
      </w:r>
      <w:r>
        <w:rPr>
          <w:rStyle w:val="Codecomment"/>
        </w:rPr>
        <w:fldChar w:fldCharType="end"/>
      </w:r>
      <w:r>
        <w:rPr>
          <w:rStyle w:val="Codecomment"/>
        </w:rPr>
        <w:t>.--&gt;</w:t>
      </w:r>
      <w:r>
        <w:rPr>
          <w:rStyle w:val="Codetext"/>
        </w:rPr>
        <w:br/>
      </w:r>
      <w:r>
        <w:rPr>
          <w:rStyle w:val="Code"/>
        </w:rPr>
        <w:t xml:space="preserve">&lt;p </w:t>
      </w:r>
      <w:r>
        <w:rPr>
          <w:rStyle w:val="Codeattribute"/>
        </w:rPr>
        <w:t>part</w:t>
      </w:r>
      <w:r>
        <w:rPr>
          <w:rStyle w:val="Code"/>
        </w:rPr>
        <w:t>=</w:t>
      </w:r>
      <w:r>
        <w:rPr>
          <w:rStyle w:val="Codevalue"/>
        </w:rPr>
        <w:t>"I"</w:t>
      </w:r>
      <w:r>
        <w:rPr>
          <w:rStyle w:val="Code"/>
        </w:rPr>
        <w:t>&gt;</w:t>
      </w:r>
      <w:r>
        <w:rPr>
          <w:rStyle w:val="Codecomment"/>
        </w:rPr>
        <w:t>&lt;!--The incomplete paragraph is marked as an initial part.--&gt;</w:t>
      </w:r>
      <w:r>
        <w:rPr>
          <w:rStyle w:val="Codetext"/>
        </w:rPr>
        <w:br/>
        <w:t xml:space="preserve">  </w:t>
      </w:r>
      <w:r>
        <w:rPr>
          <w:rStyle w:val="Code"/>
        </w:rPr>
        <w:t xml:space="preserve">&lt;lb </w:t>
      </w:r>
      <w:r>
        <w:rPr>
          <w:rStyle w:val="Codeattribute"/>
        </w:rPr>
        <w:t>n</w:t>
      </w:r>
      <w:r>
        <w:rPr>
          <w:rStyle w:val="Code"/>
        </w:rPr>
        <w:t>=</w:t>
      </w:r>
      <w:r>
        <w:rPr>
          <w:rStyle w:val="Codevalue"/>
        </w:rPr>
        <w:t>"1v1"</w:t>
      </w:r>
      <w:r>
        <w:rPr>
          <w:rStyle w:val="Code"/>
        </w:rPr>
        <w:t>/&gt;</w:t>
      </w:r>
      <w:r>
        <w:rPr>
          <w:rStyle w:val="Codetext"/>
        </w:rPr>
        <w:t>In a hole in the ground there lived a hobbit. Not</w:t>
      </w:r>
      <w:r>
        <w:rPr>
          <w:rStyle w:val="Codetext"/>
        </w:rPr>
        <w:br/>
        <w:t xml:space="preserve">  </w:t>
      </w:r>
      <w:r>
        <w:rPr>
          <w:rStyle w:val="Code"/>
        </w:rPr>
        <w:t xml:space="preserve">&lt;lb </w:t>
      </w:r>
      <w:r>
        <w:rPr>
          <w:rStyle w:val="Codeattribute"/>
        </w:rPr>
        <w:t>n</w:t>
      </w:r>
      <w:r>
        <w:rPr>
          <w:rStyle w:val="Code"/>
        </w:rPr>
        <w:t>=</w:t>
      </w:r>
      <w:r>
        <w:rPr>
          <w:rStyle w:val="Codevalue"/>
        </w:rPr>
        <w:t>"1v2"</w:t>
      </w:r>
      <w:r>
        <w:rPr>
          <w:rStyle w:val="Code"/>
        </w:rPr>
        <w:t>/&gt;</w:t>
      </w:r>
      <w:r>
        <w:rPr>
          <w:rStyle w:val="Codetext"/>
        </w:rPr>
        <w:t>a nasty, dirty, wet hole, filled with the ends of worm</w:t>
      </w:r>
      <w:r>
        <w:rPr>
          <w:rStyle w:val="Codetext"/>
        </w:rPr>
        <w:br/>
        <w:t xml:space="preserve">  </w:t>
      </w:r>
      <w:r>
        <w:rPr>
          <w:rStyle w:val="Code"/>
        </w:rPr>
        <w:t xml:space="preserve">&lt;lb </w:t>
      </w:r>
      <w:r>
        <w:rPr>
          <w:rStyle w:val="Codeattribute"/>
        </w:rPr>
        <w:t>n</w:t>
      </w:r>
      <w:r>
        <w:rPr>
          <w:rStyle w:val="Code"/>
        </w:rPr>
        <w:t>=</w:t>
      </w:r>
      <w:r>
        <w:rPr>
          <w:rStyle w:val="Codevalue"/>
        </w:rPr>
        <w:t>"1v3"</w:t>
      </w:r>
      <w:r>
        <w:rPr>
          <w:rStyle w:val="Code"/>
        </w:rPr>
        <w:t>/&gt;</w:t>
      </w:r>
      <w:r>
        <w:rPr>
          <w:rStyle w:val="Codetext"/>
        </w:rPr>
        <w:t>and an oozy smell, nor yet a dry, bare, sandy hole with</w:t>
      </w:r>
      <w:r>
        <w:rPr>
          <w:rStyle w:val="Codetext"/>
        </w:rPr>
        <w:br/>
      </w:r>
      <w:r>
        <w:rPr>
          <w:rStyle w:val="Code"/>
        </w:rPr>
        <w:t>&lt;/p&gt;</w:t>
      </w:r>
      <w:r>
        <w:rPr>
          <w:rStyle w:val="Codecomment"/>
        </w:rPr>
        <w:t>&lt;!--The open block-level container is closed before the lacuna.--&gt;</w:t>
      </w:r>
      <w:r>
        <w:rPr>
          <w:rStyle w:val="Codetext"/>
        </w:rPr>
        <w:br/>
      </w:r>
      <w:r>
        <w:rPr>
          <w:rStyle w:val="Code"/>
        </w:rPr>
        <w:t xml:space="preserve">&lt;pb </w:t>
      </w:r>
      <w:r>
        <w:rPr>
          <w:rStyle w:val="Codeattribute"/>
        </w:rPr>
        <w:t>n</w:t>
      </w:r>
      <w:r>
        <w:rPr>
          <w:rStyle w:val="Code"/>
        </w:rPr>
        <w:t>=</w:t>
      </w:r>
      <w:r>
        <w:rPr>
          <w:rStyle w:val="Codevalue"/>
        </w:rPr>
        <w:t>"2r"</w:t>
      </w:r>
      <w:r>
        <w:rPr>
          <w:rStyle w:val="Code"/>
        </w:rPr>
        <w:t>/&gt;</w:t>
      </w:r>
      <w:r>
        <w:rPr>
          <w:rStyle w:val="Codecomment"/>
        </w:rPr>
        <w:t>&lt;!--Although a foliation mark was in all probability present on the lost plate, we do not restore one.--&gt;</w:t>
      </w:r>
      <w:r>
        <w:rPr>
          <w:rStyle w:val="Codetext"/>
        </w:rPr>
        <w:br/>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"line"</w:t>
      </w:r>
      <w:r>
        <w:rPr>
          <w:rStyle w:val="Code"/>
        </w:rPr>
        <w:t>/&gt;</w:t>
      </w:r>
      <w:r>
        <w:rPr>
          <w:rStyle w:val="Codetext"/>
        </w:rPr>
        <w:br/>
      </w:r>
      <w:r>
        <w:rPr>
          <w:rStyle w:val="Codecomment"/>
        </w:rPr>
        <w:t>&lt;!--Individual line beginnings are not reconstructed on a lost page, only recorded as a lacuna of known size. --&gt;</w:t>
      </w:r>
      <w:r>
        <w:rPr>
          <w:rStyle w:val="Codetext"/>
        </w:rPr>
        <w:br/>
      </w:r>
      <w:r>
        <w:rPr>
          <w:rStyle w:val="Code"/>
        </w:rPr>
        <w:t xml:space="preserve">&lt;pb </w:t>
      </w:r>
      <w:r>
        <w:rPr>
          <w:rStyle w:val="Codeattribute"/>
        </w:rPr>
        <w:t>n</w:t>
      </w:r>
      <w:r>
        <w:rPr>
          <w:rStyle w:val="Code"/>
        </w:rPr>
        <w:t>=</w:t>
      </w:r>
      <w:r>
        <w:rPr>
          <w:rStyle w:val="Codevalue"/>
        </w:rPr>
        <w:t>"2v"</w:t>
      </w:r>
      <w:r>
        <w:rPr>
          <w:rStyle w:val="Code"/>
        </w:rPr>
        <w:t>/&gt;</w:t>
      </w:r>
      <w:r>
        <w:rPr>
          <w:rStyle w:val="Codetext"/>
        </w:rPr>
        <w:br/>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"line"</w:t>
      </w:r>
      <w:r>
        <w:rPr>
          <w:rStyle w:val="Code"/>
        </w:rPr>
        <w:t>/&gt;</w:t>
      </w:r>
      <w:r>
        <w:rPr>
          <w:rStyle w:val="Codetext"/>
        </w:rPr>
        <w:br/>
      </w:r>
      <w:r>
        <w:rPr>
          <w:rStyle w:val="Code"/>
        </w:rPr>
        <w:t xml:space="preserve">&lt;p </w:t>
      </w:r>
      <w:r>
        <w:rPr>
          <w:rStyle w:val="Codeattribute"/>
        </w:rPr>
        <w:t>part</w:t>
      </w:r>
      <w:r>
        <w:rPr>
          <w:rStyle w:val="Code"/>
        </w:rPr>
        <w:t>=</w:t>
      </w:r>
      <w:r>
        <w:rPr>
          <w:rStyle w:val="Codevalue"/>
        </w:rPr>
        <w:t>"F"</w:t>
      </w:r>
      <w:r>
        <w:rPr>
          <w:rStyle w:val="Code"/>
        </w:rPr>
        <w:t>&gt;</w:t>
      </w:r>
      <w:r>
        <w:rPr>
          <w:rStyle w:val="Codecomment"/>
        </w:rPr>
        <w:t>&lt;!--A new block-level container, marked as a final part, is opened after the lacuna, before the next extant page beginning.--&gt;</w:t>
      </w:r>
      <w:r>
        <w:rPr>
          <w:rStyle w:val="Codetext"/>
        </w:rPr>
        <w:br/>
        <w:t xml:space="preserve">  </w:t>
      </w:r>
      <w:r>
        <w:rPr>
          <w:rStyle w:val="Code"/>
        </w:rPr>
        <w:t xml:space="preserve">&lt;pb </w:t>
      </w:r>
      <w:r>
        <w:rPr>
          <w:rStyle w:val="Codeattribute"/>
        </w:rPr>
        <w:t>n</w:t>
      </w:r>
      <w:r>
        <w:rPr>
          <w:rStyle w:val="Code"/>
        </w:rPr>
        <w:t>=</w:t>
      </w:r>
      <w:r>
        <w:rPr>
          <w:rStyle w:val="Codevalue"/>
        </w:rPr>
        <w:t>"3r"</w:t>
      </w:r>
      <w:r>
        <w:rPr>
          <w:rStyle w:val="Code"/>
        </w:rPr>
        <w:t>/&gt;</w:t>
      </w:r>
      <w:r>
        <w:rPr>
          <w:rStyle w:val="Codetext"/>
        </w:rPr>
        <w:br/>
        <w:t xml:space="preserve">  </w:t>
      </w:r>
      <w:r>
        <w:rPr>
          <w:rStyle w:val="Code"/>
        </w:rPr>
        <w:t xml:space="preserve">&lt;fw </w:t>
      </w:r>
      <w:r>
        <w:rPr>
          <w:rStyle w:val="Codeattribute"/>
        </w:rPr>
        <w:t>place</w:t>
      </w:r>
      <w:r>
        <w:rPr>
          <w:rStyle w:val="Code"/>
        </w:rPr>
        <w:t>=</w:t>
      </w:r>
      <w:r>
        <w:rPr>
          <w:rStyle w:val="Codevalue"/>
        </w:rPr>
        <w:t>"bot-left"</w:t>
      </w:r>
      <w:r>
        <w:rPr>
          <w:rStyle w:val="Code"/>
        </w:rPr>
        <w:t xml:space="preserve"> </w:t>
      </w:r>
      <w:r>
        <w:rPr>
          <w:rStyle w:val="Codeattribute"/>
        </w:rPr>
        <w:t>n</w:t>
      </w:r>
      <w:r>
        <w:rPr>
          <w:rStyle w:val="Code"/>
        </w:rPr>
        <w:t>=</w:t>
      </w:r>
      <w:r>
        <w:rPr>
          <w:rStyle w:val="Codevalue"/>
        </w:rPr>
        <w:t>"3r"</w:t>
      </w:r>
      <w:r>
        <w:rPr>
          <w:rStyle w:val="Code"/>
        </w:rPr>
        <w:t>&gt;</w:t>
      </w:r>
      <w:r>
        <w:rPr>
          <w:rStyle w:val="Codetext"/>
        </w:rPr>
        <w:br/>
        <w:t xml:space="preserve">    </w:t>
      </w:r>
      <w:r>
        <w:rPr>
          <w:rStyle w:val="Code"/>
        </w:rPr>
        <w:t xml:space="preserve">&lt;num </w:t>
      </w:r>
      <w:r>
        <w:rPr>
          <w:rStyle w:val="Codeattribute"/>
        </w:rPr>
        <w:t>value</w:t>
      </w:r>
      <w:r>
        <w:rPr>
          <w:rStyle w:val="Code"/>
        </w:rPr>
        <w:t>=</w:t>
      </w:r>
      <w:r>
        <w:rPr>
          <w:rStyle w:val="Codevalue"/>
        </w:rPr>
        <w:t>"3"</w:t>
      </w:r>
      <w:r>
        <w:rPr>
          <w:rStyle w:val="Code"/>
        </w:rPr>
        <w:t>&gt;</w:t>
      </w:r>
      <w:r>
        <w:rPr>
          <w:rStyle w:val="Codetext"/>
        </w:rPr>
        <w:t>3</w:t>
      </w:r>
      <w:r>
        <w:rPr>
          <w:rStyle w:val="Code"/>
        </w:rPr>
        <w:t>&lt;/num&gt;</w:t>
      </w:r>
      <w:r>
        <w:rPr>
          <w:rStyle w:val="Codetext"/>
        </w:rPr>
        <w:br/>
        <w:t xml:space="preserve">  </w:t>
      </w:r>
      <w:r>
        <w:rPr>
          <w:rStyle w:val="Code"/>
        </w:rPr>
        <w:t>&lt;/fw&gt;</w:t>
      </w:r>
      <w:r>
        <w:rPr>
          <w:rStyle w:val="Codetext"/>
        </w:rPr>
        <w:br/>
        <w:t xml:space="preserve">  </w:t>
      </w:r>
      <w:r>
        <w:rPr>
          <w:rStyle w:val="Code"/>
        </w:rPr>
        <w:t xml:space="preserve">&lt;lb </w:t>
      </w:r>
      <w:r>
        <w:rPr>
          <w:rStyle w:val="Codeattribute"/>
        </w:rPr>
        <w:t>n</w:t>
      </w:r>
      <w:r>
        <w:rPr>
          <w:rStyle w:val="Code"/>
        </w:rPr>
        <w:t>=</w:t>
      </w:r>
      <w:r>
        <w:rPr>
          <w:rStyle w:val="Codevalue"/>
        </w:rPr>
        <w:t>"3r1"</w:t>
      </w:r>
      <w:r>
        <w:rPr>
          <w:rStyle w:val="Code"/>
        </w:rPr>
        <w:t>/&gt;</w:t>
      </w:r>
      <w:r>
        <w:rPr>
          <w:rStyle w:val="Codetext"/>
        </w:rPr>
        <w:t>and floors tiled and carpeted, provided with polished</w:t>
      </w:r>
      <w:r>
        <w:rPr>
          <w:rStyle w:val="Codetext"/>
        </w:rPr>
        <w:br/>
        <w:t xml:space="preserve">  </w:t>
      </w:r>
      <w:r>
        <w:rPr>
          <w:rStyle w:val="Code"/>
        </w:rPr>
        <w:t xml:space="preserve">&lt;lb </w:t>
      </w:r>
      <w:r>
        <w:rPr>
          <w:rStyle w:val="Codeattribute"/>
        </w:rPr>
        <w:t>n</w:t>
      </w:r>
      <w:r>
        <w:rPr>
          <w:rStyle w:val="Code"/>
        </w:rPr>
        <w:t>=</w:t>
      </w:r>
      <w:r>
        <w:rPr>
          <w:rStyle w:val="Codevalue"/>
        </w:rPr>
        <w:t>"3r2"</w:t>
      </w:r>
      <w:r>
        <w:rPr>
          <w:rStyle w:val="Code"/>
        </w:rPr>
        <w:t>/&gt;</w:t>
      </w:r>
      <w:r>
        <w:rPr>
          <w:rStyle w:val="Codetext"/>
        </w:rPr>
        <w:t>chairs, and lots and lots of pegs for hats and coats.</w:t>
      </w:r>
      <w:r>
        <w:rPr>
          <w:rStyle w:val="Codetext"/>
        </w:rPr>
        <w:br/>
      </w:r>
      <w:r>
        <w:rPr>
          <w:rStyle w:val="Code"/>
        </w:rPr>
        <w:t>&lt;/p&gt;</w:t>
      </w:r>
      <w:r>
        <w:rPr>
          <w:rStyle w:val="Codetext"/>
        </w:rPr>
        <w:br/>
      </w: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"3r3"</w:t>
      </w:r>
      <w:r>
        <w:rPr>
          <w:rStyle w:val="Code"/>
        </w:rPr>
        <w:t xml:space="preserve"> </w:t>
      </w:r>
      <w:r>
        <w:rPr>
          <w:rStyle w:val="Codeattribute"/>
        </w:rPr>
        <w:t>style</w:t>
      </w:r>
      <w:r>
        <w:rPr>
          <w:rStyle w:val="Code"/>
        </w:rPr>
        <w:t>=</w:t>
      </w:r>
      <w:r>
        <w:rPr>
          <w:rStyle w:val="Codevalue"/>
        </w:rPr>
        <w:t>"text-align: right"</w:t>
      </w:r>
      <w:r>
        <w:rPr>
          <w:rStyle w:val="Code"/>
        </w:rPr>
        <w:t>/&gt;</w:t>
      </w:r>
      <w:r>
        <w:rPr>
          <w:rStyle w:val="Codetext"/>
        </w:rPr>
        <w:br/>
        <w:t xml:space="preserve">  </w:t>
      </w:r>
      <w:r>
        <w:rPr>
          <w:rStyle w:val="Code"/>
        </w:rPr>
        <w:t xml:space="preserve">&lt;num </w:t>
      </w:r>
      <w:r>
        <w:rPr>
          <w:rStyle w:val="Codeattribute"/>
        </w:rPr>
        <w:t>value</w:t>
      </w:r>
      <w:r>
        <w:rPr>
          <w:rStyle w:val="Code"/>
        </w:rPr>
        <w:t>=</w:t>
      </w:r>
      <w:r>
        <w:rPr>
          <w:rStyle w:val="Codevalue"/>
        </w:rPr>
        <w:t>"29"</w:t>
      </w:r>
      <w:r>
        <w:rPr>
          <w:rStyle w:val="Code"/>
        </w:rPr>
        <w:t>&gt;</w:t>
      </w:r>
      <w:r>
        <w:rPr>
          <w:rStyle w:val="Codetext"/>
        </w:rPr>
        <w:t>29</w:t>
      </w:r>
      <w:r>
        <w:rPr>
          <w:rStyle w:val="Code"/>
        </w:rPr>
        <w:t>&lt;/num&gt;</w:t>
      </w:r>
      <w:r>
        <w:rPr>
          <w:rStyle w:val="Codetext"/>
        </w:rPr>
        <w:t xml:space="preserve"> September </w:t>
      </w:r>
      <w:r>
        <w:rPr>
          <w:rStyle w:val="Code"/>
        </w:rPr>
        <w:t xml:space="preserve">&lt;num </w:t>
      </w:r>
      <w:r>
        <w:rPr>
          <w:rStyle w:val="Codeattribute"/>
        </w:rPr>
        <w:t>value</w:t>
      </w:r>
      <w:r>
        <w:rPr>
          <w:rStyle w:val="Code"/>
        </w:rPr>
        <w:t>=</w:t>
      </w:r>
      <w:r>
        <w:rPr>
          <w:rStyle w:val="Codevalue"/>
        </w:rPr>
        <w:t>"2019"</w:t>
      </w:r>
      <w:r>
        <w:rPr>
          <w:rStyle w:val="Code"/>
        </w:rPr>
        <w:t>&gt;</w:t>
      </w:r>
      <w:r>
        <w:rPr>
          <w:rStyle w:val="Codetext"/>
        </w:rPr>
        <w:t>2019</w:t>
      </w:r>
      <w:r>
        <w:rPr>
          <w:rStyle w:val="Code"/>
        </w:rPr>
        <w:t>&lt;/num&gt;</w:t>
      </w:r>
      <w:r>
        <w:rPr>
          <w:rStyle w:val="Codetext"/>
        </w:rPr>
        <w:br/>
      </w:r>
      <w:r>
        <w:rPr>
          <w:rStyle w:val="Code"/>
        </w:rPr>
        <w:t>&lt;/ab&gt;</w:t>
      </w:r>
      <w:r>
        <w:rPr>
          <w:rStyle w:val="Codetext"/>
        </w:rPr>
        <w:br/>
      </w:r>
      <w:r>
        <w:rPr>
          <w:rStyle w:val="Code"/>
        </w:rPr>
        <w:t xml:space="preserve">&lt;pb </w:t>
      </w:r>
      <w:r>
        <w:rPr>
          <w:rStyle w:val="Codeattribute"/>
        </w:rPr>
        <w:t>n</w:t>
      </w:r>
      <w:r>
        <w:rPr>
          <w:rStyle w:val="Code"/>
        </w:rPr>
        <w:t>=</w:t>
      </w:r>
      <w:r>
        <w:rPr>
          <w:rStyle w:val="Codevalue"/>
        </w:rPr>
        <w:t>"3v"</w:t>
      </w:r>
      <w:r>
        <w:rPr>
          <w:rStyle w:val="Code"/>
        </w:rPr>
        <w:t>/&gt;</w:t>
      </w:r>
    </w:p>
    <w:p w14:paraId="0E8EF7A0" w14:textId="2F064B06">
      <w:pPr>
        <w:pStyle w:val="Cmsor2"/>
        <w:numPr>
          <w:ilvl w:val="1"/>
          <w:numId w:val="7"/>
        </w:numPr>
      </w:pPr>
      <w:bookmarkStart w:id="1139" w:name="_91l5g3c4663p" w:colFirst="0" w:colLast="0"/>
      <w:bookmarkStart w:id="1140" w:name="_Ref239844430"/>
      <w:bookmarkStart w:id="1141" w:name="_Toc242889688"/>
      <w:bookmarkEnd w:id="1139"/>
      <w:r>
        <w:lastRenderedPageBreak/>
        <w:t>Copperplate charter with a lost plate not reconstructed</w:t>
      </w:r>
      <w:bookmarkEnd w:id="1140"/>
      <w:bookmarkEnd w:id="1141"/>
    </w:p>
    <w:p w14:paraId="1DBE6648" w14:textId="77777777">
      <w:pPr>
        <w:pStyle w:val="Image"/>
      </w:pPr>
      <w:r>
        <w:drawing>
          <wp:inline distT="0" distB="0" distL="0" distR="0" wp14:anchorId="18C5ABB4" wp14:editId="7258CB57">
            <wp:extent cx="5400000" cy="3344400"/>
            <wp:effectExtent l="0" t="0" r="0" b="8890"/>
            <wp:docPr id="149549328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400000" cy="3344400"/>
                    </a:xfrm>
                    <a:prstGeom prst="rect">
                      <a:avLst/>
                    </a:prstGeom>
                    <a:noFill/>
                    <a:ln>
                      <a:noFill/>
                    </a:ln>
                  </pic:spPr>
                </pic:pic>
              </a:graphicData>
            </a:graphic>
          </wp:inline>
        </w:drawing>
      </w:r>
    </w:p>
    <w:p w14:paraId="2C6691A1" w14:textId="751C03C0">
      <w:pPr>
        <w:pStyle w:val="Lista"/>
      </w:pPr>
      <w:r>
        <w:t xml:space="preserve">as another variation on </w:t>
      </w:r>
      <w:r>
        <w:fldChar w:fldCharType="begin"/>
      </w:r>
      <w:r>
        <w:instrText xml:space="preserve"> REF _Ref239844102 \r \h </w:instrText>
      </w:r>
      <w:r>
        <w:fldChar w:fldCharType="separate"/>
      </w:r>
      <w:r>
        <w:t>Appendix A.2</w:t>
      </w:r>
      <w:r>
        <w:fldChar w:fldCharType="end"/>
      </w:r>
      <w:r>
        <w:t>, we again have a partial set of plates where the middle plate is missing</w:t>
      </w:r>
    </w:p>
    <w:p w14:paraId="75ED8D2D" w14:textId="77777777">
      <w:pPr>
        <w:pStyle w:val="Lista"/>
      </w:pPr>
      <w:r>
        <w:t>this time, however, the seal is extant and there are no foliation marks, nor are we sufficiently familiar with any other Middle Earth plates, so we cannot confidently reconstruct the structure of the lost section</w:t>
      </w:r>
    </w:p>
    <w:p w14:paraId="354DE053" w14:textId="099ADC5C">
      <w:pPr>
        <w:pStyle w:val="Lista"/>
      </w:pPr>
      <w:r>
        <w:t xml:space="preserve">our edition must therefore be divided into three textparts: one for the seal, one for the initial plate, and one for the final plate </w:t>
      </w:r>
      <w:r>
        <w:rPr>
          <w:noProof/>
        </w:rPr>
        <w:t>(</w:t>
      </w:r>
      <w:r>
        <w:t>§</w:t>
      </w:r>
      <w:r>
        <w:fldChar w:fldCharType="begin"/>
      </w:r>
      <w:r>
        <w:instrText xml:space="preserve"> REF _Ref149918878 \r \h </w:instrText>
      </w:r>
      <w:r>
        <w:fldChar w:fldCharType="separate"/>
      </w:r>
      <w:r>
        <w:t>6.5.5.3</w:t>
      </w:r>
      <w:r>
        <w:fldChar w:fldCharType="end"/>
      </w:r>
      <w:r>
        <w:t>)</w:t>
      </w:r>
    </w:p>
    <w:p w14:paraId="07A39610" w14:textId="63E8C05B">
      <w:pPr>
        <w:pStyle w:val="Lista"/>
      </w:pPr>
      <w:r>
        <w:t xml:space="preserve">extant details are encoded as in </w:t>
      </w:r>
      <w:r>
        <w:fldChar w:fldCharType="begin"/>
      </w:r>
      <w:r>
        <w:instrText xml:space="preserve"> REF _Ref239844102 \r \h </w:instrText>
      </w:r>
      <w:r>
        <w:fldChar w:fldCharType="separate"/>
      </w:r>
      <w:r>
        <w:t>Appendix A.2</w:t>
      </w:r>
      <w:r>
        <w:fldChar w:fldCharType="end"/>
      </w:r>
      <w:r>
        <w:t xml:space="preserve"> above</w:t>
      </w:r>
    </w:p>
    <w:p w14:paraId="29C0A959" w14:textId="77777777"/>
    <w:p w14:paraId="5F2D8463" w14:textId="77777777">
      <w:pPr>
        <w:pStyle w:val="CodeParagraph"/>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text"/>
        </w:rPr>
        <w:br/>
        <w:t xml:space="preserve">  </w:t>
      </w: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J R R</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Tolkien</w:t>
      </w:r>
      <w:r>
        <w:rPr>
          <w:rStyle w:val="Codetext"/>
        </w:rPr>
        <w:br/>
        <w:t xml:space="preserve">  </w:t>
      </w:r>
      <w:r>
        <w:rPr>
          <w:rStyle w:val="Code"/>
        </w:rPr>
        <w:t>&lt;/ab&gt;</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Initial plate</w:t>
      </w:r>
      <w:r>
        <w:rPr>
          <w:rStyle w:val="Code"/>
        </w:rPr>
        <w:t>&lt;/head&gt;</w:t>
      </w:r>
      <w:r>
        <w:rPr>
          <w:rStyle w:val="Codetext"/>
        </w:rPr>
        <w:br/>
        <w:t xml:space="preserve">  </w:t>
      </w:r>
      <w:r>
        <w:rPr>
          <w:rStyle w:val="Code"/>
        </w:rPr>
        <w:t xml:space="preserve">&lt;pb </w:t>
      </w:r>
      <w:r>
        <w:rPr>
          <w:rStyle w:val="Codeattribute"/>
        </w:rPr>
        <w:t>n</w:t>
      </w:r>
      <w:r>
        <w:rPr>
          <w:rStyle w:val="Code"/>
        </w:rPr>
        <w:t>=</w:t>
      </w:r>
      <w:r>
        <w:rPr>
          <w:rStyle w:val="Codevalue"/>
        </w:rPr>
        <w:t>"1r"</w:t>
      </w:r>
      <w:r>
        <w:rPr>
          <w:rStyle w:val="Code"/>
        </w:rPr>
        <w:t>/&gt;</w:t>
      </w:r>
      <w:r>
        <w:rPr>
          <w:rStyle w:val="Codetext"/>
        </w:rPr>
        <w:br/>
        <w:t xml:space="preserve">  </w:t>
      </w:r>
      <w:r>
        <w:rPr>
          <w:rStyle w:val="Code"/>
        </w:rPr>
        <w:t>&lt;ab&gt;</w:t>
      </w:r>
    </w:p>
    <w:p w14:paraId="703CA79F" w14:textId="77777777">
      <w:pPr>
        <w:pStyle w:val="CodeParagraph"/>
        <w:rPr>
          <w:rStyle w:val="Codetext"/>
        </w:rPr>
      </w:pPr>
      <w:r>
        <w:rPr>
          <w:rStyle w:val="Codetext"/>
        </w:rP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"01"</w:t>
      </w:r>
      <w:r>
        <w:rPr>
          <w:rStyle w:val="Code"/>
        </w:rPr>
        <w:t>/&gt;</w:t>
      </w:r>
      <w:r>
        <w:rPr>
          <w:rStyle w:val="Codetext"/>
        </w:rPr>
        <w:t>The Hobbit</w:t>
      </w:r>
      <w:r>
        <w:rPr>
          <w:rStyle w:val="Codetext"/>
        </w:rPr>
        <w:br/>
        <w:t xml:space="preserve">  </w:t>
      </w:r>
      <w:r>
        <w:rPr>
          <w:rStyle w:val="Code"/>
        </w:rPr>
        <w:t>&lt;/ab&gt;</w:t>
      </w:r>
      <w:r>
        <w:rPr>
          <w:rStyle w:val="Codetext"/>
        </w:rPr>
        <w:br/>
        <w:t xml:space="preserve">  </w:t>
      </w:r>
      <w:r>
        <w:rPr>
          <w:rStyle w:val="Code"/>
        </w:rPr>
        <w:t xml:space="preserve">&lt;p </w:t>
      </w:r>
      <w:r>
        <w:rPr>
          <w:rStyle w:val="Codeattribute"/>
        </w:rPr>
        <w:t>part</w:t>
      </w:r>
      <w:r>
        <w:rPr>
          <w:rStyle w:val="Code"/>
        </w:rPr>
        <w:t>=</w:t>
      </w:r>
      <w:r>
        <w:rPr>
          <w:rStyle w:val="Codevalue"/>
        </w:rPr>
        <w:t>"I"</w:t>
      </w:r>
      <w:r>
        <w:rPr>
          <w:rStyle w:val="Code"/>
        </w:rPr>
        <w:t>&gt;</w:t>
      </w:r>
      <w:r>
        <w:rPr>
          <w:rStyle w:val="Codecomment"/>
        </w:rPr>
        <w:t>&lt;!--Incomplete paragraph marked as an initial part. --&gt;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 there lived a hobbit. Not</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a nasty, dirty, wet hole, filled with the ends of worm</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and an oozy smell, nor yet a dry, bare, sandy hole with</w:t>
      </w:r>
    </w:p>
    <w:p w14:paraId="61F780E9" w14:textId="77777777">
      <w:pPr>
        <w:pStyle w:val="CodeParagraph"/>
        <w:rPr>
          <w:rStyle w:val="Code"/>
        </w:rPr>
      </w:pPr>
      <w:r>
        <w:rPr>
          <w:rStyle w:val="Codetext"/>
        </w:rPr>
        <w:t xml:space="preserve">  </w:t>
      </w:r>
      <w:r>
        <w:rPr>
          <w:rStyle w:val="Code"/>
        </w:rPr>
        <w:t>&lt;/p&gt;</w:t>
      </w:r>
    </w:p>
    <w:p w14:paraId="6F19581D" w14:textId="77777777">
      <w:pPr>
        <w:pStyle w:val="CodeParagraph"/>
        <w:rPr>
          <w:rStyle w:val="Code"/>
        </w:rPr>
      </w:pPr>
      <w:r>
        <w:rPr>
          <w:rStyle w:val="Code"/>
        </w:rPr>
        <w:t>&lt;/div&gt;</w:t>
      </w:r>
      <w:r>
        <w:rPr>
          <w:rStyle w:val="Codetext"/>
        </w:rPr>
        <w:br/>
      </w:r>
      <w:r>
        <w:rPr>
          <w:rStyle w:val="Codecomment"/>
        </w:rPr>
        <w:t>&lt;!--Nothing is encoded for the lacuna itself, since the use of textparts makes it clear that text is lost between the two; details go in the layout description and the commentary. --&gt;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"C"</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Final plate</w:t>
      </w:r>
      <w:r>
        <w:rPr>
          <w:rStyle w:val="Code"/>
        </w:rPr>
        <w:t>&lt;/head&gt;</w:t>
      </w:r>
      <w:r>
        <w:rPr>
          <w:rStyle w:val="Codetext"/>
        </w:rPr>
        <w:br/>
        <w:t xml:space="preserve">  </w:t>
      </w:r>
      <w:r>
        <w:rPr>
          <w:rStyle w:val="Code"/>
        </w:rPr>
        <w:t xml:space="preserve">&lt;p </w:t>
      </w:r>
      <w:r>
        <w:rPr>
          <w:rStyle w:val="Codeattribute"/>
        </w:rPr>
        <w:t>part</w:t>
      </w:r>
      <w:r>
        <w:rPr>
          <w:rStyle w:val="Code"/>
        </w:rPr>
        <w:t>=</w:t>
      </w:r>
      <w:r>
        <w:rPr>
          <w:rStyle w:val="Codevalue"/>
        </w:rPr>
        <w:t>"F"</w:t>
      </w:r>
      <w:r>
        <w:rPr>
          <w:rStyle w:val="Code"/>
        </w:rPr>
        <w:t>&gt;</w:t>
      </w:r>
      <w:r>
        <w:rPr>
          <w:rStyle w:val="Codecomment"/>
        </w:rPr>
        <w:t>&lt;!--Incomplete paragraph marked as a final part. --&gt;</w:t>
      </w:r>
      <w:r>
        <w:rPr>
          <w:rStyle w:val="Codetext"/>
        </w:rPr>
        <w:br/>
        <w:t xml:space="preserve">  </w:t>
      </w:r>
      <w:r>
        <w:rPr>
          <w:rStyle w:val="Code"/>
        </w:rPr>
        <w:t xml:space="preserve">&lt;pb </w:t>
      </w:r>
      <w:r>
        <w:rPr>
          <w:rStyle w:val="Codeattribute"/>
        </w:rPr>
        <w:t>n</w:t>
      </w:r>
      <w:r>
        <w:rPr>
          <w:rStyle w:val="Code"/>
        </w:rPr>
        <w:t>=</w:t>
      </w:r>
      <w:r>
        <w:rPr>
          <w:rStyle w:val="Codevalue"/>
        </w:rPr>
        <w:t>"1r"</w:t>
      </w:r>
      <w:r>
        <w:rPr>
          <w:rStyle w:val="Code"/>
        </w:rPr>
        <w:t>/&gt;</w:t>
      </w:r>
    </w:p>
    <w:p w14:paraId="3A5638D6" w14:textId="6CE8505E">
      <w:pPr>
        <w:pStyle w:val="CodeParagraph"/>
      </w:pPr>
      <w:r>
        <w:rPr>
          <w:rStyle w:val="Codetext"/>
        </w:rPr>
        <w:t xml:space="preserve">  </w:t>
      </w:r>
      <w:r>
        <w:rPr>
          <w:rStyle w:val="Codecomment"/>
        </w:rPr>
        <w:t>&lt;!--Page and line numbering are reset to 1 in the second textpart §</w:t>
      </w:r>
      <w:r>
        <w:rPr>
          <w:rStyle w:val="Codecomment"/>
          <w:rFonts w:eastAsia="Arial Unicode MS"/>
        </w:rPr>
        <w:fldChar w:fldCharType="begin"/>
      </w:r>
      <w:r>
        <w:rPr>
          <w:rStyle w:val="Codecomment"/>
          <w:rFonts w:eastAsia="Arial Unicode MS"/>
        </w:rPr>
        <w:instrText xml:space="preserve"> REF _Ref43986747 \w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4.2.1.4</w:t>
      </w:r>
      <w:r>
        <w:rPr>
          <w:rStyle w:val="Codecomment"/>
          <w:rFonts w:eastAsia="Arial Unicode MS"/>
        </w:rPr>
        <w:fldChar w:fldCharType="end"/>
      </w:r>
      <w:r>
        <w:rPr>
          <w:rStyle w:val="Codecomment"/>
        </w:rPr>
        <w:t>. --&gt;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and floors tiled and carpeted, provided with polished</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chairs, and lots and lots of pegs for hats and coats.</w:t>
      </w:r>
      <w:r>
        <w:rPr>
          <w:rStyle w:val="Codetext"/>
        </w:rPr>
        <w:br/>
        <w:t xml:space="preserve">  </w:t>
      </w:r>
      <w:r>
        <w:rPr>
          <w:rStyle w:val="Code"/>
        </w:rPr>
        <w:t>&lt;/p&gt;</w:t>
      </w:r>
      <w:r>
        <w:rPr>
          <w:rStyle w:val="Codetext"/>
        </w:rPr>
        <w:br/>
        <w:t xml:space="preserve">  </w:t>
      </w:r>
      <w:r>
        <w:rPr>
          <w:rStyle w:val="Code"/>
        </w:rPr>
        <w:t>&lt;ab&gt;</w:t>
      </w:r>
      <w:r>
        <w:rPr>
          <w:rStyle w:val="Codetext"/>
        </w:rPr>
        <w:br/>
      </w:r>
      <w:r>
        <w:rPr>
          <w:rStyle w:val="Codetext"/>
        </w:rPr>
        <w:lastRenderedPageBreak/>
        <w:t xml:space="preserve">  </w:t>
      </w:r>
      <w:r>
        <w:rPr>
          <w:rStyle w:val="Code"/>
        </w:rPr>
        <w:t xml:space="preserve">&lt;lb </w:t>
      </w:r>
      <w:r>
        <w:rPr>
          <w:rStyle w:val="Codeattribute"/>
        </w:rPr>
        <w:t>n</w:t>
      </w:r>
      <w:r>
        <w:rPr>
          <w:rStyle w:val="Code"/>
        </w:rPr>
        <w:t>=</w:t>
      </w:r>
      <w:r>
        <w:rPr>
          <w:rStyle w:val="Codevalue"/>
        </w:rPr>
        <w:t>"3"</w:t>
      </w:r>
      <w:r>
        <w:rPr>
          <w:rStyle w:val="Code"/>
        </w:rPr>
        <w:t xml:space="preserve"> </w:t>
      </w:r>
      <w:r>
        <w:rPr>
          <w:rStyle w:val="Codeattribute"/>
        </w:rPr>
        <w:t>style</w:t>
      </w:r>
      <w:r>
        <w:rPr>
          <w:rStyle w:val="Code"/>
        </w:rPr>
        <w:t>=</w:t>
      </w:r>
      <w:r>
        <w:rPr>
          <w:rStyle w:val="Codevalue"/>
        </w:rPr>
        <w:t>"text-align: right"</w:t>
      </w:r>
      <w:r>
        <w:rPr>
          <w:rStyle w:val="Code"/>
        </w:rPr>
        <w:t>/&gt;</w:t>
      </w:r>
      <w:r>
        <w:rPr>
          <w:rStyle w:val="Codetext"/>
        </w:rPr>
        <w:br/>
        <w:t xml:space="preserve">  </w:t>
      </w:r>
      <w:r>
        <w:rPr>
          <w:rStyle w:val="Code"/>
        </w:rPr>
        <w:t xml:space="preserve">&lt;num </w:t>
      </w:r>
      <w:r>
        <w:rPr>
          <w:rStyle w:val="Codeattribute"/>
        </w:rPr>
        <w:t>value</w:t>
      </w:r>
      <w:r>
        <w:rPr>
          <w:rStyle w:val="Code"/>
        </w:rPr>
        <w:t>=</w:t>
      </w:r>
      <w:r>
        <w:rPr>
          <w:rStyle w:val="Codevalue"/>
        </w:rPr>
        <w:t>"29"</w:t>
      </w:r>
      <w:r>
        <w:rPr>
          <w:rStyle w:val="Code"/>
        </w:rPr>
        <w:t>&gt;</w:t>
      </w:r>
      <w:r>
        <w:rPr>
          <w:rStyle w:val="Codetext"/>
        </w:rPr>
        <w:t>29</w:t>
      </w:r>
      <w:r>
        <w:rPr>
          <w:rStyle w:val="Code"/>
        </w:rPr>
        <w:t>&lt;/num&gt;</w:t>
      </w:r>
      <w:r>
        <w:rPr>
          <w:rStyle w:val="Codetext"/>
        </w:rPr>
        <w:t xml:space="preserve"> September </w:t>
      </w:r>
      <w:r>
        <w:rPr>
          <w:rStyle w:val="Code"/>
        </w:rPr>
        <w:t xml:space="preserve">&lt;num </w:t>
      </w:r>
      <w:r>
        <w:rPr>
          <w:rStyle w:val="Codeattribute"/>
        </w:rPr>
        <w:t>value</w:t>
      </w:r>
      <w:r>
        <w:rPr>
          <w:rStyle w:val="Code"/>
        </w:rPr>
        <w:t>=</w:t>
      </w:r>
      <w:r>
        <w:rPr>
          <w:rStyle w:val="Codevalue"/>
        </w:rPr>
        <w:t>"2019"</w:t>
      </w:r>
      <w:r>
        <w:rPr>
          <w:rStyle w:val="Code"/>
        </w:rPr>
        <w:t>&gt;</w:t>
      </w:r>
      <w:r>
        <w:rPr>
          <w:rStyle w:val="Codetext"/>
        </w:rPr>
        <w:t>2019</w:t>
      </w:r>
      <w:r>
        <w:rPr>
          <w:rStyle w:val="Code"/>
        </w:rPr>
        <w:t>&lt;/num&gt;</w:t>
      </w:r>
      <w:r>
        <w:rPr>
          <w:rStyle w:val="Codetext"/>
        </w:rPr>
        <w:br/>
        <w:t xml:space="preserve">  </w:t>
      </w:r>
      <w:r>
        <w:rPr>
          <w:rStyle w:val="Code"/>
        </w:rPr>
        <w:t>&lt;/ab&gt;</w:t>
      </w:r>
      <w:r>
        <w:rPr>
          <w:rStyle w:val="Codetext"/>
        </w:rPr>
        <w:b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text"/>
        </w:rPr>
        <w:br/>
      </w:r>
      <w:r>
        <w:rPr>
          <w:rStyle w:val="Code"/>
        </w:rPr>
        <w:t>&lt;/div&gt;</w:t>
      </w:r>
    </w:p>
    <w:p w14:paraId="18CF3D97" w14:textId="745E38C0">
      <w:pPr>
        <w:pStyle w:val="Cmsor2"/>
        <w:numPr>
          <w:ilvl w:val="1"/>
          <w:numId w:val="7"/>
        </w:numPr>
      </w:pPr>
      <w:bookmarkStart w:id="1142" w:name="_1h8zsds4qdsf" w:colFirst="0" w:colLast="0"/>
      <w:bookmarkStart w:id="1143" w:name="_Ref239844040"/>
      <w:bookmarkStart w:id="1144" w:name="_Ref239844153"/>
      <w:bookmarkStart w:id="1145" w:name="_Ref239844198"/>
      <w:bookmarkStart w:id="1146" w:name="_Ref239844313"/>
      <w:bookmarkStart w:id="1147" w:name="_Ref239844333"/>
      <w:bookmarkStart w:id="1148" w:name="_Ref239844348"/>
      <w:bookmarkStart w:id="1149" w:name="_Ref239844365"/>
      <w:bookmarkStart w:id="1150" w:name="_Ref43989726"/>
      <w:bookmarkStart w:id="1151" w:name="_Toc242889689"/>
      <w:bookmarkEnd w:id="1142"/>
      <w:r>
        <w:t>Four-faced stele</w:t>
      </w:r>
      <w:bookmarkEnd w:id="1143"/>
      <w:bookmarkEnd w:id="1144"/>
      <w:bookmarkEnd w:id="1145"/>
      <w:bookmarkEnd w:id="1146"/>
      <w:bookmarkEnd w:id="1147"/>
      <w:bookmarkEnd w:id="1148"/>
      <w:bookmarkEnd w:id="1149"/>
      <w:bookmarkEnd w:id="1151"/>
    </w:p>
    <w:p w14:paraId="617A8725" w14:textId="77777777">
      <w:pPr>
        <w:pStyle w:val="Image"/>
        <w:rPr>
          <w:lang w:eastAsia="en-US" w:bidi="ar-SA"/>
        </w:rPr>
      </w:pPr>
      <w:r>
        <w:rPr>
          <w:lang w:eastAsia="en-US" w:bidi="ar-SA"/>
        </w:rPr>
        <w:drawing>
          <wp:inline distT="0" distB="0" distL="0" distR="0" wp14:anchorId="537DB63A" wp14:editId="18C49F06">
            <wp:extent cx="5738400" cy="2973600"/>
            <wp:effectExtent l="0" t="0" r="0" b="0"/>
            <wp:docPr id="176698463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4639" name="Kép 4"/>
                    <pic:cNvPicPr>
                      <a:picLocks noChangeAspect="1" noChangeArrowheads="1"/>
                    </pic:cNvPicPr>
                  </pic:nvPicPr>
                  <pic:blipFill>
                    <a:blip r:embed="rId85"/>
                    <a:stretch>
                      <a:fillRect/>
                    </a:stretch>
                  </pic:blipFill>
                  <pic:spPr bwMode="auto">
                    <a:xfrm>
                      <a:off x="0" y="0"/>
                      <a:ext cx="5738400" cy="2973600"/>
                    </a:xfrm>
                    <a:prstGeom prst="rect">
                      <a:avLst/>
                    </a:prstGeom>
                    <a:noFill/>
                    <a:ln>
                      <a:noFill/>
                    </a:ln>
                  </pic:spPr>
                </pic:pic>
              </a:graphicData>
            </a:graphic>
          </wp:inline>
        </w:drawing>
      </w:r>
    </w:p>
    <w:p w14:paraId="349F869C" w14:textId="77777777">
      <w:pPr>
        <w:pStyle w:val="Lista"/>
      </w:pPr>
      <w:r>
        <w:t>this imaginary stele is an oblong quadrangle in cross-section</w:t>
      </w:r>
    </w:p>
    <w:p w14:paraId="66FBE549" w14:textId="77777777">
      <w:pPr>
        <w:pStyle w:val="Lista"/>
      </w:pPr>
      <w:r>
        <w:t>all four sides are inscribed, with text starting on one of the broad faces</w:t>
      </w:r>
    </w:p>
    <w:p w14:paraId="689820D2" w14:textId="77777777">
      <w:pPr>
        <w:pStyle w:val="Lista2"/>
      </w:pPr>
      <w:r>
        <w:t>each line of the text runs across one edge, onto the adjacent narrow face</w:t>
      </w:r>
    </w:p>
    <w:p w14:paraId="2F30096F" w14:textId="77777777">
      <w:pPr>
        <w:pStyle w:val="Lista2"/>
      </w:pPr>
      <w:r>
        <w:t>subsequent lines fill up the inscribed field of this pair of faces</w:t>
      </w:r>
    </w:p>
    <w:p w14:paraId="60E6A570" w14:textId="77777777">
      <w:pPr>
        <w:pStyle w:val="Lista2"/>
      </w:pPr>
      <w:r>
        <w:t>the text then flows on to the top of the next broad face and proceeds to fill up that face and the adjacent narrow face in the same way as the first pair of faces</w:t>
      </w:r>
    </w:p>
    <w:p w14:paraId="0B65A9C9" w14:textId="5C14745D">
      <w:pPr>
        <w:pStyle w:val="Lista"/>
      </w:pPr>
      <w:r>
        <w:t xml:space="preserve">thus, the partition between the two face pairs is pagelike </w:t>
      </w:r>
      <w:r>
        <w:rPr>
          <w:noProof/>
        </w:rPr>
        <w:t>(</w:t>
      </w:r>
      <w:r>
        <w:t>§</w:t>
      </w:r>
      <w:r>
        <w:fldChar w:fldCharType="begin"/>
      </w:r>
      <w:r>
        <w:instrText xml:space="preserve"> REF _Ref233982406 \r \h </w:instrText>
      </w:r>
      <w:r>
        <w:fldChar w:fldCharType="separate"/>
      </w:r>
      <w:r>
        <w:t>4.4</w:t>
      </w:r>
      <w:r>
        <w:fldChar w:fldCharType="end"/>
      </w:r>
      <w:r>
        <w:t xml:space="preserve">), therefore the virtual zones must be marked up using pagelike milestone elements </w:t>
      </w:r>
      <w:r>
        <w:rPr>
          <w:noProof/>
        </w:rPr>
        <w:t>(</w:t>
      </w:r>
      <w:r>
        <w:t>§</w:t>
      </w:r>
      <w:r>
        <w:fldChar w:fldCharType="begin"/>
      </w:r>
      <w:r>
        <w:instrText xml:space="preserve"> REF _Ref43986679 \w \h  \* MERGEFORMAT </w:instrText>
      </w:r>
      <w:r>
        <w:fldChar w:fldCharType="separate"/>
      </w:r>
      <w:r>
        <w:t>4.4.2.1</w:t>
      </w:r>
      <w:r>
        <w:fldChar w:fldCharType="end"/>
      </w:r>
      <w:r>
        <w:t>)</w:t>
      </w:r>
    </w:p>
    <w:p w14:paraId="562F2D4E" w14:textId="77777777">
      <w:pPr>
        <w:pStyle w:val="Lista"/>
      </w:pPr>
      <w:r>
        <w:t>the boundary between a wide face and the adjacent narrow face comprises a gridlike partition, since the text disregards the physical transition to a new surface</w:t>
      </w:r>
    </w:p>
    <w:p w14:paraId="6AE9E665" w14:textId="5F82C3A2">
      <w:pPr>
        <w:pStyle w:val="Lista2"/>
      </w:pPr>
      <w:r>
        <w:t xml:space="preserve">such a pair of faces thus constitutes a single virtual zone, whose partition into two physical surfaces may be ignored in the markup or may be encoded by means of a gridlike milestone element </w:t>
      </w:r>
      <w:r>
        <w:rPr>
          <w:noProof/>
        </w:rPr>
        <w:t>(</w:t>
      </w:r>
      <w:r>
        <w:t>§</w:t>
      </w:r>
      <w:r>
        <w:fldChar w:fldCharType="begin"/>
      </w:r>
      <w:r>
        <w:instrText xml:space="preserve"> REF _Ref43984651 \w \h  \* MERGEFORMAT </w:instrText>
      </w:r>
      <w:r>
        <w:fldChar w:fldCharType="separate"/>
      </w:r>
      <w:r>
        <w:t>4.6</w:t>
      </w:r>
      <w:r>
        <w:fldChar w:fldCharType="end"/>
      </w:r>
      <w:r>
        <w:t>)</w:t>
      </w:r>
    </w:p>
    <w:p w14:paraId="2A38A176" w14:textId="77777777"/>
    <w:p w14:paraId="5996ED94" w14:textId="37D1CC4A">
      <w:pPr>
        <w:pStyle w:val="CodeParagraph"/>
        <w:rPr>
          <w:rStyle w:val="Codecomment"/>
        </w:rPr>
      </w:pPr>
      <w:r>
        <w:rPr>
          <w:rStyle w:val="Code"/>
        </w:rPr>
        <w:t>&lt;p&gt;</w:t>
      </w:r>
      <w:r>
        <w:rPr>
          <w:rStyle w:val="Codecomment"/>
        </w:rPr>
        <w:t>&lt;!--All milestones come within paragraphs.--&gt;</w:t>
      </w:r>
      <w:r>
        <w:rPr>
          <w:rStyle w:val="Codetext"/>
        </w:rPr>
        <w:br/>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"faces"</w:t>
      </w:r>
      <w:r>
        <w:rPr>
          <w:rStyle w:val="Code"/>
        </w:rPr>
        <w:t xml:space="preserve"> </w:t>
      </w:r>
      <w:r>
        <w:rPr>
          <w:rStyle w:val="Codeattribute"/>
        </w:rPr>
        <w:t>n</w:t>
      </w:r>
      <w:r>
        <w:rPr>
          <w:rStyle w:val="Code"/>
        </w:rPr>
        <w:t>=</w:t>
      </w:r>
      <w:r>
        <w:rPr>
          <w:rStyle w:val="Codevalue"/>
        </w:rPr>
        <w:t>"Ab"</w:t>
      </w:r>
      <w:r>
        <w:rPr>
          <w:rStyle w:val="Code"/>
        </w:rPr>
        <w:t>/&gt;</w:t>
      </w:r>
      <w:r>
        <w:rPr>
          <w:rStyle w:val="Codecomment"/>
        </w:rPr>
        <w:t>&lt;!--An optional &lt;label&gt; could have been added at this point and for the second facepair, as per §</w:t>
      </w:r>
      <w:r>
        <w:rPr>
          <w:rStyle w:val="Codecomment"/>
        </w:rPr>
        <w:fldChar w:fldCharType="begin"/>
      </w:r>
      <w:r>
        <w:rPr>
          <w:rStyle w:val="Codecomment"/>
        </w:rPr>
        <w:instrText xml:space="preserve"> REF _Ref182299869 \r \h </w:instrText>
      </w:r>
      <w:r>
        <w:rPr>
          <w:rStyle w:val="Codecomment"/>
        </w:rPr>
      </w:r>
      <w:r>
        <w:rPr>
          <w:rStyle w:val="Codecomment"/>
        </w:rPr>
        <w:fldChar w:fldCharType="separate"/>
      </w:r>
      <w:r>
        <w:rPr>
          <w:rStyle w:val="Codecomment"/>
        </w:rPr>
        <w:t>4.4.3.2</w:t>
      </w:r>
      <w:r>
        <w:rPr>
          <w:rStyle w:val="Codecomment"/>
        </w:rPr>
        <w:fldChar w:fldCharType="end"/>
      </w:r>
      <w:r>
        <w:rPr>
          <w:rStyle w:val="Codecomment"/>
        </w:rPr>
        <w:t>. --&gt;</w:t>
      </w:r>
      <w:r>
        <w:rPr>
          <w:rStyle w:val="Codetext"/>
        </w:rPr>
        <w:br/>
      </w:r>
      <w:r>
        <w:rPr>
          <w:rStyle w:val="Codecomment"/>
        </w:rPr>
        <w:t>&lt;!-- This encoding example uses the repetitive scheme of line numbering §</w:t>
      </w:r>
      <w:r>
        <w:rPr>
          <w:rStyle w:val="Codecomment"/>
        </w:rPr>
        <w:fldChar w:fldCharType="begin"/>
      </w:r>
      <w:r>
        <w:rPr>
          <w:rStyle w:val="Codecomment"/>
        </w:rPr>
        <w:instrText xml:space="preserve"> REF _Ref182228380 \r \h </w:instrText>
      </w:r>
      <w:r>
        <w:rPr>
          <w:rStyle w:val="Codecomment"/>
        </w:rPr>
      </w:r>
      <w:r>
        <w:rPr>
          <w:rStyle w:val="Codecomment"/>
        </w:rPr>
        <w:fldChar w:fldCharType="separate"/>
      </w:r>
      <w:r>
        <w:rPr>
          <w:rStyle w:val="Codecomment"/>
        </w:rPr>
        <w:t>4.5.2.2</w:t>
      </w:r>
      <w:r>
        <w:rPr>
          <w:rStyle w:val="Codecomment"/>
        </w:rPr>
        <w:fldChar w:fldCharType="end"/>
      </w:r>
      <w:r>
        <w:rPr>
          <w:rStyle w:val="Codecomment"/>
        </w:rPr>
        <w:t>, in accordance with SE Asian epigraphic conventions. Alternatively, lines could have been numbered starting from 1 and continuing from 8 on face Cd.--&gt;</w:t>
      </w:r>
    </w:p>
    <w:p w14:paraId="0E252C12" w14:textId="77777777">
      <w:pPr>
        <w:pStyle w:val="CodeParagraph"/>
        <w:rPr>
          <w:rStyle w:val="Code"/>
        </w:rPr>
      </w:pPr>
      <w:r>
        <w:rPr>
          <w:rStyle w:val="Code"/>
        </w:rPr>
        <w:t xml:space="preserve">&lt;lb </w:t>
      </w:r>
      <w:r>
        <w:rPr>
          <w:rStyle w:val="Codeattribute"/>
        </w:rPr>
        <w:t>n</w:t>
      </w:r>
      <w:r>
        <w:rPr>
          <w:rStyle w:val="Code"/>
        </w:rPr>
        <w:t>=</w:t>
      </w:r>
      <w:r>
        <w:rPr>
          <w:rStyle w:val="Codevalue"/>
        </w:rPr>
        <w:t>"Ab1"</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there lived</w:t>
      </w:r>
      <w:r>
        <w:rPr>
          <w:rStyle w:val="Codetext"/>
        </w:rPr>
        <w:br/>
      </w:r>
      <w:r>
        <w:rPr>
          <w:rStyle w:val="Code"/>
        </w:rPr>
        <w:t xml:space="preserve">&lt;lb </w:t>
      </w:r>
      <w:r>
        <w:rPr>
          <w:rStyle w:val="Codeattribute"/>
        </w:rPr>
        <w:t>n</w:t>
      </w:r>
      <w:r>
        <w:rPr>
          <w:rStyle w:val="Code"/>
        </w:rPr>
        <w:t>=</w:t>
      </w:r>
      <w:r>
        <w:rPr>
          <w:rStyle w:val="Codevalue"/>
        </w:rPr>
        <w:t>"Ab2"</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a hobbit. Not a nasty, dirty,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wet hole,</w:t>
      </w:r>
      <w:r>
        <w:rPr>
          <w:rStyle w:val="Codetext"/>
        </w:rPr>
        <w:br/>
      </w:r>
      <w:r>
        <w:rPr>
          <w:rStyle w:val="Code"/>
        </w:rPr>
        <w:t xml:space="preserve">&lt;lb </w:t>
      </w:r>
      <w:r>
        <w:rPr>
          <w:rStyle w:val="Codeattribute"/>
        </w:rPr>
        <w:t>n</w:t>
      </w:r>
      <w:r>
        <w:rPr>
          <w:rStyle w:val="Code"/>
        </w:rPr>
        <w:t>=</w:t>
      </w:r>
      <w:r>
        <w:rPr>
          <w:rStyle w:val="Codevalue"/>
        </w:rPr>
        <w:t>"Ab3"</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filled with the ends of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worms and</w:t>
      </w:r>
      <w:r>
        <w:rPr>
          <w:rStyle w:val="Codetext"/>
        </w:rPr>
        <w:br/>
      </w:r>
      <w:r>
        <w:rPr>
          <w:rStyle w:val="Code"/>
        </w:rPr>
        <w:t xml:space="preserve">&lt;lb </w:t>
      </w:r>
      <w:r>
        <w:rPr>
          <w:rStyle w:val="Codeattribute"/>
        </w:rPr>
        <w:t>n</w:t>
      </w:r>
      <w:r>
        <w:rPr>
          <w:rStyle w:val="Code"/>
        </w:rPr>
        <w:t>=</w:t>
      </w:r>
      <w:r>
        <w:rPr>
          <w:rStyle w:val="Codevalue"/>
        </w:rPr>
        <w:t>"Ab4"</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an oozy smell, nor yet a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dry, bare,</w:t>
      </w:r>
      <w:r>
        <w:rPr>
          <w:rStyle w:val="Codetext"/>
        </w:rPr>
        <w:br/>
      </w:r>
      <w:r>
        <w:rPr>
          <w:rStyle w:val="Code"/>
        </w:rPr>
        <w:t xml:space="preserve">&lt;lb </w:t>
      </w:r>
      <w:r>
        <w:rPr>
          <w:rStyle w:val="Codeattribute"/>
        </w:rPr>
        <w:t>n</w:t>
      </w:r>
      <w:r>
        <w:rPr>
          <w:rStyle w:val="Code"/>
        </w:rPr>
        <w:t>=</w:t>
      </w:r>
      <w:r>
        <w:rPr>
          <w:rStyle w:val="Codevalue"/>
        </w:rPr>
        <w:t>"Ab5"</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sandy hole with nothing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in it to</w:t>
      </w:r>
      <w:r>
        <w:rPr>
          <w:rStyle w:val="Codetext"/>
        </w:rPr>
        <w:br/>
      </w:r>
      <w:r>
        <w:rPr>
          <w:rStyle w:val="Code"/>
        </w:rPr>
        <w:t xml:space="preserve">&lt;lb </w:t>
      </w:r>
      <w:r>
        <w:rPr>
          <w:rStyle w:val="Codeattribute"/>
        </w:rPr>
        <w:t>n</w:t>
      </w:r>
      <w:r>
        <w:rPr>
          <w:rStyle w:val="Code"/>
        </w:rPr>
        <w:t>=</w:t>
      </w:r>
      <w:r>
        <w:rPr>
          <w:rStyle w:val="Codevalue"/>
        </w:rPr>
        <w:t>"Ab6"</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sit down on or to eat: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it was a</w:t>
      </w:r>
      <w:r>
        <w:rPr>
          <w:rStyle w:val="Codetext"/>
        </w:rPr>
        <w:br/>
      </w:r>
      <w:r>
        <w:rPr>
          <w:rStyle w:val="Code"/>
        </w:rPr>
        <w:lastRenderedPageBreak/>
        <w:t xml:space="preserve">&lt;lb </w:t>
      </w:r>
      <w:r>
        <w:rPr>
          <w:rStyle w:val="Codeattribute"/>
        </w:rPr>
        <w:t>n</w:t>
      </w:r>
      <w:r>
        <w:rPr>
          <w:rStyle w:val="Code"/>
        </w:rPr>
        <w:t>=</w:t>
      </w:r>
      <w:r>
        <w:rPr>
          <w:rStyle w:val="Codevalue"/>
        </w:rPr>
        <w:t>"Ab7"</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hobbit-hole, and that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means</w:t>
      </w:r>
      <w:r>
        <w:rPr>
          <w:rStyle w:val="Codetext"/>
        </w:rPr>
        <w:br/>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"faces"</w:t>
      </w:r>
      <w:r>
        <w:rPr>
          <w:rStyle w:val="Code"/>
        </w:rPr>
        <w:t xml:space="preserve"> </w:t>
      </w:r>
      <w:r>
        <w:rPr>
          <w:rStyle w:val="Codeattribute"/>
        </w:rPr>
        <w:t>n</w:t>
      </w:r>
      <w:r>
        <w:rPr>
          <w:rStyle w:val="Code"/>
        </w:rPr>
        <w:t>=</w:t>
      </w:r>
      <w:r>
        <w:rPr>
          <w:rStyle w:val="Codevalue"/>
        </w:rPr>
        <w:t>"Cd"</w:t>
      </w:r>
      <w:r>
        <w:rPr>
          <w:rStyle w:val="Code"/>
        </w:rPr>
        <w:t>/&gt;</w:t>
      </w:r>
    </w:p>
    <w:p w14:paraId="43187832" w14:textId="77777777">
      <w:pPr>
        <w:pStyle w:val="CodeParagraph"/>
        <w:rPr>
          <w:rStyle w:val="Codetext"/>
        </w:rPr>
      </w:pPr>
      <w:r>
        <w:rPr>
          <w:rStyle w:val="Code"/>
        </w:rPr>
        <w:t xml:space="preserve">&lt;lb </w:t>
      </w:r>
      <w:r>
        <w:rPr>
          <w:rStyle w:val="Codeattribute"/>
        </w:rPr>
        <w:t>n</w:t>
      </w:r>
      <w:r>
        <w:rPr>
          <w:rStyle w:val="Code"/>
        </w:rPr>
        <w:t>=</w:t>
      </w:r>
      <w:r>
        <w:rPr>
          <w:rStyle w:val="Codevalue"/>
        </w:rPr>
        <w:t>"Cd1"</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comfort.</w:t>
      </w:r>
    </w:p>
    <w:p w14:paraId="1CC7DED9" w14:textId="69A51FD6">
      <w:pPr>
        <w:pStyle w:val="CodeParagraph"/>
        <w:rPr>
          <w:rStyle w:val="Code"/>
        </w:rPr>
      </w:pPr>
      <w:r>
        <w:rPr>
          <w:rStyle w:val="Code"/>
        </w:rPr>
        <w:t>&lt;/p&gt;</w:t>
      </w:r>
      <w:r>
        <w:rPr>
          <w:rStyle w:val="Codecomment"/>
        </w:rPr>
        <w:t>&lt;!-- The text has been broken up into two semantic paragraphs, §</w:t>
      </w:r>
      <w:r>
        <w:rPr>
          <w:rStyle w:val="Codecomment"/>
          <w:rFonts w:eastAsia="Arial Unicode MS"/>
        </w:rPr>
        <w:fldChar w:fldCharType="begin"/>
      </w:r>
      <w:r>
        <w:rPr>
          <w:rStyle w:val="Codecomment"/>
          <w:rFonts w:eastAsia="Arial Unicode MS"/>
        </w:rPr>
        <w:instrText xml:space="preserve"> REF _Ref43991413 \r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3.2.1.1</w:t>
      </w:r>
      <w:r>
        <w:rPr>
          <w:rStyle w:val="Codecomment"/>
          <w:rFonts w:eastAsia="Arial Unicode MS"/>
        </w:rPr>
        <w:fldChar w:fldCharType="end"/>
      </w:r>
      <w:r>
        <w:rPr>
          <w:rStyle w:val="Codecomment"/>
        </w:rPr>
        <w:t>.--&gt;</w:t>
      </w:r>
    </w:p>
    <w:p w14:paraId="3ABCE5A7" w14:textId="77777777">
      <w:pPr>
        <w:pStyle w:val="CodeParagraph"/>
      </w:pPr>
      <w:r>
        <w:rPr>
          <w:rStyle w:val="Code"/>
        </w:rPr>
        <w:t>&lt;p&gt;</w:t>
      </w:r>
      <w:r>
        <w:rPr>
          <w:rStyle w:val="Codetext"/>
        </w:rPr>
        <w:t xml:space="preserve">It had a perfectly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round door</w:t>
      </w:r>
      <w:r>
        <w:rPr>
          <w:rStyle w:val="Codetext"/>
        </w:rPr>
        <w:br/>
      </w:r>
      <w:r>
        <w:rPr>
          <w:rStyle w:val="Code"/>
        </w:rPr>
        <w:t xml:space="preserve">&lt;lb </w:t>
      </w:r>
      <w:r>
        <w:rPr>
          <w:rStyle w:val="Codeattribute"/>
        </w:rPr>
        <w:t>n</w:t>
      </w:r>
      <w:r>
        <w:rPr>
          <w:rStyle w:val="Code"/>
        </w:rPr>
        <w:t>=</w:t>
      </w:r>
      <w:r>
        <w:rPr>
          <w:rStyle w:val="Codevalue"/>
        </w:rPr>
        <w:t>"Cd2"</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like a porthole, painted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green, with</w:t>
      </w:r>
      <w:r>
        <w:rPr>
          <w:rStyle w:val="Codetext"/>
        </w:rPr>
        <w:br/>
      </w:r>
      <w:r>
        <w:rPr>
          <w:rStyle w:val="Code"/>
        </w:rPr>
        <w:t xml:space="preserve">&lt;lb </w:t>
      </w:r>
      <w:r>
        <w:rPr>
          <w:rStyle w:val="Codeattribute"/>
        </w:rPr>
        <w:t>n</w:t>
      </w:r>
      <w:r>
        <w:rPr>
          <w:rStyle w:val="Code"/>
        </w:rPr>
        <w:t>=</w:t>
      </w:r>
      <w:r>
        <w:rPr>
          <w:rStyle w:val="Codevalue"/>
        </w:rPr>
        <w:t>"Cd3"</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a shiny yellow brass knob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in the exact</w:t>
      </w:r>
      <w:r>
        <w:rPr>
          <w:rStyle w:val="Codetext"/>
        </w:rPr>
        <w:br/>
      </w:r>
      <w:r>
        <w:rPr>
          <w:rStyle w:val="Code"/>
        </w:rPr>
        <w:t xml:space="preserve">&lt;lb </w:t>
      </w:r>
      <w:r>
        <w:rPr>
          <w:rStyle w:val="Codeattribute"/>
        </w:rPr>
        <w:t>n</w:t>
      </w:r>
      <w:r>
        <w:rPr>
          <w:rStyle w:val="Code"/>
        </w:rPr>
        <w:t>=</w:t>
      </w:r>
      <w:r>
        <w:rPr>
          <w:rStyle w:val="Codevalue"/>
        </w:rPr>
        <w:t>"Cd4"</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middle. The door opened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on to a</w:t>
      </w:r>
      <w:r>
        <w:rPr>
          <w:rStyle w:val="Codetext"/>
        </w:rPr>
        <w:br/>
      </w:r>
      <w:r>
        <w:rPr>
          <w:rStyle w:val="Code"/>
        </w:rPr>
        <w:t xml:space="preserve">&lt;lb </w:t>
      </w:r>
      <w:r>
        <w:rPr>
          <w:rStyle w:val="Codeattribute"/>
        </w:rPr>
        <w:t>n</w:t>
      </w:r>
      <w:r>
        <w:rPr>
          <w:rStyle w:val="Code"/>
        </w:rPr>
        <w:t>=</w:t>
      </w:r>
      <w:r>
        <w:rPr>
          <w:rStyle w:val="Codevalue"/>
        </w:rPr>
        <w:t>"Cd5"</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tube-shaped hall like a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tunnel: a</w:t>
      </w:r>
      <w:r>
        <w:rPr>
          <w:rStyle w:val="Codetext"/>
        </w:rPr>
        <w:br/>
      </w:r>
      <w:r>
        <w:rPr>
          <w:rStyle w:val="Code"/>
        </w:rPr>
        <w:t xml:space="preserve">&lt;lb </w:t>
      </w:r>
      <w:r>
        <w:rPr>
          <w:rStyle w:val="Codeattribute"/>
        </w:rPr>
        <w:t>n</w:t>
      </w:r>
      <w:r>
        <w:rPr>
          <w:rStyle w:val="Code"/>
        </w:rPr>
        <w:t>=</w:t>
      </w:r>
      <w:r>
        <w:rPr>
          <w:rStyle w:val="Codevalue"/>
        </w:rPr>
        <w:t>"Cd6"</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very comfortable tunnel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without</w:t>
      </w:r>
      <w:r>
        <w:rPr>
          <w:rStyle w:val="Codetext"/>
        </w:rPr>
        <w:br/>
      </w:r>
      <w:r>
        <w:rPr>
          <w:rStyle w:val="Code"/>
        </w:rPr>
        <w:t xml:space="preserve">&lt;lb </w:t>
      </w:r>
      <w:r>
        <w:rPr>
          <w:rStyle w:val="Codeattribute"/>
        </w:rPr>
        <w:t>n</w:t>
      </w:r>
      <w:r>
        <w:rPr>
          <w:rStyle w:val="Code"/>
        </w:rPr>
        <w:t>=</w:t>
      </w:r>
      <w:r>
        <w:rPr>
          <w:rStyle w:val="Codevalue"/>
        </w:rPr>
        <w:t>"Cd7"</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smoke.</w:t>
      </w:r>
      <w:r>
        <w:rPr>
          <w:rStyle w:val="Codetext"/>
        </w:rPr>
        <w:br/>
      </w:r>
      <w:r>
        <w:rPr>
          <w:rStyle w:val="Code"/>
        </w:rPr>
        <w:t>&lt;/p&gt;</w:t>
      </w:r>
    </w:p>
    <w:p w14:paraId="7BC301B2" w14:textId="604FFE02">
      <w:pPr>
        <w:pStyle w:val="Cmsor2"/>
        <w:numPr>
          <w:ilvl w:val="1"/>
          <w:numId w:val="7"/>
        </w:numPr>
      </w:pPr>
      <w:bookmarkStart w:id="1152" w:name="_Ref239843991"/>
      <w:bookmarkStart w:id="1153" w:name="_Ref239844156"/>
      <w:bookmarkStart w:id="1154" w:name="_Ref239844200"/>
      <w:bookmarkStart w:id="1155" w:name="_Ref239844234"/>
      <w:bookmarkStart w:id="1156" w:name="_Ref239844315"/>
      <w:bookmarkStart w:id="1157" w:name="_Toc242889690"/>
      <w:r>
        <w:t>Stele with two inscribed faces, an incipit and quasi-columns</w:t>
      </w:r>
      <w:bookmarkEnd w:id="1152"/>
      <w:bookmarkEnd w:id="1153"/>
      <w:bookmarkEnd w:id="1154"/>
      <w:bookmarkEnd w:id="1155"/>
      <w:bookmarkEnd w:id="1156"/>
      <w:bookmarkEnd w:id="1157"/>
    </w:p>
    <w:p w14:paraId="0324F531" w14:textId="77777777">
      <w:pPr>
        <w:pStyle w:val="Image"/>
      </w:pPr>
      <w:r>
        <w:drawing>
          <wp:inline distT="0" distB="0" distL="0" distR="0" wp14:anchorId="4A155563" wp14:editId="2F799740">
            <wp:extent cx="6107430" cy="4326255"/>
            <wp:effectExtent l="0" t="0" r="7620" b="0"/>
            <wp:docPr id="1318861579"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07430" cy="4326255"/>
                    </a:xfrm>
                    <a:prstGeom prst="rect">
                      <a:avLst/>
                    </a:prstGeom>
                    <a:noFill/>
                    <a:ln>
                      <a:noFill/>
                    </a:ln>
                  </pic:spPr>
                </pic:pic>
              </a:graphicData>
            </a:graphic>
          </wp:inline>
        </w:drawing>
      </w:r>
    </w:p>
    <w:p w14:paraId="3BDEFF17" w14:textId="77777777">
      <w:pPr>
        <w:pStyle w:val="Lista"/>
      </w:pPr>
      <w:r>
        <w:t>this is the inscription DHARMA_INSCIK00191, the Phnom Sandak inscription, Preah Vihear province (K. 191, 1032 Śaka), a stele inscribed on two faces</w:t>
      </w:r>
    </w:p>
    <w:p w14:paraId="74ECE83A" w14:textId="77777777">
      <w:pPr>
        <w:pStyle w:val="Lista2"/>
      </w:pPr>
      <w:r>
        <w:t>the image above shows only the upper portion of each face</w:t>
      </w:r>
    </w:p>
    <w:p w14:paraId="3F95E5DE" w14:textId="77777777">
      <w:pPr>
        <w:pStyle w:val="Lista2"/>
      </w:pPr>
      <w:r>
        <w:t>each face begins with an invocatory syllable offset from the main body of text</w:t>
      </w:r>
    </w:p>
    <w:p w14:paraId="74A04598" w14:textId="77777777">
      <w:pPr>
        <w:pStyle w:val="Lista2"/>
      </w:pPr>
      <w:r>
        <w:t>the text is in verse, laid out in quasi-columns where each line must be read all the way from left to right across both columns</w:t>
      </w:r>
    </w:p>
    <w:p w14:paraId="439AD127" w14:textId="77777777">
      <w:pPr>
        <w:pStyle w:val="Lista2"/>
      </w:pPr>
      <w:r>
        <w:t>after reading all of face A, the reader is expected to continue on face B</w:t>
      </w:r>
    </w:p>
    <w:p w14:paraId="2556A59A" w14:textId="77777777">
      <w:pPr>
        <w:pStyle w:val="Lista2"/>
      </w:pPr>
      <w:r>
        <w:t>a fly in the soup is the invocatory syllable at the top of face B, which does not truly belong in the sequence of text between the two faces</w:t>
      </w:r>
    </w:p>
    <w:p w14:paraId="081BD605" w14:textId="77777777">
      <w:pPr>
        <w:pStyle w:val="Lista"/>
      </w:pPr>
      <w:r>
        <w:lastRenderedPageBreak/>
        <w:t>encoding the physical and logical arrangement with complete accuracy would be very complex without any tangible gain, so it has been decided that</w:t>
      </w:r>
    </w:p>
    <w:p w14:paraId="2EEE45D3" w14:textId="25038C15">
      <w:pPr>
        <w:pStyle w:val="Lista2"/>
      </w:pPr>
      <w:r>
        <w:t>the two faces will be encoded as a pagelike partition (§</w:t>
      </w:r>
      <w:r>
        <w:fldChar w:fldCharType="begin"/>
      </w:r>
      <w:r>
        <w:instrText xml:space="preserve"> REF _Ref233982406 \r \h </w:instrText>
      </w:r>
      <w:r>
        <w:fldChar w:fldCharType="separate"/>
      </w:r>
      <w:r>
        <w:t>4.4</w:t>
      </w:r>
      <w:r>
        <w:fldChar w:fldCharType="end"/>
      </w:r>
      <w:r>
        <w:t>), as for similar stelae without an incipit on the second face</w:t>
      </w:r>
    </w:p>
    <w:p w14:paraId="05F9787D" w14:textId="6E330733">
      <w:pPr>
        <w:pStyle w:val="Lista2"/>
      </w:pPr>
      <w:r>
        <w:t>the incipits will be handled as usual, i.e. as visually offset opening lines (§</w:t>
      </w:r>
      <w:r>
        <w:fldChar w:fldCharType="begin"/>
      </w:r>
      <w:r>
        <w:instrText xml:space="preserve"> REF _Ref43978135 \r \h </w:instrText>
      </w:r>
      <w:r>
        <w:fldChar w:fldCharType="separate"/>
      </w:r>
      <w:r>
        <w:t>4.7.1.1</w:t>
      </w:r>
      <w:r>
        <w:fldChar w:fldCharType="end"/>
      </w:r>
      <w:r>
        <w:t>), without regard for the fact that the second incipit is not part of the logical flow</w:t>
      </w:r>
    </w:p>
    <w:p w14:paraId="4E8FF5CD" w14:textId="0B17E80E">
      <w:pPr>
        <w:pStyle w:val="Lista2"/>
      </w:pPr>
      <w:r>
        <w:t>the lines will, as a matter of course, be encoded as a gridlike partition (§</w:t>
      </w:r>
      <w:r>
        <w:fldChar w:fldCharType="begin"/>
      </w:r>
      <w:r>
        <w:instrText xml:space="preserve"> REF _Ref43984651 \r \h </w:instrText>
      </w:r>
      <w:r>
        <w:fldChar w:fldCharType="separate"/>
      </w:r>
      <w:r>
        <w:t>4.6</w:t>
      </w:r>
      <w:r>
        <w:fldChar w:fldCharType="end"/>
      </w:r>
      <w:r>
        <w:t>), as recommended for text laid out in this fashion (§</w:t>
      </w:r>
      <w:r>
        <w:fldChar w:fldCharType="begin"/>
      </w:r>
      <w:r>
        <w:instrText xml:space="preserve"> REF _Ref225865506 \r \h </w:instrText>
      </w:r>
      <w:r>
        <w:fldChar w:fldCharType="separate"/>
      </w:r>
      <w:r>
        <w:t>4.7.5.3</w:t>
      </w:r>
      <w:r>
        <w:fldChar w:fldCharType="end"/>
      </w:r>
      <w:r>
        <w:t>)</w:t>
      </w:r>
    </w:p>
    <w:p w14:paraId="03D5A1A1" w14:textId="77777777">
      <w:r>
        <w:br w:type="page"/>
      </w:r>
    </w:p>
    <w:p w14:paraId="35A63D09" w14:textId="77777777">
      <w:pPr>
        <w:pStyle w:val="CodeParagraph"/>
        <w:rPr>
          <w:rStyle w:val="Code"/>
        </w:rPr>
      </w:pPr>
      <w:r>
        <w:rPr>
          <w:rStyle w:val="Code"/>
        </w:rPr>
        <w:lastRenderedPageBreak/>
        <w:t xml:space="preserve">&lt;div </w:t>
      </w:r>
      <w:r>
        <w:rPr>
          <w:rStyle w:val="Codeattribute"/>
        </w:rPr>
        <w:t>type</w:t>
      </w:r>
      <w:r>
        <w:rPr>
          <w:rStyle w:val="Code"/>
        </w:rPr>
        <w:t>=</w:t>
      </w:r>
      <w:r>
        <w:rPr>
          <w:rStyle w:val="Codevalue"/>
        </w:rPr>
        <w:t>"edition"</w:t>
      </w:r>
      <w:r>
        <w:rPr>
          <w:rStyle w:val="Code"/>
        </w:rPr>
        <w:t xml:space="preserve"> </w:t>
      </w:r>
      <w:r>
        <w:rPr>
          <w:rStyle w:val="Codeattribute"/>
        </w:rPr>
        <w:t>xml:lang</w:t>
      </w:r>
      <w:r>
        <w:rPr>
          <w:rStyle w:val="Code"/>
        </w:rPr>
        <w:t>=</w:t>
      </w:r>
      <w:r>
        <w:rPr>
          <w:rStyle w:val="Codevalue"/>
        </w:rPr>
        <w:t>"san-Latn"</w:t>
      </w:r>
      <w:r>
        <w:rPr>
          <w:rStyle w:val="Code"/>
        </w:rPr>
        <w:t>&gt;</w:t>
      </w:r>
      <w:r>
        <w:rPr>
          <w:rStyle w:val="Codetext"/>
        </w:rPr>
        <w:br/>
      </w:r>
      <w:r>
        <w:rPr>
          <w:rStyle w:val="Code"/>
        </w:rPr>
        <w:t>&lt;ab&gt;</w:t>
      </w:r>
    </w:p>
    <w:p w14:paraId="458047CE" w14:textId="77777777">
      <w:pPr>
        <w:pStyle w:val="CodeParagraph"/>
        <w:rPr>
          <w:rStyle w:val="Code"/>
        </w:rPr>
      </w:pP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Face A</w:t>
      </w:r>
      <w:r>
        <w:rPr>
          <w:rStyle w:val="Code"/>
        </w:rPr>
        <w:t>&lt;/label&gt;</w:t>
      </w:r>
    </w:p>
    <w:p w14:paraId="654F72E4" w14:textId="77777777">
      <w:pPr>
        <w:pStyle w:val="CodeParagraph"/>
        <w:rPr>
          <w:rStyle w:val="Codetext"/>
        </w:rPr>
      </w:pPr>
      <w:r>
        <w:rPr>
          <w:rStyle w:val="Code"/>
        </w:rPr>
        <w:t xml:space="preserve">  &lt;lb </w:t>
      </w:r>
      <w:r>
        <w:rPr>
          <w:rStyle w:val="Codeattribute"/>
        </w:rPr>
        <w:t>n</w:t>
      </w:r>
      <w:r>
        <w:rPr>
          <w:rStyle w:val="Code"/>
        </w:rPr>
        <w:t>=</w:t>
      </w:r>
      <w:r>
        <w:rPr>
          <w:rStyle w:val="Codevalue"/>
        </w:rPr>
        <w:t>"A0"</w:t>
      </w:r>
      <w:r>
        <w:rPr>
          <w:rStyle w:val="Code"/>
        </w:rPr>
        <w:t xml:space="preserve"> </w:t>
      </w:r>
      <w:r>
        <w:rPr>
          <w:rStyle w:val="Codeattribute"/>
        </w:rPr>
        <w:t>style</w:t>
      </w:r>
      <w:r>
        <w:rPr>
          <w:rStyle w:val="Code"/>
        </w:rPr>
        <w:t>=</w:t>
      </w:r>
      <w:r>
        <w:rPr>
          <w:rStyle w:val="Codevalue"/>
        </w:rPr>
        <w:t>"text-align: center"</w:t>
      </w:r>
      <w:r>
        <w:rPr>
          <w:rStyle w:val="Code"/>
        </w:rPr>
        <w:t>/&gt;</w:t>
      </w:r>
      <w:r>
        <w:rPr>
          <w:rStyle w:val="Codetext"/>
        </w:rPr>
        <w:t>Oṁ</w:t>
      </w:r>
    </w:p>
    <w:p w14:paraId="33F7727D" w14:textId="77777777">
      <w:pPr>
        <w:pStyle w:val="CodeParagraph"/>
        <w:rPr>
          <w:rStyle w:val="Codetext"/>
        </w:rPr>
      </w:pPr>
      <w:r>
        <w:rPr>
          <w:rStyle w:val="Code"/>
        </w:rPr>
        <w:t>&lt;/ab&gt;</w:t>
      </w:r>
    </w:p>
    <w:p w14:paraId="36F00133" w14:textId="77777777">
      <w:pPr>
        <w:pStyle w:val="CodeParagraph"/>
        <w:rPr>
          <w:rStyle w:val="Code"/>
        </w:rPr>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"upajāti"</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"A1"</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 xml:space="preserve">/&gt;&lt;g </w:t>
      </w:r>
      <w:r>
        <w:rPr>
          <w:rStyle w:val="Codeattribute"/>
        </w:rPr>
        <w:t>ref</w:t>
      </w:r>
      <w:r>
        <w:rPr>
          <w:rStyle w:val="Code"/>
        </w:rPr>
        <w:t>=</w:t>
      </w:r>
      <w:r>
        <w:rPr>
          <w:rStyle w:val="Codevalue"/>
        </w:rPr>
        <w:t>"sym:flourish-taperOut"</w:t>
      </w:r>
      <w:r>
        <w:rPr>
          <w:rStyle w:val="Code"/>
        </w:rPr>
        <w:t>&gt;</w:t>
      </w:r>
      <w:r>
        <w:rPr>
          <w:rStyle w:val="Codetext"/>
        </w:rPr>
        <w:t>*</w:t>
      </w:r>
      <w:r>
        <w:rPr>
          <w:rStyle w:val="Code"/>
        </w:rPr>
        <w:t>&lt;/g&gt;</w:t>
      </w:r>
      <w:r>
        <w:rPr>
          <w:rStyle w:val="Codetext"/>
        </w:rPr>
        <w:t xml:space="preserve"> namaś śivāyāstu ya Eka Eva</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jñānakriyārūpatayā dvibhedaḥ</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"A2"</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bhūyo py anugrāhitayāṇuvr̥ṇde</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vāmādibhedād vahudhā </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 vikīrṇaḥ</w:t>
      </w:r>
      <w:r>
        <w:rPr>
          <w:rStyle w:val="Code"/>
        </w:rPr>
        <w:t>&lt;/l&gt;</w:t>
      </w:r>
      <w:r>
        <w:rPr>
          <w:rStyle w:val="Codetext"/>
        </w:rPr>
        <w:br/>
      </w:r>
      <w:r>
        <w:rPr>
          <w:rStyle w:val="Code"/>
        </w:rPr>
        <w:t>&lt;/lg&gt;</w:t>
      </w:r>
      <w:r>
        <w:rPr>
          <w:rStyle w:val="Codetext"/>
        </w:rPr>
        <w:br/>
      </w:r>
      <w:r>
        <w:rPr>
          <w:rStyle w:val="Code"/>
        </w:rPr>
        <w:t xml:space="preserve">&lt;lg </w:t>
      </w:r>
      <w:r>
        <w:rPr>
          <w:rStyle w:val="Codeattribute"/>
        </w:rPr>
        <w:t>n</w:t>
      </w:r>
      <w:r>
        <w:rPr>
          <w:rStyle w:val="Code"/>
        </w:rPr>
        <w:t>=</w:t>
      </w:r>
      <w:r>
        <w:rPr>
          <w:rStyle w:val="Codevalue"/>
        </w:rPr>
        <w:t>"2"</w:t>
      </w:r>
      <w:r>
        <w:rPr>
          <w:rStyle w:val="Code"/>
        </w:rPr>
        <w:t xml:space="preserve"> </w:t>
      </w:r>
      <w:r>
        <w:rPr>
          <w:rStyle w:val="Codeattribute"/>
        </w:rPr>
        <w:t>met</w:t>
      </w:r>
      <w:r>
        <w:rPr>
          <w:rStyle w:val="Code"/>
        </w:rPr>
        <w:t>=</w:t>
      </w:r>
      <w:r>
        <w:rPr>
          <w:rStyle w:val="Codevalue"/>
        </w:rPr>
        <w:t>"upajāti"</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"A3"</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yasyāḥ prasāde jagatāṁ vimuktir</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vāllabhyataḥ patyur anādivandhāt·</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"A4"</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bhāvānyatāyām api vandhavr̥</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ddhir·</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vi</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dyaiva </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 sā vo </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 vatu viśvarūpā</w:t>
      </w:r>
      <w:r>
        <w:rPr>
          <w:rStyle w:val="Code"/>
        </w:rPr>
        <w:t>&lt;/l&gt;</w:t>
      </w:r>
      <w:r>
        <w:rPr>
          <w:rStyle w:val="Codetext"/>
        </w:rPr>
        <w:br/>
      </w:r>
      <w:r>
        <w:rPr>
          <w:rStyle w:val="Code"/>
        </w:rPr>
        <w:t>&lt;/lg&gt;</w:t>
      </w:r>
      <w:r>
        <w:rPr>
          <w:rStyle w:val="Codetext"/>
        </w:rPr>
        <w:br/>
        <w:t>...</w:t>
      </w:r>
      <w:r>
        <w:rPr>
          <w:rStyle w:val="Codetext"/>
        </w:rPr>
        <w:br/>
      </w:r>
      <w:r>
        <w:rPr>
          <w:rStyle w:val="Code"/>
        </w:rPr>
        <w:t>&lt;ab&gt;</w:t>
      </w:r>
    </w:p>
    <w:p w14:paraId="306AC890" w14:textId="77777777">
      <w:pPr>
        <w:pStyle w:val="CodeParagraph"/>
        <w:rPr>
          <w:rStyle w:val="Code"/>
        </w:rPr>
      </w:pP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Face B</w:t>
      </w:r>
      <w:r>
        <w:rPr>
          <w:rStyle w:val="Code"/>
        </w:rPr>
        <w:t>&lt;/label&gt;</w:t>
      </w:r>
    </w:p>
    <w:p w14:paraId="0B9CF749" w14:textId="77777777">
      <w:pPr>
        <w:pStyle w:val="CodeParagraph"/>
        <w:rPr>
          <w:rStyle w:val="Codetext"/>
        </w:rPr>
      </w:pPr>
      <w:r>
        <w:rPr>
          <w:rStyle w:val="Code"/>
        </w:rPr>
        <w:t xml:space="preserve">  &lt;lb </w:t>
      </w:r>
      <w:r>
        <w:rPr>
          <w:rStyle w:val="Codeattribute"/>
        </w:rPr>
        <w:t>n</w:t>
      </w:r>
      <w:r>
        <w:rPr>
          <w:rStyle w:val="Code"/>
        </w:rPr>
        <w:t>=</w:t>
      </w:r>
      <w:r>
        <w:rPr>
          <w:rStyle w:val="Codevalue"/>
        </w:rPr>
        <w:t>"B0"</w:t>
      </w:r>
      <w:r>
        <w:rPr>
          <w:rStyle w:val="Code"/>
        </w:rPr>
        <w:t xml:space="preserve"> </w:t>
      </w:r>
      <w:r>
        <w:rPr>
          <w:rStyle w:val="Codeattribute"/>
        </w:rPr>
        <w:t>style</w:t>
      </w:r>
      <w:r>
        <w:rPr>
          <w:rStyle w:val="Code"/>
        </w:rPr>
        <w:t>=</w:t>
      </w:r>
      <w:r>
        <w:rPr>
          <w:rStyle w:val="Codevalue"/>
        </w:rPr>
        <w:t>"text-align: center"</w:t>
      </w:r>
      <w:r>
        <w:rPr>
          <w:rStyle w:val="Code"/>
        </w:rPr>
        <w:t>/&gt;</w:t>
      </w:r>
      <w:r>
        <w:rPr>
          <w:rStyle w:val="Codetext"/>
        </w:rPr>
        <w:t>hūṁ</w:t>
      </w:r>
    </w:p>
    <w:p w14:paraId="1FC75D20" w14:textId="77777777">
      <w:pPr>
        <w:pStyle w:val="CodeParagraph"/>
        <w:rPr>
          <w:rStyle w:val="Code"/>
        </w:rPr>
      </w:pPr>
      <w:r>
        <w:rPr>
          <w:rStyle w:val="Code"/>
        </w:rPr>
        <w:t>&lt;/ab&gt;</w:t>
      </w:r>
    </w:p>
    <w:p w14:paraId="3E4C518B" w14:textId="77777777">
      <w:pPr>
        <w:pStyle w:val="CodeParagraph"/>
        <w:rPr>
          <w:rStyle w:val="Code"/>
        </w:rPr>
      </w:pPr>
      <w:r>
        <w:rPr>
          <w:rStyle w:val="Code"/>
        </w:rPr>
        <w:t xml:space="preserve">&lt;lg </w:t>
      </w:r>
      <w:r>
        <w:rPr>
          <w:rStyle w:val="Codeattribute"/>
        </w:rPr>
        <w:t>n</w:t>
      </w:r>
      <w:r>
        <w:rPr>
          <w:rStyle w:val="Code"/>
        </w:rPr>
        <w:t>=</w:t>
      </w:r>
      <w:r>
        <w:rPr>
          <w:rStyle w:val="Codevalue"/>
        </w:rPr>
        <w:t>"25"</w:t>
      </w:r>
      <w:r>
        <w:rPr>
          <w:rStyle w:val="Code"/>
        </w:rPr>
        <w:t xml:space="preserve"> </w:t>
      </w:r>
      <w:r>
        <w:rPr>
          <w:rStyle w:val="Codeattribute"/>
        </w:rPr>
        <w:t>met</w:t>
      </w:r>
      <w:r>
        <w:rPr>
          <w:rStyle w:val="Code"/>
        </w:rPr>
        <w:t>=</w:t>
      </w:r>
      <w:r>
        <w:rPr>
          <w:rStyle w:val="Codevalue"/>
        </w:rPr>
        <w:t>"vasantatilakā"</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"B1"</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hr</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ī</w:t>
      </w:r>
      <w:r>
        <w:rPr>
          <w:rStyle w:val="Code"/>
        </w:rPr>
        <w:t>&lt;/supplied&gt;</w:t>
      </w:r>
      <w:r>
        <w:rPr>
          <w:rStyle w:val="Codetext"/>
        </w:rPr>
        <w:t>kāntikīrttikamalābhir ajasrayuktas</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sastrīkatām adhigato pi tapasvivr̥ttiḥ</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 </w:t>
      </w:r>
      <w:r>
        <w:rPr>
          <w:rStyle w:val="Codeattribute"/>
        </w:rPr>
        <w:t>enjamb</w:t>
      </w:r>
      <w:r>
        <w:rPr>
          <w:rStyle w:val="Code"/>
        </w:rPr>
        <w:t>=</w:t>
      </w:r>
      <w:r>
        <w:rPr>
          <w:rStyle w:val="Codevalue"/>
        </w:rPr>
        <w:t>"yes"</w:t>
      </w:r>
      <w:r>
        <w:rPr>
          <w:rStyle w:val="Code"/>
        </w:rPr>
        <w:t xml:space="preserve">&gt;&lt;lb </w:t>
      </w:r>
      <w:r>
        <w:rPr>
          <w:rStyle w:val="Codeattribute"/>
        </w:rPr>
        <w:t>n</w:t>
      </w:r>
      <w:r>
        <w:rPr>
          <w:rStyle w:val="Code"/>
        </w:rPr>
        <w:t>=</w:t>
      </w:r>
      <w:r>
        <w:rPr>
          <w:rStyle w:val="Codevalue"/>
        </w:rPr>
        <w:t>"B2"</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bhūbhr̥cchironi</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hitapādatalo dyugāmi</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dr̥ṣṭi</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r vvisandhir apareṇa karodyato yaḥ</w:t>
      </w:r>
      <w:r>
        <w:rPr>
          <w:rStyle w:val="Code"/>
        </w:rPr>
        <w:t>&lt;/l&gt;</w:t>
      </w:r>
      <w:r>
        <w:rPr>
          <w:rStyle w:val="Codetext"/>
        </w:rPr>
        <w:br/>
      </w:r>
      <w:r>
        <w:rPr>
          <w:rStyle w:val="Code"/>
        </w:rPr>
        <w:t>&lt;/lg&gt;</w:t>
      </w:r>
      <w:r>
        <w:rPr>
          <w:rStyle w:val="Codetext"/>
        </w:rPr>
        <w:br/>
      </w:r>
      <w:r>
        <w:rPr>
          <w:rStyle w:val="Code"/>
        </w:rPr>
        <w:t xml:space="preserve">&lt;lg </w:t>
      </w:r>
      <w:r>
        <w:rPr>
          <w:rStyle w:val="Codeattribute"/>
        </w:rPr>
        <w:t>n</w:t>
      </w:r>
      <w:r>
        <w:rPr>
          <w:rStyle w:val="Code"/>
        </w:rPr>
        <w:t>=</w:t>
      </w:r>
      <w:r>
        <w:rPr>
          <w:rStyle w:val="Codevalue"/>
        </w:rPr>
        <w:t>"26"</w:t>
      </w:r>
      <w:r>
        <w:rPr>
          <w:rStyle w:val="Code"/>
        </w:rPr>
        <w:t xml:space="preserve"> </w:t>
      </w:r>
      <w:r>
        <w:rPr>
          <w:rStyle w:val="Codeattribute"/>
        </w:rPr>
        <w:t>met</w:t>
      </w:r>
      <w:r>
        <w:rPr>
          <w:rStyle w:val="Code"/>
        </w:rPr>
        <w:t>=</w:t>
      </w:r>
      <w:r>
        <w:rPr>
          <w:rStyle w:val="Codevalue"/>
        </w:rPr>
        <w:t>"vasantatilakā"</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"B3"</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Aurvvānalo janitatāpatayā nu yasya</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tejonalena hr̥daye ripumāninīnām·</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"B4"</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śokātigāḍhajaladhau nitarān nimajjya</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netrair amocayad anantaraphenilāmbhaḥ</w:t>
      </w:r>
      <w:r>
        <w:rPr>
          <w:rStyle w:val="Code"/>
        </w:rPr>
        <w:t>&lt;/l&gt;</w:t>
      </w:r>
      <w:r>
        <w:rPr>
          <w:rStyle w:val="Codetext"/>
        </w:rPr>
        <w:br/>
      </w:r>
      <w:r>
        <w:rPr>
          <w:rStyle w:val="Code"/>
        </w:rPr>
        <w:t>&lt;/lg&gt;</w:t>
      </w:r>
    </w:p>
    <w:p w14:paraId="10E10ED3" w14:textId="77777777">
      <w:pPr>
        <w:pStyle w:val="Cmsor1"/>
        <w:numPr>
          <w:ilvl w:val="0"/>
          <w:numId w:val="7"/>
        </w:numPr>
      </w:pPr>
      <w:bookmarkStart w:id="1158" w:name="_jalh6cgsei8" w:colFirst="0" w:colLast="0"/>
      <w:bookmarkStart w:id="1159" w:name="_Ref43990834"/>
      <w:bookmarkStart w:id="1160" w:name="_Toc242889691"/>
      <w:bookmarkEnd w:id="1150"/>
      <w:bookmarkEnd w:id="1158"/>
      <w:r>
        <w:lastRenderedPageBreak/>
        <w:t>Titling conventions</w:t>
      </w:r>
      <w:bookmarkEnd w:id="1159"/>
      <w:bookmarkEnd w:id="1160"/>
    </w:p>
    <w:p w14:paraId="25027983" w14:textId="15BDE225">
      <w:r>
        <w:t>When assigning a title to the inscription you are encoding, it is in general recommended that you try to remain faithful to established names for inscriptions that have been edited before. In cases where established names in a corpus follow significantly varying models, so that the need for some harmonisation is felt, the team member</w:t>
      </w:r>
      <w:r>
        <w:rPr>
          <w:noProof/>
        </w:rPr>
        <w:t>(</w:t>
      </w:r>
      <w:r>
        <w:t>s) responsible for the corpus in question has/have the option to design a new system and apply it rigorously to all members of the corpus in question. New inscriptions should, as a rule, be named on the analogy of established names within the same corpus. In all cases, variant names applied to the inscription in question in previous publications shall be recorded as per §</w:t>
      </w:r>
      <w:r>
        <w:fldChar w:fldCharType="begin"/>
      </w:r>
      <w:r>
        <w:instrText xml:space="preserve"> REF _Ref233986980 \r \h </w:instrText>
      </w:r>
      <w:r>
        <w:fldChar w:fldCharType="separate"/>
      </w:r>
      <w:r>
        <w:t>15.1.1.1</w:t>
      </w:r>
      <w:r>
        <w:fldChar w:fldCharType="end"/>
      </w:r>
      <w:r>
        <w:t>.</w:t>
      </w:r>
    </w:p>
    <w:p w14:paraId="6AFC6DA7" w14:textId="77777777">
      <w:pPr>
        <w:pStyle w:val="Normlbehzs"/>
      </w:pPr>
      <w:r>
        <w:t xml:space="preserve">When creating new titles, it is recommended </w:t>
      </w:r>
      <w:r>
        <w:rPr>
          <w:noProof/>
        </w:rPr>
        <w:t>(</w:t>
      </w:r>
      <w:r>
        <w:t>but not mandatory) that you compose your title by combining the following elements, in this order.</w:t>
      </w:r>
    </w:p>
    <w:p w14:paraId="7107A26A" w14:textId="77777777">
      <w:pPr>
        <w:numPr>
          <w:ilvl w:val="0"/>
          <w:numId w:val="5"/>
        </w:numPr>
        <w:ind w:left="284" w:hanging="284"/>
      </w:pPr>
      <w:r>
        <w:rPr>
          <w:b/>
          <w:bCs/>
        </w:rPr>
        <w:t>place</w:t>
      </w:r>
      <w:r>
        <w:t xml:space="preserve">: start your title with a place name, using </w:t>
      </w:r>
      <w:r>
        <w:rPr>
          <w:noProof/>
        </w:rPr>
        <w:t>(</w:t>
      </w:r>
      <w:r>
        <w:t>if possible) one of the following options</w:t>
      </w:r>
    </w:p>
    <w:p w14:paraId="4CEEBB5C" w14:textId="77777777">
      <w:pPr>
        <w:numPr>
          <w:ilvl w:val="1"/>
          <w:numId w:val="6"/>
        </w:numPr>
        <w:ind w:left="567" w:hanging="283"/>
      </w:pPr>
      <w:r>
        <w:t>internal: attempt to identify the name of the place</w:t>
      </w:r>
      <w:r>
        <w:rPr>
          <w:noProof/>
        </w:rPr>
        <w:t>(</w:t>
      </w:r>
      <w:r>
        <w:t xml:space="preserve">s) that is </w:t>
      </w:r>
      <w:r>
        <w:rPr>
          <w:noProof/>
        </w:rPr>
        <w:t>(</w:t>
      </w:r>
      <w:r>
        <w:t>or are) most fundamentally concerned by the transaction recorded in the inscription</w:t>
      </w:r>
    </w:p>
    <w:p w14:paraId="7D96A630" w14:textId="77777777">
      <w:pPr>
        <w:pStyle w:val="Lista4"/>
      </w:pPr>
      <w:r>
        <w:t>resort to a less important but more distinctive internal toponym if the toponym resulting from the above test is insufficiently distinctive</w:t>
      </w:r>
    </w:p>
    <w:p w14:paraId="1772839D" w14:textId="77777777">
      <w:pPr>
        <w:pStyle w:val="Lista4"/>
      </w:pPr>
      <w:r>
        <w:t xml:space="preserve">if you are dealing with Indonesian inscriptions, represent the internal toponym free of diacritics, in EYD spelling </w:t>
      </w:r>
      <w:r>
        <w:rPr>
          <w:noProof/>
        </w:rPr>
        <w:t>(</w:t>
      </w:r>
      <w:r>
        <w:t xml:space="preserve">e.g., Sobhamerta for </w:t>
      </w:r>
      <w:r>
        <w:rPr>
          <w:rStyle w:val="Foreign"/>
        </w:rPr>
        <w:t>śobhāmr̥ta</w:t>
      </w:r>
      <w:r>
        <w:t>), and for further guidance, see Damais 1952: 6-9</w:t>
      </w:r>
    </w:p>
    <w:p w14:paraId="1F2FE166" w14:textId="77777777">
      <w:pPr>
        <w:numPr>
          <w:ilvl w:val="1"/>
          <w:numId w:val="6"/>
        </w:numPr>
        <w:ind w:left="567" w:hanging="283"/>
      </w:pPr>
      <w:r>
        <w:t>based on provenance: use the name of the findspot, e.g. “Nalanda”</w:t>
      </w:r>
    </w:p>
    <w:p w14:paraId="0AE6C4D9" w14:textId="77777777">
      <w:pPr>
        <w:pStyle w:val="Lista4"/>
      </w:pPr>
      <w:r>
        <w:t>provenance-based places may, if necessary, be complemented with the specification of a topographic feature or a monument, e.g. “rock”, “cliff”, “victory pillar”, “Cave 16”, “Vedānteśvara temple pillars”, etc.</w:t>
      </w:r>
    </w:p>
    <w:p w14:paraId="521A748D" w14:textId="77777777">
      <w:pPr>
        <w:numPr>
          <w:ilvl w:val="1"/>
          <w:numId w:val="6"/>
        </w:numPr>
        <w:ind w:left="567" w:hanging="283"/>
      </w:pPr>
      <w:r>
        <w:t>based on custody: a reference to the place or institution where the support is currently kept, e.g. “BBRAS”</w:t>
      </w:r>
    </w:p>
    <w:p w14:paraId="5BF61625" w14:textId="77777777">
      <w:pPr>
        <w:pStyle w:val="Lista4"/>
      </w:pPr>
      <w:r>
        <w:t>place names based on custody should only be employed if neither a provenance-based, nor an internal place name is available</w:t>
      </w:r>
    </w:p>
    <w:p w14:paraId="0ABC69E1" w14:textId="77777777">
      <w:pPr>
        <w:numPr>
          <w:ilvl w:val="0"/>
          <w:numId w:val="5"/>
        </w:numPr>
        <w:ind w:left="284" w:hanging="284"/>
      </w:pPr>
      <w:r>
        <w:rPr>
          <w:b/>
          <w:bCs/>
        </w:rPr>
        <w:t>artifact type or document type</w:t>
      </w:r>
      <w:r>
        <w:t>: add a word or two describing the nature of the support or the text, using the cover term “inscription” only if no more satisfactory term can be found.</w:t>
      </w:r>
    </w:p>
    <w:p w14:paraId="79368772" w14:textId="77777777">
      <w:pPr>
        <w:pStyle w:val="Lista3"/>
      </w:pPr>
      <w:r>
        <w:t xml:space="preserve">use document type </w:t>
      </w:r>
      <w:r>
        <w:rPr>
          <w:noProof/>
        </w:rPr>
        <w:t>(</w:t>
      </w:r>
      <w:r>
        <w:t>e.g., “grant”, “dedication” or “dedicatory inscription”, “foundation”, “label”, “graffito”, “eulogy”) if the place name used in the title is an internal toponym</w:t>
      </w:r>
    </w:p>
    <w:p w14:paraId="3BF70EC9" w14:textId="77777777">
      <w:pPr>
        <w:pStyle w:val="Lista4"/>
      </w:pPr>
      <w:r>
        <w:t>e.g. “Raktamālā grant”</w:t>
      </w:r>
    </w:p>
    <w:p w14:paraId="0FFEFDEE" w14:textId="77777777">
      <w:pPr>
        <w:pStyle w:val="Lista3"/>
      </w:pPr>
      <w:r>
        <w:t xml:space="preserve">use artifact type </w:t>
      </w:r>
      <w:r>
        <w:rPr>
          <w:noProof/>
        </w:rPr>
        <w:t>(</w:t>
      </w:r>
      <w:r>
        <w:t>e.g., “plate”, “stele”, “slab”, “pillar”, etc.) if the place name used in the title is based on provenance or custody</w:t>
      </w:r>
    </w:p>
    <w:p w14:paraId="44603CD2" w14:textId="77777777">
      <w:pPr>
        <w:pStyle w:val="Lista4"/>
      </w:pPr>
      <w:r>
        <w:t>e.g. “Nalanda plates”, “British Museum pillar”</w:t>
      </w:r>
    </w:p>
    <w:p w14:paraId="3B0A2852" w14:textId="77777777">
      <w:pPr>
        <w:numPr>
          <w:ilvl w:val="0"/>
          <w:numId w:val="5"/>
        </w:numPr>
        <w:ind w:left="284" w:hanging="284"/>
      </w:pPr>
      <w:r>
        <w:rPr>
          <w:b/>
          <w:bCs/>
        </w:rPr>
        <w:t>the principal protagonist</w:t>
      </w:r>
      <w:r>
        <w:t xml:space="preserve"> of the inscription, if named in the text</w:t>
      </w:r>
    </w:p>
    <w:p w14:paraId="0FB99813" w14:textId="77777777">
      <w:pPr>
        <w:pStyle w:val="Lista3"/>
      </w:pPr>
      <w:r>
        <w:t>this is usually the person who issued/commissioned the inscription and/or the work commemorated in it, but may be another named person, such as the reigning ruler if the commissioner is another person who is not named</w:t>
      </w:r>
    </w:p>
    <w:p w14:paraId="5E0BD2EA" w14:textId="77777777">
      <w:pPr>
        <w:pStyle w:val="Lista3"/>
      </w:pPr>
      <w:r>
        <w:t>preferably, use “of” before the name of the issuer</w:t>
      </w:r>
    </w:p>
    <w:p w14:paraId="06A735D3" w14:textId="77777777">
      <w:pPr>
        <w:pStyle w:val="Lista3"/>
      </w:pPr>
      <w:r>
        <w:t>preferably, use “of the time of” before the name of a reigning ruler who is not the protagonist</w:t>
      </w:r>
    </w:p>
    <w:p w14:paraId="57C898D2" w14:textId="77777777">
      <w:pPr>
        <w:numPr>
          <w:ilvl w:val="0"/>
          <w:numId w:val="5"/>
        </w:numPr>
        <w:ind w:left="284" w:hanging="284"/>
      </w:pPr>
      <w:r>
        <w:rPr>
          <w:b/>
          <w:bCs/>
        </w:rPr>
        <w:t>supplementary details</w:t>
      </w:r>
      <w:r>
        <w:t>: after the above elements, add further information whenever necessary for disambiguation, potentially including:</w:t>
      </w:r>
    </w:p>
    <w:p w14:paraId="459BA0D5" w14:textId="77777777">
      <w:pPr>
        <w:pStyle w:val="Lista3"/>
      </w:pPr>
      <w:r>
        <w:t>calendrical or regnal year, if mentioned within the text</w:t>
      </w:r>
    </w:p>
    <w:p w14:paraId="7E75DE79" w14:textId="77777777">
      <w:pPr>
        <w:pStyle w:val="Lista4"/>
      </w:pPr>
      <w:r>
        <w:t>optionally including further dating specifics noted in the text, if necessary for disambiguation, e.g. month and day in the case of several charters of the same provenance, same king, same year, and where a title based on the content does not work</w:t>
      </w:r>
    </w:p>
    <w:p w14:paraId="0AE4B2A9" w14:textId="77777777">
      <w:pPr>
        <w:pStyle w:val="Lista4"/>
      </w:pPr>
      <w:r>
        <w:t>optionally using “undetermined year” if a year is mentioned in the text, but is lost or illegible</w:t>
      </w:r>
    </w:p>
    <w:p w14:paraId="02A6A3B0" w14:textId="77777777">
      <w:pPr>
        <w:pStyle w:val="Lista3"/>
      </w:pPr>
      <w:r>
        <w:t>any additional distinction, e.g.</w:t>
      </w:r>
    </w:p>
    <w:p w14:paraId="4DE24372" w14:textId="77777777">
      <w:pPr>
        <w:pStyle w:val="Lista4"/>
      </w:pPr>
      <w:r>
        <w:t>“Set 1” and “Set 2” to distinguish two sets of copper plates with the same provenance, issued by the same ruler on the same date</w:t>
      </w:r>
    </w:p>
    <w:p w14:paraId="7C424235" w14:textId="77777777">
      <w:pPr>
        <w:pStyle w:val="Lista4"/>
      </w:pPr>
      <w:r>
        <w:lastRenderedPageBreak/>
        <w:t>“north column” and “south column” to distinguish two copies of an inscription engraved in duplicate</w:t>
      </w:r>
    </w:p>
    <w:p w14:paraId="14F2DB46" w14:textId="77777777">
      <w:pPr>
        <w:pStyle w:val="Lista"/>
      </w:pPr>
      <w:r>
        <w:t>the above items may be listed with commas or connected to one another by short English phrases as seems most suitable</w:t>
      </w:r>
    </w:p>
    <w:p w14:paraId="43D2D52F" w14:textId="77777777">
      <w:pPr>
        <w:pStyle w:val="Lista"/>
      </w:pPr>
      <w:r>
        <w:t>some examples of titles composed or elaborated along the above lines:</w:t>
      </w:r>
    </w:p>
    <w:p w14:paraId="0A49543A" w14:textId="77777777">
      <w:pPr>
        <w:pStyle w:val="Lista2"/>
      </w:pPr>
      <w:r>
        <w:t xml:space="preserve">Nalanda plate of Samudragupta </w:t>
      </w:r>
      <w:r>
        <w:rPr>
          <w:noProof/>
        </w:rPr>
        <w:t>(</w:t>
      </w:r>
      <w:r>
        <w:t>provenance, type and issuing ruler)</w:t>
      </w:r>
    </w:p>
    <w:p w14:paraId="3A30FAFB" w14:textId="77777777">
      <w:pPr>
        <w:pStyle w:val="Lista2"/>
      </w:pPr>
      <w:r>
        <w:t xml:space="preserve">Raktamālā grant of the time of Budhagupta, year 159 </w:t>
      </w:r>
      <w:r>
        <w:rPr>
          <w:noProof/>
        </w:rPr>
        <w:t>(</w:t>
      </w:r>
      <w:r>
        <w:t>internal place, type, reigning ruler, date)</w:t>
      </w:r>
    </w:p>
    <w:p w14:paraId="041934B9" w14:textId="77777777">
      <w:pPr>
        <w:pStyle w:val="Lista2"/>
      </w:pPr>
      <w:r>
        <w:t xml:space="preserve">Vallam, Vedānteśvara temple pillars, foundation by Kantacēṉaṉ of the time of Mahendravarman I </w:t>
      </w:r>
      <w:r>
        <w:rPr>
          <w:noProof/>
        </w:rPr>
        <w:t>(</w:t>
      </w:r>
      <w:r>
        <w:t>provenance with monument details, type of inscription, issuing person, reigning ruler)</w:t>
      </w:r>
    </w:p>
    <w:p w14:paraId="56083FE6" w14:textId="77777777">
      <w:pPr>
        <w:pStyle w:val="Lista2"/>
      </w:pPr>
      <w:r>
        <w:t xml:space="preserve">Uttiramērūr, Sundaravaradaperumāḷ temple, southern wall of </w:t>
      </w:r>
      <w:r>
        <w:rPr>
          <w:rStyle w:val="Foreign"/>
        </w:rPr>
        <w:t>vimāna</w:t>
      </w:r>
      <w:r>
        <w:t xml:space="preserve">, donation of the time of Nandivarman II, year 16 </w:t>
      </w:r>
      <w:r>
        <w:rPr>
          <w:noProof/>
        </w:rPr>
        <w:t>(</w:t>
      </w:r>
      <w:r>
        <w:t>provenance with monument details, additional specification of location, type, reigning ruler, regnal year)</w:t>
      </w:r>
    </w:p>
    <w:p w14:paraId="15883838" w14:textId="77777777">
      <w:pPr>
        <w:pStyle w:val="Lista2"/>
      </w:pPr>
      <w:r>
        <w:t xml:space="preserve">Uttiramērūr, Vaikuṇṭhaperumāḷ temple, larger platform, southern base, inscription of the time of Dantivarman, year 8, larger platform, southern base </w:t>
      </w:r>
      <w:r>
        <w:rPr>
          <w:noProof/>
        </w:rPr>
        <w:t>(</w:t>
      </w:r>
      <w:r>
        <w:t>provenance with monument details, additional specification of location, no clear text type, reigning ruler, regnal year)</w:t>
      </w:r>
    </w:p>
    <w:p w14:paraId="25E171C5" w14:textId="77777777">
      <w:pPr>
        <w:pStyle w:val="Lista2"/>
      </w:pPr>
      <w:r>
        <w:t>Gunung Wukir stele of Sañjaya</w:t>
      </w:r>
    </w:p>
    <w:p w14:paraId="54D65999" w14:textId="77777777">
      <w:pPr>
        <w:pStyle w:val="Lista2"/>
      </w:pPr>
      <w:r>
        <w:t>Hampran dedication of Bhānu</w:t>
      </w:r>
    </w:p>
    <w:p w14:paraId="3E3823EA" w14:textId="77777777">
      <w:pPr>
        <w:pStyle w:val="Cmsor1"/>
        <w:numPr>
          <w:ilvl w:val="0"/>
          <w:numId w:val="7"/>
        </w:numPr>
      </w:pPr>
      <w:bookmarkStart w:id="1161" w:name="_fkfiw4gv3nvf" w:colFirst="0" w:colLast="0"/>
      <w:bookmarkStart w:id="1162" w:name="_Toc242889692"/>
      <w:bookmarkEnd w:id="1161"/>
      <w:r>
        <w:lastRenderedPageBreak/>
        <w:t>Creating DHARMA editions from other editions</w:t>
      </w:r>
      <w:bookmarkEnd w:id="1162"/>
    </w:p>
    <w:p w14:paraId="0AC69FFA" w14:textId="77777777">
      <w:pPr>
        <w:pStyle w:val="Cmsor2"/>
        <w:numPr>
          <w:ilvl w:val="1"/>
          <w:numId w:val="7"/>
        </w:numPr>
      </w:pPr>
      <w:bookmarkStart w:id="1163" w:name="_Toc242889693"/>
      <w:r>
        <w:t>Converting CII/EI markup conventions to EpiDoc</w:t>
      </w:r>
      <w:bookmarkEnd w:id="1163"/>
    </w:p>
    <w:p w14:paraId="00F3F6BE" w14:textId="07CDDBC6">
      <w:pPr>
        <w:rPr>
          <w:lang w:eastAsia="en-US" w:bidi="ar-SA"/>
        </w:rPr>
      </w:pPr>
      <w:r>
        <w:rPr>
          <w:lang w:eastAsia="en-US" w:bidi="ar-SA"/>
        </w:rPr>
        <w:t>The instructions in this Appendix explain how the character-based markup used in most printed epigraphic editions of Indic texts correspond to our encoding scheme. Guidelines for adopting previously published translations are given in §</w:t>
      </w:r>
      <w:r>
        <w:rPr>
          <w:lang w:eastAsia="en-US" w:bidi="ar-SA"/>
        </w:rPr>
        <w:fldChar w:fldCharType="begin"/>
      </w:r>
      <w:r>
        <w:rPr>
          <w:lang w:eastAsia="en-US" w:bidi="ar-SA"/>
        </w:rPr>
        <w:instrText xml:space="preserve"> REF _Ref43990725 \r \h </w:instrText>
      </w:r>
      <w:r>
        <w:rPr>
          <w:lang w:eastAsia="en-US" w:bidi="ar-SA"/>
        </w:rPr>
      </w:r>
      <w:r>
        <w:rPr>
          <w:lang w:eastAsia="en-US" w:bidi="ar-SA"/>
        </w:rPr>
        <w:fldChar w:fldCharType="separate"/>
      </w:r>
      <w:r>
        <w:rPr>
          <w:lang w:eastAsia="en-US" w:bidi="ar-SA"/>
        </w:rPr>
        <w:t>11.5</w:t>
      </w:r>
      <w:r>
        <w:rPr>
          <w:lang w:eastAsia="en-US" w:bidi="ar-SA"/>
        </w:rPr>
        <w:fldChar w:fldCharType="end"/>
      </w:r>
      <w:r>
        <w:rPr>
          <w:lang w:eastAsia="en-US" w:bidi="ar-SA"/>
        </w:rPr>
        <w:t>.</w:t>
      </w:r>
    </w:p>
    <w:p w14:paraId="2A4D7DFD" w14:textId="77777777">
      <w:pPr>
        <w:pStyle w:val="Lista"/>
      </w:pPr>
      <w:r>
        <w:t>word segmentation</w:t>
      </w:r>
    </w:p>
    <w:p w14:paraId="79E717C4" w14:textId="77777777">
      <w:pPr>
        <w:pStyle w:val="Lista2"/>
      </w:pPr>
      <w:r>
        <w:rPr>
          <w:b/>
          <w:bCs/>
        </w:rPr>
        <w:t>spaces</w:t>
      </w:r>
      <w:r>
        <w:t xml:space="preserve"> </w:t>
      </w:r>
      <w:r>
        <w:rPr>
          <w:noProof/>
        </w:rPr>
        <w:t>(</w:t>
      </w:r>
      <w:r>
        <w:t>indicating non-compound word separation) remain spaces</w:t>
      </w:r>
    </w:p>
    <w:p w14:paraId="3187C323" w14:textId="77777777">
      <w:pPr>
        <w:pStyle w:val="Lista2"/>
      </w:pPr>
      <w:r>
        <w:rPr>
          <w:b/>
          <w:bCs/>
        </w:rPr>
        <w:t>hyphens</w:t>
      </w:r>
    </w:p>
    <w:p w14:paraId="4055DA6D" w14:textId="77777777">
      <w:pPr>
        <w:pStyle w:val="Lista3"/>
      </w:pPr>
      <w:r>
        <w:t xml:space="preserve">used for compound segmentation between words fused in vowel sandhi </w:t>
      </w:r>
      <w:r>
        <w:rPr>
          <w:noProof/>
        </w:rPr>
        <w:t>(</w:t>
      </w:r>
      <w:r>
        <w:t xml:space="preserve">e.g. </w:t>
      </w:r>
      <w:r>
        <w:rPr>
          <w:rStyle w:val="Foreign"/>
        </w:rPr>
        <w:t>parākkram-āṅka</w:t>
      </w:r>
      <w:r>
        <w:t xml:space="preserve"> = </w:t>
      </w:r>
      <w:r>
        <w:rPr>
          <w:rStyle w:val="Foreign"/>
        </w:rPr>
        <w:t>parākkrama</w:t>
      </w:r>
      <w:r>
        <w:t>+</w:t>
      </w:r>
      <w:r>
        <w:rPr>
          <w:rStyle w:val="Foreign"/>
        </w:rPr>
        <w:t>aṅka</w:t>
      </w:r>
      <w:r>
        <w:t xml:space="preserve">) are discarded </w:t>
      </w:r>
      <w:r>
        <w:rPr>
          <w:noProof/>
        </w:rPr>
        <w:t>(</w:t>
      </w:r>
      <w:r>
        <w:rPr>
          <w:rStyle w:val="Foreign"/>
        </w:rPr>
        <w:t>parākkramāṅka</w:t>
      </w:r>
      <w:r>
        <w:t>)</w:t>
      </w:r>
    </w:p>
    <w:p w14:paraId="38A950BA" w14:textId="77777777">
      <w:pPr>
        <w:pStyle w:val="Lista3"/>
      </w:pPr>
      <w:r>
        <w:t>used for compound segmentation and not affected by sandhi fusion are optionally retained as per TG §7.3.5</w:t>
      </w:r>
    </w:p>
    <w:p w14:paraId="528AD433" w14:textId="77777777">
      <w:pPr>
        <w:pStyle w:val="Lista3"/>
      </w:pPr>
      <w:r>
        <w:t xml:space="preserve">inserted at the ends of printed lines </w:t>
      </w:r>
      <w:r>
        <w:rPr>
          <w:noProof/>
        </w:rPr>
        <w:t>(</w:t>
      </w:r>
      <w:r>
        <w:t>when an epigraphic line is too long to fit in one printed line) are normally discarded</w:t>
      </w:r>
    </w:p>
    <w:p w14:paraId="32FB8032" w14:textId="77777777">
      <w:pPr>
        <w:pStyle w:val="Lista4"/>
      </w:pPr>
      <w:r>
        <w:t>if they also serve for compound segmentation, they may be optionally retained as above</w:t>
      </w:r>
    </w:p>
    <w:p w14:paraId="7571C591" w14:textId="77777777">
      <w:pPr>
        <w:pStyle w:val="Lista3"/>
      </w:pPr>
      <w:r>
        <w:t xml:space="preserve">inserted at the ends of epigraphic lines </w:t>
      </w:r>
      <w:r>
        <w:rPr>
          <w:noProof/>
        </w:rPr>
        <w:t>(</w:t>
      </w:r>
      <w:r>
        <w:t xml:space="preserve">when a line end is not the end of a word) are to be converted into markup by adding </w:t>
      </w:r>
      <w:r>
        <w:rPr>
          <w:rStyle w:val="Codeattribute"/>
        </w:rPr>
        <w:t>@break</w:t>
      </w:r>
      <w:r>
        <w:rPr>
          <w:rStyle w:val="Code"/>
        </w:rPr>
        <w:t>=</w:t>
      </w:r>
      <w:r>
        <w:rPr>
          <w:rStyle w:val="Codevalue"/>
        </w:rPr>
        <w:t>"no"</w:t>
      </w:r>
      <w:r>
        <w:t xml:space="preserve"> to the following </w:t>
      </w:r>
      <w:r>
        <w:rPr>
          <w:rStyle w:val="Code"/>
        </w:rPr>
        <w:t>&lt;lb&gt;</w:t>
      </w:r>
      <w:r>
        <w:t xml:space="preserve"> element</w:t>
      </w:r>
    </w:p>
    <w:p w14:paraId="28B54FDA" w14:textId="77777777">
      <w:pPr>
        <w:pStyle w:val="Lista4"/>
      </w:pPr>
      <w:r>
        <w:t>if such a hyphen also serves for compound segmentation, optionally retain the hyphen, but move it after the line beginning tag</w:t>
      </w:r>
    </w:p>
    <w:p w14:paraId="4EC5218E" w14:textId="77777777">
      <w:pPr>
        <w:pStyle w:val="Lista2"/>
      </w:pPr>
      <w:r>
        <w:rPr>
          <w:b/>
          <w:bCs/>
        </w:rPr>
        <w:t>double hyphens</w:t>
      </w:r>
      <w:r>
        <w:t xml:space="preserve"> </w:t>
      </w:r>
      <w:r>
        <w:rPr>
          <w:noProof/>
        </w:rPr>
        <w:t>(</w:t>
      </w:r>
      <w:r>
        <w:t>or equals signs)</w:t>
      </w:r>
      <w:r>
        <w:rPr>
          <w:rStyle w:val="Lbjegyzet-hivatkozs"/>
        </w:rPr>
        <w:footnoteReference w:id="45"/>
      </w:r>
      <w:r>
        <w:t xml:space="preserve"> normally become spaces</w:t>
      </w:r>
    </w:p>
    <w:p w14:paraId="7BA529BC" w14:textId="77777777">
      <w:pPr>
        <w:pStyle w:val="Lista3"/>
      </w:pPr>
      <w:r>
        <w:t xml:space="preserve">but when used between words fused in vowel </w:t>
      </w:r>
      <w:r>
        <w:rPr>
          <w:rStyle w:val="Foreign"/>
        </w:rPr>
        <w:t>saṁdhi</w:t>
      </w:r>
      <w:r>
        <w:t xml:space="preserve"> </w:t>
      </w:r>
      <w:r>
        <w:rPr>
          <w:noProof/>
        </w:rPr>
        <w:t>(</w:t>
      </w:r>
      <w:r>
        <w:t xml:space="preserve">e.g. </w:t>
      </w:r>
      <w:r>
        <w:rPr>
          <w:rStyle w:val="Foreign"/>
        </w:rPr>
        <w:t>c=āpi</w:t>
      </w:r>
      <w:r>
        <w:t>), they are discarded</w:t>
      </w:r>
    </w:p>
    <w:p w14:paraId="0A3F19BF" w14:textId="77777777">
      <w:pPr>
        <w:pStyle w:val="Lista"/>
      </w:pPr>
      <w:r>
        <w:rPr>
          <w:b/>
          <w:bCs/>
        </w:rPr>
        <w:t xml:space="preserve">round parentheses </w:t>
      </w:r>
      <w:r>
        <w:rPr>
          <w:b/>
          <w:bCs/>
          <w:noProof/>
        </w:rPr>
        <w:t>(</w:t>
      </w:r>
      <w:r>
        <w:rPr>
          <w:b/>
          <w:bCs/>
        </w:rPr>
        <w:t>)</w:t>
      </w:r>
    </w:p>
    <w:p w14:paraId="31CB5F06" w14:textId="77777777">
      <w:pPr>
        <w:pStyle w:val="Lista2"/>
      </w:pPr>
      <w:r>
        <w:t>with only text inside, to mark an editorial correction of the text preceding the parenthetical text</w:t>
      </w:r>
    </w:p>
    <w:p w14:paraId="62092A37" w14:textId="42DE198C">
      <w:pPr>
        <w:pStyle w:val="Lista3"/>
      </w:pPr>
      <w:r>
        <w:t xml:space="preserve">the corresponding markup in EpiDoc is correction or normalisation by substitution </w:t>
      </w:r>
      <w:r>
        <w:rPr>
          <w:noProof/>
        </w:rPr>
        <w:t>(</w:t>
      </w:r>
      <w:r>
        <w:t>§</w:t>
      </w:r>
      <w:r>
        <w:fldChar w:fldCharType="begin"/>
      </w:r>
      <w:r>
        <w:instrText xml:space="preserve"> REF _Ref228885848 \r \h </w:instrText>
      </w:r>
      <w:r>
        <w:fldChar w:fldCharType="separate"/>
      </w:r>
      <w:r>
        <w:t>7.5.1.2</w:t>
      </w:r>
      <w:r>
        <w:fldChar w:fldCharType="end"/>
      </w:r>
      <w:r>
        <w:t>)</w:t>
      </w:r>
    </w:p>
    <w:p w14:paraId="14A5734C" w14:textId="77777777">
      <w:pPr>
        <w:pStyle w:val="Lista3"/>
      </w:pPr>
      <w:r>
        <w:t xml:space="preserve">the scope of the correction is normally the same number of </w:t>
      </w:r>
      <w:r>
        <w:rPr>
          <w:rStyle w:val="Foreign"/>
        </w:rPr>
        <w:t>akṣara</w:t>
      </w:r>
      <w:r>
        <w:t xml:space="preserve">s as there are within the parentheses </w:t>
      </w:r>
      <w:r>
        <w:rPr>
          <w:noProof/>
        </w:rPr>
        <w:t>(</w:t>
      </w:r>
      <w:r>
        <w:t xml:space="preserve">in most cases, exactly one </w:t>
      </w:r>
      <w:r>
        <w:rPr>
          <w:rStyle w:val="Foreign"/>
        </w:rPr>
        <w:t>akṣara</w:t>
      </w:r>
      <w:r>
        <w:t>)</w:t>
      </w:r>
    </w:p>
    <w:p w14:paraId="2A44F2FE" w14:textId="77777777">
      <w:pPr>
        <w:pStyle w:val="Lista4"/>
      </w:pPr>
      <w:r>
        <w:t xml:space="preserve">but if only part of an </w:t>
      </w:r>
      <w:r>
        <w:rPr>
          <w:rStyle w:val="Foreign"/>
        </w:rPr>
        <w:t>akṣara</w:t>
      </w:r>
      <w:r>
        <w:t xml:space="preserve"> is actually corrected, encode substitution only for the relevant graphemes</w:t>
      </w:r>
    </w:p>
    <w:p w14:paraId="322ABF95" w14:textId="77777777">
      <w:pPr>
        <w:pStyle w:val="Lista2"/>
      </w:pPr>
      <w:r>
        <w:t xml:space="preserve">with a question mark inside, </w:t>
      </w:r>
      <w:r>
        <w:rPr>
          <w:noProof/>
        </w:rPr>
        <w:t>(</w:t>
      </w:r>
      <w:r>
        <w:t xml:space="preserve">?) to flag the preceding text </w:t>
      </w:r>
      <w:r>
        <w:rPr>
          <w:noProof/>
        </w:rPr>
        <w:t>(</w:t>
      </w:r>
      <w:r>
        <w:t xml:space="preserve">usually one </w:t>
      </w:r>
      <w:r>
        <w:rPr>
          <w:rStyle w:val="Foreign"/>
        </w:rPr>
        <w:t>akṣara</w:t>
      </w:r>
      <w:r>
        <w:t>) as very uncertainly read</w:t>
      </w:r>
    </w:p>
    <w:p w14:paraId="2D0491A5" w14:textId="1914287B">
      <w:pPr>
        <w:pStyle w:val="Lista3"/>
      </w:pPr>
      <w:r>
        <w:t xml:space="preserve">in our terms, this is unclear with low certainty </w:t>
      </w:r>
      <w:r>
        <w:rPr>
          <w:noProof/>
        </w:rPr>
        <w:t>(</w:t>
      </w:r>
      <w:r>
        <w:t>§</w:t>
      </w:r>
      <w:r>
        <w:fldChar w:fldCharType="begin"/>
      </w:r>
      <w:r>
        <w:instrText xml:space="preserve"> REF _Ref43987867 \w \h  \* MERGEFORMAT </w:instrText>
      </w:r>
      <w:r>
        <w:fldChar w:fldCharType="separate"/>
      </w:r>
      <w:r>
        <w:t>6.3.1.3</w:t>
      </w:r>
      <w:r>
        <w:fldChar w:fldCharType="end"/>
      </w:r>
      <w:r>
        <w:t>)</w:t>
      </w:r>
    </w:p>
    <w:p w14:paraId="23542A9B" w14:textId="77777777">
      <w:pPr>
        <w:pStyle w:val="Lista2"/>
      </w:pPr>
      <w:r>
        <w:t>with text and a question mark inside, used in some publications as follows:</w:t>
      </w:r>
    </w:p>
    <w:p w14:paraId="6EF3309B" w14:textId="01FA13D8">
      <w:pPr>
        <w:pStyle w:val="Lista3"/>
      </w:pPr>
      <w:r>
        <w:rPr>
          <w:noProof/>
        </w:rPr>
        <w:t>(</w:t>
      </w:r>
      <w:r>
        <w:t xml:space="preserve">?abc), with the question mark before the text, to indicate a possible alternative reading </w:t>
      </w:r>
      <w:r>
        <w:rPr>
          <w:noProof/>
        </w:rPr>
        <w:t>(</w:t>
      </w:r>
      <w:r>
        <w:t>§</w:t>
      </w:r>
      <w:r>
        <w:fldChar w:fldCharType="begin"/>
      </w:r>
      <w:r>
        <w:instrText xml:space="preserve"> REF _Ref43987339 \w \h  \* MERGEFORMAT </w:instrText>
      </w:r>
      <w:r>
        <w:fldChar w:fldCharType="separate"/>
      </w:r>
      <w:r>
        <w:t>6.3.2</w:t>
      </w:r>
      <w:r>
        <w:fldChar w:fldCharType="end"/>
      </w:r>
      <w:r>
        <w:t>)</w:t>
      </w:r>
    </w:p>
    <w:p w14:paraId="029CA246" w14:textId="02798FFE">
      <w:pPr>
        <w:pStyle w:val="Lista3"/>
      </w:pPr>
      <w:r>
        <w:rPr>
          <w:noProof/>
        </w:rPr>
        <w:t>(</w:t>
      </w:r>
      <w:r>
        <w:t xml:space="preserve">abc?), with the question mark after the text, to indicate a tentative emendation </w:t>
      </w:r>
      <w:r>
        <w:rPr>
          <w:noProof/>
        </w:rPr>
        <w:t>(</w:t>
      </w:r>
      <w:r>
        <w:t>which we do not encode as such; the tentativeness of an emendation encoded as per §</w:t>
      </w:r>
      <w:r>
        <w:fldChar w:fldCharType="begin"/>
      </w:r>
      <w:r>
        <w:instrText xml:space="preserve"> REF _Ref228872858 \r \h </w:instrText>
      </w:r>
      <w:r>
        <w:fldChar w:fldCharType="separate"/>
      </w:r>
      <w:r>
        <w:t>7.5</w:t>
      </w:r>
      <w:r>
        <w:fldChar w:fldCharType="end"/>
      </w:r>
      <w:r>
        <w:t xml:space="preserve"> may be indicated in an apparatus note)</w:t>
      </w:r>
    </w:p>
    <w:p w14:paraId="4E0A0390" w14:textId="77777777">
      <w:pPr>
        <w:pStyle w:val="Lista"/>
      </w:pPr>
      <w:r>
        <w:rPr>
          <w:b/>
          <w:bCs/>
        </w:rPr>
        <w:t>square brackets []</w:t>
      </w:r>
    </w:p>
    <w:p w14:paraId="713784A0" w14:textId="77777777">
      <w:pPr>
        <w:pStyle w:val="Lista2"/>
      </w:pPr>
      <w:r>
        <w:t>1. wrapping “letters which are much damaged and nearly illegible in the original”</w:t>
      </w:r>
    </w:p>
    <w:p w14:paraId="79E7F2BF" w14:textId="67822A8F">
      <w:pPr>
        <w:pStyle w:val="Lista3"/>
      </w:pPr>
      <w:r>
        <w:t xml:space="preserve">this normally corresponds to our “unclear” category </w:t>
      </w:r>
      <w:r>
        <w:rPr>
          <w:noProof/>
        </w:rPr>
        <w:t>(</w:t>
      </w:r>
      <w:r>
        <w:t>§</w:t>
      </w:r>
      <w:r>
        <w:fldChar w:fldCharType="begin"/>
      </w:r>
      <w:r>
        <w:instrText xml:space="preserve"> REF _Ref232089485 \r \h </w:instrText>
      </w:r>
      <w:r>
        <w:fldChar w:fldCharType="separate"/>
      </w:r>
      <w:r>
        <w:t>6.3.1</w:t>
      </w:r>
      <w:r>
        <w:fldChar w:fldCharType="end"/>
      </w:r>
      <w:r>
        <w:t>), in some cases with low certainty</w:t>
      </w:r>
    </w:p>
    <w:p w14:paraId="525876B5" w14:textId="77777777">
      <w:pPr>
        <w:pStyle w:val="Lista2"/>
      </w:pPr>
      <w:r>
        <w:t>2. wrapping “letters … which, being wholly illegible, can be supplied with certainty”</w:t>
      </w:r>
    </w:p>
    <w:p w14:paraId="26CED832" w14:textId="449C3AAB">
      <w:pPr>
        <w:pStyle w:val="Lista3"/>
      </w:pPr>
      <w:r>
        <w:t xml:space="preserve">i.e. normally “supplied” in our terminology </w:t>
      </w:r>
      <w:r>
        <w:rPr>
          <w:noProof/>
        </w:rPr>
        <w:t>(</w:t>
      </w:r>
      <w:r>
        <w:t>§</w:t>
      </w:r>
      <w:r>
        <w:fldChar w:fldCharType="begin"/>
      </w:r>
      <w:r>
        <w:instrText xml:space="preserve"> REF _Ref228459751 \r \h </w:instrText>
      </w:r>
      <w:r>
        <w:fldChar w:fldCharType="separate"/>
      </w:r>
      <w:r>
        <w:t>6.4</w:t>
      </w:r>
      <w:r>
        <w:fldChar w:fldCharType="end"/>
      </w:r>
      <w:r>
        <w:t>)</w:t>
      </w:r>
    </w:p>
    <w:p w14:paraId="6848B2DB" w14:textId="77777777">
      <w:pPr>
        <w:pStyle w:val="Lista3"/>
      </w:pPr>
      <w:r>
        <w:t>it is usually not possible to distinguish 2 from 1 without studying a facsimile of the inscription; if you cannot do this and you are only transcribing a printed edition to EpiDoc, encode both as unclear</w:t>
      </w:r>
    </w:p>
    <w:p w14:paraId="48025A58" w14:textId="77777777">
      <w:pPr>
        <w:pStyle w:val="Lista2"/>
      </w:pPr>
      <w:r>
        <w:lastRenderedPageBreak/>
        <w:t>3. containing text followed by a question mark, [abc?] is used by some editors to indicate tentatively or conjecturally read text</w:t>
      </w:r>
    </w:p>
    <w:p w14:paraId="1D50B332" w14:textId="28F9556A">
      <w:pPr>
        <w:pStyle w:val="Lista3"/>
      </w:pPr>
      <w:r>
        <w:t xml:space="preserve">this usually corresponds to </w:t>
      </w:r>
      <w:r>
        <w:rPr>
          <w:rStyle w:val="Code"/>
        </w:rPr>
        <w:t>&lt;unclear&gt;</w:t>
      </w:r>
      <w:r>
        <w:t xml:space="preserve"> with low certainty </w:t>
      </w:r>
      <w:r>
        <w:rPr>
          <w:noProof/>
        </w:rPr>
        <w:t>(</w:t>
      </w:r>
      <w:r>
        <w:t>§</w:t>
      </w:r>
      <w:r>
        <w:fldChar w:fldCharType="begin"/>
      </w:r>
      <w:r>
        <w:instrText xml:space="preserve"> REF _Ref43987867 \r \h  \* MERGEFORMAT </w:instrText>
      </w:r>
      <w:r>
        <w:fldChar w:fldCharType="separate"/>
      </w:r>
      <w:r>
        <w:t>6.3.1.3</w:t>
      </w:r>
      <w:r>
        <w:fldChar w:fldCharType="end"/>
      </w:r>
      <w:r>
        <w:t>)</w:t>
      </w:r>
    </w:p>
    <w:p w14:paraId="3BF734BE" w14:textId="77777777">
      <w:pPr>
        <w:pStyle w:val="Lista2"/>
      </w:pPr>
      <w:r>
        <w:t>4. containing text followed by an asterisk, [abc*] in principle means editorial restoration of characters omitted by the original scribe, but in the actual practice of some editors it seems to be used for function 2 above</w:t>
      </w:r>
    </w:p>
    <w:p w14:paraId="15AF43FA" w14:textId="5DDB4BD8">
      <w:pPr>
        <w:pStyle w:val="Lista3"/>
      </w:pPr>
      <w:r>
        <w:t>for the editorial restitution of omission, see §</w:t>
      </w:r>
      <w:r>
        <w:fldChar w:fldCharType="begin"/>
      </w:r>
      <w:r>
        <w:instrText xml:space="preserve"> REF _Ref229056324 \r \h </w:instrText>
      </w:r>
      <w:r>
        <w:fldChar w:fldCharType="separate"/>
      </w:r>
      <w:r>
        <w:t>7.5.3</w:t>
      </w:r>
      <w:r>
        <w:fldChar w:fldCharType="end"/>
      </w:r>
      <w:r>
        <w:t xml:space="preserve"> </w:t>
      </w:r>
    </w:p>
    <w:p w14:paraId="7FCF9752" w14:textId="425C5877">
      <w:pPr>
        <w:pStyle w:val="Lista4"/>
      </w:pPr>
      <w:r>
        <w:t xml:space="preserve">note that earlier editors usually supply punctuation marks and numbers in stanzas, which you should not do </w:t>
      </w:r>
      <w:r>
        <w:rPr>
          <w:noProof/>
        </w:rPr>
        <w:t>(</w:t>
      </w:r>
      <w:r>
        <w:t>§</w:t>
      </w:r>
      <w:r>
        <w:fldChar w:fldCharType="begin"/>
      </w:r>
      <w:r>
        <w:instrText xml:space="preserve"> REF _Ref229060537 \r \h </w:instrText>
      </w:r>
      <w:r>
        <w:fldChar w:fldCharType="separate"/>
      </w:r>
      <w:r>
        <w:t>7.8.3</w:t>
      </w:r>
      <w:r>
        <w:fldChar w:fldCharType="end"/>
      </w:r>
      <w:r>
        <w:t>)</w:t>
      </w:r>
    </w:p>
    <w:p w14:paraId="59ED2C42" w14:textId="77777777">
      <w:pPr>
        <w:pStyle w:val="Lista3"/>
      </w:pPr>
      <w:r>
        <w:t>if possible, look at a facsimile to check whether this editorial markup stands for a scribal omission or for lost and supplied text; if this is not possible, assume that square brackets with an asterisk stand for scribal omission</w:t>
      </w:r>
    </w:p>
    <w:p w14:paraId="7AC7C966" w14:textId="743D7CF9">
      <w:pPr>
        <w:pStyle w:val="Lista2"/>
      </w:pPr>
      <w:r>
        <w:t>5. prosodic notation in square brackets indicates a lacuna of known metre, to be marked up as per §</w:t>
      </w:r>
      <w:r>
        <w:fldChar w:fldCharType="begin"/>
      </w:r>
      <w:r>
        <w:instrText xml:space="preserve"> REF _Ref228275301 \r \h </w:instrText>
      </w:r>
      <w:r>
        <w:fldChar w:fldCharType="separate"/>
      </w:r>
      <w:r>
        <w:t>6.5.2.3</w:t>
      </w:r>
      <w:r>
        <w:fldChar w:fldCharType="end"/>
      </w:r>
    </w:p>
    <w:p w14:paraId="5D863DB2" w14:textId="77777777">
      <w:pPr>
        <w:pStyle w:val="Lista"/>
      </w:pPr>
      <w:r>
        <w:t>plain transliterated text</w:t>
      </w:r>
    </w:p>
    <w:p w14:paraId="01F9C862" w14:textId="77777777">
      <w:pPr>
        <w:pStyle w:val="Lista2"/>
      </w:pPr>
      <w:r>
        <w:t>bear in mind that unclear markup in EpiDoc should be used when the interpretation of a character would be ambiguous without its context, i.e. more frequently than in most earlier printed editions</w:t>
      </w:r>
    </w:p>
    <w:p w14:paraId="66890E99" w14:textId="77777777">
      <w:pPr>
        <w:pStyle w:val="Lista2"/>
      </w:pPr>
      <w:r>
        <w:t xml:space="preserve">the same applies, to a lesser degree, to restorations: if a character </w:t>
      </w:r>
      <w:r>
        <w:rPr>
          <w:noProof/>
        </w:rPr>
        <w:t>(</w:t>
      </w:r>
      <w:r>
        <w:t>or component) is completely indistinct in a good facsimile or the original support, feel free to mark it up as supplied even if the print edition shows it as merely unclear or clearly read</w:t>
      </w:r>
    </w:p>
    <w:p w14:paraId="3301E9DD" w14:textId="77777777">
      <w:pPr>
        <w:pStyle w:val="Lista"/>
      </w:pPr>
      <w:r>
        <w:t>dots or other signs indicating lacunae</w:t>
      </w:r>
    </w:p>
    <w:p w14:paraId="6B758B70" w14:textId="77777777">
      <w:pPr>
        <w:pStyle w:val="Lista2"/>
      </w:pPr>
      <w:r>
        <w:t xml:space="preserve">CII normally uses dots for lacunae, roughly indicating their size by the rule of “two dots correspond to one </w:t>
      </w:r>
      <w:r>
        <w:rPr>
          <w:rStyle w:val="Foreign"/>
        </w:rPr>
        <w:t>akṣara</w:t>
      </w:r>
      <w:r>
        <w:t xml:space="preserve">” </w:t>
      </w:r>
      <w:r>
        <w:rPr>
          <w:noProof/>
        </w:rPr>
        <w:t>(</w:t>
      </w:r>
      <w:r>
        <w:t>single dots may mean a lost vowel or a lost consonant)</w:t>
      </w:r>
    </w:p>
    <w:p w14:paraId="177344D2" w14:textId="77777777">
      <w:pPr>
        <w:pStyle w:val="Lista2"/>
      </w:pPr>
      <w:r>
        <w:t xml:space="preserve">other editors may use asterisks or underscores, each corresponding to an </w:t>
      </w:r>
      <w:r>
        <w:rPr>
          <w:rStyle w:val="Foreign"/>
        </w:rPr>
        <w:t>akṣara</w:t>
      </w:r>
      <w:r>
        <w:t>, though this correspondence may be extremely inaccurate in some editions</w:t>
      </w:r>
    </w:p>
    <w:p w14:paraId="3C23ECF4" w14:textId="20399B7D">
      <w:pPr>
        <w:pStyle w:val="Lista2"/>
      </w:pPr>
      <w:r>
        <w:t>see §</w:t>
      </w:r>
      <w:r>
        <w:fldChar w:fldCharType="begin"/>
      </w:r>
      <w:r>
        <w:instrText xml:space="preserve"> REF _Ref228460110 \r \h </w:instrText>
      </w:r>
      <w:r>
        <w:fldChar w:fldCharType="separate"/>
      </w:r>
      <w:r>
        <w:t>6.5</w:t>
      </w:r>
      <w:r>
        <w:fldChar w:fldCharType="end"/>
      </w:r>
      <w:r>
        <w:t xml:space="preserve"> about handling lacunae in EpiDoc</w:t>
      </w:r>
    </w:p>
    <w:p w14:paraId="49461D1D" w14:textId="77777777">
      <w:pPr>
        <w:pStyle w:val="Cmsor2"/>
        <w:numPr>
          <w:ilvl w:val="1"/>
          <w:numId w:val="7"/>
        </w:numPr>
      </w:pPr>
      <w:bookmarkStart w:id="1164" w:name="_Toc242889694"/>
      <w:r>
        <w:t>Assimilating Pre-existing Corpora into DHARMA</w:t>
      </w:r>
      <w:bookmarkEnd w:id="1164"/>
    </w:p>
    <w:p w14:paraId="21D7BE86" w14:textId="77777777">
      <w:pPr>
        <w:pStyle w:val="Cmsor3"/>
        <w:numPr>
          <w:ilvl w:val="2"/>
          <w:numId w:val="7"/>
        </w:numPr>
      </w:pPr>
      <w:bookmarkStart w:id="1165" w:name="_Toc242889695"/>
      <w:r>
        <w:t>Crediting the previous digital editor(s)</w:t>
      </w:r>
      <w:bookmarkEnd w:id="1165"/>
    </w:p>
    <w:p w14:paraId="6CB4DE1D" w14:textId="5EC41884">
      <w:r>
        <w:t>As per §</w:t>
      </w:r>
      <w:r>
        <w:fldChar w:fldCharType="begin"/>
      </w:r>
      <w:r>
        <w:instrText xml:space="preserve"> REF _Ref240273632 \r \h </w:instrText>
      </w:r>
      <w:r>
        <w:fldChar w:fldCharType="separate"/>
      </w:r>
      <w:r>
        <w:t>15.1.2</w:t>
      </w:r>
      <w:r>
        <w:fldChar w:fldCharType="end"/>
      </w:r>
      <w:r>
        <w:t>, the responsibility statement in the TEI header need only mention the people who have worked on the current DHARMA edition. Credit to the creator of a pre-existing digital edition shall be given in the form of free text in the epigraphic lemma (§</w:t>
      </w:r>
      <w:r>
        <w:fldChar w:fldCharType="begin"/>
      </w:r>
      <w:r>
        <w:instrText xml:space="preserve"> REF _Ref233623221 \r \h </w:instrText>
      </w:r>
      <w:r>
        <w:fldChar w:fldCharType="separate"/>
      </w:r>
      <w:r>
        <w:t>13.2</w:t>
      </w:r>
      <w:r>
        <w:fldChar w:fldCharType="end"/>
      </w:r>
      <w:r>
        <w:t>) in the same way as for pre-existing printed editions.</w:t>
      </w:r>
    </w:p>
    <w:p w14:paraId="71B9EAA7" w14:textId="77777777">
      <w:pPr>
        <w:pStyle w:val="Lista"/>
      </w:pPr>
      <w:r>
        <w:t>if you use an unencoded e-text as a starting point for your edition, choose at your discretion whether or not to mention the creator of the e-text, based on the amount and quality of work that had gone into it</w:t>
      </w:r>
    </w:p>
    <w:p w14:paraId="046C0D12" w14:textId="77777777">
      <w:pPr>
        <w:pStyle w:val="Lista"/>
      </w:pPr>
      <w:r>
        <w:t>the same part of the epigraphic lemma should also mention whether you, as the creator of the DHARMA edition, have only updated the encoding to the DHARMA standard or also revised the edition</w:t>
      </w:r>
    </w:p>
    <w:p w14:paraId="403E1D84" w14:textId="77777777">
      <w:pPr>
        <w:pStyle w:val="Cmsor3"/>
        <w:numPr>
          <w:ilvl w:val="2"/>
          <w:numId w:val="7"/>
        </w:numPr>
      </w:pPr>
      <w:bookmarkStart w:id="1166" w:name="_Toc242889696"/>
      <w:r>
        <w:t>Referring to the ingested digital edition</w:t>
      </w:r>
      <w:bookmarkEnd w:id="1166"/>
    </w:p>
    <w:p w14:paraId="29FF30B7" w14:textId="6754E77B">
      <w:r>
        <w:t>The preferred manner of referring to digital editions encoded before or outside the DHARMA project and reused for a DHARMA edition is to create a Zotero entry (item type: dataset) for a long-term archival version of the corpus in question (such as one stored on Zenodo), and then to refer to specific editions as “items” (§</w:t>
      </w:r>
      <w:r>
        <w:fldChar w:fldCharType="begin"/>
      </w:r>
      <w:r>
        <w:instrText xml:space="preserve"> REF _Ref233811283 \r \h </w:instrText>
      </w:r>
      <w:r>
        <w:fldChar w:fldCharType="separate"/>
      </w:r>
      <w:r>
        <w:t>14.6.1.2</w:t>
      </w:r>
      <w:r>
        <w:fldChar w:fldCharType="end"/>
      </w:r>
      <w:r>
        <w:t>) within that corpus. This ensures that the ingested edition can still be accessed at a future time, and be accessed exactly in the form in which it was used as a starting point for a DHARMA edition. Conversely, project websites where digital editions were originally published may become defunct or evolve over time. That said, feel free to deviate from this recommendation after considering the nature and foreseeable future of the digital edition you are ingesting.</w:t>
      </w:r>
    </w:p>
    <w:p w14:paraId="3DFC9534" w14:textId="77777777">
      <w:pPr>
        <w:pStyle w:val="Lista"/>
        <w:rPr>
          <w:rStyle w:val="Code"/>
          <w:rFonts w:ascii="Gentium" w:hAnsi="Gentium" w:cs="Tiro Devanagari Sanskrit"/>
          <w:noProof w:val="0"/>
          <w:color w:val="auto"/>
          <w:shd w:val="clear" w:color="auto" w:fill="auto"/>
        </w:rPr>
      </w:pPr>
      <w:r>
        <w:t xml:space="preserve">an encoded example of the preferred form of reference: </w:t>
      </w:r>
      <w:r>
        <w:rPr>
          <w:rStyle w:val="Code"/>
        </w:rPr>
        <w:t xml:space="preserve">&lt;bibl&gt;&lt;ptr </w:t>
      </w:r>
      <w:r>
        <w:rPr>
          <w:rStyle w:val="Codeattribute"/>
        </w:rPr>
        <w:t>target=</w:t>
      </w:r>
      <w:r>
        <w:rPr>
          <w:rStyle w:val="Codevalue"/>
        </w:rPr>
        <w:t>"bib:Balogh2019_03"</w:t>
      </w:r>
      <w:r>
        <w:rPr>
          <w:rStyle w:val="Code"/>
        </w:rPr>
        <w:t xml:space="preserve">/&gt;&lt;citedRange </w:t>
      </w:r>
      <w:r>
        <w:rPr>
          <w:rStyle w:val="Codeattribute"/>
        </w:rPr>
        <w:t>unit=</w:t>
      </w:r>
      <w:r>
        <w:rPr>
          <w:rStyle w:val="Codevalue"/>
        </w:rPr>
        <w:t>"item"</w:t>
      </w:r>
      <w:r>
        <w:rPr>
          <w:rStyle w:val="Code"/>
        </w:rPr>
        <w:t>&gt;</w:t>
      </w:r>
      <w:r>
        <w:rPr>
          <w:rStyle w:val="Codetext"/>
        </w:rPr>
        <w:t>IN00070</w:t>
      </w:r>
      <w:r>
        <w:rPr>
          <w:rStyle w:val="Code"/>
        </w:rPr>
        <w:t>&lt;/citedRange&gt;&lt;/bibl&gt;</w:t>
      </w:r>
    </w:p>
    <w:p w14:paraId="1DF4B2A0" w14:textId="453F97E2">
      <w:pPr>
        <w:pStyle w:val="Lista"/>
      </w:pPr>
      <w:r>
        <w:lastRenderedPageBreak/>
        <w:t>such a reference shall be included in the primary bibliography of the DHARMA edition with a siglum (§</w:t>
      </w:r>
      <w:r>
        <w:fldChar w:fldCharType="begin"/>
      </w:r>
      <w:r>
        <w:instrText xml:space="preserve"> REF _Ref233625904 \r \h </w:instrText>
      </w:r>
      <w:r>
        <w:fldChar w:fldCharType="separate"/>
      </w:r>
      <w:r>
        <w:t>13.3.3</w:t>
      </w:r>
      <w:r>
        <w:fldChar w:fldCharType="end"/>
      </w:r>
      <w:r>
        <w:t>) that allows citing its readings in the apparatus if applicable</w:t>
      </w:r>
    </w:p>
    <w:p w14:paraId="4F756995" w14:textId="77777777">
      <w:pPr>
        <w:pStyle w:val="Lista2"/>
      </w:pPr>
      <w:r>
        <w:t>whether or not you cite readings of the earlier digital edition in your apparatus shall be decided on a case by case basis depending on</w:t>
      </w:r>
    </w:p>
    <w:p w14:paraId="66606194" w14:textId="77777777">
      <w:pPr>
        <w:pStyle w:val="Lista3"/>
      </w:pPr>
      <w:r>
        <w:t>how you judge the extent of intellectual contribution of the earlier editor to the edition</w:t>
      </w:r>
    </w:p>
    <w:p w14:paraId="1A8C4C8D" w14:textId="77777777">
      <w:pPr>
        <w:pStyle w:val="Lista4"/>
      </w:pPr>
      <w:r>
        <w:t>if the earlier digital edition is just a “digital facsimile” of a printed edition, then preferably cite the readings from that printed edition instead</w:t>
      </w:r>
    </w:p>
    <w:p w14:paraId="13617246" w14:textId="77777777">
      <w:pPr>
        <w:pStyle w:val="Lista3"/>
      </w:pPr>
      <w:r>
        <w:t>and on whether or not you collaborate with the earlier editor in creating the DHARMA edition</w:t>
      </w:r>
    </w:p>
    <w:p w14:paraId="1C69B1FC" w14:textId="77777777">
      <w:pPr>
        <w:pStyle w:val="Lista4"/>
      </w:pPr>
      <w:r>
        <w:t>if the earlier editor is one of the creators of the current DHARMA edition, then citing to earlier readings by the same person is usually not essential</w:t>
      </w:r>
    </w:p>
    <w:p w14:paraId="1DDDE020" w14:textId="77777777">
      <w:pPr>
        <w:pStyle w:val="Cmsor3"/>
        <w:numPr>
          <w:ilvl w:val="2"/>
          <w:numId w:val="7"/>
        </w:numPr>
      </w:pPr>
      <w:bookmarkStart w:id="1167" w:name="_Toc242889697"/>
      <w:r>
        <w:t>Manual revision of the encoding</w:t>
      </w:r>
      <w:bookmarkEnd w:id="1167"/>
    </w:p>
    <w:p w14:paraId="63EBDB5A" w14:textId="77777777">
      <w:pPr>
        <w:pStyle w:val="Lista"/>
      </w:pPr>
      <w:r>
        <w:t>what kind of revision is necessary depends on the specific encoding conventions of the ingested document, but in general you will probably need to pay attention to the following details</w:t>
      </w:r>
    </w:p>
    <w:p w14:paraId="6A4B0095" w14:textId="77777777">
      <w:pPr>
        <w:pStyle w:val="Lista2"/>
      </w:pPr>
      <w:r>
        <w:t>check editorial punctuation (§6.3.6) and change as desired or remove where not applicable (e.g. at the ends of stanzas and hemistichs)</w:t>
      </w:r>
    </w:p>
    <w:p w14:paraId="5A623BC1" w14:textId="77777777">
      <w:pPr>
        <w:pStyle w:val="Lista2"/>
      </w:pPr>
      <w:r>
        <w:t>check encoded spaces (§4.3) and supply as applicable</w:t>
      </w:r>
    </w:p>
    <w:p w14:paraId="059B3CF9" w14:textId="65A1EEE0">
      <w:pPr>
        <w:pStyle w:val="Lista2"/>
      </w:pPr>
      <w:r>
        <w:t>encode abbreviations (§</w:t>
      </w:r>
      <w:r>
        <w:fldChar w:fldCharType="begin"/>
      </w:r>
      <w:r>
        <w:instrText xml:space="preserve"> REF _Ref232002201 \r \h </w:instrText>
      </w:r>
      <w:r>
        <w:fldChar w:fldCharType="separate"/>
      </w:r>
      <w:r>
        <w:t>9.2</w:t>
      </w:r>
      <w:r>
        <w:fldChar w:fldCharType="end"/>
      </w:r>
      <w:r>
        <w:t>) as desired and applicable</w:t>
      </w:r>
    </w:p>
    <w:p w14:paraId="2F7ED87A" w14:textId="77777777">
      <w:pPr>
        <w:pStyle w:val="Lista2"/>
      </w:pPr>
      <w:r>
        <w:t xml:space="preserve">check editorial </w:t>
      </w:r>
      <w:r>
        <w:rPr>
          <w:rStyle w:val="Foreign"/>
        </w:rPr>
        <w:t>avagraha</w:t>
      </w:r>
      <w:r>
        <w:t>s (§6.3.7) and supply as desired</w:t>
      </w:r>
    </w:p>
    <w:p w14:paraId="304386C1" w14:textId="4BF27287">
      <w:pPr>
        <w:pStyle w:val="Lista"/>
      </w:pPr>
      <w:r>
        <w:t xml:space="preserve">any </w:t>
      </w:r>
      <w:r>
        <w:rPr>
          <w:rStyle w:val="Code"/>
        </w:rPr>
        <w:t>&lt;revisionDesc&gt;</w:t>
      </w:r>
      <w:r>
        <w:t xml:space="preserve"> content present in the ingested document shall be deleted and replaced with a single </w:t>
      </w:r>
      <w:r>
        <w:rPr>
          <w:rStyle w:val="Code"/>
        </w:rPr>
        <w:t>&lt;change&gt;</w:t>
      </w:r>
      <w:r>
        <w:t xml:space="preserve"> element for the creation of the DHARMA edition as per §</w:t>
      </w:r>
      <w:r>
        <w:fldChar w:fldCharType="begin"/>
      </w:r>
      <w:r>
        <w:instrText xml:space="preserve"> REF _Ref240276652 \r \h </w:instrText>
      </w:r>
      <w:r>
        <w:fldChar w:fldCharType="separate"/>
      </w:r>
      <w:r>
        <w:t>15.3</w:t>
      </w:r>
      <w:r>
        <w:fldChar w:fldCharType="end"/>
      </w:r>
    </w:p>
    <w:p w14:paraId="29956A10" w14:textId="77777777">
      <w:pPr>
        <w:pStyle w:val="Lista2"/>
      </w:pPr>
      <w:r>
        <w:t xml:space="preserve">if the revision of the encoding takes place in steps separated by time, add further </w:t>
      </w:r>
      <w:r>
        <w:rPr>
          <w:rStyle w:val="Code"/>
        </w:rPr>
        <w:t>&lt;change&gt;</w:t>
      </w:r>
      <w:r>
        <w:t xml:space="preserve"> elements as applicable</w:t>
      </w:r>
    </w:p>
    <w:p w14:paraId="6412BA62" w14:textId="77777777"/>
    <w:p w14:paraId="3D8521E3" w14:textId="77777777"/>
    <w:p w14:paraId="3771C49A" w14:textId="77777777">
      <w:pPr>
        <w:pStyle w:val="Cmsor1"/>
        <w:numPr>
          <w:ilvl w:val="0"/>
          <w:numId w:val="0"/>
        </w:numPr>
      </w:pPr>
      <w:bookmarkStart w:id="1168" w:name="_td0xcb1s1fvx" w:colFirst="0" w:colLast="0"/>
      <w:bookmarkStart w:id="1169" w:name="_Toc242889698"/>
      <w:bookmarkEnd w:id="1168"/>
      <w:r>
        <w:lastRenderedPageBreak/>
        <w:t>References</w:t>
      </w:r>
      <w:bookmarkEnd w:id="1169"/>
    </w:p>
    <w:p w14:paraId="22901832" w14:textId="6DFA23AF">
      <w:pPr>
        <w:pStyle w:val="Irodalomjegyzk"/>
      </w:pPr>
      <w:r>
        <w:t xml:space="preserve">Apte, Vaman Shivaram. 1957. </w:t>
      </w:r>
      <w:r>
        <w:rPr>
          <w:rStyle w:val="Foreign"/>
        </w:rPr>
        <w:t>Revised and enlarged edition of Prin. V. S. Apte’s The practical Sanskrit-English dictionary</w:t>
      </w:r>
      <w:r>
        <w:t>. Edited by P. K. Gode and C. G. Karve. Poona: Prasad Prakashan.</w:t>
      </w:r>
    </w:p>
    <w:p w14:paraId="0CFCFE40" w14:textId="77777777">
      <w:pPr>
        <w:pStyle w:val="Irodalomjegyzk"/>
      </w:pPr>
      <w:r>
        <w:t xml:space="preserve">Arnold, Edward Vernon. 1905. </w:t>
      </w:r>
      <w:r>
        <w:rPr>
          <w:rStyle w:val="Foreign"/>
        </w:rPr>
        <w:t>Vedic Metre in Its Historical Development</w:t>
      </w:r>
      <w:r>
        <w:t>. Cambridge: Cambridge University Press.</w:t>
      </w:r>
    </w:p>
    <w:p w14:paraId="60B286AF" w14:textId="216B72FE">
      <w:pPr>
        <w:pStyle w:val="Irodalomjegyzk"/>
      </w:pPr>
      <w:r>
        <w:t xml:space="preserve">Birnbaum, David J. 2015. </w:t>
      </w:r>
      <w:r>
        <w:rPr>
          <w:rStyle w:val="Foreign"/>
        </w:rPr>
        <w:t>What is XML and why should humanists care? An even gentler introduction to XML</w:t>
      </w:r>
      <w:r>
        <w:t xml:space="preserve">. </w:t>
      </w:r>
      <w:hyperlink r:id="rId87" w:history="1">
        <w:r>
          <w:rPr>
            <w:rStyle w:val="Hiperhivatkozs"/>
          </w:rPr>
          <w:t>http://dh.obdurodon.org/what-is-xml.xhtml</w:t>
        </w:r>
      </w:hyperlink>
      <w:r>
        <w:rPr>
          <w:rStyle w:val="Hiperhivatkozs"/>
        </w:rPr>
        <w:t xml:space="preserve"> </w:t>
      </w:r>
    </w:p>
    <w:p w14:paraId="3BE5D293" w14:textId="253B031A">
      <w:pPr>
        <w:pStyle w:val="Irodalomjegyzk"/>
      </w:pPr>
      <w:r>
        <w:t xml:space="preserve">Bodard, Gabriel. 2010. ‘EpiDoc: Epigraphic Documents in XML for Publication and Interchange’. In </w:t>
      </w:r>
      <w:r>
        <w:rPr>
          <w:rStyle w:val="Foreign"/>
        </w:rPr>
        <w:t>Latin on Stone: Epigraphic Research and Electronic Archives</w:t>
      </w:r>
      <w:r>
        <w:t xml:space="preserve">, edited by Francisca Feraudi-Gruénais, 101–18. Lanham: Lexington Books. </w:t>
      </w:r>
      <w:hyperlink r:id="rId88" w:history="1">
        <w:r>
          <w:rPr>
            <w:rStyle w:val="Hiperhivatkozs"/>
          </w:rPr>
          <w:t>https://blog.stoa.org/files/2010/09/Chapter05_EpiDoc_Bodard.pdf</w:t>
        </w:r>
      </w:hyperlink>
    </w:p>
    <w:p w14:paraId="7ACC1390" w14:textId="77777777">
      <w:pPr>
        <w:pStyle w:val="Irodalomjegyzk"/>
      </w:pPr>
      <w:r>
        <w:t xml:space="preserve">Colebrooke, Henry Thomas. 1873. </w:t>
      </w:r>
      <w:r>
        <w:rPr>
          <w:rStyle w:val="Foreign"/>
        </w:rPr>
        <w:t>Miscellaneous Essays</w:t>
      </w:r>
      <w:r>
        <w:t>. Vol. 3. London: Trübner.</w:t>
      </w:r>
    </w:p>
    <w:p w14:paraId="02176411" w14:textId="77777777">
      <w:pPr>
        <w:pStyle w:val="Irodalomjegyzk"/>
      </w:pPr>
      <w:r>
        <w:t xml:space="preserve">Damais, Louis-Charles. 1952. ‘Études d’épigraphie indonésienne, III: liste des principales inscriptions datées de l’Indonésie’. Bulletin de l’École française d’Extrême-Orient 46 </w:t>
      </w:r>
      <w:r>
        <w:rPr>
          <w:noProof/>
        </w:rPr>
        <w:t>(</w:t>
      </w:r>
      <w:r>
        <w:t>1): 1–105.</w:t>
      </w:r>
    </w:p>
    <w:p w14:paraId="56669141" w14:textId="77777777">
      <w:pPr>
        <w:pStyle w:val="Irodalomjegyzk"/>
      </w:pPr>
      <w:r>
        <w:t xml:space="preserve">Fleet, John Faithfull. 1888. </w:t>
      </w:r>
      <w:r>
        <w:rPr>
          <w:rStyle w:val="Foreign"/>
        </w:rPr>
        <w:t>Inscriptions of the Early Gupta Kings and Their Successors</w:t>
      </w:r>
      <w:r>
        <w:t>. Corpus Inscriptionum Indicarum, III. Calcutta: Superintendent of Government Printing.</w:t>
      </w:r>
    </w:p>
    <w:p w14:paraId="37DF437B" w14:textId="77777777">
      <w:pPr>
        <w:pStyle w:val="Irodalomjegyzk"/>
      </w:pPr>
      <w:r>
        <w:t>Griffiths, Arlo, and Axelle Janiak. 2023. ‘DHARMA Encoding Guide for Critical Editions’. Paris: École française d’Extrême-Orient ; CASE - Centre Asie du Sud-Est ; CESAH - Centre d’études sud asiatiques et himalayennes.</w:t>
      </w:r>
    </w:p>
    <w:p w14:paraId="0B2CA080" w14:textId="1F4F541A">
      <w:pPr>
        <w:pStyle w:val="Irodalomjegyzk"/>
      </w:pPr>
      <w:r>
        <w:t xml:space="preserve">Pollock, Sheldon. 1977. </w:t>
      </w:r>
      <w:r>
        <w:rPr>
          <w:rStyle w:val="Foreign"/>
        </w:rPr>
        <w:t>Aspects of Versification in Sanskrit Lyric Poetry</w:t>
      </w:r>
      <w:r>
        <w:t>. American Oriental Society.</w:t>
      </w:r>
    </w:p>
    <w:p w14:paraId="4A1607AC" w14:textId="75A3653B">
      <w:pPr>
        <w:pStyle w:val="Irodalomjegyzk"/>
      </w:pPr>
      <w:r>
        <w:rPr>
          <w:noProof/>
        </w:rPr>
        <w:t>Roueché</w:t>
      </w:r>
      <w:r>
        <w:t xml:space="preserve">, Charlotte and Julia Flanders. n. d. </w:t>
      </w:r>
      <w:r>
        <w:rPr>
          <w:rStyle w:val="Foreign"/>
        </w:rPr>
        <w:t>The Gentle Introduction to Mark-up for Epigraphers</w:t>
      </w:r>
      <w:r>
        <w:t xml:space="preserve">, </w:t>
      </w:r>
      <w:hyperlink r:id="rId89" w:history="1">
        <w:r>
          <w:rPr>
            <w:rStyle w:val="Hiperhivatkozs"/>
          </w:rPr>
          <w:t>https://epidoc.stoa.org/gl/latest/intro-eps.html</w:t>
        </w:r>
      </w:hyperlink>
    </w:p>
    <w:p w14:paraId="4A311BAA" w14:textId="77777777">
      <w:pPr>
        <w:pStyle w:val="Irodalomjegyzk"/>
      </w:pPr>
      <w:r>
        <w:t xml:space="preserve">Salomon, Richard. 1998. </w:t>
      </w:r>
      <w:r>
        <w:rPr>
          <w:rStyle w:val="Foreign"/>
        </w:rPr>
        <w:t>Indian Epigraphy: A Guide to the Study of Inscriptions in Sanskrit, Prakrit, and the Other Indo-Aryan Languages.</w:t>
      </w:r>
      <w:r>
        <w:t xml:space="preserve"> New York, Oxford: Oxford University Press.</w:t>
      </w:r>
    </w:p>
    <w:p w14:paraId="58FF1BDA" w14:textId="77777777">
      <w:pPr>
        <w:pStyle w:val="Irodalomjegyzk"/>
      </w:pPr>
      <w:r>
        <w:rPr>
          <w:noProof/>
        </w:rPr>
        <w:t>Tanselle</w:t>
      </w:r>
      <w:r>
        <w:t xml:space="preserve">, George Thomas. 1989. </w:t>
      </w:r>
      <w:r>
        <w:rPr>
          <w:i/>
          <w:iCs/>
        </w:rPr>
        <w:t>A Rationale of Textual Criticism</w:t>
      </w:r>
      <w:r>
        <w:t>. Philadelphia: University of Pennsylvania Press.</w:t>
      </w:r>
    </w:p>
    <w:p w14:paraId="4DDC64E5" w14:textId="0ADF3B45">
      <w:pPr>
        <w:pStyle w:val="Irodalomjegyzk"/>
      </w:pPr>
      <w:r>
        <w:t xml:space="preserve">TEI Consortium, eds. 2023. </w:t>
      </w:r>
      <w:r>
        <w:rPr>
          <w:i/>
          <w:iCs/>
        </w:rPr>
        <w:t>TEI P5: Guidelines for Electronic Text Encoding and Interchange.</w:t>
      </w:r>
      <w:r>
        <w:t xml:space="preserve"> Version 4.6.0, last updated 4 April 2023, accessed November-December 2023. TEI Consortium. </w:t>
      </w:r>
      <w:hyperlink r:id="rId90" w:history="1">
        <w:r>
          <w:rPr>
            <w:rStyle w:val="Hiperhivatkozs"/>
          </w:rPr>
          <w:t>http://www.tei-c.org/Guidelines/P5/</w:t>
        </w:r>
      </w:hyperlink>
      <w:r>
        <w:t xml:space="preserve"> </w:t>
      </w:r>
    </w:p>
    <w:p w14:paraId="1B1771D8" w14:textId="77777777">
      <w:pPr>
        <w:pStyle w:val="Irodalomjegyzk"/>
      </w:pPr>
      <w:r>
        <w:t xml:space="preserve">Velankar, Hari Damodar. 1949. </w:t>
      </w:r>
      <w:r>
        <w:rPr>
          <w:rStyle w:val="Foreign"/>
        </w:rPr>
        <w:t>Jayadāman A Collection of Ancient Texts on Sanskrit Prosody and a Classified List of Sanskrit Metres with an Alphabetical Index</w:t>
      </w:r>
      <w:r>
        <w:t>. Haritoṣamālā 1. Bombay: Haritosha Samiti.</w:t>
      </w:r>
    </w:p>
    <w:p w14:paraId="6D773E56" w14:textId="77777777">
      <w:pPr>
        <w:pStyle w:val="Irodalomjegyzk"/>
      </w:pPr>
      <w:r>
        <w:t xml:space="preserve">Warder, Anthony Kennedy. 1967. </w:t>
      </w:r>
      <w:r>
        <w:rPr>
          <w:i/>
          <w:iCs/>
        </w:rPr>
        <w:t>Pali Metre: A Contribution to the History of Indian Literature.</w:t>
      </w:r>
      <w:r>
        <w:t xml:space="preserve"> London: The Pali Text Society.</w:t>
      </w:r>
    </w:p>
    <w:sectPr>
      <w:footerReference w:type="even" r:id="rId91"/>
      <w:footerReference w:type="default" r:id="rId92"/>
      <w:pgSz w:w="11906" w:h="16838" w:code="9"/>
      <w:pgMar w:top="1134"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06C51" w14:textId="77777777">
      <w:pPr>
        <w:spacing w:line="240" w:lineRule="auto"/>
      </w:pPr>
      <w:r>
        <w:separator/>
      </w:r>
    </w:p>
  </w:endnote>
  <w:endnote w:type="continuationSeparator" w:id="0">
    <w:p w14:paraId="57F7B10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ntium Plus">
    <w:altName w:val="Calibri"/>
    <w:panose1 w:val="02000503060000020004"/>
    <w:charset w:val="00"/>
    <w:family w:val="auto"/>
    <w:pitch w:val="variable"/>
    <w:sig w:usb0="E00003FF" w:usb1="5200E1FF" w:usb2="0A000029" w:usb3="00000000" w:csb0="0000019F" w:csb1="00000000"/>
  </w:font>
  <w:font w:name="Arial Unicode MS">
    <w:panose1 w:val="020B0604020202020204"/>
    <w:charset w:val="80"/>
    <w:family w:val="swiss"/>
    <w:pitch w:val="variable"/>
    <w:sig w:usb0="F7FFAFFF" w:usb1="E9DFFFFF" w:usb2="0000003F" w:usb3="00000000" w:csb0="003F01FF" w:csb1="00000000"/>
  </w:font>
  <w:font w:name="Gentium">
    <w:panose1 w:val="02000503060000020004"/>
    <w:charset w:val="00"/>
    <w:family w:val="auto"/>
    <w:pitch w:val="variable"/>
    <w:sig w:usb0="E00003FF" w:usb1="5200E5FF" w:usb2="0A000029" w:usb3="00000000" w:csb0="0000019F" w:csb1="00000000"/>
    <w:embedRegular r:id="rId1" w:fontKey="{36C8AC34-CEFB-4E09-BAA6-E1CD6AD24EDD}"/>
    <w:embedBold r:id="rId2" w:fontKey="{129F9918-1B9D-4E97-BE50-42A020945706}"/>
    <w:embedItalic r:id="rId3" w:fontKey="{F7246D1B-E085-4FAC-A3F4-A34D84F51697}"/>
    <w:embedBoldItalic r:id="rId4" w:fontKey="{F297FC58-6C64-4E82-A3D8-7A3C9088260B}"/>
  </w:font>
  <w:font w:name="Cambria">
    <w:panose1 w:val="02040503050406030204"/>
    <w:charset w:val="00"/>
    <w:family w:val="roman"/>
    <w:pitch w:val="variable"/>
    <w:sig w:usb0="E00006FF" w:usb1="420024FF" w:usb2="02000000" w:usb3="00000000" w:csb0="0000019F" w:csb1="00000000"/>
    <w:embedRegular r:id="rId5" w:subsetted="1" w:fontKey="{3C2AC45B-B141-4602-9996-C6EE54A42491}"/>
  </w:font>
  <w:font w:name="Tiro Devanagari Sanskrit">
    <w:altName w:val="Mangal"/>
    <w:panose1 w:val="02000000000000000000"/>
    <w:charset w:val="00"/>
    <w:family w:val="auto"/>
    <w:pitch w:val="variable"/>
    <w:sig w:usb0="00008003" w:usb1="00000000" w:usb2="00000000" w:usb3="00000000" w:csb0="00000001" w:csb1="00000000"/>
    <w:embedRegular r:id="rId6" w:fontKey="{2F3FF817-A5C8-46F2-AB5C-5DDB95DDE695}"/>
    <w:embedBold r:id="rId7" w:fontKey="{FCA47844-F757-4E75-961F-682E83662842}"/>
    <w:embedItalic r:id="rId8" w:fontKey="{D2859F79-CD30-4953-9ADB-52084E5F242A}"/>
    <w:embedBoldItalic r:id="rId9" w:fontKey="{B04C4B58-BCF4-492C-998E-40CE971ADE83}"/>
  </w:font>
  <w:font w:name="Calibri">
    <w:panose1 w:val="020F0502020204030204"/>
    <w:charset w:val="00"/>
    <w:family w:val="swiss"/>
    <w:pitch w:val="variable"/>
    <w:sig w:usb0="E4002EFF" w:usb1="C200247B" w:usb2="00000009" w:usb3="00000000" w:csb0="000001FF" w:csb1="00000000"/>
    <w:embedRegular r:id="rId10" w:fontKey="{34EA3B7A-9E3A-4A6C-AC55-040951579063}"/>
    <w:embedBold r:id="rId11" w:fontKey="{C108E7ED-33A6-4FAA-B588-2E571C18023E}"/>
    <w:embedItalic r:id="rId12" w:fontKey="{B972E1FF-935C-4FA5-8721-156392C0B157}"/>
    <w:embedBoldItalic r:id="rId13" w:fontKey="{2ECE4003-BD76-45EF-A70D-3B046EC39D08}"/>
  </w:font>
  <w:font w:name="Tahoma">
    <w:panose1 w:val="020B0604030504040204"/>
    <w:charset w:val="EE"/>
    <w:family w:val="swiss"/>
    <w:pitch w:val="variable"/>
    <w:sig w:usb0="E1002EFF" w:usb1="C000605B" w:usb2="00000029" w:usb3="00000000" w:csb0="000101FF" w:csb1="00000000"/>
  </w:font>
  <w:font w:name="Murty Sanskrit">
    <w:altName w:val="Mangal"/>
    <w:panose1 w:val="00000000000000000000"/>
    <w:charset w:val="00"/>
    <w:family w:val="modern"/>
    <w:notTrueType/>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embedRegular r:id="rId14" w:fontKey="{E5094B19-7EDF-47FC-AB01-EC9D89A05A69}"/>
    <w:embedBold r:id="rId15" w:fontKey="{B72167FA-2F46-471E-BC47-2AE974846426}"/>
    <w:embedItalic r:id="rId16" w:fontKey="{F13E9225-B9ED-47A8-B682-3B93EAE4A3F9}"/>
  </w:font>
  <w:font w:name="Tiro Kannada">
    <w:panose1 w:val="02000000000000000000"/>
    <w:charset w:val="00"/>
    <w:family w:val="auto"/>
    <w:pitch w:val="variable"/>
    <w:sig w:usb0="A040806F" w:usb1="0000200A" w:usb2="00000000" w:usb3="00000000" w:csb0="00000001" w:csb1="00000000"/>
  </w:font>
  <w:font w:name="Tiro Tamil">
    <w:panose1 w:val="02000000000000000000"/>
    <w:charset w:val="00"/>
    <w:family w:val="auto"/>
    <w:pitch w:val="variable"/>
    <w:sig w:usb0="A010806F" w:usb1="0000200A" w:usb2="00000000" w:usb3="00000000" w:csb0="00000001" w:csb1="00000000"/>
    <w:embedRegular r:id="rId17" w:subsetted="1" w:fontKey="{8E4F069D-97D1-434E-BCE5-7380A59996DD}"/>
  </w:font>
  <w:font w:name="Noto Sans Balinese">
    <w:panose1 w:val="020B0502040504020204"/>
    <w:charset w:val="00"/>
    <w:family w:val="swiss"/>
    <w:pitch w:val="variable"/>
    <w:sig w:usb0="0000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Segoe UI Historic">
    <w:panose1 w:val="020B0502040204020203"/>
    <w:charset w:val="00"/>
    <w:family w:val="swiss"/>
    <w:pitch w:val="variable"/>
    <w:sig w:usb0="800001EF" w:usb1="02000002" w:usb2="0060C080" w:usb3="00000000" w:csb0="00000001" w:csb1="00000000"/>
    <w:embedRegular r:id="rId18" w:fontKey="{DD30676B-7A8A-4D21-8851-3EE6AB155DE1}"/>
  </w:font>
  <w:font w:name="DaunPenh">
    <w:charset w:val="00"/>
    <w:family w:val="auto"/>
    <w:pitch w:val="variable"/>
    <w:sig w:usb0="80000003" w:usb1="00000000" w:usb2="00010000" w:usb3="00000000" w:csb0="00000001" w:csb1="00000000"/>
  </w:font>
  <w:font w:name="Cardo">
    <w:panose1 w:val="02020600000000000000"/>
    <w:charset w:val="00"/>
    <w:family w:val="roman"/>
    <w:pitch w:val="variable"/>
    <w:sig w:usb0="E40008FF" w:usb1="5201E0FB" w:usb2="04608000" w:usb3="00000000" w:csb0="000000BB" w:csb1="00000000"/>
    <w:embedRegular r:id="rId19" w:subsetted="1" w:fontKey="{05630ABA-7570-42E9-B66F-848AB2E69E87}"/>
  </w:font>
  <w:font w:name="Mangal">
    <w:panose1 w:val="02040503050203030202"/>
    <w:charset w:val="00"/>
    <w:family w:val="roman"/>
    <w:pitch w:val="variable"/>
    <w:sig w:usb0="00008003" w:usb1="00000000" w:usb2="00000000" w:usb3="00000000" w:csb0="00000001" w:csb1="00000000"/>
    <w:embedRegular r:id="rId20" w:subsetted="1" w:fontKey="{EF2898C1-6506-4D8E-9A8D-8FDACA4B0763}"/>
  </w:font>
  <w:font w:name="Noto Sans Grantha">
    <w:charset w:val="00"/>
    <w:family w:val="swiss"/>
    <w:pitch w:val="variable"/>
    <w:sig w:usb0="80108003" w:usb1="02002004" w:usb2="00000000" w:usb3="00000000" w:csb0="00000001" w:csb1="00000000"/>
    <w:embedRegular r:id="rId21" w:fontKey="{E2EB1C95-BC75-478D-AC9D-73FE00D039A9}"/>
  </w:font>
  <w:font w:name="Myanmar Text">
    <w:panose1 w:val="020B0502040204020203"/>
    <w:charset w:val="00"/>
    <w:family w:val="swiss"/>
    <w:pitch w:val="variable"/>
    <w:sig w:usb0="80000003" w:usb1="00000000" w:usb2="00000400" w:usb3="00000000" w:csb0="00000001" w:csb1="00000000"/>
  </w:font>
  <w:font w:name="Uttara">
    <w:panose1 w:val="02000000000000000000"/>
    <w:charset w:val="00"/>
    <w:family w:val="auto"/>
    <w:pitch w:val="variable"/>
    <w:sig w:usb0="A00082EF" w:usb1="5000214B" w:usb2="00000000" w:usb3="00000000" w:csb0="00000197" w:csb1="00000000"/>
    <w:embedRegular r:id="rId22" w:subsetted="1" w:fontKey="{871388A0-0488-4304-86CE-6A76F1E9B0A5}"/>
  </w:font>
  <w:font w:name="Tiro Telugu">
    <w:panose1 w:val="02000000000000000000"/>
    <w:charset w:val="00"/>
    <w:family w:val="auto"/>
    <w:pitch w:val="variable"/>
    <w:sig w:usb0="A020006F" w:usb1="0000200A" w:usb2="00000000" w:usb3="00000000" w:csb0="00000001" w:csb1="00000000"/>
  </w:font>
  <w:font w:name="Nirmala UI">
    <w:panose1 w:val="020B0502040204020203"/>
    <w:charset w:val="00"/>
    <w:family w:val="swiss"/>
    <w:pitch w:val="variable"/>
    <w:sig w:usb0="80FF8023" w:usb1="0200004A" w:usb2="00000200" w:usb3="00000000" w:csb0="00000001" w:csb1="00000000"/>
    <w:embedRegular r:id="rId23" w:subsetted="1" w:fontKey="{17CAF5CC-B2AB-4A43-8AA1-8F031BDB8F65}"/>
  </w:font>
  <w:font w:name="Javanese Text">
    <w:panose1 w:val="02000000000000000000"/>
    <w:charset w:val="00"/>
    <w:family w:val="auto"/>
    <w:pitch w:val="variable"/>
    <w:sig w:usb0="80000003" w:usb1="00002000" w:usb2="00000000" w:usb3="00000000" w:csb0="00000001" w:csb1="00000000"/>
  </w:font>
  <w:font w:name="Satisar Sharada">
    <w:panose1 w:val="02000600000000000000"/>
    <w:charset w:val="00"/>
    <w:family w:val="auto"/>
    <w:pitch w:val="variable"/>
    <w:sig w:usb0="00000003" w:usb1="02000000" w:usb2="00000000" w:usb3="00000000" w:csb0="00000001" w:csb1="00000000"/>
  </w:font>
  <w:font w:name="Raavi">
    <w:panose1 w:val="02000500000000000000"/>
    <w:charset w:val="00"/>
    <w:family w:val="swiss"/>
    <w:pitch w:val="variable"/>
    <w:sig w:usb0="0002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embedRegular r:id="rId24" w:subsetted="1" w:fontKey="{60CBF10C-6A3C-456C-973D-03701B611184}"/>
  </w:font>
  <w:font w:name="Cambria Math">
    <w:panose1 w:val="02040503050406030204"/>
    <w:charset w:val="00"/>
    <w:family w:val="roman"/>
    <w:pitch w:val="variable"/>
    <w:sig w:usb0="E00006FF" w:usb1="420024FF" w:usb2="02000000" w:usb3="00000000" w:csb0="0000019F" w:csb1="00000000"/>
    <w:embedRegular r:id="rId25" w:fontKey="{48748452-7178-4CD6-AA40-A62732DF63DA}"/>
    <w:embedItalic r:id="rId26" w:fontKey="{63803EE7-AC06-4DA4-9BD7-9FDEA0198516}"/>
  </w:font>
  <w:font w:name="Noto Serif">
    <w:panose1 w:val="02020502060505020204"/>
    <w:charset w:val="00"/>
    <w:family w:val="roman"/>
    <w:pitch w:val="variable"/>
    <w:sig w:usb0="E00002FF" w:usb1="4000201F" w:usb2="08000029" w:usb3="00000000" w:csb0="0000019F" w:csb1="00000000"/>
  </w:font>
  <w:font w:name="Noto Sans">
    <w:panose1 w:val="020B0502040504020204"/>
    <w:charset w:val="00"/>
    <w:family w:val="swiss"/>
    <w:pitch w:val="variable"/>
    <w:sig w:usb0="E00002FF" w:usb1="4000201F" w:usb2="08000029" w:usb3="00000000" w:csb0="0000019F" w:csb1="00000000"/>
  </w:font>
  <w:font w:name="Arial">
    <w:panose1 w:val="020B0604020202020204"/>
    <w:charset w:val="00"/>
    <w:family w:val="swiss"/>
    <w:pitch w:val="variable"/>
    <w:sig w:usb0="E0002EFF" w:usb1="C000785B" w:usb2="00000009" w:usb3="00000000" w:csb0="000001FF" w:csb1="00000000"/>
  </w:font>
  <w:font w:name="Old English Text MT">
    <w:panose1 w:val="03040902040508030806"/>
    <w:charset w:val="00"/>
    <w:family w:val="script"/>
    <w:pitch w:val="variable"/>
    <w:sig w:usb0="00000003" w:usb1="00000000" w:usb2="00000000" w:usb3="00000000" w:csb0="00000001" w:csb1="00000000"/>
    <w:embedRegular r:id="rId27" w:subsetted="1" w:fontKey="{BB7E9CCF-B99B-4780-8F1D-5007BB159638}"/>
  </w:font>
  <w:font w:name="Latha">
    <w:panose1 w:val="02000400000000000000"/>
    <w:charset w:val="00"/>
    <w:family w:val="swiss"/>
    <w:pitch w:val="variable"/>
    <w:sig w:usb0="00100003" w:usb1="00000000" w:usb2="00000000" w:usb3="00000000" w:csb0="00000001" w:csb1="00000000"/>
  </w:font>
  <w:font w:name="Kokila">
    <w:panose1 w:val="020B0604020202020204"/>
    <w:charset w:val="00"/>
    <w:family w:val="swiss"/>
    <w:pitch w:val="variable"/>
    <w:sig w:usb0="00008003" w:usb1="00000000" w:usb2="00000000" w:usb3="00000000" w:csb0="00000001" w:csb1="00000000"/>
    <w:embedRegular r:id="rId28" w:subsetted="1" w:fontKey="{40935E58-B922-4975-A865-257DBB384A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95641" w14:textId="77777777">
    <w:pPr>
      <w:pStyle w:val="llb"/>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2FB77" w14:textId="77777777">
    <w:pPr>
      <w:jc w:val="right"/>
    </w:pPr>
    <w:r>
      <w:rPr>
        <w:sz w:val="20"/>
        <w:szCs w:val="20"/>
      </w:rPr>
      <w:t xml:space="preserv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8F9F4" w14:textId="77777777">
      <w:pPr>
        <w:spacing w:line="240" w:lineRule="auto"/>
      </w:pPr>
      <w:r>
        <w:separator/>
      </w:r>
    </w:p>
  </w:footnote>
  <w:footnote w:type="continuationSeparator" w:id="0">
    <w:p w14:paraId="3938FB02" w14:textId="77777777">
      <w:pPr>
        <w:spacing w:line="240" w:lineRule="auto"/>
      </w:pPr>
      <w:r>
        <w:continuationSeparator/>
      </w:r>
    </w:p>
  </w:footnote>
  <w:footnote w:id="1">
    <w:p w14:paraId="02A722BA" w14:textId="3D4A1C5C">
      <w:pPr>
        <w:pStyle w:val="Lbjegyzetszveg"/>
      </w:pPr>
      <w:r>
        <w:rPr>
          <w:rStyle w:val="Lbjegyzet-hivatkozs"/>
        </w:rPr>
        <w:tab/>
      </w:r>
      <w:r>
        <w:rPr>
          <w:rStyle w:val="Lbjegyzet-hivatkozs"/>
        </w:rPr>
        <w:footnoteRef/>
      </w:r>
      <w:r>
        <w:tab/>
      </w:r>
      <w:hyperlink r:id="rId1" w:history="1">
        <w:r>
          <w:rPr>
            <w:rStyle w:val="Hiperhivatkozs"/>
          </w:rPr>
          <w:t>https://docs.google.com/document/d/1hjWrrwRZQp4hmEqw4jBhhqoXdwJvRlw3EWboJteOPw0</w:t>
        </w:r>
      </w:hyperlink>
    </w:p>
  </w:footnote>
  <w:footnote w:id="2">
    <w:p w14:paraId="60EBFB0E" w14:textId="2299D610">
      <w:pPr>
        <w:pStyle w:val="Lbjegyzetszveg"/>
      </w:pPr>
      <w:r>
        <w:tab/>
      </w:r>
      <w:r>
        <w:rPr>
          <w:rStyle w:val="Lbjegyzet-hivatkozs"/>
        </w:rPr>
        <w:footnoteRef/>
      </w:r>
      <w:r>
        <w:tab/>
      </w:r>
      <w:hyperlink r:id="rId2" w:history="1">
        <w:r>
          <w:rPr>
            <w:rStyle w:val="Hiperhivatkozs"/>
          </w:rPr>
          <w:t>https://epidoc.stoa.org/gl/latest/</w:t>
        </w:r>
      </w:hyperlink>
    </w:p>
  </w:footnote>
  <w:footnote w:id="3">
    <w:p w14:paraId="580B3ED9" w14:textId="18979AF3">
      <w:pPr>
        <w:pStyle w:val="Lbjegyzetszveg"/>
      </w:pPr>
      <w:r>
        <w:tab/>
      </w:r>
      <w:r>
        <w:rPr>
          <w:rStyle w:val="Lbjegyzet-hivatkozs"/>
        </w:rPr>
        <w:footnoteRef/>
      </w:r>
      <w:r>
        <w:tab/>
      </w:r>
      <w:hyperlink r:id="rId3" w:history="1">
        <w:r>
          <w:rPr>
            <w:rStyle w:val="Hiperhivatkozs"/>
          </w:rPr>
          <w:t>https://tei-c.org/release/doc/tei-p5-doc/en/html/index.html</w:t>
        </w:r>
      </w:hyperlink>
    </w:p>
  </w:footnote>
  <w:footnote w:id="4">
    <w:p w14:paraId="4276F7DA" w14:textId="77777777">
      <w:pPr>
        <w:pStyle w:val="Lbjegyzetszveg"/>
      </w:pPr>
      <w:r>
        <w:tab/>
      </w:r>
      <w:r>
        <w:rPr>
          <w:rStyle w:val="Lbjegyzet-hivatkozs"/>
        </w:rPr>
        <w:footnoteRef/>
      </w:r>
      <w:r>
        <w:tab/>
        <w:t>TEI Consortium (2023, §v).</w:t>
      </w:r>
    </w:p>
  </w:footnote>
  <w:footnote w:id="5">
    <w:p w14:paraId="690F4B0C" w14:textId="77777777">
      <w:pPr>
        <w:pStyle w:val="Lbjegyzetszveg"/>
      </w:pPr>
      <w:r>
        <w:tab/>
      </w:r>
      <w:r>
        <w:rPr>
          <w:rStyle w:val="Lbjegyzet-hivatkozs"/>
        </w:rPr>
        <w:footnoteRef/>
      </w:r>
      <w:r>
        <w:tab/>
        <w:t xml:space="preserve">The use of single quote marks </w:t>
      </w:r>
      <w:r>
        <w:rPr>
          <w:noProof/>
        </w:rPr>
        <w:t>(</w:t>
      </w:r>
      <w:r>
        <w:t>' apostrophe) is also permitted by the XML standard. However, for the sake of consistency, we shall always use double quote marks.</w:t>
      </w:r>
    </w:p>
  </w:footnote>
  <w:footnote w:id="6">
    <w:p w14:paraId="0ABEF7EF" w14:textId="77777777">
      <w:pPr>
        <w:pStyle w:val="Lbjegyzetszveg"/>
      </w:pPr>
      <w:r>
        <w:tab/>
      </w:r>
      <w:r>
        <w:rPr>
          <w:rStyle w:val="Lbjegyzet-hivatkozs"/>
        </w:rPr>
        <w:footnoteRef/>
      </w:r>
      <w:r>
        <w:tab/>
        <w:t xml:space="preserve">In Oxygen, press CTRL + SHIFT + , </w:t>
      </w:r>
      <w:r>
        <w:rPr>
          <w:noProof/>
        </w:rPr>
        <w:t>(</w:t>
      </w:r>
      <w:r>
        <w:t>comma) to turn selected text into a comment or to uncomment text around the cursor.</w:t>
      </w:r>
    </w:p>
  </w:footnote>
  <w:footnote w:id="7">
    <w:p w14:paraId="5B3A46DE" w14:textId="5A17F410">
      <w:pPr>
        <w:pStyle w:val="Lbjegyzetszveg"/>
      </w:pPr>
      <w:r>
        <w:tab/>
      </w:r>
      <w:r>
        <w:rPr>
          <w:rStyle w:val="Lbjegyzet-hivatkozs"/>
        </w:rPr>
        <w:footnoteRef/>
      </w:r>
      <w:r>
        <w:t xml:space="preserve"> </w:t>
      </w:r>
      <w:r>
        <w:tab/>
      </w:r>
      <w:hyperlink r:id="rId4" w:history="1">
        <w:r>
          <w:rPr>
            <w:rStyle w:val="Hiperhivatkozs"/>
          </w:rPr>
          <w:t>https://github.com/erc-dharma/project-documentation/</w:t>
        </w:r>
        <w:r>
          <w:rPr>
            <w:rStyle w:val="Hiperhivatkozs"/>
          </w:rPr>
          <w:t>blob/master/</w:t>
        </w:r>
        <w:r>
          <w:rPr>
            <w:rStyle w:val="Hiperhivatkozs"/>
          </w:rPr>
          <w:t>templates/inscriptions/DHARMA_INSencodingTemplate.xml</w:t>
        </w:r>
      </w:hyperlink>
      <w:r>
        <w:t xml:space="preserve"> </w:t>
      </w:r>
    </w:p>
  </w:footnote>
  <w:footnote w:id="8">
    <w:p w14:paraId="65BD9195" w14:textId="2B528B76">
      <w:pPr>
        <w:pStyle w:val="Lbjegyzetszveg"/>
      </w:pPr>
      <w:r>
        <w:tab/>
      </w:r>
      <w:r>
        <w:rPr>
          <w:rStyle w:val="Lbjegyzet-hivatkozs"/>
        </w:rPr>
        <w:footnoteRef/>
      </w:r>
      <w:r>
        <w:tab/>
        <w:t>Outside the edition, paragraphs may also contain block quotes which in turn may contain stanzas and lines as per §</w:t>
      </w:r>
      <w:r>
        <w:fldChar w:fldCharType="begin"/>
      </w:r>
      <w:r>
        <w:instrText xml:space="preserve"> REF _Ref233793283 \r \h </w:instrText>
      </w:r>
      <w:r>
        <w:fldChar w:fldCharType="separate"/>
      </w:r>
      <w:r>
        <w:t>14.3.3</w:t>
      </w:r>
      <w:r>
        <w:fldChar w:fldCharType="end"/>
      </w:r>
      <w:r>
        <w:t>.</w:t>
      </w:r>
    </w:p>
  </w:footnote>
  <w:footnote w:id="9">
    <w:p w14:paraId="3486E04A" w14:textId="3D723449">
      <w:pPr>
        <w:pStyle w:val="Lbjegyzetszveg"/>
      </w:pPr>
      <w:r>
        <w:tab/>
      </w:r>
      <w:r>
        <w:rPr>
          <w:rStyle w:val="Lbjegyzet-hivatkozs"/>
        </w:rPr>
        <w:footnoteRef/>
      </w:r>
      <w:r>
        <w:tab/>
        <w:t xml:space="preserve">See the TG, especially TG §7.3.2 on editorial segmentation interacting with </w:t>
      </w:r>
      <w:r>
        <w:rPr>
          <w:rStyle w:val="Foreign"/>
        </w:rPr>
        <w:t>akṣara</w:t>
      </w:r>
      <w:r>
        <w:rPr>
          <w:rStyle w:val="Foreign"/>
          <w:i w:val="0"/>
          <w:iCs w:val="0"/>
        </w:rPr>
        <w:t>s</w:t>
      </w:r>
      <w:r>
        <w:t xml:space="preserve">. </w:t>
      </w:r>
    </w:p>
  </w:footnote>
  <w:footnote w:id="10">
    <w:p w14:paraId="35574496" w14:textId="33670C9D">
      <w:pPr>
        <w:pStyle w:val="Lbjegyzetszveg"/>
      </w:pPr>
      <w:r>
        <w:tab/>
      </w:r>
      <w:r>
        <w:rPr>
          <w:rStyle w:val="Lbjegyzet-hivatkozs"/>
        </w:rPr>
        <w:footnoteRef/>
      </w:r>
      <w:r>
        <w:tab/>
        <w:t xml:space="preserve">DHARMA_prosodicPatterns_v01.xml in our Project Documentation GitHub repository, displayed at </w:t>
      </w:r>
      <w:hyperlink r:id="rId5" w:history="1">
        <w:r>
          <w:rPr>
            <w:rStyle w:val="Hiperhivatkozs"/>
          </w:rPr>
          <w:t>https://dharmalekha.info/prosody</w:t>
        </w:r>
      </w:hyperlink>
    </w:p>
  </w:footnote>
  <w:footnote w:id="11">
    <w:p w14:paraId="6FEEEFD4" w14:textId="77777777">
      <w:pPr>
        <w:pStyle w:val="Lbjegyzetszveg"/>
      </w:pPr>
      <w:r>
        <w:tab/>
      </w:r>
      <w:r>
        <w:rPr>
          <w:rStyle w:val="Lbjegyzet-hivatkozs"/>
        </w:rPr>
        <w:footnoteRef/>
      </w:r>
      <w:r>
        <w:tab/>
        <w:t xml:space="preserve">The seeming contradiction between the element’s name and the fact that it indicates uncertainty is that this element would normally take the attribute </w:t>
      </w:r>
      <w:r>
        <w:rPr>
          <w:rStyle w:val="Codeattribute"/>
        </w:rPr>
        <w:t>@cert</w:t>
      </w:r>
      <w:r>
        <w:t xml:space="preserve"> to indicate a degree of certainty. However, in EpiDoc and thus in our encoding practice, </w:t>
      </w:r>
      <w:r>
        <w:rPr>
          <w:rStyle w:val="Code"/>
        </w:rPr>
        <w:t>&lt;certainty&gt;</w:t>
      </w:r>
      <w:r>
        <w:t xml:space="preserve"> is only used for indicating uncertainty, and is by default understood to mean </w:t>
      </w:r>
      <w:r>
        <w:rPr>
          <w:rStyle w:val="Code"/>
        </w:rPr>
        <w:t xml:space="preserve">&lt;certainty </w:t>
      </w:r>
      <w:r>
        <w:rPr>
          <w:rStyle w:val="Codeattribute"/>
        </w:rPr>
        <w:t>cert=</w:t>
      </w:r>
      <w:r>
        <w:rPr>
          <w:rStyle w:val="Codevalue"/>
        </w:rPr>
        <w:t>"low"</w:t>
      </w:r>
      <w:r>
        <w:rPr>
          <w:rStyle w:val="Code"/>
        </w:rPr>
        <w:t>&gt;</w:t>
      </w:r>
      <w:r>
        <w:t>.</w:t>
      </w:r>
    </w:p>
  </w:footnote>
  <w:footnote w:id="12">
    <w:p w14:paraId="3C7380D7" w14:textId="77777777">
      <w:pPr>
        <w:pStyle w:val="Lbjegyzetszveg"/>
      </w:pPr>
      <w:r>
        <w:tab/>
      </w:r>
      <w:r>
        <w:rPr>
          <w:rStyle w:val="Lbjegyzet-hivatkozs"/>
        </w:rPr>
        <w:footnoteRef/>
      </w:r>
      <w:r>
        <w:tab/>
        <w:t xml:space="preserve">The TEI element </w:t>
      </w:r>
      <w:r>
        <w:rPr>
          <w:rStyle w:val="Code"/>
        </w:rPr>
        <w:t>&lt;caesura&gt;</w:t>
      </w:r>
      <w:r>
        <w:t xml:space="preserve"> does not take the attribute </w:t>
      </w:r>
      <w:r>
        <w:rPr>
          <w:rStyle w:val="Codeattribute"/>
        </w:rPr>
        <w:t>@break</w:t>
      </w:r>
      <w:r>
        <w:t xml:space="preserve"> </w:t>
      </w:r>
      <w:r>
        <w:rPr>
          <w:noProof/>
        </w:rPr>
        <w:t>(</w:t>
      </w:r>
      <w:r>
        <w:t xml:space="preserve">nor </w:t>
      </w:r>
      <w:r>
        <w:rPr>
          <w:rStyle w:val="Codeattribute"/>
        </w:rPr>
        <w:t>@type</w:t>
      </w:r>
      <w:r>
        <w:t xml:space="preserve">). Since our use of conventional metre names leaves open the possibility to automatically determine the location of caesuras at the prescribed points, the only reason why we might want to encode them is to facilitate research on non-standard caesuras and </w:t>
      </w:r>
      <w:r>
        <w:rPr>
          <w:rStyle w:val="Foreign"/>
        </w:rPr>
        <w:t>yatibhaṅga</w:t>
      </w:r>
      <w:r>
        <w:t xml:space="preserve">, hence our suggestion to use </w:t>
      </w:r>
      <w:r>
        <w:rPr>
          <w:rStyle w:val="Code"/>
        </w:rPr>
        <w:t>&lt;milestone&gt;</w:t>
      </w:r>
      <w:r>
        <w:t xml:space="preserve"> instead.</w:t>
      </w:r>
    </w:p>
  </w:footnote>
  <w:footnote w:id="13">
    <w:p w14:paraId="36229671" w14:textId="3FE88060">
      <w:pPr>
        <w:pStyle w:val="Lbjegyzetszveg"/>
      </w:pPr>
      <w:r>
        <w:tab/>
      </w:r>
      <w:r>
        <w:rPr>
          <w:rStyle w:val="Lbjegyzet-hivatkozs"/>
        </w:rPr>
        <w:footnoteRef/>
      </w:r>
      <w:r>
        <w:tab/>
        <w:t xml:space="preserve">This follows and generalises the EpiDoc convention “Any </w:t>
      </w:r>
      <w:r>
        <w:rPr>
          <w:rStyle w:val="Codeattribute"/>
        </w:rPr>
        <w:t>@rend</w:t>
      </w:r>
      <w:r>
        <w:t xml:space="preserve"> or numbering attributes on … </w:t>
      </w:r>
      <w:r>
        <w:rPr>
          <w:rStyle w:val="Code"/>
        </w:rPr>
        <w:t>&lt;lb&gt;</w:t>
      </w:r>
      <w:r>
        <w:t xml:space="preserve"> refer to all text between the current and the following line-break” </w:t>
      </w:r>
      <w:r>
        <w:rPr>
          <w:noProof/>
        </w:rPr>
        <w:t>(</w:t>
      </w:r>
      <w:hyperlink r:id="rId6" w:history="1">
        <w:r>
          <w:rPr>
            <w:rStyle w:val="Hiperhivatkozs"/>
            <w:noProof/>
          </w:rPr>
          <w:t>https://epidoc.stoa.org/gl/latest/trans-linebreak.html</w:t>
        </w:r>
      </w:hyperlink>
      <w:r>
        <w:t>).</w:t>
      </w:r>
    </w:p>
  </w:footnote>
  <w:footnote w:id="14">
    <w:p w14:paraId="67F23AD3" w14:textId="4A4D31CE">
      <w:pPr>
        <w:pStyle w:val="Lbjegyzetszveg"/>
      </w:pPr>
      <w:r>
        <w:tab/>
      </w:r>
      <w:r>
        <w:rPr>
          <w:rStyle w:val="Lbjegyzet-hivatkozs"/>
        </w:rPr>
        <w:footnoteRef/>
      </w:r>
      <w:r>
        <w:tab/>
        <w:t xml:space="preserve">In addition to the kinds of milestone discussed here, our project also employs </w:t>
      </w:r>
      <w:r>
        <w:rPr>
          <w:rStyle w:val="Code"/>
        </w:rPr>
        <w:t>&lt;milestone/&gt;</w:t>
      </w:r>
      <w:r>
        <w:t xml:space="preserve"> elements for a few other purposes (§</w:t>
      </w:r>
      <w:r>
        <w:fldChar w:fldCharType="begin"/>
      </w:r>
      <w:r>
        <w:instrText xml:space="preserve"> REF _Ref224729838 \r \h </w:instrText>
      </w:r>
      <w:r>
        <w:fldChar w:fldCharType="separate"/>
      </w:r>
      <w:r>
        <w:t>3.3.4.3</w:t>
      </w:r>
      <w:r>
        <w:fldChar w:fldCharType="end"/>
      </w:r>
      <w:r>
        <w:t>, §</w:t>
      </w:r>
      <w:r>
        <w:fldChar w:fldCharType="begin"/>
      </w:r>
      <w:r>
        <w:instrText xml:space="preserve"> REF _Ref182309743 \r \h </w:instrText>
      </w:r>
      <w:r>
        <w:fldChar w:fldCharType="separate"/>
      </w:r>
      <w:r>
        <w:t>11.3</w:t>
      </w:r>
      <w:r>
        <w:fldChar w:fldCharType="end"/>
      </w:r>
      <w:r>
        <w:t>).</w:t>
      </w:r>
    </w:p>
  </w:footnote>
  <w:footnote w:id="15">
    <w:p w14:paraId="52C79F52" w14:textId="77777777">
      <w:pPr>
        <w:pStyle w:val="Lbjegyzetszveg"/>
      </w:pPr>
      <w:r>
        <w:tab/>
      </w:r>
      <w:r>
        <w:rPr>
          <w:rStyle w:val="Lbjegyzet-hivatkozs"/>
        </w:rPr>
        <w:footnoteRef/>
      </w:r>
      <w:r>
        <w:tab/>
        <w:t>It is possible in TEI to encode uncertainty regarding the location of an element in a machine-readable way, but we foresee no gain from doing so that would compensate for the resulting increase of encoding complexity.</w:t>
      </w:r>
    </w:p>
  </w:footnote>
  <w:footnote w:id="16">
    <w:p w14:paraId="4F37F17E" w14:textId="581BA6CC">
      <w:pPr>
        <w:pStyle w:val="Lbjegyzetszveg"/>
      </w:pPr>
      <w:r>
        <w:tab/>
      </w:r>
      <w:r>
        <w:rPr>
          <w:rStyle w:val="Lbjegyzet-hivatkozs"/>
        </w:rPr>
        <w:footnoteRef/>
      </w:r>
      <w:r>
        <w:tab/>
        <w:t xml:space="preserve">In rare cases it is possible for a page or zone beginning not to be followed by a line beginning </w:t>
      </w:r>
      <w:r>
        <w:rPr>
          <w:noProof/>
        </w:rPr>
        <w:t>(</w:t>
      </w:r>
      <w:r>
        <w:t>e.g. when a medial plate of a set is lost, but the page structure is reconstructed for it, §</w:t>
      </w:r>
      <w:r>
        <w:fldChar w:fldCharType="begin"/>
      </w:r>
      <w:r>
        <w:instrText xml:space="preserve"> REF _Ref149918878 \r \h </w:instrText>
      </w:r>
      <w:r>
        <w:fldChar w:fldCharType="separate"/>
      </w:r>
      <w:r>
        <w:t>6.5.5.3</w:t>
      </w:r>
      <w:r>
        <w:fldChar w:fldCharType="end"/>
      </w:r>
      <w:r>
        <w:t>).</w:t>
      </w:r>
    </w:p>
  </w:footnote>
  <w:footnote w:id="17">
    <w:p w14:paraId="30384D69" w14:textId="5EF99B7B">
      <w:pPr>
        <w:pStyle w:val="Lbjegyzetszveg"/>
      </w:pPr>
      <w:r>
        <w:tab/>
      </w:r>
      <w:r>
        <w:rPr>
          <w:rStyle w:val="Lbjegyzet-hivatkozs"/>
        </w:rPr>
        <w:footnoteRef/>
      </w:r>
      <w:r>
        <w:tab/>
        <w:t xml:space="preserve">The single exception applies again to massive medial lacunae </w:t>
      </w:r>
      <w:r>
        <w:rPr>
          <w:noProof/>
        </w:rPr>
        <w:t>(</w:t>
      </w:r>
      <w:r>
        <w:t>§</w:t>
      </w:r>
      <w:r>
        <w:fldChar w:fldCharType="begin"/>
      </w:r>
      <w:r>
        <w:instrText xml:space="preserve"> REF _Ref43981711 \w \h  \* MERGEFORMAT </w:instrText>
      </w:r>
      <w:r>
        <w:fldChar w:fldCharType="separate"/>
      </w:r>
      <w:r>
        <w:t>6.5.4</w:t>
      </w:r>
      <w:r>
        <w:fldChar w:fldCharType="end"/>
      </w:r>
      <w:r>
        <w:t>), where reconstructed structural milestones may be placed outside block-level containers.</w:t>
      </w:r>
    </w:p>
  </w:footnote>
  <w:footnote w:id="18">
    <w:p w14:paraId="7AFE786D" w14:textId="77777777">
      <w:pPr>
        <w:pStyle w:val="Lbjegyzetszveg"/>
      </w:pPr>
      <w:r>
        <w:tab/>
      </w:r>
      <w:r>
        <w:rPr>
          <w:rStyle w:val="Lbjegyzet-hivatkozs"/>
        </w:rPr>
        <w:footnoteRef/>
      </w:r>
      <w:r>
        <w:tab/>
        <w:t>This will not be the case if you follow the numbering schemes recommended by this Guide, but other numbering schemes are permitted for all partition types when there is good reason for their use.</w:t>
      </w:r>
    </w:p>
  </w:footnote>
  <w:footnote w:id="19">
    <w:p w14:paraId="0F5EF226" w14:textId="77777777">
      <w:pPr>
        <w:pStyle w:val="Lbjegyzetszveg"/>
      </w:pPr>
      <w:r>
        <w:tab/>
      </w:r>
      <w:r>
        <w:rPr>
          <w:rStyle w:val="Lbjegyzet-hivatkozs"/>
        </w:rPr>
        <w:footnoteRef/>
      </w:r>
      <w:r>
        <w:tab/>
        <w:t xml:space="preserve">We must resort to this compromise because the internal logic of EpiDoc does not permit </w:t>
      </w:r>
      <w:r>
        <w:rPr>
          <w:rFonts w:ascii="Consolas" w:eastAsia="Consolas" w:hAnsi="Consolas" w:cs="Consolas"/>
          <w:color w:val="000080"/>
          <w:shd w:val="clear" w:color="auto" w:fill="F8F8F8"/>
        </w:rPr>
        <w:t>&lt;space&gt;</w:t>
      </w:r>
      <w:r>
        <w:t xml:space="preserve"> or </w:t>
      </w:r>
      <w:r>
        <w:rPr>
          <w:rFonts w:ascii="Consolas" w:eastAsia="Consolas" w:hAnsi="Consolas" w:cs="Consolas"/>
          <w:color w:val="000080"/>
          <w:shd w:val="clear" w:color="auto" w:fill="F8F8F8"/>
        </w:rPr>
        <w:t>&lt;lb&gt;</w:t>
      </w:r>
      <w:r>
        <w:t xml:space="preserve"> elements inside </w:t>
      </w:r>
      <w:r>
        <w:rPr>
          <w:rFonts w:ascii="Consolas" w:eastAsia="Consolas" w:hAnsi="Consolas" w:cs="Consolas"/>
          <w:color w:val="000080"/>
          <w:shd w:val="clear" w:color="auto" w:fill="F8F8F8"/>
        </w:rPr>
        <w:t>&lt;unclear&gt;</w:t>
      </w:r>
      <w:r>
        <w:t>, so it is not possible to encode alternative readings which include an interruption, even if the location of that interruption with respect to the text is different in the alternatives.</w:t>
      </w:r>
    </w:p>
  </w:footnote>
  <w:footnote w:id="20">
    <w:p w14:paraId="487C5BB8" w14:textId="4B3DDD9C">
      <w:pPr>
        <w:pStyle w:val="Lbjegyzetszveg"/>
      </w:pPr>
      <w:r>
        <w:tab/>
      </w:r>
      <w:r>
        <w:rPr>
          <w:rStyle w:val="Lbjegyzet-hivatkozs"/>
        </w:rPr>
        <w:footnoteRef/>
      </w:r>
      <w:r>
        <w:tab/>
      </w:r>
      <w:hyperlink r:id="rId7" w:history="1">
        <w:r>
          <w:rPr>
            <w:rStyle w:val="Hiperhivatkozs"/>
          </w:rPr>
          <w:t>https://en.wiktionary.org/wiki/gaiji</w:t>
        </w:r>
      </w:hyperlink>
      <w:r>
        <w:t xml:space="preserve"> </w:t>
      </w:r>
    </w:p>
  </w:footnote>
  <w:footnote w:id="21">
    <w:p w14:paraId="65D7795C" w14:textId="77777777">
      <w:pPr>
        <w:pStyle w:val="Lbjegyzetszveg"/>
      </w:pPr>
      <w:r>
        <w:tab/>
      </w:r>
      <w:r>
        <w:rPr>
          <w:rStyle w:val="Lbjegyzet-hivatkozs"/>
        </w:rPr>
        <w:footnoteRef/>
      </w:r>
      <w:r>
        <w:tab/>
      </w:r>
      <w:r>
        <w:rPr>
          <w:lang w:eastAsia="en-US" w:bidi="ar-SA"/>
        </w:rPr>
        <w:t>The management of symbols has changed radically from earlier DHARMA practice, so project members are requested to read this section attentively.</w:t>
      </w:r>
    </w:p>
  </w:footnote>
  <w:footnote w:id="22">
    <w:p w14:paraId="16579E42" w14:textId="7CD1910A">
      <w:pPr>
        <w:pStyle w:val="Lbjegyzetszveg"/>
      </w:pPr>
      <w:r>
        <w:tab/>
      </w:r>
      <w:r>
        <w:rPr>
          <w:rStyle w:val="Lbjegyzet-hivatkozs"/>
        </w:rPr>
        <w:footnoteRef/>
      </w:r>
      <w:r>
        <w:tab/>
      </w:r>
      <w:hyperlink r:id="rId8" w:history="1">
        <w:r>
          <w:rPr>
            <w:rStyle w:val="Hiperhivatkozs"/>
          </w:rPr>
          <w:t>https://en.wiktionary.org/wiki/gaiji</w:t>
        </w:r>
      </w:hyperlink>
      <w:r>
        <w:t xml:space="preserve"> </w:t>
      </w:r>
    </w:p>
  </w:footnote>
  <w:footnote w:id="23">
    <w:p w14:paraId="3A5F09AB" w14:textId="197DB702">
      <w:pPr>
        <w:pStyle w:val="Lbjegyzetszveg"/>
      </w:pPr>
      <w:r>
        <w:tab/>
      </w:r>
      <w:r>
        <w:rPr>
          <w:rStyle w:val="Lbjegyzet-hivatkozs"/>
        </w:rPr>
        <w:footnoteRef/>
      </w:r>
      <w:r>
        <w:tab/>
        <w:t xml:space="preserve">In addition to these values, </w:t>
      </w:r>
      <w:r>
        <w:rPr>
          <w:rStyle w:val="Codevalue"/>
        </w:rPr>
        <w:t>"numeral"</w:t>
      </w:r>
      <w:r>
        <w:t xml:space="preserve"> is used for numeral glyphs that cannot be represented in transliteration with a single Arabic digit, as per §</w:t>
      </w:r>
      <w:r>
        <w:fldChar w:fldCharType="begin"/>
      </w:r>
      <w:r>
        <w:instrText xml:space="preserve"> REF _Ref225950738 \r \h </w:instrText>
      </w:r>
      <w:r>
        <w:fldChar w:fldCharType="separate"/>
      </w:r>
      <w:r>
        <w:t>5.3.1</w:t>
      </w:r>
      <w:r>
        <w:fldChar w:fldCharType="end"/>
      </w:r>
      <w:r>
        <w:t xml:space="preserve">. The DHARMA schema also allows the value </w:t>
      </w:r>
      <w:r>
        <w:rPr>
          <w:rStyle w:val="Codevalue"/>
        </w:rPr>
        <w:t>"phonographic"</w:t>
      </w:r>
      <w:r>
        <w:t>, which is not used in our present encoding practice, but is included as a provision for the future when it might become desirable to use encoding to classify alternative shapes (graphetic allographs) of phonographic glyphs.</w:t>
      </w:r>
    </w:p>
  </w:footnote>
  <w:footnote w:id="24">
    <w:p w14:paraId="6B02A7BB" w14:textId="3467E030">
      <w:pPr>
        <w:pStyle w:val="Lbjegyzetszveg"/>
      </w:pPr>
      <w:r>
        <w:tab/>
      </w:r>
      <w:r>
        <w:rPr>
          <w:rStyle w:val="Lbjegyzet-hivatkozs"/>
        </w:rPr>
        <w:footnoteRef/>
      </w:r>
      <w:r>
        <w:tab/>
        <w:t xml:space="preserve">To view the file rendered for display, visit </w:t>
      </w:r>
      <w:hyperlink r:id="rId9" w:history="1">
        <w:r>
          <w:rPr>
            <w:rStyle w:val="Hiperhivatkozs"/>
          </w:rPr>
          <w:t>https://dharmalekha.info/glyphs</w:t>
        </w:r>
      </w:hyperlink>
      <w:r>
        <w:t>. To view and, if necessary, edit the raw XML, go to DHARMA_glyphTaxonomy.xml in the project-documentation repository.</w:t>
      </w:r>
    </w:p>
  </w:footnote>
  <w:footnote w:id="25">
    <w:p w14:paraId="5FE99D21" w14:textId="6154EFF0">
      <w:pPr>
        <w:pStyle w:val="Lbjegyzetszveg"/>
      </w:pPr>
      <w:r>
        <w:tab/>
      </w:r>
      <w:r>
        <w:rPr>
          <w:rStyle w:val="Lbjegyzet-hivatkozs"/>
        </w:rPr>
        <w:footnoteRef/>
      </w:r>
      <w:r>
        <w:tab/>
      </w:r>
      <w:hyperlink r:id="rId10" w:anchor="PHSP" w:history="1">
        <w:r>
          <w:rPr>
            <w:rStyle w:val="Hiperhivatkozs"/>
          </w:rPr>
          <w:t>https://www.tei-c.org/release/doc/tei-p5-doc/en/html/PH.html#PHSP</w:t>
        </w:r>
      </w:hyperlink>
    </w:p>
  </w:footnote>
  <w:footnote w:id="26">
    <w:p w14:paraId="203DDFEB" w14:textId="77777777">
      <w:pPr>
        <w:pStyle w:val="Lbjegyzetszveg"/>
        <w:rPr>
          <w:b/>
          <w:bCs/>
        </w:rPr>
      </w:pPr>
      <w:r>
        <w:tab/>
      </w:r>
      <w:r>
        <w:rPr>
          <w:rStyle w:val="Lbjegyzet-hivatkozs"/>
        </w:rPr>
        <w:footnoteRef/>
      </w:r>
      <w:r>
        <w:tab/>
        <w:t xml:space="preserve">In fact, the tradition of Indic epigraphic editions is also quite in line with the EpiDoc approach. Even in the </w:t>
      </w:r>
      <w:r>
        <w:rPr>
          <w:rStyle w:val="Foreign"/>
        </w:rPr>
        <w:t>Corpus inscriptionum indicarum</w:t>
      </w:r>
      <w:r>
        <w:t xml:space="preserve">, Fleet </w:t>
      </w:r>
      <w:r>
        <w:rPr>
          <w:noProof/>
        </w:rPr>
        <w:t>(</w:t>
      </w:r>
      <w:r>
        <w:t>1888,194) uses the same editorial markup for “letters which are much damaged and nearly illegible in the original, or which, being wholly illegible, can be supplied with certainty.”</w:t>
      </w:r>
    </w:p>
  </w:footnote>
  <w:footnote w:id="27">
    <w:p w14:paraId="00C4078D" w14:textId="2D42C316">
      <w:pPr>
        <w:pStyle w:val="Lbjegyzetszveg"/>
      </w:pPr>
      <w:r>
        <w:tab/>
      </w:r>
      <w:r>
        <w:rPr>
          <w:rStyle w:val="Lbjegyzet-hivatkozs"/>
        </w:rPr>
        <w:footnoteRef/>
      </w:r>
      <w:r>
        <w:tab/>
      </w:r>
      <w:hyperlink r:id="rId11" w:history="1">
        <w:r>
          <w:rPr>
            <w:rStyle w:val="Hiperhivatkozs"/>
          </w:rPr>
          <w:t>https://epidoc.stoa.org/gl/latest/trans-ambiguous.html</w:t>
        </w:r>
      </w:hyperlink>
      <w:r>
        <w:t xml:space="preserve"> </w:t>
      </w:r>
    </w:p>
  </w:footnote>
  <w:footnote w:id="28">
    <w:p w14:paraId="7B626324" w14:textId="77777777">
      <w:pPr>
        <w:pStyle w:val="Lbjegyzetszveg"/>
      </w:pPr>
      <w:r>
        <w:tab/>
      </w:r>
      <w:r>
        <w:rPr>
          <w:rStyle w:val="Lbjegyzet-hivatkozs"/>
        </w:rPr>
        <w:footnoteRef/>
      </w:r>
      <w:r>
        <w:tab/>
        <w:t xml:space="preserve">In the interest of preserving your sanity, it is advised that you avoid encoding the full spectrum of possibilities, </w:t>
      </w:r>
      <w:r>
        <w:rPr>
          <w:rFonts w:ascii="Consolas" w:eastAsia="Consolas" w:hAnsi="Consolas" w:cs="Consolas"/>
          <w:color w:val="333333"/>
          <w:shd w:val="clear" w:color="auto" w:fill="F8F8F8"/>
        </w:rPr>
        <w:t>k</w:t>
      </w:r>
      <w:r>
        <w:rPr>
          <w:rFonts w:ascii="Consolas" w:eastAsia="Consolas" w:hAnsi="Consolas" w:cs="Consolas"/>
          <w:color w:val="000080"/>
          <w:shd w:val="clear" w:color="auto" w:fill="F8F8F8"/>
        </w:rPr>
        <w:t>&lt;choice&gt;&lt;unclear&gt;</w:t>
      </w:r>
      <w:r>
        <w:rPr>
          <w:rFonts w:ascii="Consolas" w:eastAsia="Consolas" w:hAnsi="Consolas" w:cs="Consolas"/>
          <w:color w:val="333333"/>
          <w:shd w:val="clear" w:color="auto" w:fill="F8F8F8"/>
        </w:rPr>
        <w:t>ā</w:t>
      </w:r>
      <w:r>
        <w:rPr>
          <w:rFonts w:ascii="Consolas" w:eastAsia="Consolas" w:hAnsi="Consolas" w:cs="Consolas"/>
          <w:color w:val="000080"/>
          <w:shd w:val="clear" w:color="auto" w:fill="F8F8F8"/>
        </w:rPr>
        <w:t>&lt;/unclear&gt;&lt;unclear&gt;</w:t>
      </w:r>
      <w:r>
        <w:rPr>
          <w:rFonts w:ascii="Consolas" w:eastAsia="Consolas" w:hAnsi="Consolas" w:cs="Consolas"/>
          <w:color w:val="333333"/>
          <w:shd w:val="clear" w:color="auto" w:fill="F8F8F8"/>
        </w:rPr>
        <w:t>ara</w:t>
      </w:r>
      <w:r>
        <w:rPr>
          <w:rFonts w:ascii="Consolas" w:eastAsia="Consolas" w:hAnsi="Consolas" w:cs="Consolas"/>
          <w:color w:val="000080"/>
          <w:shd w:val="clear" w:color="auto" w:fill="F8F8F8"/>
        </w:rPr>
        <w:t>&lt;/unclear&gt;&lt;unclear&gt;</w:t>
      </w:r>
      <w:r>
        <w:rPr>
          <w:rFonts w:ascii="Consolas" w:eastAsia="Consolas" w:hAnsi="Consolas" w:cs="Consolas"/>
          <w:color w:val="333333"/>
          <w:shd w:val="clear" w:color="auto" w:fill="F8F8F8"/>
        </w:rPr>
        <w:t>ar</w:t>
      </w:r>
      <w:r>
        <w:rPr>
          <w:rFonts w:ascii="Consolas" w:eastAsia="Consolas" w:hAnsi="Consolas" w:cs="Consolas"/>
          <w:color w:val="000080"/>
          <w:shd w:val="clear" w:color="auto" w:fill="F8F8F8"/>
        </w:rPr>
        <w:t>&lt;/unclear&gt;&lt;unclear&gt;</w:t>
      </w:r>
      <w:r>
        <w:rPr>
          <w:rFonts w:ascii="Consolas" w:eastAsia="Consolas" w:hAnsi="Consolas" w:cs="Consolas"/>
          <w:color w:val="333333"/>
          <w:shd w:val="clear" w:color="auto" w:fill="F8F8F8"/>
        </w:rPr>
        <w:t>ra</w:t>
      </w:r>
      <w:r>
        <w:rPr>
          <w:rFonts w:ascii="Consolas" w:eastAsia="Consolas" w:hAnsi="Consolas" w:cs="Consolas"/>
          <w:color w:val="000080"/>
          <w:shd w:val="clear" w:color="auto" w:fill="F8F8F8"/>
        </w:rPr>
        <w:t>&lt;/unclear&gt;&lt;/choice&gt;</w:t>
      </w:r>
      <w:r>
        <w:t xml:space="preserve"> unless all are indeed plausible and worth recording.</w:t>
      </w:r>
    </w:p>
  </w:footnote>
  <w:footnote w:id="29">
    <w:p w14:paraId="088261C1" w14:textId="218AFF53">
      <w:pPr>
        <w:pStyle w:val="Lbjegyzetszveg"/>
      </w:pPr>
      <w:r>
        <w:tab/>
      </w:r>
      <w:r>
        <w:rPr>
          <w:rStyle w:val="Lbjegyzet-hivatkozs"/>
        </w:rPr>
        <w:footnoteRef/>
      </w:r>
      <w:r>
        <w:tab/>
        <w:t>The same element is used in TEI in other situations where text is absent. In our practice, it is put to use when text omitted by the scribe cannot be restored by the editor (§</w:t>
      </w:r>
      <w:r>
        <w:fldChar w:fldCharType="begin"/>
      </w:r>
      <w:r>
        <w:instrText xml:space="preserve"> REF _Ref63674857 \r \h </w:instrText>
      </w:r>
      <w:r>
        <w:fldChar w:fldCharType="separate"/>
      </w:r>
      <w:r>
        <w:t>7.7</w:t>
      </w:r>
      <w:r>
        <w:fldChar w:fldCharType="end"/>
      </w:r>
      <w:r>
        <w:t>) and when the editor omits some text from a critical apparatus (§</w:t>
      </w:r>
      <w:r>
        <w:fldChar w:fldCharType="begin"/>
      </w:r>
      <w:r>
        <w:instrText xml:space="preserve"> REF _Ref61250887 \r \h </w:instrText>
      </w:r>
      <w:r>
        <w:fldChar w:fldCharType="separate"/>
      </w:r>
      <w:r>
        <w:t>10.3</w:t>
      </w:r>
      <w:r>
        <w:fldChar w:fldCharType="end"/>
      </w:r>
      <w:r>
        <w:t>) or a translation (§</w:t>
      </w:r>
      <w:r>
        <w:fldChar w:fldCharType="begin"/>
      </w:r>
      <w:r>
        <w:instrText xml:space="preserve"> REF _Ref43990112 \r \h </w:instrText>
      </w:r>
      <w:r>
        <w:fldChar w:fldCharType="separate"/>
      </w:r>
      <w:r>
        <w:t>11.4.3</w:t>
      </w:r>
      <w:r>
        <w:fldChar w:fldCharType="end"/>
      </w:r>
      <w:r>
        <w:t>).</w:t>
      </w:r>
    </w:p>
  </w:footnote>
  <w:footnote w:id="30">
    <w:p w14:paraId="0CECE9EE" w14:textId="77777777">
      <w:pPr>
        <w:pStyle w:val="Lbjegyzetszveg"/>
      </w:pPr>
      <w:r>
        <w:tab/>
      </w:r>
      <w:r>
        <w:rPr>
          <w:rStyle w:val="Lbjegyzet-hivatkozs"/>
        </w:rPr>
        <w:footnoteRef/>
      </w:r>
      <w:r>
        <w:tab/>
        <w:t xml:space="preserve">The EpiDoc schema permits the use of </w:t>
      </w:r>
      <w:r>
        <w:rPr>
          <w:rStyle w:val="Codeattribute"/>
        </w:rPr>
        <w:t>@extent</w:t>
      </w:r>
      <w:r>
        <w:t xml:space="preserve"> without </w:t>
      </w:r>
      <w:r>
        <w:rPr>
          <w:rStyle w:val="Codeattribute"/>
        </w:rPr>
        <w:t>@unit</w:t>
      </w:r>
      <w:r>
        <w:t>.</w:t>
      </w:r>
    </w:p>
  </w:footnote>
  <w:footnote w:id="31">
    <w:p w14:paraId="77D70781" w14:textId="77777777">
      <w:pPr>
        <w:pStyle w:val="Lbjegyzetszveg"/>
      </w:pPr>
      <w:r>
        <w:tab/>
      </w:r>
      <w:r>
        <w:rPr>
          <w:rStyle w:val="Lbjegyzet-hivatkozs"/>
        </w:rPr>
        <w:footnoteRef/>
      </w:r>
      <w:r>
        <w:tab/>
        <w:t>In Sanskrit quantitative verse, the number of lost syllables may be estimated at 75% of the number of missing morae. Thus, if a 12-mora chunk is missing from a verse line, estimate the length of the lacuna at 9 characters if you have no better indication. This figure is based on a quick statistical look at a small sample; feel free to use a better approximation if you can, and do not worry too much about the accuracy of the character count.</w:t>
      </w:r>
    </w:p>
  </w:footnote>
  <w:footnote w:id="32">
    <w:p w14:paraId="0F47DAF9" w14:textId="77777777">
      <w:pPr>
        <w:pStyle w:val="Lbjegyzetszveg"/>
      </w:pPr>
      <w:r>
        <w:tab/>
      </w:r>
      <w:r>
        <w:rPr>
          <w:rStyle w:val="Lbjegyzet-hivatkozs"/>
        </w:rPr>
        <w:footnoteRef/>
      </w:r>
      <w:r>
        <w:tab/>
        <w:t xml:space="preserve">The explanation for the apparent contradiction between the element’s name and the fact that it indicates uncertainty is that this element would normally take the attribute </w:t>
      </w:r>
      <w:r>
        <w:rPr>
          <w:rStyle w:val="Codeattribute"/>
        </w:rPr>
        <w:t>@cert</w:t>
      </w:r>
      <w:r>
        <w:t xml:space="preserve"> to indicate a degree of certainty. However, in EpiDoc and thus in our encoding practice, </w:t>
      </w:r>
      <w:r>
        <w:rPr>
          <w:rStyle w:val="Code"/>
        </w:rPr>
        <w:t>&lt;certainty&gt;</w:t>
      </w:r>
      <w:r>
        <w:t xml:space="preserve"> is only used for indicating low certainty, and is by default understood to mean </w:t>
      </w:r>
      <w:r>
        <w:rPr>
          <w:rStyle w:val="Code"/>
        </w:rPr>
        <w:t xml:space="preserve">&lt;certainty </w:t>
      </w:r>
      <w:r>
        <w:rPr>
          <w:rStyle w:val="Codeattribute"/>
        </w:rPr>
        <w:t>cert=</w:t>
      </w:r>
      <w:r>
        <w:rPr>
          <w:rStyle w:val="Codevalue"/>
        </w:rPr>
        <w:t>"low"</w:t>
      </w:r>
      <w:r>
        <w:rPr>
          <w:rStyle w:val="Code"/>
        </w:rPr>
        <w:t>&gt;</w:t>
      </w:r>
      <w:r>
        <w:t>.</w:t>
      </w:r>
    </w:p>
  </w:footnote>
  <w:footnote w:id="33">
    <w:p w14:paraId="52A846B7" w14:textId="653110E6">
      <w:pPr>
        <w:pStyle w:val="Lbjegyzetszveg"/>
      </w:pPr>
      <w:r>
        <w:tab/>
      </w:r>
      <w:r>
        <w:rPr>
          <w:rStyle w:val="Lbjegyzet-hivatkozs"/>
        </w:rPr>
        <w:footnoteRef/>
      </w:r>
      <w:r>
        <w:tab/>
        <w:t>As noted in §</w:t>
      </w:r>
      <w:r>
        <w:fldChar w:fldCharType="begin"/>
      </w:r>
      <w:r>
        <w:instrText xml:space="preserve"> REF _Ref228799393 \r \h </w:instrText>
      </w:r>
      <w:r>
        <w:fldChar w:fldCharType="separate"/>
      </w:r>
      <w:r>
        <w:t>5.6</w:t>
      </w:r>
      <w:r>
        <w:fldChar w:fldCharType="end"/>
      </w:r>
      <w:r>
        <w:t>, ‘scribe’ means any person involved in the creation of a written document before it became an object of modern study.</w:t>
      </w:r>
    </w:p>
  </w:footnote>
  <w:footnote w:id="34">
    <w:p w14:paraId="1CADC688" w14:textId="1F73DCAC">
      <w:pPr>
        <w:pStyle w:val="Lbjegyzetszveg"/>
      </w:pPr>
      <w:r>
        <w:tab/>
      </w:r>
      <w:r>
        <w:rPr>
          <w:rStyle w:val="Lbjegyzet-hivatkozs"/>
        </w:rPr>
        <w:footnoteRef/>
      </w:r>
      <w:r>
        <w:tab/>
        <w:t xml:space="preserve">For other uses of this element with different values of </w:t>
      </w:r>
      <w:r>
        <w:rPr>
          <w:rStyle w:val="Codeattribute"/>
        </w:rPr>
        <w:t>@reason</w:t>
      </w:r>
      <w:r>
        <w:t>, see §</w:t>
      </w:r>
      <w:r>
        <w:fldChar w:fldCharType="begin"/>
      </w:r>
      <w:r>
        <w:instrText xml:space="preserve"> REF _Ref228864988 \r \h </w:instrText>
      </w:r>
      <w:r>
        <w:fldChar w:fldCharType="separate"/>
      </w:r>
      <w:r>
        <w:t>6.4.1</w:t>
      </w:r>
      <w:r>
        <w:fldChar w:fldCharType="end"/>
      </w:r>
      <w:r>
        <w:t>.</w:t>
      </w:r>
    </w:p>
  </w:footnote>
  <w:footnote w:id="35">
    <w:p w14:paraId="51A60009" w14:textId="14CB791F">
      <w:pPr>
        <w:pStyle w:val="Lbjegyzetszveg"/>
      </w:pPr>
      <w:r>
        <w:tab/>
      </w:r>
      <w:r>
        <w:rPr>
          <w:rStyle w:val="Lbjegyzet-hivatkozs"/>
        </w:rPr>
        <w:footnoteRef/>
      </w:r>
      <w:r>
        <w:tab/>
      </w:r>
      <w:hyperlink r:id="rId12" w:history="1">
        <w:r>
          <w:rPr>
            <w:rStyle w:val="Hiperhivatkozs"/>
          </w:rPr>
          <w:t>https://opentheso.huma-num.fr/opentheso/?idc=84154&amp;idt=th347</w:t>
        </w:r>
      </w:hyperlink>
    </w:p>
  </w:footnote>
  <w:footnote w:id="36">
    <w:p w14:paraId="685C2EB0" w14:textId="58B98504">
      <w:pPr>
        <w:pStyle w:val="Lbjegyzetszveg"/>
      </w:pPr>
      <w:r>
        <w:tab/>
      </w:r>
      <w:r>
        <w:rPr>
          <w:rStyle w:val="Lbjegyzet-hivatkozs"/>
        </w:rPr>
        <w:footnoteRef/>
      </w:r>
      <w:r>
        <w:tab/>
      </w:r>
      <w:hyperlink r:id="rId13" w:history="1">
        <w:r>
          <w:rPr>
            <w:rStyle w:val="Hiperhivatkozs"/>
          </w:rPr>
          <w:t>https://opentheso.huma-num.fr/opentheso/?idc=84156&amp;idt=th347</w:t>
        </w:r>
      </w:hyperlink>
    </w:p>
  </w:footnote>
  <w:footnote w:id="37">
    <w:p w14:paraId="3377F27A" w14:textId="77777777">
      <w:pPr>
        <w:pStyle w:val="Lbjegyzetszveg"/>
      </w:pPr>
      <w:r>
        <w:tab/>
      </w:r>
      <w:r>
        <w:rPr>
          <w:rStyle w:val="Lbjegyzet-hivatkozs"/>
        </w:rPr>
        <w:footnoteRef/>
      </w:r>
      <w:r>
        <w:tab/>
        <w:t>The reason why the attribute is named “new” is presumably the fact that it identifies the hand taking over at the shift. TEI guidelines note that this attribute may be renamed in a subsequent major release.</w:t>
      </w:r>
    </w:p>
  </w:footnote>
  <w:footnote w:id="38">
    <w:p w14:paraId="1B9DF250" w14:textId="4E764E69">
      <w:pPr>
        <w:pStyle w:val="Lbjegyzetszveg"/>
      </w:pPr>
      <w:r>
        <w:tab/>
      </w:r>
      <w:r>
        <w:rPr>
          <w:rStyle w:val="Lbjegyzet-hivatkozs"/>
        </w:rPr>
        <w:footnoteRef/>
      </w:r>
      <w:r>
        <w:tab/>
        <w:t xml:space="preserve">Although the TEI guidelines </w:t>
      </w:r>
      <w:r>
        <w:rPr>
          <w:noProof/>
        </w:rPr>
        <w:t>(</w:t>
      </w:r>
      <w:hyperlink r:id="rId14" w:anchor="WDWMEG" w:history="1">
        <w:r>
          <w:rPr>
            <w:rStyle w:val="Hiperhivatkozs"/>
          </w:rPr>
          <w:t>https://www.tei-c.org/release/doc/tei-p5-doc/en/html/WD.html#WDWMEG</w:t>
        </w:r>
      </w:hyperlink>
      <w:r>
        <w:t xml:space="preserve">) recommend the use of </w:t>
      </w:r>
      <w:r>
        <w:rPr>
          <w:rStyle w:val="Codeattribute"/>
        </w:rPr>
        <w:t>@style</w:t>
      </w:r>
      <w:r>
        <w:t xml:space="preserve"> with CSS styling instructions to encode text directionality and orientation, these instructions provide no clear solution for handling case C in the illustration below and handle cases A and B very differently from D. To minimise complexity, we prefer to introduce custom values of </w:t>
      </w:r>
      <w:r>
        <w:rPr>
          <w:rStyle w:val="Codeattribute"/>
        </w:rPr>
        <w:t>@rend</w:t>
      </w:r>
      <w:r>
        <w:t xml:space="preserve"> for this purpose, since our objective is to document the way the original text was written, and not to create machine-actionable code for reproducing the source’s writing mode on screen or in print.</w:t>
      </w:r>
    </w:p>
  </w:footnote>
  <w:footnote w:id="39">
    <w:p w14:paraId="229D16EE" w14:textId="09C08DFF">
      <w:pPr>
        <w:pStyle w:val="Lbjegyzetszveg"/>
      </w:pPr>
      <w:r>
        <w:tab/>
      </w:r>
      <w:r>
        <w:rPr>
          <w:rStyle w:val="Lbjegyzet-hivatkozs"/>
        </w:rPr>
        <w:footnoteRef/>
      </w:r>
      <w:r>
        <w:tab/>
      </w:r>
      <w:hyperlink r:id="rId15" w:history="1">
        <w:r>
          <w:rPr>
            <w:rStyle w:val="Hiperhivatkozs"/>
            <w:noProof/>
          </w:rPr>
          <w:t>https://epidoc.stoa.org/gl/latest/trans-numnoncongruent.html</w:t>
        </w:r>
      </w:hyperlink>
    </w:p>
  </w:footnote>
  <w:footnote w:id="40">
    <w:p w14:paraId="59B66A72" w14:textId="4E302107">
      <w:pPr>
        <w:pStyle w:val="Lbjegyzetszveg"/>
      </w:pPr>
      <w:r>
        <w:tab/>
      </w:r>
      <w:r>
        <w:rPr>
          <w:rStyle w:val="Lbjegyzet-hivatkozs"/>
        </w:rPr>
        <w:footnoteRef/>
      </w:r>
      <w:r>
        <w:tab/>
        <w:t>See §</w:t>
      </w:r>
      <w:r>
        <w:fldChar w:fldCharType="begin"/>
      </w:r>
      <w:r>
        <w:instrText xml:space="preserve"> REF _Ref231978934 \r \h </w:instrText>
      </w:r>
      <w:r>
        <w:fldChar w:fldCharType="separate"/>
      </w:r>
      <w:r>
        <w:t>8.4</w:t>
      </w:r>
      <w:r>
        <w:fldChar w:fldCharType="end"/>
      </w:r>
      <w:r>
        <w:t xml:space="preserve"> about the use of </w:t>
      </w:r>
      <w:r>
        <w:rPr>
          <w:rFonts w:ascii="Consolas" w:eastAsia="Consolas" w:hAnsi="Consolas" w:cs="Consolas"/>
          <w:color w:val="000080"/>
          <w:shd w:val="clear" w:color="auto" w:fill="F8F8F8"/>
        </w:rPr>
        <w:t>&lt;hi&gt;</w:t>
      </w:r>
      <w:r>
        <w:t xml:space="preserve"> in the edition.</w:t>
      </w:r>
    </w:p>
  </w:footnote>
  <w:footnote w:id="41">
    <w:p w14:paraId="461E7CF1" w14:textId="7DDFB6D5">
      <w:pPr>
        <w:pStyle w:val="Lbjegyzetszveg"/>
      </w:pPr>
      <w:r>
        <w:tab/>
      </w:r>
      <w:r>
        <w:rPr>
          <w:rStyle w:val="Lbjegyzet-hivatkozs"/>
        </w:rPr>
        <w:footnoteRef/>
      </w:r>
      <w:r>
        <w:tab/>
      </w:r>
      <w:hyperlink r:id="rId16" w:history="1">
        <w:r>
          <w:rPr>
            <w:rStyle w:val="Hiperhivatkozs"/>
          </w:rPr>
          <w:t>https://iso639-3.sil.org/code_tables/639/data</w:t>
        </w:r>
      </w:hyperlink>
      <w:r>
        <w:t xml:space="preserve"> </w:t>
      </w:r>
    </w:p>
  </w:footnote>
  <w:footnote w:id="42">
    <w:p w14:paraId="1AAC081D" w14:textId="6F500445">
      <w:pPr>
        <w:pStyle w:val="Lbjegyzetszveg"/>
        <w:rPr>
          <w:b/>
        </w:rPr>
      </w:pPr>
      <w:r>
        <w:tab/>
      </w:r>
      <w:r>
        <w:rPr>
          <w:rStyle w:val="Lbjegyzet-hivatkozs"/>
        </w:rPr>
        <w:footnoteRef/>
      </w:r>
      <w:r>
        <w:tab/>
      </w:r>
      <w:hyperlink r:id="rId17" w:history="1">
        <w:r>
          <w:rPr>
            <w:rStyle w:val="Hiperhivatkozs"/>
          </w:rPr>
          <w:t>https://en.wikipedia.org/wiki/ISO_15924</w:t>
        </w:r>
      </w:hyperlink>
    </w:p>
  </w:footnote>
  <w:footnote w:id="43">
    <w:p w14:paraId="21A959DE" w14:textId="5A6EB3FD">
      <w:pPr>
        <w:pStyle w:val="Lbjegyzetszveg"/>
      </w:pPr>
      <w:r>
        <w:tab/>
      </w:r>
      <w:r>
        <w:rPr>
          <w:rStyle w:val="Lbjegyzet-hivatkozs"/>
        </w:rPr>
        <w:footnoteRef/>
      </w:r>
      <w:r>
        <w:tab/>
        <w:t xml:space="preserve">See </w:t>
      </w:r>
      <w:hyperlink r:id="rId18" w:history="1">
        <w:r>
          <w:rPr>
            <w:rStyle w:val="Hiperhivatkozs"/>
          </w:rPr>
          <w:t>https://wiki.tei-c.org/index.php/XML_Whitespace</w:t>
        </w:r>
      </w:hyperlink>
      <w:r>
        <w:t xml:space="preserve"> for a more detailed discussion of white space in XML.</w:t>
      </w:r>
    </w:p>
  </w:footnote>
  <w:footnote w:id="44">
    <w:p w14:paraId="78E959A2" w14:textId="77777777">
      <w:pPr>
        <w:pStyle w:val="Lbjegyzetszveg"/>
      </w:pPr>
      <w:r>
        <w:tab/>
      </w:r>
      <w:r>
        <w:rPr>
          <w:rStyle w:val="Lbjegyzet-hivatkozs"/>
        </w:rPr>
        <w:footnoteRef/>
      </w:r>
      <w:r>
        <w:tab/>
        <w:t xml:space="preserve">This is not a technical requirement and its violation does not result in your code becoming invalid. However, since in many cases these elements will </w:t>
      </w:r>
      <w:r>
        <w:rPr>
          <w:rStyle w:val="Foreign"/>
        </w:rPr>
        <w:t>have to</w:t>
      </w:r>
      <w:r>
        <w:t xml:space="preserve"> appear within block-level containers, we consider it better practice to always place them so, for consistency’s sake.</w:t>
      </w:r>
    </w:p>
  </w:footnote>
  <w:footnote w:id="45">
    <w:p w14:paraId="1E68F9C5" w14:textId="77777777">
      <w:pPr>
        <w:pStyle w:val="Lbjegyzetszveg"/>
      </w:pPr>
      <w:r>
        <w:tab/>
      </w:r>
      <w:r>
        <w:rPr>
          <w:rStyle w:val="Lbjegyzet-hivatkozs"/>
        </w:rPr>
        <w:footnoteRef/>
      </w:r>
      <w:r>
        <w:tab/>
        <w:t xml:space="preserve">Double hyphens are used in CII convention to indicate non-compound word separation where the end of the first and the beginning of the second word belong to the same </w:t>
      </w:r>
      <w:r>
        <w:rPr>
          <w:rStyle w:val="Foreign"/>
        </w:rPr>
        <w:t>akṣara</w:t>
      </w:r>
      <w:r>
        <w:t xml:space="preserve"> of the original. Their primary function is to distinguish regular </w:t>
      </w:r>
      <w:r>
        <w:rPr>
          <w:rStyle w:val="Foreign"/>
        </w:rPr>
        <w:t>akṣara</w:t>
      </w:r>
      <w:r>
        <w:t xml:space="preserve">s from </w:t>
      </w:r>
      <w:r>
        <w:rPr>
          <w:rStyle w:val="Foreign"/>
        </w:rPr>
        <w:t>halanta</w:t>
      </w:r>
      <w:r>
        <w:t xml:space="preserve"> consonants and initial vowels </w:t>
      </w:r>
      <w:r>
        <w:rPr>
          <w:noProof/>
        </w:rPr>
        <w:t>(</w:t>
      </w:r>
      <w:r>
        <w:t xml:space="preserve">e.g. </w:t>
      </w:r>
      <w:r>
        <w:rPr>
          <w:rStyle w:val="ForeignDevanagariScript"/>
          <w:rFonts w:ascii="Kokila" w:hAnsi="Kokila" w:cs="Kokila"/>
        </w:rPr>
        <w:t>तदाहुः</w:t>
      </w:r>
      <w:r>
        <w:t xml:space="preserve"> &gt; </w:t>
      </w:r>
      <w:r>
        <w:rPr>
          <w:rStyle w:val="Foreign"/>
        </w:rPr>
        <w:t>tad=āhuḥ</w:t>
      </w:r>
      <w:r>
        <w:t xml:space="preserve">; </w:t>
      </w:r>
      <w:r>
        <w:rPr>
          <w:rStyle w:val="ForeignDevanagariScript"/>
          <w:rFonts w:ascii="Kokila" w:hAnsi="Kokila" w:cs="Kokila"/>
        </w:rPr>
        <w:t>तद्</w:t>
      </w:r>
      <w:r>
        <w:rPr>
          <w:rStyle w:val="ForeignDevanagariScript"/>
        </w:rPr>
        <w:t xml:space="preserve"> </w:t>
      </w:r>
      <w:r>
        <w:rPr>
          <w:rStyle w:val="ForeignDevanagariScript"/>
          <w:rFonts w:ascii="Kokila" w:hAnsi="Kokila" w:cs="Kokila"/>
        </w:rPr>
        <w:t>आहुः</w:t>
      </w:r>
      <w:r>
        <w:t xml:space="preserve"> &gt; </w:t>
      </w:r>
      <w:r>
        <w:rPr>
          <w:rStyle w:val="Foreign"/>
        </w:rPr>
        <w:t>tad āhuḥ</w:t>
      </w:r>
      <w:r>
        <w:t xml:space="preserve">). We achieve this distinction by means of uppercase characters and explicit </w:t>
      </w:r>
      <w:r>
        <w:rPr>
          <w:rStyle w:val="Foreign"/>
        </w:rPr>
        <w:t>virāma</w:t>
      </w:r>
      <w:r>
        <w:rPr>
          <w:noProof/>
        </w:rPr>
        <w:t xml:space="preserve"> in the transliteration (</w:t>
      </w:r>
      <w:r>
        <w:t xml:space="preserve">e.g. </w:t>
      </w:r>
      <w:r>
        <w:rPr>
          <w:rStyle w:val="ForeignDevanagariScript"/>
          <w:rFonts w:ascii="Kokila" w:hAnsi="Kokila" w:cs="Kokila"/>
        </w:rPr>
        <w:t>तदाहुः</w:t>
      </w:r>
      <w:r>
        <w:t xml:space="preserve"> &gt; </w:t>
      </w:r>
      <w:r>
        <w:rPr>
          <w:rStyle w:val="Foreign"/>
        </w:rPr>
        <w:t>tad āhuḥ</w:t>
      </w:r>
      <w:r>
        <w:t xml:space="preserve">; </w:t>
      </w:r>
      <w:r>
        <w:rPr>
          <w:rStyle w:val="ForeignDevanagariScript"/>
          <w:rFonts w:ascii="Kokila" w:hAnsi="Kokila" w:cs="Kokila"/>
        </w:rPr>
        <w:t>तद्</w:t>
      </w:r>
      <w:r>
        <w:rPr>
          <w:rStyle w:val="ForeignDevanagariScript"/>
        </w:rPr>
        <w:t xml:space="preserve"> </w:t>
      </w:r>
      <w:r>
        <w:rPr>
          <w:rStyle w:val="ForeignDevanagariScript"/>
          <w:rFonts w:ascii="Kokila" w:hAnsi="Kokila" w:cs="Kokila"/>
        </w:rPr>
        <w:t>आहुः</w:t>
      </w:r>
      <w:r>
        <w:t xml:space="preserve"> &gt; </w:t>
      </w:r>
      <w:r>
        <w:rPr>
          <w:rStyle w:val="Foreign"/>
        </w:rPr>
        <w:t>tad· Āhuḥ</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46E5"/>
    <w:multiLevelType w:val="multilevel"/>
    <w:tmpl w:val="0526F8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0776C2"/>
    <w:multiLevelType w:val="hybridMultilevel"/>
    <w:tmpl w:val="F97A8352"/>
    <w:lvl w:ilvl="0" w:tplc="B96038A8">
      <w:start w:val="1"/>
      <w:numFmt w:val="bullet"/>
      <w:pStyle w:val="TableNote"/>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4A6119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EE60E80"/>
    <w:multiLevelType w:val="hybridMultilevel"/>
    <w:tmpl w:val="9984D74C"/>
    <w:lvl w:ilvl="0" w:tplc="D2AA8480">
      <w:numFmt w:val="bullet"/>
      <w:lvlText w:val="-"/>
      <w:lvlJc w:val="left"/>
      <w:pPr>
        <w:ind w:left="720" w:hanging="360"/>
      </w:pPr>
      <w:rPr>
        <w:rFonts w:ascii="Gentium Plus" w:eastAsia="Arial Unicode MS" w:hAnsi="Gentium Plus" w:cs="Gentium Plu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C0657B"/>
    <w:multiLevelType w:val="multilevel"/>
    <w:tmpl w:val="28ACCB18"/>
    <w:lvl w:ilvl="0">
      <w:start w:val="1"/>
      <w:numFmt w:val="bullet"/>
      <w:pStyle w:val="Lista"/>
      <w:lvlText w:val="–"/>
      <w:lvlJc w:val="left"/>
      <w:pPr>
        <w:ind w:left="170" w:hanging="170"/>
      </w:pPr>
      <w:rPr>
        <w:rFonts w:hint="default"/>
      </w:rPr>
    </w:lvl>
    <w:lvl w:ilvl="1">
      <w:start w:val="1"/>
      <w:numFmt w:val="bullet"/>
      <w:pStyle w:val="Lista2"/>
      <w:lvlText w:val="–"/>
      <w:lvlJc w:val="left"/>
      <w:pPr>
        <w:ind w:left="340" w:hanging="170"/>
      </w:pPr>
      <w:rPr>
        <w:rFonts w:hint="default"/>
      </w:rPr>
    </w:lvl>
    <w:lvl w:ilvl="2">
      <w:start w:val="1"/>
      <w:numFmt w:val="bullet"/>
      <w:pStyle w:val="Lista3"/>
      <w:lvlText w:val="–"/>
      <w:lvlJc w:val="left"/>
      <w:pPr>
        <w:ind w:left="510" w:hanging="170"/>
      </w:pPr>
      <w:rPr>
        <w:rFonts w:hint="default"/>
      </w:rPr>
    </w:lvl>
    <w:lvl w:ilvl="3">
      <w:start w:val="1"/>
      <w:numFmt w:val="bullet"/>
      <w:pStyle w:val="Lista4"/>
      <w:lvlText w:val="–"/>
      <w:lvlJc w:val="left"/>
      <w:pPr>
        <w:ind w:left="680" w:hanging="170"/>
      </w:pPr>
      <w:rPr>
        <w:rFonts w:hint="default"/>
      </w:rPr>
    </w:lvl>
    <w:lvl w:ilvl="4">
      <w:start w:val="1"/>
      <w:numFmt w:val="bullet"/>
      <w:pStyle w:val="Lista5"/>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5" w15:restartNumberingAfterBreak="0">
    <w:nsid w:val="33C674BD"/>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6" w15:restartNumberingAfterBreak="0">
    <w:nsid w:val="365D43D7"/>
    <w:multiLevelType w:val="hybridMultilevel"/>
    <w:tmpl w:val="C4323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F2672F"/>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89003F"/>
    <w:multiLevelType w:val="multilevel"/>
    <w:tmpl w:val="C69AAC88"/>
    <w:lvl w:ilvl="0">
      <w:start w:val="1"/>
      <w:numFmt w:val="bullet"/>
      <w:lvlText w:val="–"/>
      <w:lvlJc w:val="left"/>
      <w:pPr>
        <w:ind w:left="170" w:hanging="17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3C769A7"/>
    <w:multiLevelType w:val="multilevel"/>
    <w:tmpl w:val="2A5C878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0" w15:restartNumberingAfterBreak="0">
    <w:nsid w:val="595E2359"/>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1" w15:restartNumberingAfterBreak="0">
    <w:nsid w:val="59B66AEB"/>
    <w:multiLevelType w:val="multilevel"/>
    <w:tmpl w:val="ABEE7108"/>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2" w15:restartNumberingAfterBreak="0">
    <w:nsid w:val="6526364B"/>
    <w:multiLevelType w:val="multilevel"/>
    <w:tmpl w:val="ED64D24A"/>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3" w15:restartNumberingAfterBreak="0">
    <w:nsid w:val="6AD70B07"/>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7A456903"/>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16cid:durableId="287669754">
    <w:abstractNumId w:val="7"/>
  </w:num>
  <w:num w:numId="2" w16cid:durableId="825899303">
    <w:abstractNumId w:val="4"/>
  </w:num>
  <w:num w:numId="3" w16cid:durableId="1492022365">
    <w:abstractNumId w:val="12"/>
  </w:num>
  <w:num w:numId="4" w16cid:durableId="322855469">
    <w:abstractNumId w:val="1"/>
  </w:num>
  <w:num w:numId="5" w16cid:durableId="935208837">
    <w:abstractNumId w:val="11"/>
  </w:num>
  <w:num w:numId="6" w16cid:durableId="2050301076">
    <w:abstractNumId w:val="13"/>
  </w:num>
  <w:num w:numId="7" w16cid:durableId="1972246672">
    <w:abstractNumId w:val="5"/>
  </w:num>
  <w:num w:numId="8" w16cid:durableId="2041784671">
    <w:abstractNumId w:val="14"/>
  </w:num>
  <w:num w:numId="9" w16cid:durableId="326250068">
    <w:abstractNumId w:val="9"/>
  </w:num>
  <w:num w:numId="10" w16cid:durableId="1710181358">
    <w:abstractNumId w:val="3"/>
  </w:num>
  <w:num w:numId="11" w16cid:durableId="2001228561">
    <w:abstractNumId w:val="0"/>
  </w:num>
  <w:num w:numId="12" w16cid:durableId="1223322715">
    <w:abstractNumId w:val="8"/>
  </w:num>
  <w:num w:numId="13" w16cid:durableId="218906616">
    <w:abstractNumId w:val="1"/>
  </w:num>
  <w:num w:numId="14" w16cid:durableId="1803383052">
    <w:abstractNumId w:val="1"/>
  </w:num>
  <w:num w:numId="15" w16cid:durableId="1912616543">
    <w:abstractNumId w:val="1"/>
  </w:num>
  <w:num w:numId="16" w16cid:durableId="1885481818">
    <w:abstractNumId w:val="6"/>
  </w:num>
  <w:num w:numId="17" w16cid:durableId="8529723">
    <w:abstractNumId w:val="2"/>
  </w:num>
  <w:num w:numId="18" w16cid:durableId="1551989357">
    <w:abstractNumId w:val="10"/>
  </w:num>
  <w:num w:numId="19" w16cid:durableId="2007587344">
    <w:abstractNumId w:val="9"/>
  </w:num>
  <w:num w:numId="20" w16cid:durableId="14700745">
    <w:abstractNumId w:val="9"/>
  </w:num>
  <w:num w:numId="21" w16cid:durableId="1420447073">
    <w:abstractNumId w:val="9"/>
  </w:num>
  <w:num w:numId="22" w16cid:durableId="499857334">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avedView" w:val="3"/>
    <w:docVar w:name="varHeight1" w:val="1085"/>
    <w:docVar w:name="varHeight2" w:val="1085"/>
    <w:docVar w:name="varLeft1" w:val="-5"/>
    <w:docVar w:name="varLeft2" w:val="955"/>
    <w:docVar w:name="varNavHeight" w:val="1238"/>
    <w:docVar w:name="varNavLeft" w:val="0"/>
    <w:docVar w:name="varNavPosition" w:val="0"/>
    <w:docVar w:name="varNavTop" w:val="0"/>
    <w:docVar w:name="varNavVisible" w:val="True"/>
    <w:docVar w:name="varNavWidth" w:val="301"/>
    <w:docVar w:name="varPagination1" w:val="False"/>
    <w:docVar w:name="varPagination2" w:val="False"/>
    <w:docVar w:name="varRevCount1" w:val="1"/>
    <w:docVar w:name="varRevCount2" w:val="2"/>
    <w:docVar w:name="varRevShown1_1" w:val="True"/>
    <w:docVar w:name="varRevShown2_1" w:val="True"/>
    <w:docVar w:name="varRevShown2_2" w:val="True"/>
    <w:docVar w:name="varSavedView1" w:val="3"/>
    <w:docVar w:name="varSavedView2" w:val="3"/>
    <w:docVar w:name="varSelStart1" w:val="590965"/>
    <w:docVar w:name="varSelStart2" w:val="635316"/>
    <w:docVar w:name="varTop1" w:val="0"/>
    <w:docVar w:name="varTop2" w:val="0"/>
    <w:docVar w:name="varWidth1" w:val="1446"/>
    <w:docVar w:name="varWidth2" w:val="971"/>
    <w:docVar w:name="varWindowCount" w:val="1"/>
    <w:docVar w:name="varZoom" w:val="140"/>
    <w:docVar w:name="varZoom1" w:val="140"/>
    <w:docVar w:name="varZoom2" w:val="140"/>
  </w:docVars>
  <m:mathPr>
    <m:mathFont m:val="Cambria Math"/>
    <m:brkBin m:val="before"/>
    <m:brkBinSub m:val="--"/>
    <m:smallFrac m:val="0"/>
    <m:dispDef/>
    <m:lMargin m:val="0"/>
    <m:rMargin m:val="0"/>
    <m:defJc m:val="centerGroup"/>
    <m:wrapIndent m:val="1440"/>
    <m:intLim m:val="subSup"/>
    <m:naryLim m:val="undOvr"/>
  </m:mathPr>
  <w:themeFontLang w:val="en-GB" w:eastAsia="en-GB"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iscardImageEditingData/>
  <w14:defaultImageDpi w14:val="32767"/>
  <w15:docId w15:val="{9D51553F-46BB-44F5-8D61-679A0F21A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hi-IN"/>
      </w:rPr>
    </w:rPrDefault>
    <w:pPrDefault>
      <w:pPr>
        <w:widowControl w:val="0"/>
        <w:ind w:left="170"/>
        <w:jc w:val="both"/>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24" w:unhideWhenUsed="1" w:qFormat="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 w:unhideWhenUsed="1" w:qFormat="1"/>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74"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spacing w:line="280" w:lineRule="exact"/>
      <w:ind w:left="0"/>
    </w:pPr>
    <w:rPr>
      <w:rFonts w:ascii="Gentium" w:eastAsiaTheme="minorEastAsia" w:hAnsi="Gentium" w:cs="Tiro Devanagari Sanskrit"/>
      <w:kern w:val="2"/>
      <w:sz w:val="22"/>
      <w:szCs w:val="22"/>
      <w:lang w:eastAsia="zh-TW"/>
      <w14:ligatures w14:val="standardContextual"/>
    </w:rPr>
  </w:style>
  <w:style w:type="paragraph" w:styleId="Cmsor1">
    <w:name w:val="heading 1"/>
    <w:basedOn w:val="Norml"/>
    <w:next w:val="Norml"/>
    <w:link w:val="Cmsor1Char"/>
    <w:uiPriority w:val="4"/>
    <w:qFormat/>
    <w:pPr>
      <w:keepNext/>
      <w:pageBreakBefore/>
      <w:numPr>
        <w:numId w:val="9"/>
      </w:numPr>
      <w:pBdr>
        <w:bottom w:val="thinThickMediumGap" w:sz="24" w:space="1" w:color="auto"/>
      </w:pBdr>
      <w:tabs>
        <w:tab w:val="left" w:pos="425"/>
      </w:tabs>
      <w:autoSpaceDE w:val="0"/>
      <w:autoSpaceDN w:val="0"/>
      <w:spacing w:before="240" w:after="240" w:line="360" w:lineRule="exact"/>
      <w:jc w:val="center"/>
      <w:outlineLvl w:val="0"/>
    </w:pPr>
    <w:rPr>
      <w:rFonts w:ascii="Calibri" w:eastAsia="Arial Unicode MS" w:hAnsi="Calibri"/>
      <w:b/>
      <w:bCs/>
      <w:kern w:val="32"/>
      <w:sz w:val="32"/>
      <w:szCs w:val="30"/>
      <w:lang w:eastAsia="en-US" w:bidi="ar-SA"/>
      <w14:ligatures w14:val="none"/>
    </w:rPr>
  </w:style>
  <w:style w:type="paragraph" w:styleId="Cmsor2">
    <w:name w:val="heading 2"/>
    <w:basedOn w:val="Cmsor1"/>
    <w:next w:val="Norml"/>
    <w:link w:val="Cmsor2Char"/>
    <w:uiPriority w:val="4"/>
    <w:qFormat/>
    <w:pPr>
      <w:pageBreakBefore w:val="0"/>
      <w:numPr>
        <w:ilvl w:val="1"/>
      </w:numPr>
      <w:pBdr>
        <w:bottom w:val="double" w:sz="12" w:space="1" w:color="auto"/>
      </w:pBdr>
      <w:tabs>
        <w:tab w:val="left" w:pos="567"/>
      </w:tabs>
      <w:jc w:val="left"/>
      <w:outlineLvl w:val="1"/>
    </w:pPr>
    <w:rPr>
      <w:b w:val="0"/>
      <w:bCs w:val="0"/>
      <w:sz w:val="28"/>
      <w:szCs w:val="26"/>
    </w:rPr>
  </w:style>
  <w:style w:type="paragraph" w:styleId="Cmsor3">
    <w:name w:val="heading 3"/>
    <w:basedOn w:val="Cmsor1"/>
    <w:next w:val="Norml"/>
    <w:link w:val="Cmsor3Char"/>
    <w:uiPriority w:val="4"/>
    <w:qFormat/>
    <w:pPr>
      <w:pageBreakBefore w:val="0"/>
      <w:numPr>
        <w:ilvl w:val="2"/>
      </w:numPr>
      <w:pBdr>
        <w:bottom w:val="single" w:sz="12" w:space="1" w:color="auto"/>
      </w:pBdr>
      <w:tabs>
        <w:tab w:val="left" w:pos="709"/>
      </w:tabs>
      <w:spacing w:before="120" w:after="120" w:line="320" w:lineRule="exact"/>
      <w:jc w:val="left"/>
      <w:outlineLvl w:val="2"/>
    </w:pPr>
    <w:rPr>
      <w:b w:val="0"/>
      <w:bCs w:val="0"/>
      <w:sz w:val="24"/>
      <w:szCs w:val="24"/>
    </w:rPr>
  </w:style>
  <w:style w:type="paragraph" w:styleId="Cmsor4">
    <w:name w:val="heading 4"/>
    <w:basedOn w:val="Cmsor3"/>
    <w:next w:val="Norml"/>
    <w:link w:val="Cmsor4Char"/>
    <w:uiPriority w:val="4"/>
    <w:qFormat/>
    <w:pPr>
      <w:numPr>
        <w:ilvl w:val="3"/>
      </w:numPr>
      <w:pBdr>
        <w:bottom w:val="single" w:sz="4" w:space="1" w:color="auto"/>
      </w:pBdr>
      <w:spacing w:before="240" w:after="60" w:line="280" w:lineRule="exact"/>
      <w:outlineLvl w:val="3"/>
    </w:pPr>
    <w:rPr>
      <w:sz w:val="22"/>
    </w:rPr>
  </w:style>
  <w:style w:type="paragraph" w:styleId="Cmsor5">
    <w:name w:val="heading 5"/>
    <w:basedOn w:val="Norml"/>
    <w:next w:val="Cmsor3"/>
    <w:link w:val="Cmsor5Char"/>
    <w:uiPriority w:val="4"/>
    <w:qFormat/>
    <w:pPr>
      <w:numPr>
        <w:ilvl w:val="4"/>
        <w:numId w:val="9"/>
      </w:numPr>
      <w:autoSpaceDE w:val="0"/>
      <w:autoSpaceDN w:val="0"/>
      <w:spacing w:before="120" w:after="60"/>
      <w:outlineLvl w:val="4"/>
    </w:pPr>
    <w:rPr>
      <w:rFonts w:ascii="Tahoma" w:eastAsia="Arial Unicode MS" w:hAnsi="Tahoma"/>
      <w:kern w:val="0"/>
      <w:lang w:val="hu-HU" w:eastAsia="en-US" w:bidi="ar-SA"/>
      <w14:ligatures w14:val="none"/>
    </w:rPr>
  </w:style>
  <w:style w:type="paragraph" w:styleId="Cmsor6">
    <w:name w:val="heading 6"/>
    <w:basedOn w:val="Norml"/>
    <w:next w:val="Norml"/>
    <w:uiPriority w:val="9"/>
    <w:semiHidden/>
    <w:unhideWhenUsed/>
    <w:qFormat/>
    <w:pPr>
      <w:keepNext/>
      <w:keepLines/>
      <w:autoSpaceDE w:val="0"/>
      <w:autoSpaceDN w:val="0"/>
      <w:spacing w:before="200" w:after="40"/>
      <w:outlineLvl w:val="5"/>
    </w:pPr>
    <w:rPr>
      <w:rFonts w:eastAsia="Arial Unicode MS"/>
      <w:b/>
      <w:kern w:val="0"/>
      <w:sz w:val="20"/>
      <w:szCs w:val="20"/>
      <w:lang w:eastAsia="en-US" w:bidi="ar-SA"/>
      <w14:ligatures w14:val="none"/>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4"/>
    <w:rPr>
      <w:rFonts w:ascii="Calibri" w:eastAsia="Arial Unicode MS" w:hAnsi="Calibri" w:cs="Tiro Devanagari Sanskrit"/>
      <w:b/>
      <w:bCs/>
      <w:kern w:val="32"/>
      <w:sz w:val="32"/>
      <w:szCs w:val="30"/>
      <w:lang w:eastAsia="en-US" w:bidi="ar-SA"/>
    </w:rPr>
  </w:style>
  <w:style w:type="character" w:customStyle="1" w:styleId="Cmsor2Char">
    <w:name w:val="Címsor 2 Char"/>
    <w:basedOn w:val="Bekezdsalapbettpusa"/>
    <w:link w:val="Cmsor2"/>
    <w:uiPriority w:val="4"/>
    <w:rPr>
      <w:rFonts w:ascii="Calibri" w:eastAsia="Arial Unicode MS" w:hAnsi="Calibri" w:cs="Tiro Devanagari Sanskrit"/>
      <w:kern w:val="32"/>
      <w:sz w:val="28"/>
      <w:szCs w:val="26"/>
      <w:lang w:eastAsia="en-US" w:bidi="ar-SA"/>
    </w:rPr>
  </w:style>
  <w:style w:type="character" w:customStyle="1" w:styleId="Cmsor3Char">
    <w:name w:val="Címsor 3 Char"/>
    <w:basedOn w:val="Bekezdsalapbettpusa"/>
    <w:link w:val="Cmsor3"/>
    <w:uiPriority w:val="4"/>
    <w:rPr>
      <w:rFonts w:ascii="Calibri" w:eastAsia="Arial Unicode MS" w:hAnsi="Calibri" w:cs="Tiro Devanagari Sanskrit"/>
      <w:kern w:val="32"/>
      <w:lang w:eastAsia="en-US" w:bidi="ar-SA"/>
    </w:rPr>
  </w:style>
  <w:style w:type="character" w:customStyle="1" w:styleId="Cmsor4Char">
    <w:name w:val="Címsor 4 Char"/>
    <w:basedOn w:val="Bekezdsalapbettpusa"/>
    <w:link w:val="Cmsor4"/>
    <w:uiPriority w:val="4"/>
    <w:rPr>
      <w:rFonts w:ascii="Calibri" w:eastAsia="Arial Unicode MS" w:hAnsi="Calibri" w:cs="Tiro Devanagari Sanskrit"/>
      <w:kern w:val="32"/>
      <w:sz w:val="22"/>
      <w:lang w:eastAsia="en-US" w:bidi="ar-SA"/>
    </w:rPr>
  </w:style>
  <w:style w:type="character" w:customStyle="1" w:styleId="Cmsor5Char">
    <w:name w:val="Címsor 5 Char"/>
    <w:basedOn w:val="Bekezdsalapbettpusa"/>
    <w:link w:val="Cmsor5"/>
    <w:uiPriority w:val="4"/>
    <w:rPr>
      <w:rFonts w:ascii="Tahoma" w:eastAsia="Arial Unicode MS" w:hAnsi="Tahoma" w:cs="Tiro Devanagari Sanskrit"/>
      <w:sz w:val="22"/>
      <w:szCs w:val="22"/>
      <w:lang w:val="hu-HU" w:eastAsia="en-US" w:bidi="ar-SA"/>
    </w:rPr>
  </w:style>
  <w:style w:type="table" w:customStyle="1" w:styleId="TableNormal">
    <w:name w:val="Table Normal"/>
    <w:pPr>
      <w:ind w:left="0"/>
    </w:pPr>
    <w:rPr>
      <w:rFonts w:ascii="Gentium Plus" w:eastAsia="Arial Unicode MS" w:hAnsi="Gentium Plus" w:cs="Murty Sanskrit"/>
      <w:lang w:eastAsia="zh-TW"/>
    </w:rPr>
    <w:tblPr>
      <w:tblCellMar>
        <w:top w:w="0" w:type="dxa"/>
        <w:left w:w="0" w:type="dxa"/>
        <w:bottom w:w="0" w:type="dxa"/>
        <w:right w:w="0" w:type="dxa"/>
      </w:tblCellMar>
    </w:tblPr>
  </w:style>
  <w:style w:type="paragraph" w:styleId="Cm">
    <w:name w:val="Title"/>
    <w:basedOn w:val="Norml"/>
    <w:link w:val="CmChar"/>
    <w:uiPriority w:val="9"/>
    <w:qFormat/>
    <w:pPr>
      <w:pageBreakBefore/>
      <w:autoSpaceDE w:val="0"/>
      <w:autoSpaceDN w:val="0"/>
      <w:spacing w:after="240" w:line="240" w:lineRule="auto"/>
      <w:jc w:val="center"/>
      <w:outlineLvl w:val="0"/>
    </w:pPr>
    <w:rPr>
      <w:rFonts w:ascii="Calibri" w:eastAsia="Arial Unicode MS" w:hAnsi="Calibri"/>
      <w:b/>
      <w:bCs/>
      <w:kern w:val="28"/>
      <w:sz w:val="96"/>
      <w:szCs w:val="32"/>
      <w:lang w:eastAsia="en-US" w:bidi="ar-SA"/>
      <w14:ligatures w14:val="none"/>
    </w:rPr>
  </w:style>
  <w:style w:type="character" w:customStyle="1" w:styleId="CmChar">
    <w:name w:val="Cím Char"/>
    <w:basedOn w:val="Bekezdsalapbettpusa"/>
    <w:link w:val="Cm"/>
    <w:uiPriority w:val="9"/>
    <w:rPr>
      <w:rFonts w:ascii="Calibri" w:eastAsia="Arial Unicode MS" w:hAnsi="Calibri" w:cs="Tiro Devanagari Sanskrit"/>
      <w:b/>
      <w:bCs/>
      <w:kern w:val="28"/>
      <w:sz w:val="96"/>
      <w:szCs w:val="32"/>
      <w:lang w:eastAsia="en-US" w:bidi="ar-SA"/>
    </w:rPr>
  </w:style>
  <w:style w:type="paragraph" w:styleId="Alcm">
    <w:name w:val="Subtitle"/>
    <w:basedOn w:val="Norml"/>
    <w:link w:val="AlcmChar"/>
    <w:uiPriority w:val="9"/>
    <w:qFormat/>
    <w:pPr>
      <w:spacing w:before="120" w:after="120"/>
      <w:jc w:val="center"/>
      <w:outlineLvl w:val="1"/>
    </w:pPr>
    <w:rPr>
      <w:rFonts w:ascii="Tahoma" w:hAnsi="Tahoma"/>
      <w:sz w:val="28"/>
      <w:szCs w:val="26"/>
    </w:rPr>
  </w:style>
  <w:style w:type="character" w:customStyle="1" w:styleId="AlcmChar">
    <w:name w:val="Alcím Char"/>
    <w:basedOn w:val="Bekezdsalapbettpusa"/>
    <w:link w:val="Alcm"/>
    <w:uiPriority w:val="9"/>
    <w:rPr>
      <w:rFonts w:ascii="Tahoma" w:eastAsiaTheme="minorEastAsia" w:hAnsi="Tahoma" w:cs="Tiro Devanagari Sanskrit"/>
      <w:kern w:val="2"/>
      <w:sz w:val="28"/>
      <w:szCs w:val="26"/>
      <w:lang w:eastAsia="zh-TW"/>
      <w14:ligatures w14:val="standardContextual"/>
    </w:rPr>
  </w:style>
  <w:style w:type="table" w:customStyle="1" w:styleId="84">
    <w:name w:val="84"/>
    <w:basedOn w:val="TableNormal"/>
    <w:tblPr>
      <w:tblStyleRowBandSize w:val="1"/>
      <w:tblStyleColBandSize w:val="1"/>
      <w:tblCellMar>
        <w:top w:w="100" w:type="dxa"/>
        <w:left w:w="100" w:type="dxa"/>
        <w:bottom w:w="100" w:type="dxa"/>
        <w:right w:w="100" w:type="dxa"/>
      </w:tblCellMar>
    </w:tblPr>
  </w:style>
  <w:style w:type="table" w:customStyle="1" w:styleId="83">
    <w:name w:val="83"/>
    <w:basedOn w:val="TableNormal"/>
    <w:tblPr>
      <w:tblStyleRowBandSize w:val="1"/>
      <w:tblStyleColBandSize w:val="1"/>
      <w:tblCellMar>
        <w:top w:w="100" w:type="dxa"/>
        <w:left w:w="100" w:type="dxa"/>
        <w:bottom w:w="100" w:type="dxa"/>
        <w:right w:w="100" w:type="dxa"/>
      </w:tblCellMar>
    </w:tblPr>
  </w:style>
  <w:style w:type="table" w:customStyle="1" w:styleId="82">
    <w:name w:val="82"/>
    <w:basedOn w:val="TableNormal"/>
    <w:tblPr>
      <w:tblStyleRowBandSize w:val="1"/>
      <w:tblStyleColBandSize w:val="1"/>
      <w:tblCellMar>
        <w:top w:w="100" w:type="dxa"/>
        <w:left w:w="100" w:type="dxa"/>
        <w:bottom w:w="100" w:type="dxa"/>
        <w:right w:w="100" w:type="dxa"/>
      </w:tblCellMar>
    </w:tblPr>
  </w:style>
  <w:style w:type="table" w:customStyle="1" w:styleId="81">
    <w:name w:val="81"/>
    <w:basedOn w:val="TableNormal"/>
    <w:tblPr>
      <w:tblStyleRowBandSize w:val="1"/>
      <w:tblStyleColBandSize w:val="1"/>
      <w:tblCellMar>
        <w:top w:w="100" w:type="dxa"/>
        <w:left w:w="100" w:type="dxa"/>
        <w:bottom w:w="100" w:type="dxa"/>
        <w:right w:w="100" w:type="dxa"/>
      </w:tblCellMar>
    </w:tblPr>
  </w:style>
  <w:style w:type="table" w:customStyle="1" w:styleId="80">
    <w:name w:val="80"/>
    <w:basedOn w:val="TableNormal"/>
    <w:tblPr>
      <w:tblStyleRowBandSize w:val="1"/>
      <w:tblStyleColBandSize w:val="1"/>
      <w:tblCellMar>
        <w:top w:w="100" w:type="dxa"/>
        <w:left w:w="100" w:type="dxa"/>
        <w:bottom w:w="100" w:type="dxa"/>
        <w:right w:w="100" w:type="dxa"/>
      </w:tblCellMar>
    </w:tblPr>
  </w:style>
  <w:style w:type="table" w:customStyle="1" w:styleId="79">
    <w:name w:val="79"/>
    <w:basedOn w:val="TableNormal"/>
    <w:tblPr>
      <w:tblStyleRowBandSize w:val="1"/>
      <w:tblStyleColBandSize w:val="1"/>
      <w:tblCellMar>
        <w:top w:w="100" w:type="dxa"/>
        <w:left w:w="100" w:type="dxa"/>
        <w:bottom w:w="100" w:type="dxa"/>
        <w:right w:w="100" w:type="dxa"/>
      </w:tblCellMar>
    </w:tblPr>
  </w:style>
  <w:style w:type="table" w:customStyle="1" w:styleId="78">
    <w:name w:val="78"/>
    <w:basedOn w:val="TableNormal"/>
    <w:tblPr>
      <w:tblStyleRowBandSize w:val="1"/>
      <w:tblStyleColBandSize w:val="1"/>
      <w:tblCellMar>
        <w:top w:w="100" w:type="dxa"/>
        <w:left w:w="100" w:type="dxa"/>
        <w:bottom w:w="100" w:type="dxa"/>
        <w:right w:w="100" w:type="dxa"/>
      </w:tblCellMar>
    </w:tblPr>
  </w:style>
  <w:style w:type="table" w:customStyle="1" w:styleId="77">
    <w:name w:val="77"/>
    <w:basedOn w:val="TableNormal"/>
    <w:tblPr>
      <w:tblStyleRowBandSize w:val="1"/>
      <w:tblStyleColBandSize w:val="1"/>
      <w:tblCellMar>
        <w:top w:w="100" w:type="dxa"/>
        <w:left w:w="100" w:type="dxa"/>
        <w:bottom w:w="100" w:type="dxa"/>
        <w:right w:w="100" w:type="dxa"/>
      </w:tblCellMar>
    </w:tblPr>
  </w:style>
  <w:style w:type="table" w:customStyle="1" w:styleId="76">
    <w:name w:val="76"/>
    <w:basedOn w:val="TableNormal"/>
    <w:tblPr>
      <w:tblStyleRowBandSize w:val="1"/>
      <w:tblStyleColBandSize w:val="1"/>
      <w:tblCellMar>
        <w:top w:w="100" w:type="dxa"/>
        <w:left w:w="100" w:type="dxa"/>
        <w:bottom w:w="100" w:type="dxa"/>
        <w:right w:w="100" w:type="dxa"/>
      </w:tblCellMar>
    </w:tblPr>
  </w:style>
  <w:style w:type="table" w:customStyle="1" w:styleId="75">
    <w:name w:val="75"/>
    <w:basedOn w:val="TableNormal"/>
    <w:tblPr>
      <w:tblStyleRowBandSize w:val="1"/>
      <w:tblStyleColBandSize w:val="1"/>
      <w:tblCellMar>
        <w:top w:w="100" w:type="dxa"/>
        <w:left w:w="100" w:type="dxa"/>
        <w:bottom w:w="100" w:type="dxa"/>
        <w:right w:w="100" w:type="dxa"/>
      </w:tblCellMar>
    </w:tblPr>
  </w:style>
  <w:style w:type="table" w:customStyle="1" w:styleId="74">
    <w:name w:val="74"/>
    <w:basedOn w:val="TableNormal"/>
    <w:tblPr>
      <w:tblStyleRowBandSize w:val="1"/>
      <w:tblStyleColBandSize w:val="1"/>
      <w:tblCellMar>
        <w:top w:w="100" w:type="dxa"/>
        <w:left w:w="100" w:type="dxa"/>
        <w:bottom w:w="100" w:type="dxa"/>
        <w:right w:w="100" w:type="dxa"/>
      </w:tblCellMar>
    </w:tblPr>
  </w:style>
  <w:style w:type="table" w:customStyle="1" w:styleId="73">
    <w:name w:val="73"/>
    <w:basedOn w:val="TableNormal"/>
    <w:tblPr>
      <w:tblStyleRowBandSize w:val="1"/>
      <w:tblStyleColBandSize w:val="1"/>
      <w:tblCellMar>
        <w:top w:w="100" w:type="dxa"/>
        <w:left w:w="100" w:type="dxa"/>
        <w:bottom w:w="100" w:type="dxa"/>
        <w:right w:w="100" w:type="dxa"/>
      </w:tblCellMar>
    </w:tblPr>
  </w:style>
  <w:style w:type="table" w:customStyle="1" w:styleId="72">
    <w:name w:val="72"/>
    <w:basedOn w:val="TableNormal"/>
    <w:tblPr>
      <w:tblStyleRowBandSize w:val="1"/>
      <w:tblStyleColBandSize w:val="1"/>
      <w:tblCellMar>
        <w:top w:w="100" w:type="dxa"/>
        <w:left w:w="100" w:type="dxa"/>
        <w:bottom w:w="100" w:type="dxa"/>
        <w:right w:w="100" w:type="dxa"/>
      </w:tblCellMar>
    </w:tblPr>
  </w:style>
  <w:style w:type="table" w:customStyle="1" w:styleId="71">
    <w:name w:val="71"/>
    <w:basedOn w:val="TableNormal"/>
    <w:tblPr>
      <w:tblStyleRowBandSize w:val="1"/>
      <w:tblStyleColBandSize w:val="1"/>
      <w:tblCellMar>
        <w:top w:w="100" w:type="dxa"/>
        <w:left w:w="100" w:type="dxa"/>
        <w:bottom w:w="100" w:type="dxa"/>
        <w:right w:w="100" w:type="dxa"/>
      </w:tblCellMar>
    </w:tblPr>
  </w:style>
  <w:style w:type="table" w:customStyle="1" w:styleId="70">
    <w:name w:val="70"/>
    <w:basedOn w:val="TableNormal"/>
    <w:tblPr>
      <w:tblStyleRowBandSize w:val="1"/>
      <w:tblStyleColBandSize w:val="1"/>
      <w:tblCellMar>
        <w:top w:w="100" w:type="dxa"/>
        <w:left w:w="100" w:type="dxa"/>
        <w:bottom w:w="100" w:type="dxa"/>
        <w:right w:w="100" w:type="dxa"/>
      </w:tblCellMar>
    </w:tblPr>
  </w:style>
  <w:style w:type="table" w:customStyle="1" w:styleId="69">
    <w:name w:val="69"/>
    <w:basedOn w:val="TableNormal"/>
    <w:tblPr>
      <w:tblStyleRowBandSize w:val="1"/>
      <w:tblStyleColBandSize w:val="1"/>
      <w:tblCellMar>
        <w:top w:w="100" w:type="dxa"/>
        <w:left w:w="100" w:type="dxa"/>
        <w:bottom w:w="100" w:type="dxa"/>
        <w:right w:w="100" w:type="dxa"/>
      </w:tblCellMar>
    </w:tblPr>
  </w:style>
  <w:style w:type="table" w:customStyle="1" w:styleId="68">
    <w:name w:val="68"/>
    <w:basedOn w:val="TableNormal"/>
    <w:tblPr>
      <w:tblStyleRowBandSize w:val="1"/>
      <w:tblStyleColBandSize w:val="1"/>
      <w:tblCellMar>
        <w:top w:w="100" w:type="dxa"/>
        <w:left w:w="100" w:type="dxa"/>
        <w:bottom w:w="100" w:type="dxa"/>
        <w:right w:w="100" w:type="dxa"/>
      </w:tblCellMar>
    </w:tblPr>
  </w:style>
  <w:style w:type="table" w:customStyle="1" w:styleId="67">
    <w:name w:val="67"/>
    <w:basedOn w:val="TableNormal"/>
    <w:tblPr>
      <w:tblStyleRowBandSize w:val="1"/>
      <w:tblStyleColBandSize w:val="1"/>
      <w:tblCellMar>
        <w:top w:w="100" w:type="dxa"/>
        <w:left w:w="100" w:type="dxa"/>
        <w:bottom w:w="100" w:type="dxa"/>
        <w:right w:w="100" w:type="dxa"/>
      </w:tblCellMar>
    </w:tblPr>
  </w:style>
  <w:style w:type="table" w:customStyle="1" w:styleId="66">
    <w:name w:val="66"/>
    <w:basedOn w:val="TableNormal"/>
    <w:tblPr>
      <w:tblStyleRowBandSize w:val="1"/>
      <w:tblStyleColBandSize w:val="1"/>
      <w:tblCellMar>
        <w:top w:w="100" w:type="dxa"/>
        <w:left w:w="100" w:type="dxa"/>
        <w:bottom w:w="100" w:type="dxa"/>
        <w:right w:w="100" w:type="dxa"/>
      </w:tblCellMar>
    </w:tblPr>
  </w:style>
  <w:style w:type="table" w:customStyle="1" w:styleId="65">
    <w:name w:val="65"/>
    <w:basedOn w:val="TableNormal"/>
    <w:tblPr>
      <w:tblStyleRowBandSize w:val="1"/>
      <w:tblStyleColBandSize w:val="1"/>
      <w:tblCellMar>
        <w:top w:w="100" w:type="dxa"/>
        <w:left w:w="100" w:type="dxa"/>
        <w:bottom w:w="100" w:type="dxa"/>
        <w:right w:w="100" w:type="dxa"/>
      </w:tblCellMar>
    </w:tblPr>
  </w:style>
  <w:style w:type="table" w:customStyle="1" w:styleId="64">
    <w:name w:val="64"/>
    <w:basedOn w:val="TableNormal"/>
    <w:tblPr>
      <w:tblStyleRowBandSize w:val="1"/>
      <w:tblStyleColBandSize w:val="1"/>
      <w:tblCellMar>
        <w:top w:w="100" w:type="dxa"/>
        <w:left w:w="100" w:type="dxa"/>
        <w:bottom w:w="100" w:type="dxa"/>
        <w:right w:w="100" w:type="dxa"/>
      </w:tblCellMar>
    </w:tblPr>
  </w:style>
  <w:style w:type="table" w:customStyle="1" w:styleId="63">
    <w:name w:val="63"/>
    <w:basedOn w:val="TableNormal"/>
    <w:tblPr>
      <w:tblStyleRowBandSize w:val="1"/>
      <w:tblStyleColBandSize w:val="1"/>
      <w:tblCellMar>
        <w:top w:w="100" w:type="dxa"/>
        <w:left w:w="100" w:type="dxa"/>
        <w:bottom w:w="100" w:type="dxa"/>
        <w:right w:w="100" w:type="dxa"/>
      </w:tblCellMar>
    </w:tblPr>
  </w:style>
  <w:style w:type="table" w:customStyle="1" w:styleId="62">
    <w:name w:val="62"/>
    <w:basedOn w:val="TableNormal"/>
    <w:tblPr>
      <w:tblStyleRowBandSize w:val="1"/>
      <w:tblStyleColBandSize w:val="1"/>
      <w:tblCellMar>
        <w:top w:w="100" w:type="dxa"/>
        <w:left w:w="100" w:type="dxa"/>
        <w:bottom w:w="100" w:type="dxa"/>
        <w:right w:w="100" w:type="dxa"/>
      </w:tblCellMar>
    </w:tblPr>
  </w:style>
  <w:style w:type="table" w:customStyle="1" w:styleId="61">
    <w:name w:val="61"/>
    <w:basedOn w:val="TableNormal"/>
    <w:tblPr>
      <w:tblStyleRowBandSize w:val="1"/>
      <w:tblStyleColBandSize w:val="1"/>
      <w:tblCellMar>
        <w:top w:w="100" w:type="dxa"/>
        <w:left w:w="100" w:type="dxa"/>
        <w:bottom w:w="100" w:type="dxa"/>
        <w:right w:w="100" w:type="dxa"/>
      </w:tblCellMar>
    </w:tblPr>
  </w:style>
  <w:style w:type="table" w:customStyle="1" w:styleId="60">
    <w:name w:val="60"/>
    <w:basedOn w:val="TableNormal"/>
    <w:tblPr>
      <w:tblStyleRowBandSize w:val="1"/>
      <w:tblStyleColBandSize w:val="1"/>
      <w:tblCellMar>
        <w:top w:w="100" w:type="dxa"/>
        <w:left w:w="100" w:type="dxa"/>
        <w:bottom w:w="100" w:type="dxa"/>
        <w:right w:w="100" w:type="dxa"/>
      </w:tblCellMar>
    </w:tblPr>
  </w:style>
  <w:style w:type="table" w:customStyle="1" w:styleId="59">
    <w:name w:val="59"/>
    <w:basedOn w:val="TableNormal"/>
    <w:tblPr>
      <w:tblStyleRowBandSize w:val="1"/>
      <w:tblStyleColBandSize w:val="1"/>
      <w:tblCellMar>
        <w:top w:w="100" w:type="dxa"/>
        <w:left w:w="100" w:type="dxa"/>
        <w:bottom w:w="100" w:type="dxa"/>
        <w:right w:w="100" w:type="dxa"/>
      </w:tblCellMar>
    </w:tblPr>
  </w:style>
  <w:style w:type="table" w:customStyle="1" w:styleId="58">
    <w:name w:val="58"/>
    <w:basedOn w:val="TableNormal"/>
    <w:tblPr>
      <w:tblStyleRowBandSize w:val="1"/>
      <w:tblStyleColBandSize w:val="1"/>
      <w:tblCellMar>
        <w:top w:w="100" w:type="dxa"/>
        <w:left w:w="100" w:type="dxa"/>
        <w:bottom w:w="100" w:type="dxa"/>
        <w:right w:w="100" w:type="dxa"/>
      </w:tblCellMar>
    </w:tblPr>
  </w:style>
  <w:style w:type="table" w:customStyle="1" w:styleId="57">
    <w:name w:val="57"/>
    <w:basedOn w:val="TableNormal"/>
    <w:tblPr>
      <w:tblStyleRowBandSize w:val="1"/>
      <w:tblStyleColBandSize w:val="1"/>
      <w:tblCellMar>
        <w:top w:w="100" w:type="dxa"/>
        <w:left w:w="100" w:type="dxa"/>
        <w:bottom w:w="100" w:type="dxa"/>
        <w:right w:w="100" w:type="dxa"/>
      </w:tblCellMar>
    </w:tblPr>
  </w:style>
  <w:style w:type="table" w:customStyle="1" w:styleId="56">
    <w:name w:val="56"/>
    <w:basedOn w:val="TableNormal"/>
    <w:tblPr>
      <w:tblStyleRowBandSize w:val="1"/>
      <w:tblStyleColBandSize w:val="1"/>
      <w:tblCellMar>
        <w:top w:w="100" w:type="dxa"/>
        <w:left w:w="100" w:type="dxa"/>
        <w:bottom w:w="100" w:type="dxa"/>
        <w:right w:w="100" w:type="dxa"/>
      </w:tblCellMar>
    </w:tblPr>
  </w:style>
  <w:style w:type="table" w:customStyle="1" w:styleId="55">
    <w:name w:val="55"/>
    <w:basedOn w:val="TableNormal"/>
    <w:tblPr>
      <w:tblStyleRowBandSize w:val="1"/>
      <w:tblStyleColBandSize w:val="1"/>
      <w:tblCellMar>
        <w:top w:w="100" w:type="dxa"/>
        <w:left w:w="100" w:type="dxa"/>
        <w:bottom w:w="100" w:type="dxa"/>
        <w:right w:w="100" w:type="dxa"/>
      </w:tblCellMar>
    </w:tblPr>
  </w:style>
  <w:style w:type="table" w:customStyle="1" w:styleId="54">
    <w:name w:val="54"/>
    <w:basedOn w:val="TableNormal"/>
    <w:tblPr>
      <w:tblStyleRowBandSize w:val="1"/>
      <w:tblStyleColBandSize w:val="1"/>
      <w:tblCellMar>
        <w:top w:w="100" w:type="dxa"/>
        <w:left w:w="100" w:type="dxa"/>
        <w:bottom w:w="100" w:type="dxa"/>
        <w:right w:w="100" w:type="dxa"/>
      </w:tblCellMar>
    </w:tblPr>
  </w:style>
  <w:style w:type="table" w:customStyle="1" w:styleId="53">
    <w:name w:val="53"/>
    <w:basedOn w:val="TableNormal"/>
    <w:tblPr>
      <w:tblStyleRowBandSize w:val="1"/>
      <w:tblStyleColBandSize w:val="1"/>
      <w:tblCellMar>
        <w:top w:w="100" w:type="dxa"/>
        <w:left w:w="100" w:type="dxa"/>
        <w:bottom w:w="100" w:type="dxa"/>
        <w:right w:w="100" w:type="dxa"/>
      </w:tblCellMar>
    </w:tblPr>
  </w:style>
  <w:style w:type="table" w:customStyle="1" w:styleId="52">
    <w:name w:val="52"/>
    <w:basedOn w:val="TableNormal"/>
    <w:tblPr>
      <w:tblStyleRowBandSize w:val="1"/>
      <w:tblStyleColBandSize w:val="1"/>
      <w:tblCellMar>
        <w:top w:w="100" w:type="dxa"/>
        <w:left w:w="100" w:type="dxa"/>
        <w:bottom w:w="100" w:type="dxa"/>
        <w:right w:w="100" w:type="dxa"/>
      </w:tblCellMar>
    </w:tblPr>
  </w:style>
  <w:style w:type="table" w:customStyle="1" w:styleId="51">
    <w:name w:val="51"/>
    <w:basedOn w:val="TableNormal"/>
    <w:tblPr>
      <w:tblStyleRowBandSize w:val="1"/>
      <w:tblStyleColBandSize w:val="1"/>
      <w:tblCellMar>
        <w:top w:w="100" w:type="dxa"/>
        <w:left w:w="100" w:type="dxa"/>
        <w:bottom w:w="100" w:type="dxa"/>
        <w:right w:w="100" w:type="dxa"/>
      </w:tblCellMar>
    </w:tblPr>
  </w:style>
  <w:style w:type="table" w:customStyle="1" w:styleId="50">
    <w:name w:val="50"/>
    <w:basedOn w:val="TableNormal"/>
    <w:tblPr>
      <w:tblStyleRowBandSize w:val="1"/>
      <w:tblStyleColBandSize w:val="1"/>
      <w:tblCellMar>
        <w:top w:w="100" w:type="dxa"/>
        <w:left w:w="100" w:type="dxa"/>
        <w:bottom w:w="100" w:type="dxa"/>
        <w:right w:w="100" w:type="dxa"/>
      </w:tblCellMar>
    </w:tblPr>
  </w:style>
  <w:style w:type="table" w:customStyle="1" w:styleId="49">
    <w:name w:val="49"/>
    <w:basedOn w:val="TableNormal"/>
    <w:tblPr>
      <w:tblStyleRowBandSize w:val="1"/>
      <w:tblStyleColBandSize w:val="1"/>
      <w:tblCellMar>
        <w:top w:w="100" w:type="dxa"/>
        <w:left w:w="100" w:type="dxa"/>
        <w:bottom w:w="100" w:type="dxa"/>
        <w:right w:w="100" w:type="dxa"/>
      </w:tblCellMar>
    </w:tblPr>
  </w:style>
  <w:style w:type="table" w:customStyle="1" w:styleId="48">
    <w:name w:val="48"/>
    <w:basedOn w:val="TableNormal"/>
    <w:tblPr>
      <w:tblStyleRowBandSize w:val="1"/>
      <w:tblStyleColBandSize w:val="1"/>
      <w:tblCellMar>
        <w:top w:w="100" w:type="dxa"/>
        <w:left w:w="100" w:type="dxa"/>
        <w:bottom w:w="100" w:type="dxa"/>
        <w:right w:w="100" w:type="dxa"/>
      </w:tblCellMar>
    </w:tblPr>
  </w:style>
  <w:style w:type="table" w:customStyle="1" w:styleId="47">
    <w:name w:val="47"/>
    <w:basedOn w:val="TableNormal"/>
    <w:tblPr>
      <w:tblStyleRowBandSize w:val="1"/>
      <w:tblStyleColBandSize w:val="1"/>
      <w:tblCellMar>
        <w:top w:w="100" w:type="dxa"/>
        <w:left w:w="100" w:type="dxa"/>
        <w:bottom w:w="100" w:type="dxa"/>
        <w:right w:w="100" w:type="dxa"/>
      </w:tblCellMar>
    </w:tblPr>
  </w:style>
  <w:style w:type="table" w:customStyle="1" w:styleId="46">
    <w:name w:val="46"/>
    <w:basedOn w:val="TableNormal"/>
    <w:tblPr>
      <w:tblStyleRowBandSize w:val="1"/>
      <w:tblStyleColBandSize w:val="1"/>
      <w:tblCellMar>
        <w:top w:w="100" w:type="dxa"/>
        <w:left w:w="100" w:type="dxa"/>
        <w:bottom w:w="100" w:type="dxa"/>
        <w:right w:w="100" w:type="dxa"/>
      </w:tblCellMar>
    </w:tblPr>
  </w:style>
  <w:style w:type="table" w:customStyle="1" w:styleId="45">
    <w:name w:val="45"/>
    <w:basedOn w:val="TableNormal"/>
    <w:tblPr>
      <w:tblStyleRowBandSize w:val="1"/>
      <w:tblStyleColBandSize w:val="1"/>
      <w:tblCellMar>
        <w:top w:w="100" w:type="dxa"/>
        <w:left w:w="100" w:type="dxa"/>
        <w:bottom w:w="100" w:type="dxa"/>
        <w:right w:w="100" w:type="dxa"/>
      </w:tblCellMar>
    </w:tblPr>
  </w:style>
  <w:style w:type="table" w:customStyle="1" w:styleId="44">
    <w:name w:val="44"/>
    <w:basedOn w:val="TableNormal"/>
    <w:tblPr>
      <w:tblStyleRowBandSize w:val="1"/>
      <w:tblStyleColBandSize w:val="1"/>
      <w:tblCellMar>
        <w:top w:w="100" w:type="dxa"/>
        <w:left w:w="100" w:type="dxa"/>
        <w:bottom w:w="100" w:type="dxa"/>
        <w:right w:w="100" w:type="dxa"/>
      </w:tblCellMar>
    </w:tblPr>
  </w:style>
  <w:style w:type="table" w:customStyle="1" w:styleId="43">
    <w:name w:val="43"/>
    <w:basedOn w:val="TableNormal"/>
    <w:tblPr>
      <w:tblStyleRowBandSize w:val="1"/>
      <w:tblStyleColBandSize w:val="1"/>
      <w:tblCellMar>
        <w:top w:w="100" w:type="dxa"/>
        <w:left w:w="100" w:type="dxa"/>
        <w:bottom w:w="100" w:type="dxa"/>
        <w:right w:w="100" w:type="dxa"/>
      </w:tblCellMar>
    </w:tblPr>
  </w:style>
  <w:style w:type="table" w:customStyle="1" w:styleId="42">
    <w:name w:val="42"/>
    <w:basedOn w:val="TableNormal"/>
    <w:tblPr>
      <w:tblStyleRowBandSize w:val="1"/>
      <w:tblStyleColBandSize w:val="1"/>
      <w:tblCellMar>
        <w:top w:w="100" w:type="dxa"/>
        <w:left w:w="100" w:type="dxa"/>
        <w:bottom w:w="100" w:type="dxa"/>
        <w:right w:w="100" w:type="dxa"/>
      </w:tblCellMar>
    </w:tblPr>
  </w:style>
  <w:style w:type="table" w:customStyle="1" w:styleId="41">
    <w:name w:val="41"/>
    <w:basedOn w:val="TableNormal"/>
    <w:tblPr>
      <w:tblStyleRowBandSize w:val="1"/>
      <w:tblStyleColBandSize w:val="1"/>
      <w:tblCellMar>
        <w:top w:w="100" w:type="dxa"/>
        <w:left w:w="100" w:type="dxa"/>
        <w:bottom w:w="100" w:type="dxa"/>
        <w:right w:w="100" w:type="dxa"/>
      </w:tblCellMar>
    </w:tblPr>
  </w:style>
  <w:style w:type="table" w:customStyle="1" w:styleId="40">
    <w:name w:val="40"/>
    <w:basedOn w:val="TableNormal"/>
    <w:tblPr>
      <w:tblStyleRowBandSize w:val="1"/>
      <w:tblStyleColBandSize w:val="1"/>
      <w:tblCellMar>
        <w:top w:w="100" w:type="dxa"/>
        <w:left w:w="100" w:type="dxa"/>
        <w:bottom w:w="100" w:type="dxa"/>
        <w:right w:w="100" w:type="dxa"/>
      </w:tblCellMar>
    </w:tblPr>
  </w:style>
  <w:style w:type="table" w:customStyle="1" w:styleId="39">
    <w:name w:val="39"/>
    <w:basedOn w:val="TableNormal"/>
    <w:tblPr>
      <w:tblStyleRowBandSize w:val="1"/>
      <w:tblStyleColBandSize w:val="1"/>
      <w:tblCellMar>
        <w:top w:w="100" w:type="dxa"/>
        <w:left w:w="100" w:type="dxa"/>
        <w:bottom w:w="100" w:type="dxa"/>
        <w:right w:w="100" w:type="dxa"/>
      </w:tblCellMar>
    </w:tblPr>
  </w:style>
  <w:style w:type="table" w:customStyle="1" w:styleId="38">
    <w:name w:val="38"/>
    <w:basedOn w:val="TableNormal"/>
    <w:tblPr>
      <w:tblStyleRowBandSize w:val="1"/>
      <w:tblStyleColBandSize w:val="1"/>
      <w:tblCellMar>
        <w:top w:w="100" w:type="dxa"/>
        <w:left w:w="100" w:type="dxa"/>
        <w:bottom w:w="100" w:type="dxa"/>
        <w:right w:w="100" w:type="dxa"/>
      </w:tblCellMar>
    </w:tblPr>
  </w:style>
  <w:style w:type="table" w:customStyle="1" w:styleId="37">
    <w:name w:val="37"/>
    <w:basedOn w:val="TableNormal"/>
    <w:tblPr>
      <w:tblStyleRowBandSize w:val="1"/>
      <w:tblStyleColBandSize w:val="1"/>
      <w:tblCellMar>
        <w:top w:w="100" w:type="dxa"/>
        <w:left w:w="100" w:type="dxa"/>
        <w:bottom w:w="100" w:type="dxa"/>
        <w:right w:w="100" w:type="dxa"/>
      </w:tblCellMar>
    </w:tblPr>
  </w:style>
  <w:style w:type="table" w:customStyle="1" w:styleId="36">
    <w:name w:val="36"/>
    <w:basedOn w:val="TableNormal"/>
    <w:tblPr>
      <w:tblStyleRowBandSize w:val="1"/>
      <w:tblStyleColBandSize w:val="1"/>
      <w:tblCellMar>
        <w:top w:w="100" w:type="dxa"/>
        <w:left w:w="100" w:type="dxa"/>
        <w:bottom w:w="100" w:type="dxa"/>
        <w:right w:w="100" w:type="dxa"/>
      </w:tblCellMar>
    </w:tblPr>
  </w:style>
  <w:style w:type="table" w:customStyle="1" w:styleId="35">
    <w:name w:val="35"/>
    <w:basedOn w:val="TableNormal"/>
    <w:tblPr>
      <w:tblStyleRowBandSize w:val="1"/>
      <w:tblStyleColBandSize w:val="1"/>
      <w:tblCellMar>
        <w:top w:w="100" w:type="dxa"/>
        <w:left w:w="100" w:type="dxa"/>
        <w:bottom w:w="100" w:type="dxa"/>
        <w:right w:w="100" w:type="dxa"/>
      </w:tblCellMar>
    </w:tbl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CellMar>
        <w:top w:w="100" w:type="dxa"/>
        <w:left w:w="100" w:type="dxa"/>
        <w:bottom w:w="100" w:type="dxa"/>
        <w:right w:w="100" w:type="dxa"/>
      </w:tblCellMar>
    </w:tblPr>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CellMar>
        <w:top w:w="100" w:type="dxa"/>
        <w:left w:w="100" w:type="dxa"/>
        <w:bottom w:w="100" w:type="dxa"/>
        <w:right w:w="100" w:type="dxa"/>
      </w:tblCellMar>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CellMar>
        <w:top w:w="100" w:type="dxa"/>
        <w:left w:w="100" w:type="dxa"/>
        <w:bottom w:w="100" w:type="dxa"/>
        <w:right w:w="100" w:type="dxa"/>
      </w:tblCellMar>
    </w:tblPr>
  </w:style>
  <w:style w:type="table" w:customStyle="1" w:styleId="23">
    <w:name w:val="23"/>
    <w:basedOn w:val="TableNormal"/>
    <w:tblPr>
      <w:tblStyleRowBandSize w:val="1"/>
      <w:tblStyleColBandSize w:val="1"/>
      <w:tblCellMar>
        <w:top w:w="100" w:type="dxa"/>
        <w:left w:w="100" w:type="dxa"/>
        <w:bottom w:w="100" w:type="dxa"/>
        <w:right w:w="100" w:type="dxa"/>
      </w:tblCellMar>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CellMar>
        <w:top w:w="100" w:type="dxa"/>
        <w:left w:w="100" w:type="dxa"/>
        <w:bottom w:w="100" w:type="dxa"/>
        <w:right w:w="100" w:type="dxa"/>
      </w:tblCellMar>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Jegyzetszveg">
    <w:name w:val="annotation text"/>
    <w:basedOn w:val="Norml"/>
    <w:link w:val="JegyzetszvegChar"/>
    <w:uiPriority w:val="99"/>
    <w:unhideWhenUsed/>
    <w:rPr>
      <w:rFonts w:cs="Murty Sanskrit"/>
      <w:sz w:val="20"/>
      <w:szCs w:val="18"/>
    </w:rPr>
  </w:style>
  <w:style w:type="character" w:customStyle="1" w:styleId="JegyzetszvegChar">
    <w:name w:val="Jegyzetszöveg Char"/>
    <w:basedOn w:val="Bekezdsalapbettpusa"/>
    <w:link w:val="Jegyzetszveg"/>
    <w:uiPriority w:val="99"/>
    <w:rPr>
      <w:rFonts w:ascii="Gentium" w:eastAsiaTheme="minorEastAsia" w:hAnsi="Gentium" w:cs="Murty Sanskrit"/>
      <w:kern w:val="2"/>
      <w:sz w:val="20"/>
      <w:szCs w:val="18"/>
      <w:lang w:eastAsia="zh-TW"/>
      <w14:ligatures w14:val="standardContextual"/>
    </w:rPr>
  </w:style>
  <w:style w:type="character" w:styleId="Jegyzethivatkozs">
    <w:name w:val="annotation reference"/>
    <w:basedOn w:val="Bekezdsalapbettpusa"/>
    <w:uiPriority w:val="99"/>
    <w:semiHidden/>
    <w:unhideWhenUsed/>
    <w:rPr>
      <w:sz w:val="16"/>
      <w:szCs w:val="16"/>
    </w:rPr>
  </w:style>
  <w:style w:type="paragraph" w:styleId="Buborkszveg">
    <w:name w:val="Balloon Text"/>
    <w:basedOn w:val="Norml"/>
    <w:link w:val="BuborkszvegChar"/>
    <w:uiPriority w:val="99"/>
    <w:semiHidden/>
    <w:unhideWhenUsed/>
    <w:rPr>
      <w:rFonts w:ascii="Segoe UI" w:hAnsi="Segoe UI" w:cs="Murty Sanskrit"/>
      <w:sz w:val="18"/>
      <w:szCs w:val="16"/>
    </w:rPr>
  </w:style>
  <w:style w:type="character" w:customStyle="1" w:styleId="BuborkszvegChar">
    <w:name w:val="Buborékszöveg Char"/>
    <w:basedOn w:val="Bekezdsalapbettpusa"/>
    <w:link w:val="Buborkszveg"/>
    <w:uiPriority w:val="99"/>
    <w:semiHidden/>
    <w:rPr>
      <w:rFonts w:ascii="Segoe UI" w:eastAsiaTheme="minorEastAsia" w:hAnsi="Segoe UI" w:cs="Murty Sanskrit"/>
      <w:kern w:val="2"/>
      <w:sz w:val="18"/>
      <w:szCs w:val="16"/>
      <w:lang w:eastAsia="zh-TW"/>
      <w14:ligatures w14:val="standardContextual"/>
    </w:rPr>
  </w:style>
  <w:style w:type="paragraph" w:styleId="llb">
    <w:name w:val="footer"/>
    <w:basedOn w:val="Norml"/>
    <w:link w:val="llbChar"/>
    <w:uiPriority w:val="24"/>
    <w:pPr>
      <w:tabs>
        <w:tab w:val="center" w:pos="4536"/>
        <w:tab w:val="right" w:pos="9072"/>
      </w:tabs>
    </w:pPr>
  </w:style>
  <w:style w:type="character" w:customStyle="1" w:styleId="llbChar">
    <w:name w:val="Élőláb Char"/>
    <w:basedOn w:val="Bekezdsalapbettpusa"/>
    <w:link w:val="llb"/>
    <w:uiPriority w:val="24"/>
    <w:rPr>
      <w:rFonts w:ascii="Gentium" w:eastAsiaTheme="minorEastAsia" w:hAnsi="Gentium" w:cs="Tiro Devanagari Sanskrit"/>
      <w:kern w:val="2"/>
      <w:sz w:val="22"/>
      <w:szCs w:val="22"/>
      <w:lang w:eastAsia="zh-TW"/>
      <w14:ligatures w14:val="standardContextual"/>
    </w:rPr>
  </w:style>
  <w:style w:type="character" w:customStyle="1" w:styleId="Foreign">
    <w:name w:val="Foreign"/>
    <w:basedOn w:val="Bekezdsalapbettpusa"/>
    <w:uiPriority w:val="1"/>
    <w:rPr>
      <w:i/>
      <w:iCs/>
      <w:noProof/>
    </w:rPr>
  </w:style>
  <w:style w:type="paragraph" w:styleId="Lista">
    <w:name w:val="List"/>
    <w:basedOn w:val="Norml"/>
    <w:uiPriority w:val="7"/>
    <w:qFormat/>
    <w:pPr>
      <w:numPr>
        <w:numId w:val="2"/>
      </w:numPr>
      <w:suppressAutoHyphens/>
      <w:jc w:val="left"/>
    </w:pPr>
  </w:style>
  <w:style w:type="paragraph" w:styleId="Lista2">
    <w:name w:val="List 2"/>
    <w:basedOn w:val="Lista"/>
    <w:uiPriority w:val="7"/>
    <w:pPr>
      <w:numPr>
        <w:ilvl w:val="1"/>
      </w:numPr>
    </w:pPr>
  </w:style>
  <w:style w:type="paragraph" w:styleId="Lista3">
    <w:name w:val="List 3"/>
    <w:basedOn w:val="Lista"/>
    <w:uiPriority w:val="7"/>
    <w:pPr>
      <w:numPr>
        <w:ilvl w:val="2"/>
      </w:numPr>
    </w:pPr>
  </w:style>
  <w:style w:type="paragraph" w:styleId="Lista4">
    <w:name w:val="List 4"/>
    <w:basedOn w:val="Lista"/>
    <w:uiPriority w:val="7"/>
    <w:pPr>
      <w:numPr>
        <w:ilvl w:val="3"/>
      </w:numPr>
    </w:pPr>
  </w:style>
  <w:style w:type="paragraph" w:styleId="Lista5">
    <w:name w:val="List 5"/>
    <w:basedOn w:val="Lista"/>
    <w:uiPriority w:val="7"/>
    <w:pPr>
      <w:numPr>
        <w:ilvl w:val="4"/>
      </w:numPr>
    </w:pPr>
  </w:style>
  <w:style w:type="character" w:customStyle="1" w:styleId="Nv">
    <w:name w:val="Név"/>
    <w:basedOn w:val="Bekezdsalapbettpusa"/>
    <w:uiPriority w:val="1"/>
    <w:rPr>
      <w:smallCaps/>
      <w:noProof/>
    </w:rPr>
  </w:style>
  <w:style w:type="paragraph" w:styleId="lfej">
    <w:name w:val="header"/>
    <w:basedOn w:val="Norml"/>
    <w:link w:val="lfejChar"/>
    <w:uiPriority w:val="24"/>
    <w:qFormat/>
    <w:pPr>
      <w:tabs>
        <w:tab w:val="center" w:pos="4536"/>
        <w:tab w:val="right" w:pos="9072"/>
      </w:tabs>
    </w:pPr>
  </w:style>
  <w:style w:type="character" w:customStyle="1" w:styleId="lfejChar">
    <w:name w:val="Élőfej Char"/>
    <w:basedOn w:val="Bekezdsalapbettpusa"/>
    <w:link w:val="lfej"/>
    <w:uiPriority w:val="24"/>
    <w:rPr>
      <w:rFonts w:ascii="Gentium" w:eastAsiaTheme="minorEastAsia" w:hAnsi="Gentium" w:cs="Tiro Devanagari Sanskrit"/>
      <w:kern w:val="2"/>
      <w:sz w:val="22"/>
      <w:szCs w:val="22"/>
      <w:lang w:eastAsia="zh-TW"/>
      <w14:ligatures w14:val="standardContextual"/>
    </w:rPr>
  </w:style>
  <w:style w:type="paragraph" w:styleId="Irodalomjegyzk">
    <w:name w:val="Bibliography"/>
    <w:aliases w:val="Bibliography"/>
    <w:basedOn w:val="Norml"/>
    <w:uiPriority w:val="37"/>
    <w:pPr>
      <w:spacing w:line="300" w:lineRule="exact"/>
      <w:ind w:left="720" w:hanging="720"/>
      <w:jc w:val="left"/>
    </w:pPr>
  </w:style>
  <w:style w:type="character" w:customStyle="1" w:styleId="Code">
    <w:name w:val="Code"/>
    <w:uiPriority w:val="1"/>
    <w:qFormat/>
    <w:rPr>
      <w:rFonts w:ascii="Consolas" w:hAnsi="Consolas" w:cs="Consolas"/>
      <w:noProof/>
      <w:color w:val="002060"/>
      <w:bdr w:val="none" w:sz="0" w:space="0" w:color="auto"/>
      <w:shd w:val="clear" w:color="auto" w:fill="F2F2F2" w:themeFill="background1" w:themeFillShade="F2"/>
    </w:rPr>
  </w:style>
  <w:style w:type="character" w:customStyle="1" w:styleId="Comment">
    <w:name w:val="Comment"/>
    <w:basedOn w:val="Bekezdsalapbettpusa"/>
    <w:uiPriority w:val="1"/>
    <w:qFormat/>
    <w:rPr>
      <w:rFonts w:ascii="Tahoma" w:hAnsi="Tahoma"/>
      <w:noProof/>
      <w:color w:val="00B050"/>
      <w:sz w:val="20"/>
    </w:rPr>
  </w:style>
  <w:style w:type="paragraph" w:styleId="Lbjegyzetszveg">
    <w:name w:val="footnote text"/>
    <w:basedOn w:val="Norml"/>
    <w:link w:val="LbjegyzetszvegChar"/>
    <w:pPr>
      <w:tabs>
        <w:tab w:val="right" w:pos="227"/>
        <w:tab w:val="left" w:pos="284"/>
      </w:tabs>
      <w:spacing w:line="240" w:lineRule="exact"/>
      <w:ind w:left="284" w:hanging="284"/>
      <w:jc w:val="left"/>
    </w:pPr>
    <w:rPr>
      <w:sz w:val="20"/>
      <w:szCs w:val="20"/>
    </w:rPr>
  </w:style>
  <w:style w:type="character" w:customStyle="1" w:styleId="LbjegyzetszvegChar">
    <w:name w:val="Lábjegyzetszöveg Char"/>
    <w:basedOn w:val="Bekezdsalapbettpusa"/>
    <w:link w:val="Lbjegyzetszveg"/>
    <w:rPr>
      <w:rFonts w:ascii="Gentium" w:eastAsiaTheme="minorEastAsia" w:hAnsi="Gentium" w:cs="Tiro Devanagari Sanskrit"/>
      <w:kern w:val="2"/>
      <w:sz w:val="20"/>
      <w:szCs w:val="20"/>
      <w:lang w:eastAsia="zh-TW"/>
      <w14:ligatures w14:val="standardContextual"/>
    </w:rPr>
  </w:style>
  <w:style w:type="character" w:styleId="Lbjegyzet-hivatkozs">
    <w:name w:val="footnote reference"/>
    <w:basedOn w:val="Bekezdsalapbettpusa"/>
    <w:uiPriority w:val="99"/>
    <w:unhideWhenUsed/>
    <w:rPr>
      <w:vertAlign w:val="superscript"/>
    </w:rPr>
  </w:style>
  <w:style w:type="character" w:customStyle="1" w:styleId="ForeignKannadaScript">
    <w:name w:val="Foreign: KannadaScript"/>
    <w:basedOn w:val="Foreign"/>
    <w:uiPriority w:val="1"/>
    <w:qFormat/>
    <w:rPr>
      <w:rFonts w:ascii="Tiro Kannada" w:hAnsi="Tiro Kannada" w:cs="Tiro Kannada"/>
      <w:b w:val="0"/>
      <w:bCs w:val="0"/>
      <w:i w:val="0"/>
      <w:iCs w:val="0"/>
      <w:noProof/>
    </w:rPr>
  </w:style>
  <w:style w:type="character" w:customStyle="1" w:styleId="ForeignTamilScript">
    <w:name w:val="Foreign: TamilScript"/>
    <w:basedOn w:val="Foreign"/>
    <w:uiPriority w:val="1"/>
    <w:qFormat/>
    <w:rPr>
      <w:rFonts w:ascii="Tiro Tamil" w:hAnsi="Tiro Tamil" w:cs="Tiro Tamil"/>
      <w:b w:val="0"/>
      <w:bCs w:val="0"/>
      <w:i w:val="0"/>
      <w:iCs w:val="0"/>
      <w:noProof/>
      <w:szCs w:val="24"/>
    </w:rPr>
  </w:style>
  <w:style w:type="character" w:customStyle="1" w:styleId="ForeignBalineseScript">
    <w:name w:val="Foreign: BalineseScript"/>
    <w:basedOn w:val="Foreign"/>
    <w:uiPriority w:val="1"/>
    <w:qFormat/>
    <w:rPr>
      <w:rFonts w:ascii="Noto Sans Balinese" w:hAnsi="Noto Sans Balinese" w:cs="Noto Sans Balinese"/>
      <w:b w:val="0"/>
      <w:bCs w:val="0"/>
      <w:i w:val="0"/>
      <w:iCs w:val="0"/>
      <w:noProof/>
      <w:position w:val="0"/>
      <w:szCs w:val="24"/>
    </w:rPr>
  </w:style>
  <w:style w:type="character" w:customStyle="1" w:styleId="ForeignThaiScript">
    <w:name w:val="Foreign: ThaiScript"/>
    <w:basedOn w:val="Foreign"/>
    <w:uiPriority w:val="1"/>
    <w:qFormat/>
    <w:rPr>
      <w:rFonts w:ascii="Leelawadee UI" w:hAnsi="Leelawadee UI" w:cs="Leelawadee UI"/>
      <w:b w:val="0"/>
      <w:bCs w:val="0"/>
      <w:i w:val="0"/>
      <w:iCs w:val="0"/>
      <w:noProof/>
    </w:rPr>
  </w:style>
  <w:style w:type="character" w:customStyle="1" w:styleId="ForeignBrahmiScript">
    <w:name w:val="Foreign: BrahmiScript"/>
    <w:basedOn w:val="Foreign"/>
    <w:uiPriority w:val="1"/>
    <w:qFormat/>
    <w:rPr>
      <w:rFonts w:ascii="Segoe UI Historic" w:hAnsi="Segoe UI Historic" w:cs="Segoe UI Historic"/>
      <w:b w:val="0"/>
      <w:bCs w:val="0"/>
      <w:i w:val="0"/>
      <w:iCs w:val="0"/>
      <w:noProof/>
    </w:rPr>
  </w:style>
  <w:style w:type="character" w:customStyle="1" w:styleId="ForeignOriyaScript">
    <w:name w:val="Foreign: OriyaScript"/>
    <w:basedOn w:val="Foreign"/>
    <w:uiPriority w:val="1"/>
    <w:qFormat/>
    <w:rPr>
      <w:rFonts w:ascii="Arial Unicode MS" w:eastAsia="Arial Unicode MS" w:hAnsi="Arial Unicode MS" w:cs="Arial Unicode MS"/>
      <w:b w:val="0"/>
      <w:bCs w:val="0"/>
      <w:i w:val="0"/>
      <w:iCs w:val="0"/>
      <w:noProof/>
    </w:rPr>
  </w:style>
  <w:style w:type="paragraph" w:styleId="NormlWeb">
    <w:name w:val="Normal (Web)"/>
    <w:basedOn w:val="Norml"/>
    <w:uiPriority w:val="99"/>
    <w:semiHidden/>
    <w:unhideWhenUsed/>
    <w:pPr>
      <w:spacing w:before="100" w:beforeAutospacing="1" w:after="100" w:afterAutospacing="1" w:line="240" w:lineRule="auto"/>
    </w:pPr>
    <w:rPr>
      <w:rFonts w:ascii="Times New Roman" w:hAnsi="Times New Roman" w:cs="Times New Roman"/>
      <w:szCs w:val="24"/>
    </w:rPr>
  </w:style>
  <w:style w:type="paragraph" w:customStyle="1" w:styleId="Legend">
    <w:name w:val="Legend"/>
    <w:basedOn w:val="Norml"/>
    <w:qFormat/>
    <w:pPr>
      <w:tabs>
        <w:tab w:val="right" w:pos="851"/>
        <w:tab w:val="left" w:pos="1134"/>
      </w:tabs>
      <w:jc w:val="left"/>
    </w:pPr>
  </w:style>
  <w:style w:type="character" w:styleId="Hiperhivatkozs">
    <w:name w:val="Hyperlink"/>
    <w:basedOn w:val="Bekezdsalapbettpusa"/>
    <w:uiPriority w:val="99"/>
    <w:unhideWhenUsed/>
    <w:rPr>
      <w:color w:val="002060"/>
      <w:u w:val="single"/>
    </w:rPr>
  </w:style>
  <w:style w:type="character" w:styleId="Feloldatlanmegemlts">
    <w:name w:val="Unresolved Mention"/>
    <w:basedOn w:val="Bekezdsalapbettpusa"/>
    <w:uiPriority w:val="99"/>
    <w:semiHidden/>
    <w:unhideWhenUsed/>
    <w:rPr>
      <w:color w:val="605E5C"/>
      <w:shd w:val="clear" w:color="auto" w:fill="E1DFDD"/>
    </w:rPr>
  </w:style>
  <w:style w:type="character" w:styleId="Mrltotthiperhivatkozs">
    <w:name w:val="FollowedHyperlink"/>
    <w:basedOn w:val="Bekezdsalapbettpusa"/>
    <w:uiPriority w:val="99"/>
    <w:semiHidden/>
    <w:unhideWhenUsed/>
    <w:rPr>
      <w:color w:val="002060"/>
      <w:u w:val="single"/>
    </w:rPr>
  </w:style>
  <w:style w:type="table" w:styleId="Rcsostblzat">
    <w:name w:val="Table Grid"/>
    <w:basedOn w:val="Normltblzat"/>
    <w:uiPriority w:val="39"/>
    <w:pPr>
      <w:ind w:left="0" w:firstLine="567"/>
    </w:pPr>
    <w:rPr>
      <w:rFonts w:ascii="Gentium Plus" w:eastAsia="Arial Unicode MS" w:hAnsi="Gentium Plus" w:cs="Gentium Plus"/>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text"/>
    <w:basedOn w:val="Norml"/>
    <w:qFormat/>
    <w:pPr>
      <w:spacing w:line="240" w:lineRule="auto"/>
      <w:jc w:val="left"/>
    </w:pPr>
    <w:rPr>
      <w:rFonts w:ascii="Calibri" w:hAnsi="Calibri"/>
      <w:sz w:val="20"/>
      <w:szCs w:val="20"/>
    </w:rPr>
  </w:style>
  <w:style w:type="table" w:customStyle="1" w:styleId="FigureTable">
    <w:name w:val="FigureTable"/>
    <w:basedOn w:val="CodeSampleTable"/>
    <w:uiPriority w:val="99"/>
    <w:tblPr>
      <w:tblCellMar>
        <w:top w:w="57" w:type="dxa"/>
        <w:left w:w="57" w:type="dxa"/>
        <w:bottom w:w="57" w:type="dxa"/>
        <w:right w:w="57" w:type="dxa"/>
      </w:tblCellMar>
    </w:tblPr>
    <w:tblStylePr w:type="firstRow">
      <w:rPr>
        <w:rFonts w:asciiTheme="majorHAnsi" w:hAnsiTheme="majorHAnsi"/>
        <w:sz w:val="18"/>
      </w:rPr>
      <w:tblPr/>
      <w:tcPr>
        <w:shd w:val="clear" w:color="auto" w:fill="F0F7D7"/>
      </w:tcPr>
    </w:tblStylePr>
  </w:style>
  <w:style w:type="character" w:customStyle="1" w:styleId="ForeignKhmerScript">
    <w:name w:val="Foreign: KhmerScript"/>
    <w:basedOn w:val="Bekezdsalapbettpusa"/>
    <w:uiPriority w:val="1"/>
    <w:qFormat/>
    <w:rPr>
      <w:rFonts w:ascii="DaunPenh" w:hAnsi="DaunPenh" w:cs="DaunPenh"/>
      <w:bCs w:val="0"/>
      <w:iCs w:val="0"/>
      <w:szCs w:val="36"/>
      <w:lang w:bidi="km-KH"/>
    </w:rPr>
  </w:style>
  <w:style w:type="character" w:customStyle="1" w:styleId="MetreCode">
    <w:name w:val="MetreCode"/>
    <w:basedOn w:val="Bekezdsalapbettpusa"/>
    <w:uiPriority w:val="1"/>
    <w:qFormat/>
    <w:rPr>
      <w:rFonts w:ascii="Cardo" w:hAnsi="Cardo" w:cs="Murty Sanskrit"/>
      <w:spacing w:val="30"/>
    </w:rPr>
  </w:style>
  <w:style w:type="paragraph" w:styleId="Tartalomjegyzkcmsora">
    <w:name w:val="TOC Heading"/>
    <w:basedOn w:val="Cmsor1"/>
    <w:next w:val="Norml"/>
    <w:uiPriority w:val="39"/>
    <w:unhideWhenUsed/>
    <w:qFormat/>
    <w:pPr>
      <w:spacing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J1">
    <w:name w:val="toc 1"/>
    <w:basedOn w:val="Norml"/>
    <w:next w:val="Norml"/>
    <w:uiPriority w:val="39"/>
    <w:unhideWhenUsed/>
    <w:pPr>
      <w:pBdr>
        <w:bottom w:val="single" w:sz="12" w:space="1" w:color="auto"/>
      </w:pBdr>
      <w:tabs>
        <w:tab w:val="left" w:pos="284"/>
        <w:tab w:val="right" w:pos="9639"/>
      </w:tabs>
      <w:spacing w:before="60" w:line="240" w:lineRule="exact"/>
    </w:pPr>
    <w:rPr>
      <w:rFonts w:ascii="Calibri" w:hAnsi="Calibri"/>
      <w:b/>
    </w:rPr>
  </w:style>
  <w:style w:type="paragraph" w:styleId="TJ2">
    <w:name w:val="toc 2"/>
    <w:basedOn w:val="Norml"/>
    <w:next w:val="Norml"/>
    <w:uiPriority w:val="39"/>
    <w:unhideWhenUsed/>
    <w:pPr>
      <w:tabs>
        <w:tab w:val="left" w:pos="567"/>
        <w:tab w:val="right" w:leader="dot" w:pos="9639"/>
      </w:tabs>
      <w:spacing w:line="220" w:lineRule="exact"/>
      <w:ind w:left="227"/>
    </w:pPr>
    <w:rPr>
      <w:rFonts w:asciiTheme="majorHAnsi" w:hAnsiTheme="majorHAnsi"/>
      <w:sz w:val="18"/>
      <w:szCs w:val="18"/>
    </w:rPr>
  </w:style>
  <w:style w:type="paragraph" w:styleId="TJ3">
    <w:name w:val="toc 3"/>
    <w:basedOn w:val="Norml"/>
    <w:next w:val="Norml"/>
    <w:uiPriority w:val="39"/>
    <w:unhideWhenUsed/>
    <w:pPr>
      <w:tabs>
        <w:tab w:val="left" w:pos="1134"/>
        <w:tab w:val="right" w:leader="dot" w:pos="9639"/>
      </w:tabs>
      <w:spacing w:line="220" w:lineRule="exact"/>
      <w:ind w:left="567"/>
    </w:pPr>
    <w:rPr>
      <w:rFonts w:asciiTheme="majorHAnsi" w:hAnsiTheme="majorHAnsi"/>
      <w:sz w:val="18"/>
    </w:rPr>
  </w:style>
  <w:style w:type="paragraph" w:styleId="Vltozat">
    <w:name w:val="Revision"/>
    <w:hidden/>
    <w:uiPriority w:val="99"/>
    <w:semiHidden/>
    <w:pPr>
      <w:widowControl/>
      <w:ind w:left="0"/>
      <w:jc w:val="left"/>
    </w:pPr>
    <w:rPr>
      <w:rFonts w:ascii="Gentium Plus" w:eastAsia="Arial Unicode MS" w:hAnsi="Gentium Plus" w:cs="Gentium Plus"/>
      <w:szCs w:val="22"/>
      <w:lang w:eastAsia="zh-TW"/>
    </w:rPr>
  </w:style>
  <w:style w:type="character" w:customStyle="1" w:styleId="Codeattribute">
    <w:name w:val="Code_attribute"/>
    <w:basedOn w:val="Code"/>
    <w:uiPriority w:val="1"/>
    <w:qFormat/>
    <w:rPr>
      <w:rFonts w:ascii="Consolas" w:hAnsi="Consolas" w:cs="Consolas"/>
      <w:noProof/>
      <w:color w:val="008080"/>
      <w:bdr w:val="none" w:sz="0" w:space="0" w:color="auto"/>
      <w:shd w:val="clear" w:color="auto" w:fill="F2F2F2" w:themeFill="background1" w:themeFillShade="F2"/>
    </w:rPr>
  </w:style>
  <w:style w:type="character" w:customStyle="1" w:styleId="Codevalue">
    <w:name w:val="Code_value"/>
    <w:basedOn w:val="Code"/>
    <w:uiPriority w:val="1"/>
    <w:qFormat/>
    <w:rPr>
      <w:rFonts w:ascii="Consolas" w:eastAsia="Consolas" w:hAnsi="Consolas" w:cs="Consolas"/>
      <w:noProof/>
      <w:color w:val="C00000"/>
      <w:bdr w:val="none" w:sz="0" w:space="0" w:color="auto"/>
      <w:shd w:val="clear" w:color="auto" w:fill="F2F2F2" w:themeFill="background1" w:themeFillShade="F2"/>
    </w:rPr>
  </w:style>
  <w:style w:type="character" w:customStyle="1" w:styleId="Codecomment">
    <w:name w:val="Code_comment"/>
    <w:basedOn w:val="Code"/>
    <w:uiPriority w:val="1"/>
    <w:qFormat/>
    <w:rPr>
      <w:rFonts w:ascii="Consolas" w:eastAsia="Consolas" w:hAnsi="Consolas" w:cs="Consolas"/>
      <w:i/>
      <w:iCs/>
      <w:noProof/>
      <w:color w:val="999988"/>
      <w:bdr w:val="none" w:sz="0" w:space="0" w:color="auto"/>
      <w:shd w:val="clear" w:color="auto" w:fill="F2F2F2" w:themeFill="background1" w:themeFillShade="F2"/>
    </w:rPr>
  </w:style>
  <w:style w:type="character" w:customStyle="1" w:styleId="Codeinstruction">
    <w:name w:val="Code_instruction"/>
    <w:basedOn w:val="Code"/>
    <w:uiPriority w:val="1"/>
    <w:qFormat/>
    <w:rPr>
      <w:rFonts w:ascii="Consolas" w:eastAsia="Consolas" w:hAnsi="Consolas" w:cs="Consolas"/>
      <w:b/>
      <w:bCs/>
      <w:noProof/>
      <w:color w:val="969696"/>
      <w:bdr w:val="none" w:sz="0" w:space="0" w:color="auto"/>
      <w:shd w:val="clear" w:color="auto" w:fill="F2F2F2" w:themeFill="background1" w:themeFillShade="F2"/>
    </w:rPr>
  </w:style>
  <w:style w:type="character" w:customStyle="1" w:styleId="Codetext">
    <w:name w:val="Code_text"/>
    <w:basedOn w:val="Code"/>
    <w:uiPriority w:val="1"/>
    <w:qFormat/>
    <w:rPr>
      <w:rFonts w:ascii="Consolas" w:hAnsi="Consolas" w:cs="Consolas"/>
      <w:noProof/>
      <w:color w:val="000000" w:themeColor="text1"/>
      <w:bdr w:val="none" w:sz="0" w:space="0" w:color="auto"/>
      <w:shd w:val="clear" w:color="auto" w:fill="F2F2F2" w:themeFill="background1" w:themeFillShade="F2"/>
    </w:rPr>
  </w:style>
  <w:style w:type="paragraph" w:styleId="Kpalrs">
    <w:name w:val="caption"/>
    <w:basedOn w:val="Norml"/>
    <w:next w:val="Norml"/>
    <w:uiPriority w:val="35"/>
    <w:qFormat/>
    <w:pPr>
      <w:keepNext/>
      <w:spacing w:before="120" w:line="240" w:lineRule="auto"/>
      <w:jc w:val="center"/>
    </w:pPr>
    <w:rPr>
      <w:i/>
      <w:iCs/>
      <w:sz w:val="20"/>
      <w:szCs w:val="18"/>
    </w:rPr>
  </w:style>
  <w:style w:type="table" w:customStyle="1" w:styleId="CodeSampleTable">
    <w:name w:val="CodeSampleTable"/>
    <w:basedOn w:val="Normltblzat"/>
    <w:uiPriority w:val="99"/>
    <w:pPr>
      <w:widowControl/>
      <w:ind w:left="0"/>
      <w:jc w:val="left"/>
    </w:pPr>
    <w:rPr>
      <w:rFonts w:ascii="Gentium Plus" w:eastAsia="Arial Unicode MS" w:hAnsi="Gentium Plus" w:cs="Gentium Plus"/>
      <w:sz w:val="18"/>
      <w:lang w:eastAsia="zh-TW"/>
    </w:rPr>
    <w:tblPr>
      <w:tblBorders>
        <w:top w:val="single" w:sz="4" w:space="0" w:color="auto"/>
        <w:left w:val="single" w:sz="4" w:space="0" w:color="auto"/>
        <w:bottom w:val="single" w:sz="4" w:space="0" w:color="auto"/>
        <w:right w:val="single" w:sz="4" w:space="0" w:color="auto"/>
        <w:insideH w:val="single" w:sz="4" w:space="0" w:color="auto"/>
      </w:tblBorders>
      <w:tblCellMar>
        <w:left w:w="0" w:type="dxa"/>
        <w:right w:w="0" w:type="dxa"/>
      </w:tblCellMar>
    </w:tblPr>
    <w:trPr>
      <w:cantSplit/>
    </w:trPr>
    <w:tcPr>
      <w:shd w:val="clear" w:color="auto" w:fill="auto"/>
    </w:tcPr>
    <w:tblStylePr w:type="firstRow">
      <w:rPr>
        <w:rFonts w:asciiTheme="majorHAnsi" w:hAnsiTheme="majorHAnsi"/>
        <w:sz w:val="18"/>
      </w:rPr>
      <w:tblPr/>
      <w:tcPr>
        <w:shd w:val="clear" w:color="auto" w:fill="F0F7D7"/>
      </w:tcPr>
    </w:tblStylePr>
  </w:style>
  <w:style w:type="paragraph" w:customStyle="1" w:styleId="CodeParagraph">
    <w:name w:val="CodeParagraph"/>
    <w:basedOn w:val="Norml"/>
    <w:qFormat/>
    <w:pPr>
      <w:shd w:val="clear" w:color="auto" w:fill="F2F2F2" w:themeFill="background1" w:themeFillShade="F2"/>
      <w:spacing w:line="220" w:lineRule="exact"/>
      <w:jc w:val="left"/>
    </w:pPr>
    <w:rPr>
      <w:sz w:val="18"/>
      <w:szCs w:val="18"/>
    </w:rPr>
  </w:style>
  <w:style w:type="paragraph" w:customStyle="1" w:styleId="TableNote">
    <w:name w:val="TableNote"/>
    <w:basedOn w:val="Tabletext"/>
    <w:qFormat/>
    <w:pPr>
      <w:numPr>
        <w:numId w:val="4"/>
      </w:numPr>
      <w:spacing w:before="60"/>
      <w:contextualSpacing/>
    </w:pPr>
  </w:style>
  <w:style w:type="character" w:customStyle="1" w:styleId="ForeignTamilGrantha">
    <w:name w:val="Foreign:TamilGrantha"/>
    <w:basedOn w:val="ForeignTamilScript"/>
    <w:uiPriority w:val="1"/>
    <w:qFormat/>
    <w:rPr>
      <w:rFonts w:ascii="Noto Sans Grantha" w:hAnsi="Noto Sans Grantha" w:cs="Noto Sans Grantha"/>
      <w:b w:val="0"/>
      <w:bCs w:val="0"/>
      <w:i w:val="0"/>
      <w:iCs w:val="0"/>
      <w:noProof/>
      <w:szCs w:val="24"/>
    </w:rPr>
  </w:style>
  <w:style w:type="character" w:customStyle="1" w:styleId="ForeignDevanagariScript">
    <w:name w:val="Foreign:DevanagariScript"/>
    <w:basedOn w:val="ForeignKannadaScript"/>
    <w:uiPriority w:val="1"/>
    <w:qFormat/>
    <w:rPr>
      <w:rFonts w:ascii="Murty Sanskrit" w:hAnsi="Murty Sanskrit" w:cs="Murty Sanskrit"/>
      <w:b w:val="0"/>
      <w:bCs w:val="0"/>
      <w:i w:val="0"/>
      <w:iCs w:val="0"/>
      <w:noProof/>
    </w:rPr>
  </w:style>
  <w:style w:type="paragraph" w:styleId="TJ4">
    <w:name w:val="toc 4"/>
    <w:basedOn w:val="TJ3"/>
    <w:next w:val="Norml"/>
    <w:autoRedefine/>
    <w:uiPriority w:val="39"/>
    <w:unhideWhenUsed/>
    <w:pPr>
      <w:tabs>
        <w:tab w:val="clear" w:pos="1134"/>
      </w:tabs>
      <w:ind w:left="1021"/>
    </w:pPr>
  </w:style>
  <w:style w:type="paragraph" w:styleId="TJ5">
    <w:name w:val="toc 5"/>
    <w:basedOn w:val="Norml"/>
    <w:next w:val="Norml"/>
    <w:autoRedefine/>
    <w:uiPriority w:val="39"/>
    <w:unhideWhenUsed/>
    <w:pPr>
      <w:spacing w:after="100" w:line="259" w:lineRule="auto"/>
      <w:ind w:left="880"/>
    </w:pPr>
    <w:rPr>
      <w:rFonts w:asciiTheme="minorHAnsi" w:hAnsiTheme="minorHAnsi" w:cstheme="minorBidi"/>
      <w:szCs w:val="20"/>
    </w:rPr>
  </w:style>
  <w:style w:type="paragraph" w:styleId="TJ6">
    <w:name w:val="toc 6"/>
    <w:basedOn w:val="Norml"/>
    <w:next w:val="Norml"/>
    <w:autoRedefine/>
    <w:uiPriority w:val="39"/>
    <w:unhideWhenUsed/>
    <w:pPr>
      <w:spacing w:after="100" w:line="259" w:lineRule="auto"/>
      <w:ind w:left="1100"/>
    </w:pPr>
    <w:rPr>
      <w:rFonts w:asciiTheme="minorHAnsi" w:hAnsiTheme="minorHAnsi" w:cstheme="minorBidi"/>
      <w:szCs w:val="20"/>
    </w:rPr>
  </w:style>
  <w:style w:type="paragraph" w:styleId="TJ7">
    <w:name w:val="toc 7"/>
    <w:basedOn w:val="Norml"/>
    <w:next w:val="Norml"/>
    <w:autoRedefine/>
    <w:uiPriority w:val="39"/>
    <w:unhideWhenUsed/>
    <w:pPr>
      <w:spacing w:after="100" w:line="259" w:lineRule="auto"/>
      <w:ind w:left="1320"/>
    </w:pPr>
    <w:rPr>
      <w:rFonts w:asciiTheme="minorHAnsi" w:hAnsiTheme="minorHAnsi" w:cstheme="minorBidi"/>
      <w:szCs w:val="20"/>
    </w:rPr>
  </w:style>
  <w:style w:type="paragraph" w:styleId="TJ8">
    <w:name w:val="toc 8"/>
    <w:basedOn w:val="Norml"/>
    <w:next w:val="Norml"/>
    <w:autoRedefine/>
    <w:uiPriority w:val="39"/>
    <w:unhideWhenUsed/>
    <w:pPr>
      <w:spacing w:after="100" w:line="259" w:lineRule="auto"/>
      <w:ind w:left="1540"/>
    </w:pPr>
    <w:rPr>
      <w:rFonts w:asciiTheme="minorHAnsi" w:hAnsiTheme="minorHAnsi" w:cstheme="minorBidi"/>
      <w:szCs w:val="20"/>
    </w:rPr>
  </w:style>
  <w:style w:type="paragraph" w:styleId="TJ9">
    <w:name w:val="toc 9"/>
    <w:basedOn w:val="Norml"/>
    <w:next w:val="Norml"/>
    <w:autoRedefine/>
    <w:uiPriority w:val="39"/>
    <w:unhideWhenUsed/>
    <w:pPr>
      <w:spacing w:after="100" w:line="259" w:lineRule="auto"/>
      <w:ind w:left="1760"/>
    </w:pPr>
    <w:rPr>
      <w:rFonts w:asciiTheme="minorHAnsi" w:hAnsiTheme="minorHAnsi" w:cstheme="minorBidi"/>
      <w:szCs w:val="20"/>
    </w:rPr>
  </w:style>
  <w:style w:type="paragraph" w:customStyle="1" w:styleId="Frontmatter">
    <w:name w:val="Frontmatter"/>
    <w:basedOn w:val="Norml"/>
    <w:qFormat/>
    <w:pPr>
      <w:spacing w:line="360" w:lineRule="exact"/>
      <w:jc w:val="center"/>
    </w:pPr>
    <w:rPr>
      <w:rFonts w:ascii="Calibri" w:hAnsi="Calibri"/>
      <w:sz w:val="28"/>
      <w:szCs w:val="28"/>
    </w:rPr>
  </w:style>
  <w:style w:type="paragraph" w:styleId="Megjegyzstrgya">
    <w:name w:val="annotation subject"/>
    <w:basedOn w:val="Jegyzetszveg"/>
    <w:next w:val="Jegyzetszveg"/>
    <w:link w:val="MegjegyzstrgyaChar"/>
    <w:uiPriority w:val="99"/>
    <w:semiHidden/>
    <w:unhideWhenUsed/>
    <w:pPr>
      <w:spacing w:line="240" w:lineRule="auto"/>
    </w:pPr>
    <w:rPr>
      <w:b/>
      <w:bCs/>
      <w:szCs w:val="20"/>
    </w:rPr>
  </w:style>
  <w:style w:type="character" w:customStyle="1" w:styleId="MegjegyzstrgyaChar">
    <w:name w:val="Megjegyzés tárgya Char"/>
    <w:basedOn w:val="JegyzetszvegChar"/>
    <w:link w:val="Megjegyzstrgya"/>
    <w:uiPriority w:val="99"/>
    <w:semiHidden/>
    <w:rPr>
      <w:rFonts w:ascii="Gentium" w:eastAsiaTheme="minorEastAsia" w:hAnsi="Gentium" w:cs="Murty Sanskrit"/>
      <w:b/>
      <w:bCs/>
      <w:kern w:val="2"/>
      <w:sz w:val="20"/>
      <w:szCs w:val="20"/>
      <w:lang w:eastAsia="zh-TW"/>
      <w14:ligatures w14:val="standardContextual"/>
    </w:rPr>
  </w:style>
  <w:style w:type="character" w:customStyle="1" w:styleId="Metrum">
    <w:name w:val="Metrum"/>
    <w:rPr>
      <w:rFonts w:ascii="Cardo" w:hAnsi="Cardo"/>
      <w:noProof/>
    </w:rPr>
  </w:style>
  <w:style w:type="character" w:customStyle="1" w:styleId="ForeignBurmeseScript">
    <w:name w:val="Foreign: BurmeseScript"/>
    <w:basedOn w:val="Foreign"/>
    <w:uiPriority w:val="1"/>
    <w:qFormat/>
    <w:rPr>
      <w:rFonts w:ascii="Myanmar Text" w:hAnsi="Myanmar Text" w:cs="Myanmar Text"/>
      <w:bCs w:val="0"/>
      <w:i w:val="0"/>
      <w:iCs w:val="0"/>
      <w:noProof/>
    </w:rPr>
  </w:style>
  <w:style w:type="character" w:styleId="Vgjegyzet-hivatkozs">
    <w:name w:val="endnote reference"/>
    <w:basedOn w:val="Bekezdsalapbettpusa"/>
    <w:uiPriority w:val="99"/>
    <w:semiHidden/>
    <w:unhideWhenUsed/>
    <w:rPr>
      <w:vertAlign w:val="superscript"/>
    </w:rPr>
  </w:style>
  <w:style w:type="paragraph" w:customStyle="1" w:styleId="BlockImage">
    <w:name w:val="BlockImage"/>
    <w:basedOn w:val="Norml"/>
    <w:qFormat/>
    <w:pPr>
      <w:spacing w:line="240" w:lineRule="auto"/>
      <w:jc w:val="center"/>
    </w:pPr>
    <w:rPr>
      <w:noProof/>
    </w:rPr>
  </w:style>
  <w:style w:type="paragraph" w:customStyle="1" w:styleId="Image">
    <w:name w:val="Image"/>
    <w:basedOn w:val="Norml"/>
    <w:qFormat/>
    <w:pPr>
      <w:keepNext/>
      <w:widowControl w:val="0"/>
      <w:spacing w:before="60" w:after="60" w:line="240" w:lineRule="auto"/>
      <w:jc w:val="center"/>
    </w:pPr>
    <w:rPr>
      <w:noProof/>
      <w:sz w:val="20"/>
    </w:rPr>
  </w:style>
  <w:style w:type="paragraph" w:styleId="Szvegtrzs">
    <w:name w:val="Body Text"/>
    <w:basedOn w:val="Norml"/>
    <w:link w:val="SzvegtrzsChar"/>
    <w:uiPriority w:val="74"/>
    <w:pPr>
      <w:spacing w:before="120" w:after="120"/>
      <w:ind w:left="567" w:right="567"/>
      <w:contextualSpacing/>
    </w:pPr>
  </w:style>
  <w:style w:type="character" w:customStyle="1" w:styleId="SzvegtrzsChar">
    <w:name w:val="Szövegtörzs Char"/>
    <w:basedOn w:val="Bekezdsalapbettpusa"/>
    <w:link w:val="Szvegtrzs"/>
    <w:uiPriority w:val="74"/>
    <w:rPr>
      <w:rFonts w:ascii="Gentium" w:eastAsiaTheme="minorEastAsia" w:hAnsi="Gentium" w:cs="Tiro Devanagari Sanskrit"/>
      <w:kern w:val="2"/>
      <w:sz w:val="22"/>
      <w:szCs w:val="22"/>
      <w:lang w:eastAsia="zh-TW"/>
      <w14:ligatures w14:val="standardContextual"/>
    </w:rPr>
  </w:style>
  <w:style w:type="character" w:customStyle="1" w:styleId="ForeignIndic">
    <w:name w:val="Foreign: Indic"/>
    <w:basedOn w:val="Foreign"/>
    <w:uiPriority w:val="1"/>
    <w:qFormat/>
    <w:rPr>
      <w:i w:val="0"/>
      <w:iCs w:val="0"/>
      <w:noProof/>
    </w:rPr>
  </w:style>
  <w:style w:type="paragraph" w:styleId="Idzet">
    <w:name w:val="Quote"/>
    <w:basedOn w:val="Norml"/>
    <w:next w:val="Norml"/>
    <w:link w:val="IdzetChar"/>
    <w:uiPriority w:val="29"/>
    <w:unhideWhenUsed/>
    <w:pPr>
      <w:spacing w:before="120" w:after="120"/>
      <w:ind w:left="567" w:right="567"/>
    </w:pPr>
  </w:style>
  <w:style w:type="character" w:customStyle="1" w:styleId="IdzetChar">
    <w:name w:val="Idézet Char"/>
    <w:basedOn w:val="Bekezdsalapbettpusa"/>
    <w:link w:val="Idzet"/>
    <w:uiPriority w:val="29"/>
    <w:rPr>
      <w:rFonts w:ascii="Gentium" w:eastAsiaTheme="minorEastAsia" w:hAnsi="Gentium" w:cs="Tiro Devanagari Sanskrit"/>
      <w:kern w:val="2"/>
      <w:sz w:val="22"/>
      <w:szCs w:val="22"/>
      <w:lang w:eastAsia="zh-TW"/>
      <w14:ligatures w14:val="standardContextual"/>
    </w:rPr>
  </w:style>
  <w:style w:type="paragraph" w:styleId="Normlbehzs">
    <w:name w:val="Normal Indent"/>
    <w:basedOn w:val="Norml"/>
    <w:uiPriority w:val="99"/>
    <w:unhideWhenUsed/>
    <w:pPr>
      <w:ind w:firstLine="425"/>
    </w:pPr>
  </w:style>
  <w:style w:type="character" w:customStyle="1" w:styleId="ImageInsetSundanese">
    <w:name w:val="ImageInsetSundanese"/>
    <w:basedOn w:val="Bekezdsalapbettpusa"/>
    <w:uiPriority w:val="1"/>
    <w:qFormat/>
    <w:rPr>
      <w:noProof/>
      <w:position w:val="-10"/>
    </w:rPr>
  </w:style>
  <w:style w:type="paragraph" w:customStyle="1" w:styleId="TableHead">
    <w:name w:val="TableHead"/>
    <w:basedOn w:val="Norml"/>
    <w:qFormat/>
    <w:pPr>
      <w:jc w:val="left"/>
    </w:pPr>
  </w:style>
  <w:style w:type="table" w:customStyle="1" w:styleId="Stlus1">
    <w:name w:val="Stílus1"/>
    <w:basedOn w:val="CodeSampleTable"/>
    <w:uiPriority w:val="99"/>
    <w:tblPr>
      <w:tblCellMar>
        <w:top w:w="57" w:type="dxa"/>
        <w:bottom w:w="57" w:type="dxa"/>
      </w:tblCellMar>
    </w:tblPr>
    <w:tblStylePr w:type="firstRow">
      <w:rPr>
        <w:rFonts w:asciiTheme="majorHAnsi" w:hAnsiTheme="majorHAnsi"/>
        <w:sz w:val="18"/>
      </w:rPr>
      <w:tblPr/>
      <w:tcPr>
        <w:tcBorders>
          <w:bottom w:val="nil"/>
        </w:tcBorders>
        <w:shd w:val="clear" w:color="auto" w:fill="EAF1DD" w:themeFill="accent3" w:themeFillTint="33"/>
      </w:tcPr>
    </w:tblStylePr>
  </w:style>
  <w:style w:type="character" w:customStyle="1" w:styleId="ForeignDevanagariAlt">
    <w:name w:val="Foreign: DevanagariAlt"/>
    <w:basedOn w:val="Bekezdsalapbettpusa"/>
    <w:uiPriority w:val="1"/>
    <w:qFormat/>
    <w:rPr>
      <w:rFonts w:ascii="Uttara" w:hAnsi="Uttara" w:cs="Uttara"/>
      <w:b w:val="0"/>
      <w:bCs w:val="0"/>
      <w:i w:val="0"/>
      <w:iCs w:val="0"/>
      <w:noProof/>
      <w14:ligatures w14:val="all"/>
    </w:rPr>
  </w:style>
  <w:style w:type="character" w:customStyle="1" w:styleId="ForeignDevanagariScript0">
    <w:name w:val="Foreign: DevanagariScript"/>
    <w:basedOn w:val="ForeignKannadaScript"/>
    <w:uiPriority w:val="1"/>
    <w:qFormat/>
    <w:rPr>
      <w:rFonts w:ascii="Tiro Devanagari Sanskrit" w:hAnsi="Tiro Devanagari Sanskrit" w:cs="Tiro Devanagari Sanskrit"/>
      <w:b w:val="0"/>
      <w:bCs w:val="0"/>
      <w:i w:val="0"/>
      <w:iCs w:val="0"/>
      <w:noProof/>
    </w:rPr>
  </w:style>
  <w:style w:type="character" w:customStyle="1" w:styleId="ForeignBengaliScript">
    <w:name w:val="Foreign: BengaliScript"/>
    <w:basedOn w:val="ForeignDevanagariScript0"/>
    <w:uiPriority w:val="1"/>
    <w:qFormat/>
    <w:rPr>
      <w:rFonts w:ascii="Tiro Devanagari Sanskrit" w:hAnsi="Tiro Devanagari Sanskrit" w:cs="Tiro Devanagari Sanskrit"/>
      <w:b w:val="0"/>
      <w:bCs w:val="0"/>
      <w:i w:val="0"/>
      <w:iCs w:val="0"/>
      <w:noProof/>
    </w:rPr>
  </w:style>
  <w:style w:type="character" w:customStyle="1" w:styleId="ForeignTamilGrantha0">
    <w:name w:val="Foreign: TamilGrantha"/>
    <w:basedOn w:val="ForeignTamilScript"/>
    <w:uiPriority w:val="1"/>
    <w:qFormat/>
    <w:rPr>
      <w:rFonts w:ascii="Noto Sans Grantha" w:hAnsi="Noto Sans Grantha" w:cs="Noto Sans Grantha"/>
      <w:b w:val="0"/>
      <w:bCs w:val="0"/>
      <w:i w:val="0"/>
      <w:iCs w:val="0"/>
      <w:noProof/>
      <w:szCs w:val="24"/>
    </w:rPr>
  </w:style>
  <w:style w:type="table" w:customStyle="1" w:styleId="TGtableblank">
    <w:name w:val="TG table blank"/>
    <w:basedOn w:val="Normltblzat"/>
    <w:uiPriority w:val="99"/>
    <w:pPr>
      <w:widowControl/>
      <w:ind w:left="0"/>
      <w:jc w:val="left"/>
    </w:pPr>
    <w:rPr>
      <w:rFonts w:ascii="Gentium Plus" w:eastAsia="Arial Unicode MS" w:hAnsi="Gentium Plus" w:cs="Gentium Plus"/>
      <w:lang w:eastAsia="zh-TW"/>
    </w:rPr>
    <w:tblPr/>
  </w:style>
  <w:style w:type="character" w:customStyle="1" w:styleId="TG-Label">
    <w:name w:val="TG-Label"/>
    <w:basedOn w:val="Code"/>
    <w:uiPriority w:val="1"/>
    <w:qFormat/>
    <w:rPr>
      <w:rFonts w:ascii="Calibri" w:hAnsi="Calibri" w:cs="Consolas"/>
      <w:noProof/>
      <w:color w:val="0000FF"/>
      <w:bdr w:val="single" w:sz="4" w:space="0" w:color="auto"/>
      <w:shd w:val="clear" w:color="auto" w:fill="auto"/>
    </w:rPr>
  </w:style>
  <w:style w:type="character" w:customStyle="1" w:styleId="LabelEmph">
    <w:name w:val="LabelEmph"/>
    <w:basedOn w:val="TG-Label"/>
    <w:uiPriority w:val="1"/>
    <w:qFormat/>
    <w:rPr>
      <w:rFonts w:ascii="Calibri" w:hAnsi="Calibri" w:cs="Consolas"/>
      <w:noProof/>
      <w:color w:val="FF0000"/>
      <w:bdr w:val="single" w:sz="4" w:space="0" w:color="auto"/>
      <w:shd w:val="clear" w:color="auto" w:fill="auto"/>
    </w:rPr>
  </w:style>
  <w:style w:type="character" w:customStyle="1" w:styleId="Label">
    <w:name w:val="Label"/>
    <w:basedOn w:val="Code"/>
    <w:uiPriority w:val="1"/>
    <w:qFormat/>
    <w:rPr>
      <w:rFonts w:ascii="Calibri" w:hAnsi="Calibri" w:cs="Consolas"/>
      <w:noProof/>
      <w:color w:val="0000FF"/>
      <w:bdr w:val="single" w:sz="4" w:space="0" w:color="auto"/>
      <w:shd w:val="clear" w:color="auto" w:fill="auto"/>
    </w:rPr>
  </w:style>
  <w:style w:type="character" w:customStyle="1" w:styleId="ForeignTeluguScript">
    <w:name w:val="Foreign: TeluguScript"/>
    <w:basedOn w:val="ForeignKannadaScript"/>
    <w:uiPriority w:val="1"/>
    <w:qFormat/>
    <w:rPr>
      <w:rFonts w:ascii="Tiro Telugu" w:hAnsi="Tiro Telugu" w:cs="Nirmala UI"/>
      <w:b w:val="0"/>
      <w:bCs w:val="0"/>
      <w:i w:val="0"/>
      <w:iCs w:val="0"/>
      <w:noProof/>
    </w:rPr>
  </w:style>
  <w:style w:type="character" w:customStyle="1" w:styleId="ForeignJavaneseScript">
    <w:name w:val="Foreign: JavaneseScript"/>
    <w:basedOn w:val="ForeignBalineseScript"/>
    <w:uiPriority w:val="1"/>
    <w:qFormat/>
    <w:rPr>
      <w:rFonts w:ascii="Javanese Text" w:hAnsi="Javanese Text" w:cs="Javanese Text"/>
      <w:b w:val="0"/>
      <w:bCs w:val="0"/>
      <w:i w:val="0"/>
      <w:iCs w:val="0"/>
      <w:noProof/>
      <w:position w:val="0"/>
      <w:szCs w:val="24"/>
    </w:rPr>
  </w:style>
  <w:style w:type="character" w:customStyle="1" w:styleId="LabelGreen">
    <w:name w:val="LabelGreen"/>
    <w:basedOn w:val="Label"/>
    <w:uiPriority w:val="1"/>
    <w:qFormat/>
    <w:rPr>
      <w:rFonts w:ascii="Calibri" w:hAnsi="Calibri" w:cs="Consolas"/>
      <w:noProof/>
      <w:color w:val="4F6228" w:themeColor="accent3" w:themeShade="80"/>
      <w:bdr w:val="single" w:sz="4" w:space="0" w:color="auto"/>
      <w:shd w:val="clear" w:color="auto" w:fill="auto"/>
    </w:rPr>
  </w:style>
  <w:style w:type="character" w:customStyle="1" w:styleId="ForeignSharadaScript">
    <w:name w:val="Foreign: SharadaScript"/>
    <w:basedOn w:val="ForeignDevanagariScript0"/>
    <w:uiPriority w:val="1"/>
    <w:qFormat/>
    <w:rPr>
      <w:rFonts w:ascii="Satisar Sharada" w:hAnsi="Satisar Sharada" w:cs="Tiro Devanagari Sanskrit"/>
      <w:b w:val="0"/>
      <w:bCs w:val="0"/>
      <w:i w:val="0"/>
      <w:iCs w:val="0"/>
      <w:noProof/>
    </w:rPr>
  </w:style>
  <w:style w:type="character" w:customStyle="1" w:styleId="LabelInformal">
    <w:name w:val="LabelInformal"/>
    <w:basedOn w:val="Code"/>
    <w:uiPriority w:val="1"/>
    <w:qFormat/>
    <w:rPr>
      <w:rFonts w:ascii="Calibri" w:hAnsi="Calibri" w:cs="Consolas"/>
      <w:noProof/>
      <w:color w:val="7F7F7F" w:themeColor="text1" w:themeTint="80"/>
      <w:bdr w:val="single" w:sz="4" w:space="0" w:color="auto"/>
      <w:shd w:val="clear" w:color="auto" w:fill="auto"/>
    </w:rPr>
  </w:style>
  <w:style w:type="character" w:customStyle="1" w:styleId="ForeignGurmukhiScript">
    <w:name w:val="Foreign: GurmukhiScript"/>
    <w:basedOn w:val="ForeignDevanagariScript0"/>
    <w:uiPriority w:val="1"/>
    <w:qFormat/>
    <w:rPr>
      <w:rFonts w:ascii="Raavi" w:hAnsi="Raavi" w:cs="Raavi"/>
      <w:b w:val="0"/>
      <w:bCs w:val="0"/>
      <w:i w:val="0"/>
      <w:iCs w:val="0"/>
      <w:noProof/>
      <w:lang w:bidi="pa-IN"/>
    </w:rPr>
  </w:style>
  <w:style w:type="character" w:customStyle="1" w:styleId="ForeignDingbat">
    <w:name w:val="Foreign: Dingbat"/>
    <w:basedOn w:val="ForeignDevanagariScript0"/>
    <w:uiPriority w:val="1"/>
    <w:qFormat/>
    <w:rPr>
      <w:rFonts w:ascii="Segoe UI Symbol" w:hAnsi="Segoe UI Symbol" w:cs="Cambria Math"/>
      <w:b w:val="0"/>
      <w:bCs w:val="0"/>
      <w:i w:val="0"/>
      <w:iCs w:val="0"/>
      <w:noProof/>
      <w:lang w:eastAsia="en-US" w:bidi="ar-SA"/>
    </w:rPr>
  </w:style>
  <w:style w:type="paragraph" w:styleId="Listaszerbekezds">
    <w:name w:val="List Paragraph"/>
    <w:basedOn w:val="Norml"/>
    <w:uiPriority w:val="34"/>
    <w:qFormat/>
    <w:pPr>
      <w:ind w:left="720"/>
      <w:contextualSpacing/>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03290">
      <w:bodyDiv w:val="1"/>
      <w:marLeft w:val="0"/>
      <w:marRight w:val="0"/>
      <w:marTop w:val="0"/>
      <w:marBottom w:val="0"/>
      <w:divBdr>
        <w:top w:val="none" w:sz="0" w:space="0" w:color="auto"/>
        <w:left w:val="none" w:sz="0" w:space="0" w:color="auto"/>
        <w:bottom w:val="none" w:sz="0" w:space="0" w:color="auto"/>
        <w:right w:val="none" w:sz="0" w:space="0" w:color="auto"/>
      </w:divBdr>
    </w:div>
    <w:div w:id="45421345">
      <w:bodyDiv w:val="1"/>
      <w:marLeft w:val="0"/>
      <w:marRight w:val="0"/>
      <w:marTop w:val="0"/>
      <w:marBottom w:val="0"/>
      <w:divBdr>
        <w:top w:val="none" w:sz="0" w:space="0" w:color="auto"/>
        <w:left w:val="none" w:sz="0" w:space="0" w:color="auto"/>
        <w:bottom w:val="none" w:sz="0" w:space="0" w:color="auto"/>
        <w:right w:val="none" w:sz="0" w:space="0" w:color="auto"/>
      </w:divBdr>
    </w:div>
    <w:div w:id="102959600">
      <w:bodyDiv w:val="1"/>
      <w:marLeft w:val="0"/>
      <w:marRight w:val="0"/>
      <w:marTop w:val="0"/>
      <w:marBottom w:val="0"/>
      <w:divBdr>
        <w:top w:val="none" w:sz="0" w:space="0" w:color="auto"/>
        <w:left w:val="none" w:sz="0" w:space="0" w:color="auto"/>
        <w:bottom w:val="none" w:sz="0" w:space="0" w:color="auto"/>
        <w:right w:val="none" w:sz="0" w:space="0" w:color="auto"/>
      </w:divBdr>
    </w:div>
    <w:div w:id="105395730">
      <w:bodyDiv w:val="1"/>
      <w:marLeft w:val="0"/>
      <w:marRight w:val="0"/>
      <w:marTop w:val="0"/>
      <w:marBottom w:val="0"/>
      <w:divBdr>
        <w:top w:val="none" w:sz="0" w:space="0" w:color="auto"/>
        <w:left w:val="none" w:sz="0" w:space="0" w:color="auto"/>
        <w:bottom w:val="none" w:sz="0" w:space="0" w:color="auto"/>
        <w:right w:val="none" w:sz="0" w:space="0" w:color="auto"/>
      </w:divBdr>
    </w:div>
    <w:div w:id="109521671">
      <w:bodyDiv w:val="1"/>
      <w:marLeft w:val="0"/>
      <w:marRight w:val="0"/>
      <w:marTop w:val="0"/>
      <w:marBottom w:val="0"/>
      <w:divBdr>
        <w:top w:val="none" w:sz="0" w:space="0" w:color="auto"/>
        <w:left w:val="none" w:sz="0" w:space="0" w:color="auto"/>
        <w:bottom w:val="none" w:sz="0" w:space="0" w:color="auto"/>
        <w:right w:val="none" w:sz="0" w:space="0" w:color="auto"/>
      </w:divBdr>
    </w:div>
    <w:div w:id="110049882">
      <w:bodyDiv w:val="1"/>
      <w:marLeft w:val="0"/>
      <w:marRight w:val="0"/>
      <w:marTop w:val="0"/>
      <w:marBottom w:val="0"/>
      <w:divBdr>
        <w:top w:val="none" w:sz="0" w:space="0" w:color="auto"/>
        <w:left w:val="none" w:sz="0" w:space="0" w:color="auto"/>
        <w:bottom w:val="none" w:sz="0" w:space="0" w:color="auto"/>
        <w:right w:val="none" w:sz="0" w:space="0" w:color="auto"/>
      </w:divBdr>
    </w:div>
    <w:div w:id="132603217">
      <w:bodyDiv w:val="1"/>
      <w:marLeft w:val="0"/>
      <w:marRight w:val="0"/>
      <w:marTop w:val="0"/>
      <w:marBottom w:val="0"/>
      <w:divBdr>
        <w:top w:val="none" w:sz="0" w:space="0" w:color="auto"/>
        <w:left w:val="none" w:sz="0" w:space="0" w:color="auto"/>
        <w:bottom w:val="none" w:sz="0" w:space="0" w:color="auto"/>
        <w:right w:val="none" w:sz="0" w:space="0" w:color="auto"/>
      </w:divBdr>
    </w:div>
    <w:div w:id="141891137">
      <w:bodyDiv w:val="1"/>
      <w:marLeft w:val="0"/>
      <w:marRight w:val="0"/>
      <w:marTop w:val="0"/>
      <w:marBottom w:val="0"/>
      <w:divBdr>
        <w:top w:val="none" w:sz="0" w:space="0" w:color="auto"/>
        <w:left w:val="none" w:sz="0" w:space="0" w:color="auto"/>
        <w:bottom w:val="none" w:sz="0" w:space="0" w:color="auto"/>
        <w:right w:val="none" w:sz="0" w:space="0" w:color="auto"/>
      </w:divBdr>
    </w:div>
    <w:div w:id="145973143">
      <w:bodyDiv w:val="1"/>
      <w:marLeft w:val="0"/>
      <w:marRight w:val="0"/>
      <w:marTop w:val="0"/>
      <w:marBottom w:val="0"/>
      <w:divBdr>
        <w:top w:val="none" w:sz="0" w:space="0" w:color="auto"/>
        <w:left w:val="none" w:sz="0" w:space="0" w:color="auto"/>
        <w:bottom w:val="none" w:sz="0" w:space="0" w:color="auto"/>
        <w:right w:val="none" w:sz="0" w:space="0" w:color="auto"/>
      </w:divBdr>
    </w:div>
    <w:div w:id="157312634">
      <w:bodyDiv w:val="1"/>
      <w:marLeft w:val="0"/>
      <w:marRight w:val="0"/>
      <w:marTop w:val="0"/>
      <w:marBottom w:val="0"/>
      <w:divBdr>
        <w:top w:val="none" w:sz="0" w:space="0" w:color="auto"/>
        <w:left w:val="none" w:sz="0" w:space="0" w:color="auto"/>
        <w:bottom w:val="none" w:sz="0" w:space="0" w:color="auto"/>
        <w:right w:val="none" w:sz="0" w:space="0" w:color="auto"/>
      </w:divBdr>
    </w:div>
    <w:div w:id="183329715">
      <w:bodyDiv w:val="1"/>
      <w:marLeft w:val="0"/>
      <w:marRight w:val="0"/>
      <w:marTop w:val="0"/>
      <w:marBottom w:val="0"/>
      <w:divBdr>
        <w:top w:val="none" w:sz="0" w:space="0" w:color="auto"/>
        <w:left w:val="none" w:sz="0" w:space="0" w:color="auto"/>
        <w:bottom w:val="none" w:sz="0" w:space="0" w:color="auto"/>
        <w:right w:val="none" w:sz="0" w:space="0" w:color="auto"/>
      </w:divBdr>
    </w:div>
    <w:div w:id="193005767">
      <w:bodyDiv w:val="1"/>
      <w:marLeft w:val="0"/>
      <w:marRight w:val="0"/>
      <w:marTop w:val="0"/>
      <w:marBottom w:val="0"/>
      <w:divBdr>
        <w:top w:val="none" w:sz="0" w:space="0" w:color="auto"/>
        <w:left w:val="none" w:sz="0" w:space="0" w:color="auto"/>
        <w:bottom w:val="none" w:sz="0" w:space="0" w:color="auto"/>
        <w:right w:val="none" w:sz="0" w:space="0" w:color="auto"/>
      </w:divBdr>
    </w:div>
    <w:div w:id="211619433">
      <w:bodyDiv w:val="1"/>
      <w:marLeft w:val="0"/>
      <w:marRight w:val="0"/>
      <w:marTop w:val="0"/>
      <w:marBottom w:val="0"/>
      <w:divBdr>
        <w:top w:val="none" w:sz="0" w:space="0" w:color="auto"/>
        <w:left w:val="none" w:sz="0" w:space="0" w:color="auto"/>
        <w:bottom w:val="none" w:sz="0" w:space="0" w:color="auto"/>
        <w:right w:val="none" w:sz="0" w:space="0" w:color="auto"/>
      </w:divBdr>
      <w:divsChild>
        <w:div w:id="11954811">
          <w:marLeft w:val="480"/>
          <w:marRight w:val="0"/>
          <w:marTop w:val="0"/>
          <w:marBottom w:val="0"/>
          <w:divBdr>
            <w:top w:val="none" w:sz="0" w:space="0" w:color="auto"/>
            <w:left w:val="none" w:sz="0" w:space="0" w:color="auto"/>
            <w:bottom w:val="none" w:sz="0" w:space="0" w:color="auto"/>
            <w:right w:val="none" w:sz="0" w:space="0" w:color="auto"/>
          </w:divBdr>
          <w:divsChild>
            <w:div w:id="24210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2970">
      <w:bodyDiv w:val="1"/>
      <w:marLeft w:val="0"/>
      <w:marRight w:val="0"/>
      <w:marTop w:val="0"/>
      <w:marBottom w:val="0"/>
      <w:divBdr>
        <w:top w:val="none" w:sz="0" w:space="0" w:color="auto"/>
        <w:left w:val="none" w:sz="0" w:space="0" w:color="auto"/>
        <w:bottom w:val="none" w:sz="0" w:space="0" w:color="auto"/>
        <w:right w:val="none" w:sz="0" w:space="0" w:color="auto"/>
      </w:divBdr>
    </w:div>
    <w:div w:id="264776259">
      <w:bodyDiv w:val="1"/>
      <w:marLeft w:val="0"/>
      <w:marRight w:val="0"/>
      <w:marTop w:val="0"/>
      <w:marBottom w:val="0"/>
      <w:divBdr>
        <w:top w:val="none" w:sz="0" w:space="0" w:color="auto"/>
        <w:left w:val="none" w:sz="0" w:space="0" w:color="auto"/>
        <w:bottom w:val="none" w:sz="0" w:space="0" w:color="auto"/>
        <w:right w:val="none" w:sz="0" w:space="0" w:color="auto"/>
      </w:divBdr>
    </w:div>
    <w:div w:id="279192214">
      <w:bodyDiv w:val="1"/>
      <w:marLeft w:val="0"/>
      <w:marRight w:val="0"/>
      <w:marTop w:val="0"/>
      <w:marBottom w:val="0"/>
      <w:divBdr>
        <w:top w:val="none" w:sz="0" w:space="0" w:color="auto"/>
        <w:left w:val="none" w:sz="0" w:space="0" w:color="auto"/>
        <w:bottom w:val="none" w:sz="0" w:space="0" w:color="auto"/>
        <w:right w:val="none" w:sz="0" w:space="0" w:color="auto"/>
      </w:divBdr>
    </w:div>
    <w:div w:id="315038910">
      <w:bodyDiv w:val="1"/>
      <w:marLeft w:val="0"/>
      <w:marRight w:val="0"/>
      <w:marTop w:val="0"/>
      <w:marBottom w:val="0"/>
      <w:divBdr>
        <w:top w:val="none" w:sz="0" w:space="0" w:color="auto"/>
        <w:left w:val="none" w:sz="0" w:space="0" w:color="auto"/>
        <w:bottom w:val="none" w:sz="0" w:space="0" w:color="auto"/>
        <w:right w:val="none" w:sz="0" w:space="0" w:color="auto"/>
      </w:divBdr>
    </w:div>
    <w:div w:id="403528943">
      <w:bodyDiv w:val="1"/>
      <w:marLeft w:val="0"/>
      <w:marRight w:val="0"/>
      <w:marTop w:val="0"/>
      <w:marBottom w:val="0"/>
      <w:divBdr>
        <w:top w:val="none" w:sz="0" w:space="0" w:color="auto"/>
        <w:left w:val="none" w:sz="0" w:space="0" w:color="auto"/>
        <w:bottom w:val="none" w:sz="0" w:space="0" w:color="auto"/>
        <w:right w:val="none" w:sz="0" w:space="0" w:color="auto"/>
      </w:divBdr>
    </w:div>
    <w:div w:id="430588830">
      <w:bodyDiv w:val="1"/>
      <w:marLeft w:val="0"/>
      <w:marRight w:val="0"/>
      <w:marTop w:val="0"/>
      <w:marBottom w:val="0"/>
      <w:divBdr>
        <w:top w:val="none" w:sz="0" w:space="0" w:color="auto"/>
        <w:left w:val="none" w:sz="0" w:space="0" w:color="auto"/>
        <w:bottom w:val="none" w:sz="0" w:space="0" w:color="auto"/>
        <w:right w:val="none" w:sz="0" w:space="0" w:color="auto"/>
      </w:divBdr>
    </w:div>
    <w:div w:id="437071191">
      <w:bodyDiv w:val="1"/>
      <w:marLeft w:val="0"/>
      <w:marRight w:val="0"/>
      <w:marTop w:val="0"/>
      <w:marBottom w:val="0"/>
      <w:divBdr>
        <w:top w:val="none" w:sz="0" w:space="0" w:color="auto"/>
        <w:left w:val="none" w:sz="0" w:space="0" w:color="auto"/>
        <w:bottom w:val="none" w:sz="0" w:space="0" w:color="auto"/>
        <w:right w:val="none" w:sz="0" w:space="0" w:color="auto"/>
      </w:divBdr>
    </w:div>
    <w:div w:id="471562700">
      <w:bodyDiv w:val="1"/>
      <w:marLeft w:val="0"/>
      <w:marRight w:val="0"/>
      <w:marTop w:val="0"/>
      <w:marBottom w:val="0"/>
      <w:divBdr>
        <w:top w:val="none" w:sz="0" w:space="0" w:color="auto"/>
        <w:left w:val="none" w:sz="0" w:space="0" w:color="auto"/>
        <w:bottom w:val="none" w:sz="0" w:space="0" w:color="auto"/>
        <w:right w:val="none" w:sz="0" w:space="0" w:color="auto"/>
      </w:divBdr>
    </w:div>
    <w:div w:id="485707158">
      <w:bodyDiv w:val="1"/>
      <w:marLeft w:val="0"/>
      <w:marRight w:val="0"/>
      <w:marTop w:val="0"/>
      <w:marBottom w:val="0"/>
      <w:divBdr>
        <w:top w:val="none" w:sz="0" w:space="0" w:color="auto"/>
        <w:left w:val="none" w:sz="0" w:space="0" w:color="auto"/>
        <w:bottom w:val="none" w:sz="0" w:space="0" w:color="auto"/>
        <w:right w:val="none" w:sz="0" w:space="0" w:color="auto"/>
      </w:divBdr>
    </w:div>
    <w:div w:id="509568200">
      <w:bodyDiv w:val="1"/>
      <w:marLeft w:val="0"/>
      <w:marRight w:val="0"/>
      <w:marTop w:val="0"/>
      <w:marBottom w:val="0"/>
      <w:divBdr>
        <w:top w:val="none" w:sz="0" w:space="0" w:color="auto"/>
        <w:left w:val="none" w:sz="0" w:space="0" w:color="auto"/>
        <w:bottom w:val="none" w:sz="0" w:space="0" w:color="auto"/>
        <w:right w:val="none" w:sz="0" w:space="0" w:color="auto"/>
      </w:divBdr>
    </w:div>
    <w:div w:id="540214831">
      <w:bodyDiv w:val="1"/>
      <w:marLeft w:val="0"/>
      <w:marRight w:val="0"/>
      <w:marTop w:val="0"/>
      <w:marBottom w:val="0"/>
      <w:divBdr>
        <w:top w:val="none" w:sz="0" w:space="0" w:color="auto"/>
        <w:left w:val="none" w:sz="0" w:space="0" w:color="auto"/>
        <w:bottom w:val="none" w:sz="0" w:space="0" w:color="auto"/>
        <w:right w:val="none" w:sz="0" w:space="0" w:color="auto"/>
      </w:divBdr>
    </w:div>
    <w:div w:id="565577944">
      <w:bodyDiv w:val="1"/>
      <w:marLeft w:val="0"/>
      <w:marRight w:val="0"/>
      <w:marTop w:val="0"/>
      <w:marBottom w:val="0"/>
      <w:divBdr>
        <w:top w:val="none" w:sz="0" w:space="0" w:color="auto"/>
        <w:left w:val="none" w:sz="0" w:space="0" w:color="auto"/>
        <w:bottom w:val="none" w:sz="0" w:space="0" w:color="auto"/>
        <w:right w:val="none" w:sz="0" w:space="0" w:color="auto"/>
      </w:divBdr>
    </w:div>
    <w:div w:id="574362720">
      <w:bodyDiv w:val="1"/>
      <w:marLeft w:val="0"/>
      <w:marRight w:val="0"/>
      <w:marTop w:val="0"/>
      <w:marBottom w:val="0"/>
      <w:divBdr>
        <w:top w:val="none" w:sz="0" w:space="0" w:color="auto"/>
        <w:left w:val="none" w:sz="0" w:space="0" w:color="auto"/>
        <w:bottom w:val="none" w:sz="0" w:space="0" w:color="auto"/>
        <w:right w:val="none" w:sz="0" w:space="0" w:color="auto"/>
      </w:divBdr>
    </w:div>
    <w:div w:id="575744209">
      <w:bodyDiv w:val="1"/>
      <w:marLeft w:val="0"/>
      <w:marRight w:val="0"/>
      <w:marTop w:val="0"/>
      <w:marBottom w:val="0"/>
      <w:divBdr>
        <w:top w:val="none" w:sz="0" w:space="0" w:color="auto"/>
        <w:left w:val="none" w:sz="0" w:space="0" w:color="auto"/>
        <w:bottom w:val="none" w:sz="0" w:space="0" w:color="auto"/>
        <w:right w:val="none" w:sz="0" w:space="0" w:color="auto"/>
      </w:divBdr>
    </w:div>
    <w:div w:id="597524147">
      <w:bodyDiv w:val="1"/>
      <w:marLeft w:val="0"/>
      <w:marRight w:val="0"/>
      <w:marTop w:val="0"/>
      <w:marBottom w:val="0"/>
      <w:divBdr>
        <w:top w:val="none" w:sz="0" w:space="0" w:color="auto"/>
        <w:left w:val="none" w:sz="0" w:space="0" w:color="auto"/>
        <w:bottom w:val="none" w:sz="0" w:space="0" w:color="auto"/>
        <w:right w:val="none" w:sz="0" w:space="0" w:color="auto"/>
      </w:divBdr>
    </w:div>
    <w:div w:id="609238002">
      <w:bodyDiv w:val="1"/>
      <w:marLeft w:val="0"/>
      <w:marRight w:val="0"/>
      <w:marTop w:val="0"/>
      <w:marBottom w:val="0"/>
      <w:divBdr>
        <w:top w:val="none" w:sz="0" w:space="0" w:color="auto"/>
        <w:left w:val="none" w:sz="0" w:space="0" w:color="auto"/>
        <w:bottom w:val="none" w:sz="0" w:space="0" w:color="auto"/>
        <w:right w:val="none" w:sz="0" w:space="0" w:color="auto"/>
      </w:divBdr>
    </w:div>
    <w:div w:id="612976669">
      <w:bodyDiv w:val="1"/>
      <w:marLeft w:val="0"/>
      <w:marRight w:val="0"/>
      <w:marTop w:val="0"/>
      <w:marBottom w:val="0"/>
      <w:divBdr>
        <w:top w:val="none" w:sz="0" w:space="0" w:color="auto"/>
        <w:left w:val="none" w:sz="0" w:space="0" w:color="auto"/>
        <w:bottom w:val="none" w:sz="0" w:space="0" w:color="auto"/>
        <w:right w:val="none" w:sz="0" w:space="0" w:color="auto"/>
      </w:divBdr>
      <w:divsChild>
        <w:div w:id="23212860">
          <w:marLeft w:val="480"/>
          <w:marRight w:val="0"/>
          <w:marTop w:val="0"/>
          <w:marBottom w:val="0"/>
          <w:divBdr>
            <w:top w:val="none" w:sz="0" w:space="0" w:color="auto"/>
            <w:left w:val="none" w:sz="0" w:space="0" w:color="auto"/>
            <w:bottom w:val="none" w:sz="0" w:space="0" w:color="auto"/>
            <w:right w:val="none" w:sz="0" w:space="0" w:color="auto"/>
          </w:divBdr>
          <w:divsChild>
            <w:div w:id="19344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6736">
      <w:bodyDiv w:val="1"/>
      <w:marLeft w:val="0"/>
      <w:marRight w:val="0"/>
      <w:marTop w:val="0"/>
      <w:marBottom w:val="0"/>
      <w:divBdr>
        <w:top w:val="none" w:sz="0" w:space="0" w:color="auto"/>
        <w:left w:val="none" w:sz="0" w:space="0" w:color="auto"/>
        <w:bottom w:val="none" w:sz="0" w:space="0" w:color="auto"/>
        <w:right w:val="none" w:sz="0" w:space="0" w:color="auto"/>
      </w:divBdr>
    </w:div>
    <w:div w:id="665136187">
      <w:bodyDiv w:val="1"/>
      <w:marLeft w:val="0"/>
      <w:marRight w:val="0"/>
      <w:marTop w:val="0"/>
      <w:marBottom w:val="0"/>
      <w:divBdr>
        <w:top w:val="none" w:sz="0" w:space="0" w:color="auto"/>
        <w:left w:val="none" w:sz="0" w:space="0" w:color="auto"/>
        <w:bottom w:val="none" w:sz="0" w:space="0" w:color="auto"/>
        <w:right w:val="none" w:sz="0" w:space="0" w:color="auto"/>
      </w:divBdr>
    </w:div>
    <w:div w:id="696613784">
      <w:bodyDiv w:val="1"/>
      <w:marLeft w:val="0"/>
      <w:marRight w:val="0"/>
      <w:marTop w:val="0"/>
      <w:marBottom w:val="0"/>
      <w:divBdr>
        <w:top w:val="none" w:sz="0" w:space="0" w:color="auto"/>
        <w:left w:val="none" w:sz="0" w:space="0" w:color="auto"/>
        <w:bottom w:val="none" w:sz="0" w:space="0" w:color="auto"/>
        <w:right w:val="none" w:sz="0" w:space="0" w:color="auto"/>
      </w:divBdr>
    </w:div>
    <w:div w:id="704526947">
      <w:bodyDiv w:val="1"/>
      <w:marLeft w:val="0"/>
      <w:marRight w:val="0"/>
      <w:marTop w:val="0"/>
      <w:marBottom w:val="0"/>
      <w:divBdr>
        <w:top w:val="none" w:sz="0" w:space="0" w:color="auto"/>
        <w:left w:val="none" w:sz="0" w:space="0" w:color="auto"/>
        <w:bottom w:val="none" w:sz="0" w:space="0" w:color="auto"/>
        <w:right w:val="none" w:sz="0" w:space="0" w:color="auto"/>
      </w:divBdr>
    </w:div>
    <w:div w:id="725030592">
      <w:bodyDiv w:val="1"/>
      <w:marLeft w:val="0"/>
      <w:marRight w:val="0"/>
      <w:marTop w:val="0"/>
      <w:marBottom w:val="0"/>
      <w:divBdr>
        <w:top w:val="none" w:sz="0" w:space="0" w:color="auto"/>
        <w:left w:val="none" w:sz="0" w:space="0" w:color="auto"/>
        <w:bottom w:val="none" w:sz="0" w:space="0" w:color="auto"/>
        <w:right w:val="none" w:sz="0" w:space="0" w:color="auto"/>
      </w:divBdr>
    </w:div>
    <w:div w:id="757599133">
      <w:bodyDiv w:val="1"/>
      <w:marLeft w:val="0"/>
      <w:marRight w:val="0"/>
      <w:marTop w:val="0"/>
      <w:marBottom w:val="0"/>
      <w:divBdr>
        <w:top w:val="none" w:sz="0" w:space="0" w:color="auto"/>
        <w:left w:val="none" w:sz="0" w:space="0" w:color="auto"/>
        <w:bottom w:val="none" w:sz="0" w:space="0" w:color="auto"/>
        <w:right w:val="none" w:sz="0" w:space="0" w:color="auto"/>
      </w:divBdr>
    </w:div>
    <w:div w:id="801309072">
      <w:bodyDiv w:val="1"/>
      <w:marLeft w:val="0"/>
      <w:marRight w:val="0"/>
      <w:marTop w:val="0"/>
      <w:marBottom w:val="0"/>
      <w:divBdr>
        <w:top w:val="none" w:sz="0" w:space="0" w:color="auto"/>
        <w:left w:val="none" w:sz="0" w:space="0" w:color="auto"/>
        <w:bottom w:val="none" w:sz="0" w:space="0" w:color="auto"/>
        <w:right w:val="none" w:sz="0" w:space="0" w:color="auto"/>
      </w:divBdr>
    </w:div>
    <w:div w:id="819157559">
      <w:bodyDiv w:val="1"/>
      <w:marLeft w:val="0"/>
      <w:marRight w:val="0"/>
      <w:marTop w:val="0"/>
      <w:marBottom w:val="0"/>
      <w:divBdr>
        <w:top w:val="none" w:sz="0" w:space="0" w:color="auto"/>
        <w:left w:val="none" w:sz="0" w:space="0" w:color="auto"/>
        <w:bottom w:val="none" w:sz="0" w:space="0" w:color="auto"/>
        <w:right w:val="none" w:sz="0" w:space="0" w:color="auto"/>
      </w:divBdr>
    </w:div>
    <w:div w:id="882331959">
      <w:bodyDiv w:val="1"/>
      <w:marLeft w:val="0"/>
      <w:marRight w:val="0"/>
      <w:marTop w:val="0"/>
      <w:marBottom w:val="0"/>
      <w:divBdr>
        <w:top w:val="none" w:sz="0" w:space="0" w:color="auto"/>
        <w:left w:val="none" w:sz="0" w:space="0" w:color="auto"/>
        <w:bottom w:val="none" w:sz="0" w:space="0" w:color="auto"/>
        <w:right w:val="none" w:sz="0" w:space="0" w:color="auto"/>
      </w:divBdr>
    </w:div>
    <w:div w:id="916087369">
      <w:bodyDiv w:val="1"/>
      <w:marLeft w:val="0"/>
      <w:marRight w:val="0"/>
      <w:marTop w:val="0"/>
      <w:marBottom w:val="0"/>
      <w:divBdr>
        <w:top w:val="none" w:sz="0" w:space="0" w:color="auto"/>
        <w:left w:val="none" w:sz="0" w:space="0" w:color="auto"/>
        <w:bottom w:val="none" w:sz="0" w:space="0" w:color="auto"/>
        <w:right w:val="none" w:sz="0" w:space="0" w:color="auto"/>
      </w:divBdr>
    </w:div>
    <w:div w:id="948009768">
      <w:bodyDiv w:val="1"/>
      <w:marLeft w:val="0"/>
      <w:marRight w:val="0"/>
      <w:marTop w:val="0"/>
      <w:marBottom w:val="0"/>
      <w:divBdr>
        <w:top w:val="none" w:sz="0" w:space="0" w:color="auto"/>
        <w:left w:val="none" w:sz="0" w:space="0" w:color="auto"/>
        <w:bottom w:val="none" w:sz="0" w:space="0" w:color="auto"/>
        <w:right w:val="none" w:sz="0" w:space="0" w:color="auto"/>
      </w:divBdr>
    </w:div>
    <w:div w:id="972053480">
      <w:bodyDiv w:val="1"/>
      <w:marLeft w:val="0"/>
      <w:marRight w:val="0"/>
      <w:marTop w:val="0"/>
      <w:marBottom w:val="0"/>
      <w:divBdr>
        <w:top w:val="none" w:sz="0" w:space="0" w:color="auto"/>
        <w:left w:val="none" w:sz="0" w:space="0" w:color="auto"/>
        <w:bottom w:val="none" w:sz="0" w:space="0" w:color="auto"/>
        <w:right w:val="none" w:sz="0" w:space="0" w:color="auto"/>
      </w:divBdr>
    </w:div>
    <w:div w:id="997810290">
      <w:bodyDiv w:val="1"/>
      <w:marLeft w:val="0"/>
      <w:marRight w:val="0"/>
      <w:marTop w:val="0"/>
      <w:marBottom w:val="0"/>
      <w:divBdr>
        <w:top w:val="none" w:sz="0" w:space="0" w:color="auto"/>
        <w:left w:val="none" w:sz="0" w:space="0" w:color="auto"/>
        <w:bottom w:val="none" w:sz="0" w:space="0" w:color="auto"/>
        <w:right w:val="none" w:sz="0" w:space="0" w:color="auto"/>
      </w:divBdr>
      <w:divsChild>
        <w:div w:id="1052116420">
          <w:marLeft w:val="480"/>
          <w:marRight w:val="0"/>
          <w:marTop w:val="0"/>
          <w:marBottom w:val="0"/>
          <w:divBdr>
            <w:top w:val="none" w:sz="0" w:space="0" w:color="auto"/>
            <w:left w:val="none" w:sz="0" w:space="0" w:color="auto"/>
            <w:bottom w:val="none" w:sz="0" w:space="0" w:color="auto"/>
            <w:right w:val="none" w:sz="0" w:space="0" w:color="auto"/>
          </w:divBdr>
          <w:divsChild>
            <w:div w:id="3644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01293">
      <w:bodyDiv w:val="1"/>
      <w:marLeft w:val="0"/>
      <w:marRight w:val="0"/>
      <w:marTop w:val="0"/>
      <w:marBottom w:val="0"/>
      <w:divBdr>
        <w:top w:val="none" w:sz="0" w:space="0" w:color="auto"/>
        <w:left w:val="none" w:sz="0" w:space="0" w:color="auto"/>
        <w:bottom w:val="none" w:sz="0" w:space="0" w:color="auto"/>
        <w:right w:val="none" w:sz="0" w:space="0" w:color="auto"/>
      </w:divBdr>
    </w:div>
    <w:div w:id="1007513102">
      <w:bodyDiv w:val="1"/>
      <w:marLeft w:val="0"/>
      <w:marRight w:val="0"/>
      <w:marTop w:val="0"/>
      <w:marBottom w:val="0"/>
      <w:divBdr>
        <w:top w:val="none" w:sz="0" w:space="0" w:color="auto"/>
        <w:left w:val="none" w:sz="0" w:space="0" w:color="auto"/>
        <w:bottom w:val="none" w:sz="0" w:space="0" w:color="auto"/>
        <w:right w:val="none" w:sz="0" w:space="0" w:color="auto"/>
      </w:divBdr>
    </w:div>
    <w:div w:id="1065179567">
      <w:bodyDiv w:val="1"/>
      <w:marLeft w:val="0"/>
      <w:marRight w:val="0"/>
      <w:marTop w:val="0"/>
      <w:marBottom w:val="0"/>
      <w:divBdr>
        <w:top w:val="none" w:sz="0" w:space="0" w:color="auto"/>
        <w:left w:val="none" w:sz="0" w:space="0" w:color="auto"/>
        <w:bottom w:val="none" w:sz="0" w:space="0" w:color="auto"/>
        <w:right w:val="none" w:sz="0" w:space="0" w:color="auto"/>
      </w:divBdr>
    </w:div>
    <w:div w:id="1129861277">
      <w:bodyDiv w:val="1"/>
      <w:marLeft w:val="0"/>
      <w:marRight w:val="0"/>
      <w:marTop w:val="0"/>
      <w:marBottom w:val="0"/>
      <w:divBdr>
        <w:top w:val="none" w:sz="0" w:space="0" w:color="auto"/>
        <w:left w:val="none" w:sz="0" w:space="0" w:color="auto"/>
        <w:bottom w:val="none" w:sz="0" w:space="0" w:color="auto"/>
        <w:right w:val="none" w:sz="0" w:space="0" w:color="auto"/>
      </w:divBdr>
    </w:div>
    <w:div w:id="1132090427">
      <w:bodyDiv w:val="1"/>
      <w:marLeft w:val="0"/>
      <w:marRight w:val="0"/>
      <w:marTop w:val="0"/>
      <w:marBottom w:val="0"/>
      <w:divBdr>
        <w:top w:val="none" w:sz="0" w:space="0" w:color="auto"/>
        <w:left w:val="none" w:sz="0" w:space="0" w:color="auto"/>
        <w:bottom w:val="none" w:sz="0" w:space="0" w:color="auto"/>
        <w:right w:val="none" w:sz="0" w:space="0" w:color="auto"/>
      </w:divBdr>
    </w:div>
    <w:div w:id="1142430154">
      <w:bodyDiv w:val="1"/>
      <w:marLeft w:val="0"/>
      <w:marRight w:val="0"/>
      <w:marTop w:val="0"/>
      <w:marBottom w:val="0"/>
      <w:divBdr>
        <w:top w:val="none" w:sz="0" w:space="0" w:color="auto"/>
        <w:left w:val="none" w:sz="0" w:space="0" w:color="auto"/>
        <w:bottom w:val="none" w:sz="0" w:space="0" w:color="auto"/>
        <w:right w:val="none" w:sz="0" w:space="0" w:color="auto"/>
      </w:divBdr>
    </w:div>
    <w:div w:id="1166827826">
      <w:bodyDiv w:val="1"/>
      <w:marLeft w:val="0"/>
      <w:marRight w:val="0"/>
      <w:marTop w:val="0"/>
      <w:marBottom w:val="0"/>
      <w:divBdr>
        <w:top w:val="none" w:sz="0" w:space="0" w:color="auto"/>
        <w:left w:val="none" w:sz="0" w:space="0" w:color="auto"/>
        <w:bottom w:val="none" w:sz="0" w:space="0" w:color="auto"/>
        <w:right w:val="none" w:sz="0" w:space="0" w:color="auto"/>
      </w:divBdr>
    </w:div>
    <w:div w:id="1181776373">
      <w:bodyDiv w:val="1"/>
      <w:marLeft w:val="0"/>
      <w:marRight w:val="0"/>
      <w:marTop w:val="0"/>
      <w:marBottom w:val="0"/>
      <w:divBdr>
        <w:top w:val="none" w:sz="0" w:space="0" w:color="auto"/>
        <w:left w:val="none" w:sz="0" w:space="0" w:color="auto"/>
        <w:bottom w:val="none" w:sz="0" w:space="0" w:color="auto"/>
        <w:right w:val="none" w:sz="0" w:space="0" w:color="auto"/>
      </w:divBdr>
    </w:div>
    <w:div w:id="1186793211">
      <w:bodyDiv w:val="1"/>
      <w:marLeft w:val="0"/>
      <w:marRight w:val="0"/>
      <w:marTop w:val="0"/>
      <w:marBottom w:val="0"/>
      <w:divBdr>
        <w:top w:val="none" w:sz="0" w:space="0" w:color="auto"/>
        <w:left w:val="none" w:sz="0" w:space="0" w:color="auto"/>
        <w:bottom w:val="none" w:sz="0" w:space="0" w:color="auto"/>
        <w:right w:val="none" w:sz="0" w:space="0" w:color="auto"/>
      </w:divBdr>
      <w:divsChild>
        <w:div w:id="1690522852">
          <w:marLeft w:val="-20"/>
          <w:marRight w:val="0"/>
          <w:marTop w:val="0"/>
          <w:marBottom w:val="0"/>
          <w:divBdr>
            <w:top w:val="none" w:sz="0" w:space="0" w:color="auto"/>
            <w:left w:val="none" w:sz="0" w:space="0" w:color="auto"/>
            <w:bottom w:val="none" w:sz="0" w:space="0" w:color="auto"/>
            <w:right w:val="none" w:sz="0" w:space="0" w:color="auto"/>
          </w:divBdr>
        </w:div>
      </w:divsChild>
    </w:div>
    <w:div w:id="1200823290">
      <w:bodyDiv w:val="1"/>
      <w:marLeft w:val="0"/>
      <w:marRight w:val="0"/>
      <w:marTop w:val="0"/>
      <w:marBottom w:val="0"/>
      <w:divBdr>
        <w:top w:val="none" w:sz="0" w:space="0" w:color="auto"/>
        <w:left w:val="none" w:sz="0" w:space="0" w:color="auto"/>
        <w:bottom w:val="none" w:sz="0" w:space="0" w:color="auto"/>
        <w:right w:val="none" w:sz="0" w:space="0" w:color="auto"/>
      </w:divBdr>
    </w:div>
    <w:div w:id="1204363142">
      <w:bodyDiv w:val="1"/>
      <w:marLeft w:val="0"/>
      <w:marRight w:val="0"/>
      <w:marTop w:val="0"/>
      <w:marBottom w:val="0"/>
      <w:divBdr>
        <w:top w:val="none" w:sz="0" w:space="0" w:color="auto"/>
        <w:left w:val="none" w:sz="0" w:space="0" w:color="auto"/>
        <w:bottom w:val="none" w:sz="0" w:space="0" w:color="auto"/>
        <w:right w:val="none" w:sz="0" w:space="0" w:color="auto"/>
      </w:divBdr>
    </w:div>
    <w:div w:id="1224608296">
      <w:bodyDiv w:val="1"/>
      <w:marLeft w:val="0"/>
      <w:marRight w:val="0"/>
      <w:marTop w:val="0"/>
      <w:marBottom w:val="0"/>
      <w:divBdr>
        <w:top w:val="none" w:sz="0" w:space="0" w:color="auto"/>
        <w:left w:val="none" w:sz="0" w:space="0" w:color="auto"/>
        <w:bottom w:val="none" w:sz="0" w:space="0" w:color="auto"/>
        <w:right w:val="none" w:sz="0" w:space="0" w:color="auto"/>
      </w:divBdr>
    </w:div>
    <w:div w:id="1247305847">
      <w:bodyDiv w:val="1"/>
      <w:marLeft w:val="0"/>
      <w:marRight w:val="0"/>
      <w:marTop w:val="0"/>
      <w:marBottom w:val="0"/>
      <w:divBdr>
        <w:top w:val="none" w:sz="0" w:space="0" w:color="auto"/>
        <w:left w:val="none" w:sz="0" w:space="0" w:color="auto"/>
        <w:bottom w:val="none" w:sz="0" w:space="0" w:color="auto"/>
        <w:right w:val="none" w:sz="0" w:space="0" w:color="auto"/>
      </w:divBdr>
    </w:div>
    <w:div w:id="1250115219">
      <w:bodyDiv w:val="1"/>
      <w:marLeft w:val="0"/>
      <w:marRight w:val="0"/>
      <w:marTop w:val="0"/>
      <w:marBottom w:val="0"/>
      <w:divBdr>
        <w:top w:val="none" w:sz="0" w:space="0" w:color="auto"/>
        <w:left w:val="none" w:sz="0" w:space="0" w:color="auto"/>
        <w:bottom w:val="none" w:sz="0" w:space="0" w:color="auto"/>
        <w:right w:val="none" w:sz="0" w:space="0" w:color="auto"/>
      </w:divBdr>
    </w:div>
    <w:div w:id="1279488718">
      <w:bodyDiv w:val="1"/>
      <w:marLeft w:val="0"/>
      <w:marRight w:val="0"/>
      <w:marTop w:val="0"/>
      <w:marBottom w:val="0"/>
      <w:divBdr>
        <w:top w:val="none" w:sz="0" w:space="0" w:color="auto"/>
        <w:left w:val="none" w:sz="0" w:space="0" w:color="auto"/>
        <w:bottom w:val="none" w:sz="0" w:space="0" w:color="auto"/>
        <w:right w:val="none" w:sz="0" w:space="0" w:color="auto"/>
      </w:divBdr>
    </w:div>
    <w:div w:id="1291745147">
      <w:bodyDiv w:val="1"/>
      <w:marLeft w:val="0"/>
      <w:marRight w:val="0"/>
      <w:marTop w:val="0"/>
      <w:marBottom w:val="0"/>
      <w:divBdr>
        <w:top w:val="none" w:sz="0" w:space="0" w:color="auto"/>
        <w:left w:val="none" w:sz="0" w:space="0" w:color="auto"/>
        <w:bottom w:val="none" w:sz="0" w:space="0" w:color="auto"/>
        <w:right w:val="none" w:sz="0" w:space="0" w:color="auto"/>
      </w:divBdr>
    </w:div>
    <w:div w:id="1315719046">
      <w:bodyDiv w:val="1"/>
      <w:marLeft w:val="0"/>
      <w:marRight w:val="0"/>
      <w:marTop w:val="0"/>
      <w:marBottom w:val="0"/>
      <w:divBdr>
        <w:top w:val="none" w:sz="0" w:space="0" w:color="auto"/>
        <w:left w:val="none" w:sz="0" w:space="0" w:color="auto"/>
        <w:bottom w:val="none" w:sz="0" w:space="0" w:color="auto"/>
        <w:right w:val="none" w:sz="0" w:space="0" w:color="auto"/>
      </w:divBdr>
    </w:div>
    <w:div w:id="1327708922">
      <w:bodyDiv w:val="1"/>
      <w:marLeft w:val="0"/>
      <w:marRight w:val="0"/>
      <w:marTop w:val="0"/>
      <w:marBottom w:val="0"/>
      <w:divBdr>
        <w:top w:val="none" w:sz="0" w:space="0" w:color="auto"/>
        <w:left w:val="none" w:sz="0" w:space="0" w:color="auto"/>
        <w:bottom w:val="none" w:sz="0" w:space="0" w:color="auto"/>
        <w:right w:val="none" w:sz="0" w:space="0" w:color="auto"/>
      </w:divBdr>
    </w:div>
    <w:div w:id="1329554844">
      <w:bodyDiv w:val="1"/>
      <w:marLeft w:val="0"/>
      <w:marRight w:val="0"/>
      <w:marTop w:val="0"/>
      <w:marBottom w:val="0"/>
      <w:divBdr>
        <w:top w:val="none" w:sz="0" w:space="0" w:color="auto"/>
        <w:left w:val="none" w:sz="0" w:space="0" w:color="auto"/>
        <w:bottom w:val="none" w:sz="0" w:space="0" w:color="auto"/>
        <w:right w:val="none" w:sz="0" w:space="0" w:color="auto"/>
      </w:divBdr>
    </w:div>
    <w:div w:id="1352874006">
      <w:bodyDiv w:val="1"/>
      <w:marLeft w:val="0"/>
      <w:marRight w:val="0"/>
      <w:marTop w:val="0"/>
      <w:marBottom w:val="0"/>
      <w:divBdr>
        <w:top w:val="none" w:sz="0" w:space="0" w:color="auto"/>
        <w:left w:val="none" w:sz="0" w:space="0" w:color="auto"/>
        <w:bottom w:val="none" w:sz="0" w:space="0" w:color="auto"/>
        <w:right w:val="none" w:sz="0" w:space="0" w:color="auto"/>
      </w:divBdr>
    </w:div>
    <w:div w:id="1368872382">
      <w:bodyDiv w:val="1"/>
      <w:marLeft w:val="0"/>
      <w:marRight w:val="0"/>
      <w:marTop w:val="0"/>
      <w:marBottom w:val="0"/>
      <w:divBdr>
        <w:top w:val="none" w:sz="0" w:space="0" w:color="auto"/>
        <w:left w:val="none" w:sz="0" w:space="0" w:color="auto"/>
        <w:bottom w:val="none" w:sz="0" w:space="0" w:color="auto"/>
        <w:right w:val="none" w:sz="0" w:space="0" w:color="auto"/>
      </w:divBdr>
    </w:div>
    <w:div w:id="1402944226">
      <w:bodyDiv w:val="1"/>
      <w:marLeft w:val="0"/>
      <w:marRight w:val="0"/>
      <w:marTop w:val="0"/>
      <w:marBottom w:val="0"/>
      <w:divBdr>
        <w:top w:val="none" w:sz="0" w:space="0" w:color="auto"/>
        <w:left w:val="none" w:sz="0" w:space="0" w:color="auto"/>
        <w:bottom w:val="none" w:sz="0" w:space="0" w:color="auto"/>
        <w:right w:val="none" w:sz="0" w:space="0" w:color="auto"/>
      </w:divBdr>
    </w:div>
    <w:div w:id="1414426317">
      <w:bodyDiv w:val="1"/>
      <w:marLeft w:val="0"/>
      <w:marRight w:val="0"/>
      <w:marTop w:val="0"/>
      <w:marBottom w:val="0"/>
      <w:divBdr>
        <w:top w:val="none" w:sz="0" w:space="0" w:color="auto"/>
        <w:left w:val="none" w:sz="0" w:space="0" w:color="auto"/>
        <w:bottom w:val="none" w:sz="0" w:space="0" w:color="auto"/>
        <w:right w:val="none" w:sz="0" w:space="0" w:color="auto"/>
      </w:divBdr>
    </w:div>
    <w:div w:id="1423448894">
      <w:bodyDiv w:val="1"/>
      <w:marLeft w:val="0"/>
      <w:marRight w:val="0"/>
      <w:marTop w:val="0"/>
      <w:marBottom w:val="0"/>
      <w:divBdr>
        <w:top w:val="none" w:sz="0" w:space="0" w:color="auto"/>
        <w:left w:val="none" w:sz="0" w:space="0" w:color="auto"/>
        <w:bottom w:val="none" w:sz="0" w:space="0" w:color="auto"/>
        <w:right w:val="none" w:sz="0" w:space="0" w:color="auto"/>
      </w:divBdr>
    </w:div>
    <w:div w:id="1449007817">
      <w:bodyDiv w:val="1"/>
      <w:marLeft w:val="0"/>
      <w:marRight w:val="0"/>
      <w:marTop w:val="0"/>
      <w:marBottom w:val="0"/>
      <w:divBdr>
        <w:top w:val="none" w:sz="0" w:space="0" w:color="auto"/>
        <w:left w:val="none" w:sz="0" w:space="0" w:color="auto"/>
        <w:bottom w:val="none" w:sz="0" w:space="0" w:color="auto"/>
        <w:right w:val="none" w:sz="0" w:space="0" w:color="auto"/>
      </w:divBdr>
    </w:div>
    <w:div w:id="1467510145">
      <w:bodyDiv w:val="1"/>
      <w:marLeft w:val="0"/>
      <w:marRight w:val="0"/>
      <w:marTop w:val="0"/>
      <w:marBottom w:val="0"/>
      <w:divBdr>
        <w:top w:val="none" w:sz="0" w:space="0" w:color="auto"/>
        <w:left w:val="none" w:sz="0" w:space="0" w:color="auto"/>
        <w:bottom w:val="none" w:sz="0" w:space="0" w:color="auto"/>
        <w:right w:val="none" w:sz="0" w:space="0" w:color="auto"/>
      </w:divBdr>
    </w:div>
    <w:div w:id="1491628735">
      <w:bodyDiv w:val="1"/>
      <w:marLeft w:val="0"/>
      <w:marRight w:val="0"/>
      <w:marTop w:val="0"/>
      <w:marBottom w:val="0"/>
      <w:divBdr>
        <w:top w:val="none" w:sz="0" w:space="0" w:color="auto"/>
        <w:left w:val="none" w:sz="0" w:space="0" w:color="auto"/>
        <w:bottom w:val="none" w:sz="0" w:space="0" w:color="auto"/>
        <w:right w:val="none" w:sz="0" w:space="0" w:color="auto"/>
      </w:divBdr>
    </w:div>
    <w:div w:id="1554464516">
      <w:bodyDiv w:val="1"/>
      <w:marLeft w:val="0"/>
      <w:marRight w:val="0"/>
      <w:marTop w:val="0"/>
      <w:marBottom w:val="0"/>
      <w:divBdr>
        <w:top w:val="none" w:sz="0" w:space="0" w:color="auto"/>
        <w:left w:val="none" w:sz="0" w:space="0" w:color="auto"/>
        <w:bottom w:val="none" w:sz="0" w:space="0" w:color="auto"/>
        <w:right w:val="none" w:sz="0" w:space="0" w:color="auto"/>
      </w:divBdr>
      <w:divsChild>
        <w:div w:id="128253981">
          <w:marLeft w:val="480"/>
          <w:marRight w:val="0"/>
          <w:marTop w:val="0"/>
          <w:marBottom w:val="0"/>
          <w:divBdr>
            <w:top w:val="none" w:sz="0" w:space="0" w:color="auto"/>
            <w:left w:val="none" w:sz="0" w:space="0" w:color="auto"/>
            <w:bottom w:val="none" w:sz="0" w:space="0" w:color="auto"/>
            <w:right w:val="none" w:sz="0" w:space="0" w:color="auto"/>
          </w:divBdr>
          <w:divsChild>
            <w:div w:id="92114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009">
      <w:bodyDiv w:val="1"/>
      <w:marLeft w:val="0"/>
      <w:marRight w:val="0"/>
      <w:marTop w:val="0"/>
      <w:marBottom w:val="0"/>
      <w:divBdr>
        <w:top w:val="none" w:sz="0" w:space="0" w:color="auto"/>
        <w:left w:val="none" w:sz="0" w:space="0" w:color="auto"/>
        <w:bottom w:val="none" w:sz="0" w:space="0" w:color="auto"/>
        <w:right w:val="none" w:sz="0" w:space="0" w:color="auto"/>
      </w:divBdr>
      <w:divsChild>
        <w:div w:id="603348450">
          <w:marLeft w:val="480"/>
          <w:marRight w:val="0"/>
          <w:marTop w:val="0"/>
          <w:marBottom w:val="0"/>
          <w:divBdr>
            <w:top w:val="none" w:sz="0" w:space="0" w:color="auto"/>
            <w:left w:val="none" w:sz="0" w:space="0" w:color="auto"/>
            <w:bottom w:val="none" w:sz="0" w:space="0" w:color="auto"/>
            <w:right w:val="none" w:sz="0" w:space="0" w:color="auto"/>
          </w:divBdr>
          <w:divsChild>
            <w:div w:id="29217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272174">
      <w:bodyDiv w:val="1"/>
      <w:marLeft w:val="0"/>
      <w:marRight w:val="0"/>
      <w:marTop w:val="0"/>
      <w:marBottom w:val="0"/>
      <w:divBdr>
        <w:top w:val="none" w:sz="0" w:space="0" w:color="auto"/>
        <w:left w:val="none" w:sz="0" w:space="0" w:color="auto"/>
        <w:bottom w:val="none" w:sz="0" w:space="0" w:color="auto"/>
        <w:right w:val="none" w:sz="0" w:space="0" w:color="auto"/>
      </w:divBdr>
    </w:div>
    <w:div w:id="1606696698">
      <w:bodyDiv w:val="1"/>
      <w:marLeft w:val="0"/>
      <w:marRight w:val="0"/>
      <w:marTop w:val="0"/>
      <w:marBottom w:val="0"/>
      <w:divBdr>
        <w:top w:val="none" w:sz="0" w:space="0" w:color="auto"/>
        <w:left w:val="none" w:sz="0" w:space="0" w:color="auto"/>
        <w:bottom w:val="none" w:sz="0" w:space="0" w:color="auto"/>
        <w:right w:val="none" w:sz="0" w:space="0" w:color="auto"/>
      </w:divBdr>
    </w:div>
    <w:div w:id="1621692634">
      <w:bodyDiv w:val="1"/>
      <w:marLeft w:val="0"/>
      <w:marRight w:val="0"/>
      <w:marTop w:val="0"/>
      <w:marBottom w:val="0"/>
      <w:divBdr>
        <w:top w:val="none" w:sz="0" w:space="0" w:color="auto"/>
        <w:left w:val="none" w:sz="0" w:space="0" w:color="auto"/>
        <w:bottom w:val="none" w:sz="0" w:space="0" w:color="auto"/>
        <w:right w:val="none" w:sz="0" w:space="0" w:color="auto"/>
      </w:divBdr>
    </w:div>
    <w:div w:id="1634603264">
      <w:bodyDiv w:val="1"/>
      <w:marLeft w:val="0"/>
      <w:marRight w:val="0"/>
      <w:marTop w:val="0"/>
      <w:marBottom w:val="0"/>
      <w:divBdr>
        <w:top w:val="none" w:sz="0" w:space="0" w:color="auto"/>
        <w:left w:val="none" w:sz="0" w:space="0" w:color="auto"/>
        <w:bottom w:val="none" w:sz="0" w:space="0" w:color="auto"/>
        <w:right w:val="none" w:sz="0" w:space="0" w:color="auto"/>
      </w:divBdr>
    </w:div>
    <w:div w:id="1655404465">
      <w:bodyDiv w:val="1"/>
      <w:marLeft w:val="0"/>
      <w:marRight w:val="0"/>
      <w:marTop w:val="0"/>
      <w:marBottom w:val="0"/>
      <w:divBdr>
        <w:top w:val="none" w:sz="0" w:space="0" w:color="auto"/>
        <w:left w:val="none" w:sz="0" w:space="0" w:color="auto"/>
        <w:bottom w:val="none" w:sz="0" w:space="0" w:color="auto"/>
        <w:right w:val="none" w:sz="0" w:space="0" w:color="auto"/>
      </w:divBdr>
    </w:div>
    <w:div w:id="1656567996">
      <w:bodyDiv w:val="1"/>
      <w:marLeft w:val="0"/>
      <w:marRight w:val="0"/>
      <w:marTop w:val="0"/>
      <w:marBottom w:val="0"/>
      <w:divBdr>
        <w:top w:val="none" w:sz="0" w:space="0" w:color="auto"/>
        <w:left w:val="none" w:sz="0" w:space="0" w:color="auto"/>
        <w:bottom w:val="none" w:sz="0" w:space="0" w:color="auto"/>
        <w:right w:val="none" w:sz="0" w:space="0" w:color="auto"/>
      </w:divBdr>
    </w:div>
    <w:div w:id="1693602554">
      <w:bodyDiv w:val="1"/>
      <w:marLeft w:val="0"/>
      <w:marRight w:val="0"/>
      <w:marTop w:val="0"/>
      <w:marBottom w:val="0"/>
      <w:divBdr>
        <w:top w:val="none" w:sz="0" w:space="0" w:color="auto"/>
        <w:left w:val="none" w:sz="0" w:space="0" w:color="auto"/>
        <w:bottom w:val="none" w:sz="0" w:space="0" w:color="auto"/>
        <w:right w:val="none" w:sz="0" w:space="0" w:color="auto"/>
      </w:divBdr>
      <w:divsChild>
        <w:div w:id="1184594118">
          <w:marLeft w:val="-20"/>
          <w:marRight w:val="0"/>
          <w:marTop w:val="0"/>
          <w:marBottom w:val="0"/>
          <w:divBdr>
            <w:top w:val="none" w:sz="0" w:space="0" w:color="auto"/>
            <w:left w:val="none" w:sz="0" w:space="0" w:color="auto"/>
            <w:bottom w:val="none" w:sz="0" w:space="0" w:color="auto"/>
            <w:right w:val="none" w:sz="0" w:space="0" w:color="auto"/>
          </w:divBdr>
        </w:div>
      </w:divsChild>
    </w:div>
    <w:div w:id="1706369682">
      <w:bodyDiv w:val="1"/>
      <w:marLeft w:val="0"/>
      <w:marRight w:val="0"/>
      <w:marTop w:val="0"/>
      <w:marBottom w:val="0"/>
      <w:divBdr>
        <w:top w:val="none" w:sz="0" w:space="0" w:color="auto"/>
        <w:left w:val="none" w:sz="0" w:space="0" w:color="auto"/>
        <w:bottom w:val="none" w:sz="0" w:space="0" w:color="auto"/>
        <w:right w:val="none" w:sz="0" w:space="0" w:color="auto"/>
      </w:divBdr>
    </w:div>
    <w:div w:id="1712076084">
      <w:bodyDiv w:val="1"/>
      <w:marLeft w:val="0"/>
      <w:marRight w:val="0"/>
      <w:marTop w:val="0"/>
      <w:marBottom w:val="0"/>
      <w:divBdr>
        <w:top w:val="none" w:sz="0" w:space="0" w:color="auto"/>
        <w:left w:val="none" w:sz="0" w:space="0" w:color="auto"/>
        <w:bottom w:val="none" w:sz="0" w:space="0" w:color="auto"/>
        <w:right w:val="none" w:sz="0" w:space="0" w:color="auto"/>
      </w:divBdr>
    </w:div>
    <w:div w:id="1714883744">
      <w:bodyDiv w:val="1"/>
      <w:marLeft w:val="0"/>
      <w:marRight w:val="0"/>
      <w:marTop w:val="0"/>
      <w:marBottom w:val="0"/>
      <w:divBdr>
        <w:top w:val="none" w:sz="0" w:space="0" w:color="auto"/>
        <w:left w:val="none" w:sz="0" w:space="0" w:color="auto"/>
        <w:bottom w:val="none" w:sz="0" w:space="0" w:color="auto"/>
        <w:right w:val="none" w:sz="0" w:space="0" w:color="auto"/>
      </w:divBdr>
    </w:div>
    <w:div w:id="1721052387">
      <w:bodyDiv w:val="1"/>
      <w:marLeft w:val="0"/>
      <w:marRight w:val="0"/>
      <w:marTop w:val="0"/>
      <w:marBottom w:val="0"/>
      <w:divBdr>
        <w:top w:val="none" w:sz="0" w:space="0" w:color="auto"/>
        <w:left w:val="none" w:sz="0" w:space="0" w:color="auto"/>
        <w:bottom w:val="none" w:sz="0" w:space="0" w:color="auto"/>
        <w:right w:val="none" w:sz="0" w:space="0" w:color="auto"/>
      </w:divBdr>
    </w:div>
    <w:div w:id="1740402044">
      <w:bodyDiv w:val="1"/>
      <w:marLeft w:val="0"/>
      <w:marRight w:val="0"/>
      <w:marTop w:val="0"/>
      <w:marBottom w:val="0"/>
      <w:divBdr>
        <w:top w:val="none" w:sz="0" w:space="0" w:color="auto"/>
        <w:left w:val="none" w:sz="0" w:space="0" w:color="auto"/>
        <w:bottom w:val="none" w:sz="0" w:space="0" w:color="auto"/>
        <w:right w:val="none" w:sz="0" w:space="0" w:color="auto"/>
      </w:divBdr>
    </w:div>
    <w:div w:id="1760788204">
      <w:bodyDiv w:val="1"/>
      <w:marLeft w:val="0"/>
      <w:marRight w:val="0"/>
      <w:marTop w:val="0"/>
      <w:marBottom w:val="0"/>
      <w:divBdr>
        <w:top w:val="none" w:sz="0" w:space="0" w:color="auto"/>
        <w:left w:val="none" w:sz="0" w:space="0" w:color="auto"/>
        <w:bottom w:val="none" w:sz="0" w:space="0" w:color="auto"/>
        <w:right w:val="none" w:sz="0" w:space="0" w:color="auto"/>
      </w:divBdr>
    </w:div>
    <w:div w:id="1784615747">
      <w:bodyDiv w:val="1"/>
      <w:marLeft w:val="0"/>
      <w:marRight w:val="0"/>
      <w:marTop w:val="0"/>
      <w:marBottom w:val="0"/>
      <w:divBdr>
        <w:top w:val="none" w:sz="0" w:space="0" w:color="auto"/>
        <w:left w:val="none" w:sz="0" w:space="0" w:color="auto"/>
        <w:bottom w:val="none" w:sz="0" w:space="0" w:color="auto"/>
        <w:right w:val="none" w:sz="0" w:space="0" w:color="auto"/>
      </w:divBdr>
    </w:div>
    <w:div w:id="1794323378">
      <w:bodyDiv w:val="1"/>
      <w:marLeft w:val="0"/>
      <w:marRight w:val="0"/>
      <w:marTop w:val="0"/>
      <w:marBottom w:val="0"/>
      <w:divBdr>
        <w:top w:val="none" w:sz="0" w:space="0" w:color="auto"/>
        <w:left w:val="none" w:sz="0" w:space="0" w:color="auto"/>
        <w:bottom w:val="none" w:sz="0" w:space="0" w:color="auto"/>
        <w:right w:val="none" w:sz="0" w:space="0" w:color="auto"/>
      </w:divBdr>
    </w:div>
    <w:div w:id="1796369480">
      <w:bodyDiv w:val="1"/>
      <w:marLeft w:val="0"/>
      <w:marRight w:val="0"/>
      <w:marTop w:val="0"/>
      <w:marBottom w:val="0"/>
      <w:divBdr>
        <w:top w:val="none" w:sz="0" w:space="0" w:color="auto"/>
        <w:left w:val="none" w:sz="0" w:space="0" w:color="auto"/>
        <w:bottom w:val="none" w:sz="0" w:space="0" w:color="auto"/>
        <w:right w:val="none" w:sz="0" w:space="0" w:color="auto"/>
      </w:divBdr>
      <w:divsChild>
        <w:div w:id="727264499">
          <w:marLeft w:val="480"/>
          <w:marRight w:val="0"/>
          <w:marTop w:val="0"/>
          <w:marBottom w:val="0"/>
          <w:divBdr>
            <w:top w:val="none" w:sz="0" w:space="0" w:color="auto"/>
            <w:left w:val="none" w:sz="0" w:space="0" w:color="auto"/>
            <w:bottom w:val="none" w:sz="0" w:space="0" w:color="auto"/>
            <w:right w:val="none" w:sz="0" w:space="0" w:color="auto"/>
          </w:divBdr>
          <w:divsChild>
            <w:div w:id="438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01580">
      <w:bodyDiv w:val="1"/>
      <w:marLeft w:val="0"/>
      <w:marRight w:val="0"/>
      <w:marTop w:val="0"/>
      <w:marBottom w:val="0"/>
      <w:divBdr>
        <w:top w:val="none" w:sz="0" w:space="0" w:color="auto"/>
        <w:left w:val="none" w:sz="0" w:space="0" w:color="auto"/>
        <w:bottom w:val="none" w:sz="0" w:space="0" w:color="auto"/>
        <w:right w:val="none" w:sz="0" w:space="0" w:color="auto"/>
      </w:divBdr>
    </w:div>
    <w:div w:id="1820341092">
      <w:bodyDiv w:val="1"/>
      <w:marLeft w:val="0"/>
      <w:marRight w:val="0"/>
      <w:marTop w:val="0"/>
      <w:marBottom w:val="0"/>
      <w:divBdr>
        <w:top w:val="none" w:sz="0" w:space="0" w:color="auto"/>
        <w:left w:val="none" w:sz="0" w:space="0" w:color="auto"/>
        <w:bottom w:val="none" w:sz="0" w:space="0" w:color="auto"/>
        <w:right w:val="none" w:sz="0" w:space="0" w:color="auto"/>
      </w:divBdr>
    </w:div>
    <w:div w:id="1820657246">
      <w:bodyDiv w:val="1"/>
      <w:marLeft w:val="0"/>
      <w:marRight w:val="0"/>
      <w:marTop w:val="0"/>
      <w:marBottom w:val="0"/>
      <w:divBdr>
        <w:top w:val="none" w:sz="0" w:space="0" w:color="auto"/>
        <w:left w:val="none" w:sz="0" w:space="0" w:color="auto"/>
        <w:bottom w:val="none" w:sz="0" w:space="0" w:color="auto"/>
        <w:right w:val="none" w:sz="0" w:space="0" w:color="auto"/>
      </w:divBdr>
    </w:div>
    <w:div w:id="1836450937">
      <w:bodyDiv w:val="1"/>
      <w:marLeft w:val="0"/>
      <w:marRight w:val="0"/>
      <w:marTop w:val="0"/>
      <w:marBottom w:val="0"/>
      <w:divBdr>
        <w:top w:val="none" w:sz="0" w:space="0" w:color="auto"/>
        <w:left w:val="none" w:sz="0" w:space="0" w:color="auto"/>
        <w:bottom w:val="none" w:sz="0" w:space="0" w:color="auto"/>
        <w:right w:val="none" w:sz="0" w:space="0" w:color="auto"/>
      </w:divBdr>
    </w:div>
    <w:div w:id="1841893421">
      <w:bodyDiv w:val="1"/>
      <w:marLeft w:val="0"/>
      <w:marRight w:val="0"/>
      <w:marTop w:val="0"/>
      <w:marBottom w:val="0"/>
      <w:divBdr>
        <w:top w:val="none" w:sz="0" w:space="0" w:color="auto"/>
        <w:left w:val="none" w:sz="0" w:space="0" w:color="auto"/>
        <w:bottom w:val="none" w:sz="0" w:space="0" w:color="auto"/>
        <w:right w:val="none" w:sz="0" w:space="0" w:color="auto"/>
      </w:divBdr>
    </w:div>
    <w:div w:id="1912227252">
      <w:bodyDiv w:val="1"/>
      <w:marLeft w:val="0"/>
      <w:marRight w:val="0"/>
      <w:marTop w:val="0"/>
      <w:marBottom w:val="0"/>
      <w:divBdr>
        <w:top w:val="none" w:sz="0" w:space="0" w:color="auto"/>
        <w:left w:val="none" w:sz="0" w:space="0" w:color="auto"/>
        <w:bottom w:val="none" w:sz="0" w:space="0" w:color="auto"/>
        <w:right w:val="none" w:sz="0" w:space="0" w:color="auto"/>
      </w:divBdr>
    </w:div>
    <w:div w:id="1914268656">
      <w:bodyDiv w:val="1"/>
      <w:marLeft w:val="0"/>
      <w:marRight w:val="0"/>
      <w:marTop w:val="0"/>
      <w:marBottom w:val="0"/>
      <w:divBdr>
        <w:top w:val="none" w:sz="0" w:space="0" w:color="auto"/>
        <w:left w:val="none" w:sz="0" w:space="0" w:color="auto"/>
        <w:bottom w:val="none" w:sz="0" w:space="0" w:color="auto"/>
        <w:right w:val="none" w:sz="0" w:space="0" w:color="auto"/>
      </w:divBdr>
      <w:divsChild>
        <w:div w:id="1476070971">
          <w:marLeft w:val="480"/>
          <w:marRight w:val="0"/>
          <w:marTop w:val="0"/>
          <w:marBottom w:val="0"/>
          <w:divBdr>
            <w:top w:val="none" w:sz="0" w:space="0" w:color="auto"/>
            <w:left w:val="none" w:sz="0" w:space="0" w:color="auto"/>
            <w:bottom w:val="none" w:sz="0" w:space="0" w:color="auto"/>
            <w:right w:val="none" w:sz="0" w:space="0" w:color="auto"/>
          </w:divBdr>
          <w:divsChild>
            <w:div w:id="71388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7623">
      <w:bodyDiv w:val="1"/>
      <w:marLeft w:val="0"/>
      <w:marRight w:val="0"/>
      <w:marTop w:val="0"/>
      <w:marBottom w:val="0"/>
      <w:divBdr>
        <w:top w:val="none" w:sz="0" w:space="0" w:color="auto"/>
        <w:left w:val="none" w:sz="0" w:space="0" w:color="auto"/>
        <w:bottom w:val="none" w:sz="0" w:space="0" w:color="auto"/>
        <w:right w:val="none" w:sz="0" w:space="0" w:color="auto"/>
      </w:divBdr>
    </w:div>
    <w:div w:id="1957102964">
      <w:bodyDiv w:val="1"/>
      <w:marLeft w:val="0"/>
      <w:marRight w:val="0"/>
      <w:marTop w:val="0"/>
      <w:marBottom w:val="0"/>
      <w:divBdr>
        <w:top w:val="none" w:sz="0" w:space="0" w:color="auto"/>
        <w:left w:val="none" w:sz="0" w:space="0" w:color="auto"/>
        <w:bottom w:val="none" w:sz="0" w:space="0" w:color="auto"/>
        <w:right w:val="none" w:sz="0" w:space="0" w:color="auto"/>
      </w:divBdr>
    </w:div>
    <w:div w:id="1963343730">
      <w:bodyDiv w:val="1"/>
      <w:marLeft w:val="0"/>
      <w:marRight w:val="0"/>
      <w:marTop w:val="0"/>
      <w:marBottom w:val="0"/>
      <w:divBdr>
        <w:top w:val="none" w:sz="0" w:space="0" w:color="auto"/>
        <w:left w:val="none" w:sz="0" w:space="0" w:color="auto"/>
        <w:bottom w:val="none" w:sz="0" w:space="0" w:color="auto"/>
        <w:right w:val="none" w:sz="0" w:space="0" w:color="auto"/>
      </w:divBdr>
    </w:div>
    <w:div w:id="1968389594">
      <w:bodyDiv w:val="1"/>
      <w:marLeft w:val="0"/>
      <w:marRight w:val="0"/>
      <w:marTop w:val="0"/>
      <w:marBottom w:val="0"/>
      <w:divBdr>
        <w:top w:val="none" w:sz="0" w:space="0" w:color="auto"/>
        <w:left w:val="none" w:sz="0" w:space="0" w:color="auto"/>
        <w:bottom w:val="none" w:sz="0" w:space="0" w:color="auto"/>
        <w:right w:val="none" w:sz="0" w:space="0" w:color="auto"/>
      </w:divBdr>
    </w:div>
    <w:div w:id="2036802956">
      <w:bodyDiv w:val="1"/>
      <w:marLeft w:val="0"/>
      <w:marRight w:val="0"/>
      <w:marTop w:val="0"/>
      <w:marBottom w:val="0"/>
      <w:divBdr>
        <w:top w:val="none" w:sz="0" w:space="0" w:color="auto"/>
        <w:left w:val="none" w:sz="0" w:space="0" w:color="auto"/>
        <w:bottom w:val="none" w:sz="0" w:space="0" w:color="auto"/>
        <w:right w:val="none" w:sz="0" w:space="0" w:color="auto"/>
      </w:divBdr>
    </w:div>
    <w:div w:id="2041934335">
      <w:bodyDiv w:val="1"/>
      <w:marLeft w:val="0"/>
      <w:marRight w:val="0"/>
      <w:marTop w:val="0"/>
      <w:marBottom w:val="0"/>
      <w:divBdr>
        <w:top w:val="none" w:sz="0" w:space="0" w:color="auto"/>
        <w:left w:val="none" w:sz="0" w:space="0" w:color="auto"/>
        <w:bottom w:val="none" w:sz="0" w:space="0" w:color="auto"/>
        <w:right w:val="none" w:sz="0" w:space="0" w:color="auto"/>
      </w:divBdr>
    </w:div>
    <w:div w:id="2087265611">
      <w:bodyDiv w:val="1"/>
      <w:marLeft w:val="0"/>
      <w:marRight w:val="0"/>
      <w:marTop w:val="0"/>
      <w:marBottom w:val="0"/>
      <w:divBdr>
        <w:top w:val="none" w:sz="0" w:space="0" w:color="auto"/>
        <w:left w:val="none" w:sz="0" w:space="0" w:color="auto"/>
        <w:bottom w:val="none" w:sz="0" w:space="0" w:color="auto"/>
        <w:right w:val="none" w:sz="0" w:space="0" w:color="auto"/>
      </w:divBdr>
    </w:div>
    <w:div w:id="2104183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eg"/><Relationship Id="rId42" Type="http://schemas.openxmlformats.org/officeDocument/2006/relationships/image" Target="media/image32.jpeg"/><Relationship Id="rId47" Type="http://schemas.openxmlformats.org/officeDocument/2006/relationships/image" Target="media/image37.png"/><Relationship Id="rId63" Type="http://schemas.openxmlformats.org/officeDocument/2006/relationships/image" Target="media/image53.jpeg"/><Relationship Id="rId68" Type="http://schemas.openxmlformats.org/officeDocument/2006/relationships/image" Target="media/image58.png"/><Relationship Id="rId84" Type="http://schemas.openxmlformats.org/officeDocument/2006/relationships/image" Target="media/image70.jpeg"/><Relationship Id="rId89" Type="http://schemas.openxmlformats.org/officeDocument/2006/relationships/hyperlink" Target="https://epidoc.stoa.org/gl/latest/intro-eps.html" TargetMode="External"/><Relationship Id="rId16" Type="http://schemas.openxmlformats.org/officeDocument/2006/relationships/image" Target="media/image6.jpg"/><Relationship Id="rId11" Type="http://schemas.openxmlformats.org/officeDocument/2006/relationships/hyperlink" Target="https://github.com/erc-dharma/project-documentation/blob/master/stylesheets/README.md" TargetMode="External"/><Relationship Id="rId32" Type="http://schemas.openxmlformats.org/officeDocument/2006/relationships/image" Target="media/image22.jpeg"/><Relationship Id="rId37" Type="http://schemas.openxmlformats.org/officeDocument/2006/relationships/image" Target="media/image27.png"/><Relationship Id="rId53" Type="http://schemas.openxmlformats.org/officeDocument/2006/relationships/image" Target="media/image43.jpeg"/><Relationship Id="rId58" Type="http://schemas.openxmlformats.org/officeDocument/2006/relationships/image" Target="media/image48.jpeg"/><Relationship Id="rId74" Type="http://schemas.openxmlformats.org/officeDocument/2006/relationships/image" Target="media/image64.png"/><Relationship Id="rId79" Type="http://schemas.openxmlformats.org/officeDocument/2006/relationships/hyperlink" Target="https://dharmalekha.info/contributors" TargetMode="External"/><Relationship Id="rId5" Type="http://schemas.openxmlformats.org/officeDocument/2006/relationships/webSettings" Target="webSettings.xml"/><Relationship Id="rId90" Type="http://schemas.openxmlformats.org/officeDocument/2006/relationships/hyperlink" Target="http://www.tei-c.org/Guidelines/P5/" TargetMode="External"/><Relationship Id="rId22" Type="http://schemas.openxmlformats.org/officeDocument/2006/relationships/image" Target="media/image12.png"/><Relationship Id="rId27" Type="http://schemas.openxmlformats.org/officeDocument/2006/relationships/image" Target="media/image17.jpeg"/><Relationship Id="rId43" Type="http://schemas.openxmlformats.org/officeDocument/2006/relationships/image" Target="media/image33.jp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9.png"/><Relationship Id="rId8" Type="http://schemas.openxmlformats.org/officeDocument/2006/relationships/image" Target="media/image1.emf"/><Relationship Id="rId51" Type="http://schemas.openxmlformats.org/officeDocument/2006/relationships/image" Target="media/image41.jpeg"/><Relationship Id="rId72" Type="http://schemas.openxmlformats.org/officeDocument/2006/relationships/image" Target="media/image62.jpg"/><Relationship Id="rId80" Type="http://schemas.openxmlformats.org/officeDocument/2006/relationships/hyperlink" Target="https://dharmalekha.info/contributors" TargetMode="External"/><Relationship Id="rId85" Type="http://schemas.openxmlformats.org/officeDocument/2006/relationships/image" Target="media/image71.jp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erc-dharma.github.io/project-documentation/visual-code/UsingVS_v01" TargetMode="External"/><Relationship Id="rId17" Type="http://schemas.openxmlformats.org/officeDocument/2006/relationships/image" Target="media/image7.jp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tiff"/><Relationship Id="rId67" Type="http://schemas.openxmlformats.org/officeDocument/2006/relationships/image" Target="media/image57.png"/><Relationship Id="rId20" Type="http://schemas.openxmlformats.org/officeDocument/2006/relationships/image" Target="media/image10.jpg"/><Relationship Id="rId41" Type="http://schemas.openxmlformats.org/officeDocument/2006/relationships/image" Target="media/image31.jpe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69.jpeg"/><Relationship Id="rId88" Type="http://schemas.openxmlformats.org/officeDocument/2006/relationships/hyperlink" Target="https://blog.stoa.org/files/2010/09/Chapter05_EpiDoc_Bodard.pdf"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hyperlink" Target="https://github.com/erc-dharma/project-documentation/blob/66167c20f4be621256460be1640cb7a727104854/schema/README.md" TargetMode="External"/><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image" Target="media/image63.png"/><Relationship Id="rId78" Type="http://schemas.openxmlformats.org/officeDocument/2006/relationships/hyperlink" Target="https://github.com/erc-dharma/project-documentation/blob/master/DHARMA_languages.tsv" TargetMode="External"/><Relationship Id="rId81" Type="http://schemas.openxmlformats.org/officeDocument/2006/relationships/hyperlink" Target="https://dharmalekha.info/contributors" TargetMode="External"/><Relationship Id="rId86" Type="http://schemas.openxmlformats.org/officeDocument/2006/relationships/image" Target="media/image72.jpe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wmf"/><Relationship Id="rId18" Type="http://schemas.openxmlformats.org/officeDocument/2006/relationships/image" Target="media/image8.jpg"/><Relationship Id="rId39" Type="http://schemas.openxmlformats.org/officeDocument/2006/relationships/image" Target="media/image29.jpeg"/><Relationship Id="rId34" Type="http://schemas.openxmlformats.org/officeDocument/2006/relationships/image" Target="media/image24.jpeg"/><Relationship Id="rId50" Type="http://schemas.openxmlformats.org/officeDocument/2006/relationships/image" Target="media/image40.png"/><Relationship Id="rId55" Type="http://schemas.openxmlformats.org/officeDocument/2006/relationships/image" Target="media/image45.jpe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19.jpeg"/><Relationship Id="rId24" Type="http://schemas.openxmlformats.org/officeDocument/2006/relationships/image" Target="media/image14.jpeg"/><Relationship Id="rId40" Type="http://schemas.openxmlformats.org/officeDocument/2006/relationships/image" Target="media/image30.jpe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dh.obdurodon.org/what-is-xml.xhtml" TargetMode="External"/><Relationship Id="rId61" Type="http://schemas.openxmlformats.org/officeDocument/2006/relationships/image" Target="media/image51.jpeg"/><Relationship Id="rId82" Type="http://schemas.openxmlformats.org/officeDocument/2006/relationships/image" Target="media/image68.jpeg"/><Relationship Id="rId19" Type="http://schemas.openxmlformats.org/officeDocument/2006/relationships/image" Target="media/image9.jpeg"/><Relationship Id="rId14" Type="http://schemas.openxmlformats.org/officeDocument/2006/relationships/image" Target="media/image4.wmf"/><Relationship Id="rId30" Type="http://schemas.openxmlformats.org/officeDocument/2006/relationships/image" Target="media/image20.jpg"/><Relationship Id="rId35" Type="http://schemas.openxmlformats.org/officeDocument/2006/relationships/image" Target="media/image25.jpeg"/><Relationship Id="rId56" Type="http://schemas.openxmlformats.org/officeDocument/2006/relationships/image" Target="media/image46.jpg"/><Relationship Id="rId77" Type="http://schemas.openxmlformats.org/officeDocument/2006/relationships/image" Target="media/image6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_rels/footnotes.xml.rels><?xml version="1.0" encoding="UTF-8" standalone="yes"?>
<Relationships xmlns="http://schemas.openxmlformats.org/package/2006/relationships"><Relationship Id="rId8" Type="http://schemas.openxmlformats.org/officeDocument/2006/relationships/hyperlink" Target="https://en.wiktionary.org/wiki/gaiji" TargetMode="External"/><Relationship Id="rId13" Type="http://schemas.openxmlformats.org/officeDocument/2006/relationships/hyperlink" Target="https://opentheso.huma-num.fr/opentheso/?idc=84156&amp;idt=th347" TargetMode="External"/><Relationship Id="rId18" Type="http://schemas.openxmlformats.org/officeDocument/2006/relationships/hyperlink" Target="https://wiki.tei-c.org/index.php/XML_Whitespace" TargetMode="External"/><Relationship Id="rId3" Type="http://schemas.openxmlformats.org/officeDocument/2006/relationships/hyperlink" Target="https://tei-c.org/release/doc/tei-p5-doc/en/html/index.html" TargetMode="External"/><Relationship Id="rId7" Type="http://schemas.openxmlformats.org/officeDocument/2006/relationships/hyperlink" Target="https://en.wiktionary.org/wiki/gaiji" TargetMode="External"/><Relationship Id="rId12" Type="http://schemas.openxmlformats.org/officeDocument/2006/relationships/hyperlink" Target="https://opentheso.huma-num.fr/opentheso/?idc=84154&amp;idt=th347" TargetMode="External"/><Relationship Id="rId17" Type="http://schemas.openxmlformats.org/officeDocument/2006/relationships/hyperlink" Target="https://en.wikipedia.org/wiki/ISO_15924" TargetMode="External"/><Relationship Id="rId2" Type="http://schemas.openxmlformats.org/officeDocument/2006/relationships/hyperlink" Target="https://epidoc.stoa.org/gl/latest/" TargetMode="External"/><Relationship Id="rId16" Type="http://schemas.openxmlformats.org/officeDocument/2006/relationships/hyperlink" Target="https://iso639-3.sil.org/code_tables/639/data" TargetMode="External"/><Relationship Id="rId1" Type="http://schemas.openxmlformats.org/officeDocument/2006/relationships/hyperlink" Target="https://docs.google.com/document/d/1hjWrrwRZQp4hmEqw4jBhhqoXdwJvRlw3EWboJteOPw0" TargetMode="External"/><Relationship Id="rId6" Type="http://schemas.openxmlformats.org/officeDocument/2006/relationships/hyperlink" Target="https://epidoc.stoa.org/gl/latest/trans-linebreak.html" TargetMode="External"/><Relationship Id="rId11" Type="http://schemas.openxmlformats.org/officeDocument/2006/relationships/hyperlink" Target="https://epidoc.stoa.org/gl/latest/trans-ambiguous.html" TargetMode="External"/><Relationship Id="rId5" Type="http://schemas.openxmlformats.org/officeDocument/2006/relationships/hyperlink" Target="https://dharmalekha.info/prosody" TargetMode="External"/><Relationship Id="rId15" Type="http://schemas.openxmlformats.org/officeDocument/2006/relationships/hyperlink" Target="https://epidoc.stoa.org/gl/latest/trans-numnoncongruent.html" TargetMode="External"/><Relationship Id="rId10" Type="http://schemas.openxmlformats.org/officeDocument/2006/relationships/hyperlink" Target="https://www.tei-c.org/release/doc/tei-p5-doc/en/html/PH.html" TargetMode="External"/><Relationship Id="rId4" Type="http://schemas.openxmlformats.org/officeDocument/2006/relationships/hyperlink" Target="https://github.com/erc-dharma/project-documentation/blob/master/templates/inscriptions/DHARMA_INSencodingTemplate.xml" TargetMode="External"/><Relationship Id="rId9" Type="http://schemas.openxmlformats.org/officeDocument/2006/relationships/hyperlink" Target="https://dharmalekha.info/glyphs" TargetMode="External"/><Relationship Id="rId14" Type="http://schemas.openxmlformats.org/officeDocument/2006/relationships/hyperlink" Target="https://www.tei-c.org/release/doc/tei-p5-doc/en/html/WD.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GoogleDrive\Handy%20stuff\Templates\DHARMA%20guide%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1C529-8F06-411A-BE2B-F56574124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DHARMA guide 2024.dotx</Template>
  <TotalTime>1541</TotalTime>
  <Pages>214</Pages>
  <Words>103019</Words>
  <Characters>587214</Characters>
  <Application>Microsoft Office Word</Application>
  <DocSecurity>0</DocSecurity>
  <Lines>4893</Lines>
  <Paragraphs>1377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688856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Dániel Balogh</dc:creator>
  <cp:keywords/>
  <dc:description/>
  <cp:lastModifiedBy>Dániel Balogh</cp:lastModifiedBy>
  <cp:revision>272</cp:revision>
  <cp:lastPrinted>2026-04-27T09:41:00Z</cp:lastPrinted>
  <dcterms:created xsi:type="dcterms:W3CDTF">2024-11-19T16:04:00Z</dcterms:created>
  <dcterms:modified xsi:type="dcterms:W3CDTF">2026-10-14T15:20:00Z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id="NxK2qKsS"/&gt;&lt;style id="" hasBibliography="0" bibliographyStyleHasBeenSet="0"/&gt;&lt;prefs/&gt;&lt;/data&gt;</vt:lpwstr>
  </property>
</Properties>
</file>