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ED31F" w14:textId="77777777" w:rsidR="007713FE" w:rsidRPr="00757AFF" w:rsidRDefault="007713FE" w:rsidP="007713FE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[read with VVG]</w:t>
      </w:r>
    </w:p>
    <w:p w14:paraId="5EA61AA3" w14:textId="77777777" w:rsidR="007713FE" w:rsidRPr="00757AFF" w:rsidRDefault="007713FE" w:rsidP="007713FE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Fortune</w:t>
      </w:r>
      <w:r w:rsidRPr="00757AFF">
        <w:rPr>
          <w:rFonts w:asciiTheme="minorHAnsi" w:hAnsiTheme="minorHAnsi"/>
          <w:sz w:val="20"/>
          <w:szCs w:val="20"/>
        </w:rPr>
        <w:t>! Prosperity! This is the 36</w:t>
      </w:r>
      <w:r w:rsidRPr="00757AFF">
        <w:rPr>
          <w:rFonts w:asciiTheme="minorHAnsi" w:hAnsiTheme="minorHAnsi"/>
          <w:sz w:val="20"/>
          <w:szCs w:val="20"/>
          <w:vertAlign w:val="superscript"/>
        </w:rPr>
        <w:t>th</w:t>
      </w:r>
      <w:r w:rsidRPr="00757AFF">
        <w:rPr>
          <w:rFonts w:asciiTheme="minorHAnsi" w:hAnsiTheme="minorHAnsi"/>
          <w:sz w:val="20"/>
          <w:szCs w:val="20"/>
        </w:rPr>
        <w:t xml:space="preserve"> year of </w:t>
      </w:r>
      <w:proofErr w:type="spellStart"/>
      <w:r w:rsidRPr="00757AFF">
        <w:rPr>
          <w:rFonts w:asciiTheme="minorHAnsi" w:hAnsiTheme="minorHAnsi"/>
          <w:sz w:val="20"/>
          <w:szCs w:val="20"/>
        </w:rPr>
        <w:t>Kōpparakesarivarman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who has taken Madurai; for </w:t>
      </w:r>
      <w:proofErr w:type="spellStart"/>
      <w:r w:rsidRPr="00757AFF">
        <w:rPr>
          <w:rFonts w:asciiTheme="minorHAnsi" w:hAnsiTheme="minorHAnsi"/>
          <w:sz w:val="20"/>
          <w:szCs w:val="20"/>
        </w:rPr>
        <w:t>Mahādeva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of </w:t>
      </w:r>
      <w:proofErr w:type="spellStart"/>
      <w:r w:rsidRPr="00757AFF">
        <w:rPr>
          <w:rFonts w:asciiTheme="minorHAnsi" w:hAnsiTheme="minorHAnsi"/>
          <w:sz w:val="20"/>
          <w:szCs w:val="20"/>
        </w:rPr>
        <w:t>Avanikaṉtaṟp</w:t>
      </w:r>
      <w:r>
        <w:rPr>
          <w:rFonts w:asciiTheme="minorHAnsi" w:hAnsiTheme="minorHAnsi"/>
          <w:sz w:val="20"/>
          <w:szCs w:val="20"/>
        </w:rPr>
        <w:t>a</w:t>
      </w:r>
      <w:r w:rsidRPr="00757AFF">
        <w:rPr>
          <w:rFonts w:asciiTheme="minorHAnsi" w:hAnsiTheme="minorHAnsi"/>
          <w:sz w:val="20"/>
          <w:szCs w:val="20"/>
        </w:rPr>
        <w:t>puram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a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devadāna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of </w:t>
      </w:r>
      <w:proofErr w:type="spellStart"/>
      <w:r w:rsidRPr="00757AFF">
        <w:rPr>
          <w:rFonts w:asciiTheme="minorHAnsi" w:hAnsiTheme="minorHAnsi"/>
          <w:sz w:val="20"/>
          <w:szCs w:val="20"/>
        </w:rPr>
        <w:t>Kuṉṟakūṟṟam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the </w:t>
      </w:r>
      <w:r>
        <w:rPr>
          <w:rFonts w:asciiTheme="minorHAnsi" w:hAnsiTheme="minorHAnsi"/>
          <w:sz w:val="20"/>
          <w:szCs w:val="20"/>
        </w:rPr>
        <w:t>lord</w:t>
      </w:r>
      <w:r w:rsidRPr="00757AFF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kiḻāṉ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Kurukāṭi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Ūraṉ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Piṭāraṉ</w:t>
      </w:r>
      <w:proofErr w:type="spellEnd"/>
      <w:r w:rsidRPr="00757AFF">
        <w:rPr>
          <w:rFonts w:asciiTheme="minorHAnsi" w:hAnsiTheme="minorHAnsi"/>
          <w:sz w:val="20"/>
          <w:szCs w:val="20"/>
        </w:rPr>
        <w:t>, after preparing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macakki</w:t>
      </w:r>
      <w:proofErr w:type="spellEnd"/>
      <w:r w:rsidRPr="00757AFF">
        <w:rPr>
          <w:rFonts w:asciiTheme="minorHAnsi" w:hAnsiTheme="minorHAnsi"/>
          <w:sz w:val="20"/>
          <w:szCs w:val="20"/>
        </w:rPr>
        <w:t>) the land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bhūmiyai</w:t>
      </w:r>
      <w:proofErr w:type="spellEnd"/>
      <w:r w:rsidRPr="00757AFF">
        <w:rPr>
          <w:rFonts w:asciiTheme="minorHAnsi" w:hAnsiTheme="minorHAnsi"/>
          <w:sz w:val="20"/>
          <w:szCs w:val="20"/>
        </w:rPr>
        <w:t>) which was lying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kiṭaṉta</w:t>
      </w:r>
      <w:proofErr w:type="spellEnd"/>
      <w:r w:rsidRPr="00757AFF">
        <w:rPr>
          <w:rFonts w:asciiTheme="minorHAnsi" w:hAnsiTheme="minorHAnsi"/>
          <w:sz w:val="20"/>
          <w:szCs w:val="20"/>
        </w:rPr>
        <w:t>) without enjoyment/produce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apōhaṉam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in </w:t>
      </w:r>
      <w:proofErr w:type="spellStart"/>
      <w:r w:rsidRPr="00757AFF">
        <w:rPr>
          <w:rFonts w:asciiTheme="minorHAnsi" w:hAnsiTheme="minorHAnsi"/>
          <w:sz w:val="20"/>
          <w:szCs w:val="20"/>
        </w:rPr>
        <w:t>Pacuṅkuḷattūr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a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devadāna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of this temple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ittaḷi</w:t>
      </w:r>
      <w:proofErr w:type="spellEnd"/>
      <w:r w:rsidRPr="00757AFF">
        <w:rPr>
          <w:rFonts w:asciiTheme="minorHAnsi" w:hAnsiTheme="minorHAnsi"/>
          <w:sz w:val="20"/>
          <w:szCs w:val="20"/>
        </w:rPr>
        <w:t>), gave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kuṭutta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four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mā</w:t>
      </w:r>
      <w:r>
        <w:rPr>
          <w:rFonts w:asciiTheme="minorHAnsi" w:hAnsiTheme="minorHAnsi"/>
          <w:sz w:val="20"/>
          <w:szCs w:val="20"/>
        </w:rPr>
        <w:t>s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nāṅku</w:t>
      </w:r>
      <w:proofErr w:type="spellEnd"/>
      <w:r w:rsidRPr="00757AFF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māvum</w:t>
      </w:r>
      <w:proofErr w:type="spellEnd"/>
      <w:r w:rsidRPr="00757AFF">
        <w:rPr>
          <w:rFonts w:asciiTheme="minorHAnsi" w:hAnsiTheme="minorHAnsi"/>
          <w:sz w:val="20"/>
          <w:szCs w:val="20"/>
        </w:rPr>
        <w:t>) of wet land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nīr</w:t>
      </w:r>
      <w:proofErr w:type="spellEnd"/>
      <w:r w:rsidRPr="00757AFF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nilam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), two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mā</w:t>
      </w:r>
      <w:r>
        <w:rPr>
          <w:rFonts w:asciiTheme="minorHAnsi" w:hAnsiTheme="minorHAnsi"/>
          <w:sz w:val="20"/>
          <w:szCs w:val="20"/>
        </w:rPr>
        <w:t>s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iraṇṭu</w:t>
      </w:r>
      <w:proofErr w:type="spellEnd"/>
      <w:r w:rsidRPr="00757AFF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māvum</w:t>
      </w:r>
      <w:proofErr w:type="spellEnd"/>
      <w:r w:rsidRPr="00757AFF">
        <w:rPr>
          <w:rFonts w:asciiTheme="minorHAnsi" w:hAnsiTheme="minorHAnsi"/>
          <w:sz w:val="20"/>
          <w:szCs w:val="20"/>
        </w:rPr>
        <w:t>) of prepared land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macakkal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XXX and two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mā</w:t>
      </w:r>
      <w:r>
        <w:rPr>
          <w:rFonts w:asciiTheme="minorHAnsi" w:hAnsiTheme="minorHAnsi"/>
          <w:sz w:val="20"/>
          <w:szCs w:val="20"/>
        </w:rPr>
        <w:t>s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iraṇṭu</w:t>
      </w:r>
      <w:proofErr w:type="spellEnd"/>
      <w:r w:rsidRPr="00757AFF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māvum</w:t>
      </w:r>
      <w:proofErr w:type="spellEnd"/>
      <w:r>
        <w:rPr>
          <w:rFonts w:asciiTheme="minorHAnsi" w:hAnsiTheme="minorHAnsi"/>
          <w:sz w:val="20"/>
          <w:szCs w:val="20"/>
        </w:rPr>
        <w:t xml:space="preserve">) of </w:t>
      </w:r>
      <w:r w:rsidRPr="00757AFF">
        <w:rPr>
          <w:rFonts w:asciiTheme="minorHAnsi" w:hAnsiTheme="minorHAnsi"/>
          <w:sz w:val="20"/>
          <w:szCs w:val="20"/>
        </w:rPr>
        <w:t>prepared land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macakkal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[in? </w:t>
      </w:r>
      <w:proofErr w:type="spellStart"/>
      <w:r w:rsidRPr="00757AFF">
        <w:rPr>
          <w:rFonts w:asciiTheme="minorHAnsi" w:hAnsiTheme="minorHAnsi"/>
          <w:sz w:val="20"/>
          <w:szCs w:val="20"/>
        </w:rPr>
        <w:t>Kalam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taṉkāri</w:t>
      </w:r>
      <w:proofErr w:type="spellEnd"/>
      <w:r w:rsidRPr="00757AFF">
        <w:rPr>
          <w:rFonts w:asciiTheme="minorHAnsi" w:hAnsiTheme="minorHAnsi"/>
          <w:sz w:val="20"/>
          <w:szCs w:val="20"/>
        </w:rPr>
        <w:t>? Name of a place?]; having taken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koṇṭu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[these] eight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mā</w:t>
      </w:r>
      <w:r>
        <w:rPr>
          <w:rFonts w:asciiTheme="minorHAnsi" w:hAnsiTheme="minorHAnsi"/>
          <w:sz w:val="20"/>
          <w:szCs w:val="20"/>
        </w:rPr>
        <w:t>s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eṭṭu</w:t>
      </w:r>
      <w:proofErr w:type="spellEnd"/>
      <w:r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māvum</w:t>
      </w:r>
      <w:proofErr w:type="spellEnd"/>
      <w:r w:rsidRPr="00757AFF">
        <w:rPr>
          <w:rFonts w:asciiTheme="minorHAnsi" w:hAnsiTheme="minorHAnsi"/>
          <w:sz w:val="20"/>
          <w:szCs w:val="20"/>
        </w:rPr>
        <w:t>) of land, having taken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koṇṭu</w:t>
      </w:r>
      <w:proofErr w:type="spellEnd"/>
      <w:r w:rsidRPr="00757AFF">
        <w:rPr>
          <w:rFonts w:asciiTheme="minorHAnsi" w:hAnsiTheme="minorHAnsi"/>
          <w:sz w:val="20"/>
          <w:szCs w:val="20"/>
        </w:rPr>
        <w:t>) the produce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pōkam</w:t>
      </w:r>
      <w:proofErr w:type="spellEnd"/>
      <w:r w:rsidRPr="00757AFF">
        <w:rPr>
          <w:rFonts w:asciiTheme="minorHAnsi" w:hAnsiTheme="minorHAnsi"/>
          <w:sz w:val="20"/>
          <w:szCs w:val="20"/>
        </w:rPr>
        <w:t>) which has come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vanta</w:t>
      </w:r>
      <w:proofErr w:type="spellEnd"/>
      <w:r w:rsidRPr="00757AFF">
        <w:rPr>
          <w:rFonts w:asciiTheme="minorHAnsi" w:hAnsiTheme="minorHAnsi"/>
          <w:sz w:val="20"/>
          <w:szCs w:val="20"/>
        </w:rPr>
        <w:t>) from these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itināl</w:t>
      </w:r>
      <w:proofErr w:type="spellEnd"/>
      <w:r w:rsidRPr="00757AFF">
        <w:rPr>
          <w:rFonts w:asciiTheme="minorHAnsi" w:hAnsiTheme="minorHAnsi"/>
          <w:sz w:val="20"/>
          <w:szCs w:val="20"/>
        </w:rPr>
        <w:t>), we will burn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erippōmānōm</w:t>
      </w:r>
      <w:proofErr w:type="spellEnd"/>
      <w:r w:rsidRPr="00757AFF">
        <w:rPr>
          <w:rFonts w:asciiTheme="minorHAnsi" w:hAnsiTheme="minorHAnsi"/>
          <w:sz w:val="20"/>
          <w:szCs w:val="20"/>
        </w:rPr>
        <w:t>) one perpetual lamp respectively</w:t>
      </w:r>
      <w:r w:rsidRPr="00757AFF">
        <w:rPr>
          <w:rStyle w:val="FootnoteReference"/>
          <w:rFonts w:asciiTheme="minorHAnsi" w:hAnsiTheme="minorHAnsi"/>
          <w:sz w:val="20"/>
          <w:szCs w:val="20"/>
        </w:rPr>
        <w:footnoteReference w:id="1"/>
      </w:r>
      <w:r w:rsidRPr="00757AFF">
        <w:rPr>
          <w:rFonts w:asciiTheme="minorHAnsi" w:hAnsiTheme="minorHAnsi"/>
          <w:sz w:val="20"/>
          <w:szCs w:val="20"/>
        </w:rPr>
        <w:t xml:space="preserve"> (</w:t>
      </w:r>
      <w:proofErr w:type="spellStart"/>
      <w:r>
        <w:rPr>
          <w:rFonts w:asciiTheme="minorHAnsi" w:hAnsiTheme="minorHAnsi"/>
          <w:i/>
          <w:sz w:val="20"/>
          <w:szCs w:val="20"/>
        </w:rPr>
        <w:t>o</w:t>
      </w:r>
      <w:r w:rsidRPr="00757AFF">
        <w:rPr>
          <w:rFonts w:asciiTheme="minorHAnsi" w:hAnsiTheme="minorHAnsi"/>
          <w:i/>
          <w:sz w:val="20"/>
          <w:szCs w:val="20"/>
        </w:rPr>
        <w:t>rō</w:t>
      </w:r>
      <w:proofErr w:type="spellEnd"/>
      <w:r w:rsidRPr="00757AFF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nontāviḷakku</w:t>
      </w:r>
      <w:proofErr w:type="spellEnd"/>
      <w:r w:rsidRPr="00757AFF">
        <w:rPr>
          <w:rFonts w:asciiTheme="minorHAnsi" w:hAnsiTheme="minorHAnsi"/>
          <w:sz w:val="20"/>
          <w:szCs w:val="20"/>
        </w:rPr>
        <w:t>) in the two temples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iraṇṭu</w:t>
      </w:r>
      <w:proofErr w:type="spellEnd"/>
      <w:r w:rsidRPr="00757AFF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taḷiyilum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), we the </w:t>
      </w:r>
      <w:proofErr w:type="spellStart"/>
      <w:r w:rsidRPr="00757AFF">
        <w:rPr>
          <w:rFonts w:asciiTheme="minorHAnsi" w:hAnsiTheme="minorHAnsi"/>
          <w:sz w:val="20"/>
          <w:szCs w:val="20"/>
        </w:rPr>
        <w:t>Paṭṭuṭaiyar</w:t>
      </w:r>
      <w:r>
        <w:rPr>
          <w:rFonts w:asciiTheme="minorHAnsi" w:hAnsiTheme="minorHAnsi"/>
          <w:sz w:val="20"/>
          <w:szCs w:val="20"/>
        </w:rPr>
        <w:t>s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of this temple</w:t>
      </w:r>
      <w:r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B83310">
        <w:rPr>
          <w:rFonts w:asciiTheme="minorHAnsi" w:hAnsiTheme="minorHAnsi"/>
          <w:i/>
          <w:sz w:val="20"/>
          <w:szCs w:val="20"/>
        </w:rPr>
        <w:t>ittaḷi</w:t>
      </w:r>
      <w:proofErr w:type="spellEnd"/>
      <w:r w:rsidRPr="00B83310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B83310">
        <w:rPr>
          <w:rFonts w:asciiTheme="minorHAnsi" w:hAnsiTheme="minorHAnsi"/>
          <w:i/>
          <w:sz w:val="20"/>
          <w:szCs w:val="20"/>
        </w:rPr>
        <w:t>paṭṭu</w:t>
      </w:r>
      <w:proofErr w:type="spellEnd"/>
      <w:r w:rsidRPr="00B83310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B83310">
        <w:rPr>
          <w:rFonts w:asciiTheme="minorHAnsi" w:hAnsiTheme="minorHAnsi"/>
          <w:i/>
          <w:sz w:val="20"/>
          <w:szCs w:val="20"/>
        </w:rPr>
        <w:t>uṭaiyōm</w:t>
      </w:r>
      <w:proofErr w:type="spellEnd"/>
      <w:r>
        <w:rPr>
          <w:rFonts w:asciiTheme="minorHAnsi" w:hAnsiTheme="minorHAnsi"/>
          <w:sz w:val="20"/>
          <w:szCs w:val="20"/>
        </w:rPr>
        <w:t>)</w:t>
      </w:r>
      <w:r w:rsidRPr="00757AFF">
        <w:rPr>
          <w:rFonts w:asciiTheme="minorHAnsi" w:hAnsiTheme="minorHAnsi"/>
          <w:sz w:val="20"/>
          <w:szCs w:val="20"/>
        </w:rPr>
        <w:t>, we the Seven</w:t>
      </w:r>
      <w:r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B83310">
        <w:rPr>
          <w:rFonts w:asciiTheme="minorHAnsi" w:hAnsiTheme="minorHAnsi"/>
          <w:i/>
          <w:sz w:val="20"/>
          <w:szCs w:val="20"/>
        </w:rPr>
        <w:t>eḻuvōm</w:t>
      </w:r>
      <w:proofErr w:type="spellEnd"/>
      <w:r>
        <w:rPr>
          <w:rFonts w:asciiTheme="minorHAnsi" w:hAnsiTheme="minorHAnsi"/>
          <w:sz w:val="20"/>
          <w:szCs w:val="20"/>
        </w:rPr>
        <w:t>)</w:t>
      </w:r>
      <w:r w:rsidRPr="00757AFF">
        <w:rPr>
          <w:rFonts w:asciiTheme="minorHAnsi" w:hAnsiTheme="minorHAnsi"/>
          <w:sz w:val="20"/>
          <w:szCs w:val="20"/>
        </w:rPr>
        <w:t>.</w:t>
      </w:r>
    </w:p>
    <w:p w14:paraId="2558B8E8" w14:textId="77777777" w:rsidR="007713FE" w:rsidRPr="00757AFF" w:rsidRDefault="007713FE" w:rsidP="007713FE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</w:p>
    <w:p w14:paraId="57BA6004" w14:textId="77777777" w:rsidR="007713FE" w:rsidRPr="00757AFF" w:rsidRDefault="007713FE" w:rsidP="007713FE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proofErr w:type="spellStart"/>
      <w:r w:rsidRPr="006861C6">
        <w:rPr>
          <w:rFonts w:asciiTheme="minorHAnsi" w:hAnsiTheme="minorHAnsi"/>
          <w:i/>
          <w:sz w:val="20"/>
          <w:szCs w:val="20"/>
        </w:rPr>
        <w:t>macakkal</w:t>
      </w:r>
      <w:proofErr w:type="spellEnd"/>
      <w:r w:rsidRPr="00757AFF">
        <w:rPr>
          <w:rFonts w:asciiTheme="minorHAnsi" w:hAnsiTheme="minorHAnsi"/>
          <w:sz w:val="20"/>
          <w:szCs w:val="20"/>
        </w:rPr>
        <w:t>: verbal noun, the improvement of land, with the extended meaning of land [VVG]</w:t>
      </w:r>
    </w:p>
    <w:p w14:paraId="24025B16" w14:textId="77777777" w:rsidR="00D868C8" w:rsidRDefault="007D655C">
      <w:bookmarkStart w:id="0" w:name="_GoBack"/>
      <w:bookmarkEnd w:id="0"/>
    </w:p>
    <w:sectPr w:rsidR="00D868C8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591F2" w14:textId="77777777" w:rsidR="007D655C" w:rsidRDefault="007D655C" w:rsidP="007713FE">
      <w:r>
        <w:separator/>
      </w:r>
    </w:p>
  </w:endnote>
  <w:endnote w:type="continuationSeparator" w:id="0">
    <w:p w14:paraId="6273492B" w14:textId="77777777" w:rsidR="007D655C" w:rsidRDefault="007D655C" w:rsidP="0077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D6E26" w14:textId="77777777" w:rsidR="007D655C" w:rsidRDefault="007D655C" w:rsidP="007713FE">
      <w:r>
        <w:separator/>
      </w:r>
    </w:p>
  </w:footnote>
  <w:footnote w:type="continuationSeparator" w:id="0">
    <w:p w14:paraId="1AD1D04D" w14:textId="77777777" w:rsidR="007D655C" w:rsidRDefault="007D655C" w:rsidP="007713FE">
      <w:r>
        <w:continuationSeparator/>
      </w:r>
    </w:p>
  </w:footnote>
  <w:footnote w:id="1">
    <w:p w14:paraId="7F4F2780" w14:textId="77777777" w:rsidR="007713FE" w:rsidRPr="0094736B" w:rsidRDefault="007713FE" w:rsidP="007713FE">
      <w:pPr>
        <w:pStyle w:val="FootnoteText"/>
        <w:jc w:val="both"/>
        <w:rPr>
          <w:sz w:val="16"/>
          <w:szCs w:val="16"/>
          <w:lang w:val="en-US"/>
        </w:rPr>
      </w:pPr>
      <w:r w:rsidRPr="0094736B">
        <w:rPr>
          <w:rStyle w:val="FootnoteReference"/>
          <w:sz w:val="16"/>
          <w:szCs w:val="16"/>
        </w:rPr>
        <w:footnoteRef/>
      </w:r>
      <w:r w:rsidRPr="0094736B">
        <w:rPr>
          <w:sz w:val="16"/>
          <w:szCs w:val="16"/>
          <w:lang w:val="en-GB"/>
        </w:rPr>
        <w:t xml:space="preserve"> </w:t>
      </w:r>
      <w:r w:rsidRPr="0094736B">
        <w:rPr>
          <w:sz w:val="16"/>
          <w:szCs w:val="16"/>
          <w:lang w:val="en-US"/>
        </w:rPr>
        <w:t xml:space="preserve">This is based on the suggestion of VVG, </w:t>
      </w:r>
      <w:proofErr w:type="spellStart"/>
      <w:r w:rsidRPr="0094736B">
        <w:rPr>
          <w:sz w:val="16"/>
          <w:szCs w:val="16"/>
          <w:lang w:val="en-US"/>
        </w:rPr>
        <w:t>orō</w:t>
      </w:r>
      <w:proofErr w:type="spellEnd"/>
      <w:r w:rsidRPr="0094736B">
        <w:rPr>
          <w:sz w:val="16"/>
          <w:szCs w:val="16"/>
          <w:lang w:val="en-US"/>
        </w:rPr>
        <w:t xml:space="preserve"> &gt; </w:t>
      </w:r>
      <w:proofErr w:type="spellStart"/>
      <w:r w:rsidRPr="0094736B">
        <w:rPr>
          <w:sz w:val="16"/>
          <w:szCs w:val="16"/>
          <w:lang w:val="en-US"/>
        </w:rPr>
        <w:t>oru</w:t>
      </w:r>
      <w:proofErr w:type="spellEnd"/>
      <w:r w:rsidRPr="0094736B">
        <w:rPr>
          <w:sz w:val="16"/>
          <w:szCs w:val="16"/>
          <w:lang w:val="en-US"/>
        </w:rPr>
        <w:t xml:space="preserve"> + </w:t>
      </w:r>
      <w:proofErr w:type="spellStart"/>
      <w:r w:rsidRPr="0094736B">
        <w:rPr>
          <w:sz w:val="16"/>
          <w:szCs w:val="16"/>
          <w:lang w:val="en-US"/>
        </w:rPr>
        <w:t>oru</w:t>
      </w:r>
      <w:proofErr w:type="spellEnd"/>
      <w:r w:rsidRPr="0094736B">
        <w:rPr>
          <w:sz w:val="16"/>
          <w:szCs w:val="16"/>
          <w:lang w:val="en-US"/>
        </w:rPr>
        <w:t xml:space="preserve">, i.e. one </w:t>
      </w:r>
      <w:proofErr w:type="spellStart"/>
      <w:r w:rsidRPr="0094736B">
        <w:rPr>
          <w:sz w:val="16"/>
          <w:szCs w:val="16"/>
          <w:lang w:val="en-US"/>
        </w:rPr>
        <w:t>one</w:t>
      </w:r>
      <w:proofErr w:type="spellEnd"/>
      <w:r w:rsidRPr="0094736B">
        <w:rPr>
          <w:sz w:val="16"/>
          <w:szCs w:val="16"/>
          <w:lang w:val="en-US"/>
        </w:rPr>
        <w:t>. But needs to check if it occurs in the case of a single temple.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FE"/>
    <w:rsid w:val="000C767F"/>
    <w:rsid w:val="002E3FF2"/>
    <w:rsid w:val="007713FE"/>
    <w:rsid w:val="007D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CE7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13FE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7713FE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FootnoteTextChar">
    <w:name w:val="Footnote Text Char"/>
    <w:basedOn w:val="DefaultParagraphFont"/>
    <w:link w:val="FootnoteText"/>
    <w:rsid w:val="007713FE"/>
    <w:rPr>
      <w:sz w:val="20"/>
      <w:szCs w:val="20"/>
      <w:lang w:val="fr-FR" w:bidi="ta-IN"/>
    </w:rPr>
  </w:style>
  <w:style w:type="character" w:styleId="FootnoteReference">
    <w:name w:val="footnote reference"/>
    <w:basedOn w:val="DefaultParagraphFont"/>
    <w:unhideWhenUsed/>
    <w:rsid w:val="007713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Macintosh Word</Application>
  <DocSecurity>0</DocSecurity>
  <Lines>7</Lines>
  <Paragraphs>2</Paragraphs>
  <ScaleCrop>false</ScaleCrop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2020-04-24T16:09:00Z</dcterms:created>
  <dcterms:modified xsi:type="dcterms:W3CDTF">2020-04-24T16:10:00Z</dcterms:modified>
</cp:coreProperties>
</file>