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F2680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2AF4FB81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 w:rsidRPr="00757AFF">
        <w:rPr>
          <w:rFonts w:asciiTheme="minorHAnsi" w:hAnsiTheme="minorHAnsi"/>
          <w:color w:val="000000"/>
          <w:sz w:val="20"/>
          <w:szCs w:val="20"/>
        </w:rPr>
        <w:t>[read with VVG]</w:t>
      </w:r>
    </w:p>
    <w:p w14:paraId="13615922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Fortune</w:t>
      </w:r>
      <w:r w:rsidRPr="00757AFF">
        <w:rPr>
          <w:rFonts w:asciiTheme="minorHAnsi" w:hAnsiTheme="minorHAnsi"/>
          <w:color w:val="000000"/>
          <w:sz w:val="20"/>
          <w:szCs w:val="20"/>
        </w:rPr>
        <w:t>! Prosperity! This is the 15</w:t>
      </w:r>
      <w:r w:rsidRPr="00757AFF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year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Kōpparakesarivarman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; to us, 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Nāṭṭār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Kuṉṟakkūṟṟam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Aṭikaḷ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Paḻuvēṭṭaraiyar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Kaṇṭaṉ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Maṟavaṉār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[ordered]: having removed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nīkki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paḻaṅ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cultivators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kuṭiyum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</w:t>
      </w:r>
      <w:r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1"/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and the 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paḻam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name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pērum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Uṟattūr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this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to the chieftain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kōṉār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Viṟaināṭu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the Lord (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uṭaiyaṉ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Karuppūr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Veṅkaṭavaṉ</w:t>
      </w:r>
      <w:proofErr w:type="spellEnd"/>
      <w:r w:rsidRPr="00757AFF"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2"/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Araṅkaṉ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757AFF">
        <w:rPr>
          <w:rFonts w:asciiTheme="minorHAnsi" w:hAnsiTheme="minorHAnsi"/>
          <w:i/>
          <w:color w:val="000000"/>
          <w:sz w:val="20"/>
          <w:szCs w:val="20"/>
        </w:rPr>
        <w:t>alias</w:t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Cempiyaṉ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having made it into a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kāṇi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kaṇiceytu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with the name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pēriṉāl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Karuppūr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karuppūr-eṉṉum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as birth-land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janma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bhūmiyai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&gt; from his birth &gt; for his life); to this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itukku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every year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āṭṭai-vaṭṭam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twenty five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irupattayaṅ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</w:t>
      </w:r>
      <w:proofErr w:type="spellStart"/>
      <w:r w:rsidRPr="006D610E">
        <w:rPr>
          <w:rFonts w:asciiTheme="minorHAnsi" w:hAnsiTheme="minorHAnsi"/>
          <w:i/>
          <w:color w:val="000000"/>
          <w:sz w:val="20"/>
          <w:szCs w:val="20"/>
        </w:rPr>
        <w:t>kaḻancu</w:t>
      </w:r>
      <w:r>
        <w:rPr>
          <w:rFonts w:asciiTheme="minorHAnsi" w:hAnsiTheme="minorHAnsi"/>
          <w:color w:val="000000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wordly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tālam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</w:t>
      </w:r>
      <w:r w:rsidRPr="00757AFF"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3"/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fine gold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cemmai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poṉ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as long as the sun and the moon endure, has to be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āvatākavum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a permanent tax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nilai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iṟai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); having come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pōtu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to make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ceyyum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assessment/ranking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tarañ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this </w:t>
      </w:r>
      <w:proofErr w:type="spellStart"/>
      <w:r w:rsidRPr="00F030A1">
        <w:rPr>
          <w:rFonts w:asciiTheme="minorHAnsi" w:hAnsiTheme="minorHAnsi"/>
          <w:i/>
          <w:color w:val="000000"/>
          <w:sz w:val="20"/>
          <w:szCs w:val="20"/>
        </w:rPr>
        <w:t>nāṭu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the assessment/ranking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tarañ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should not be made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ceyyātākavum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more than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allatu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ēṟa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&gt; lit. so that it does not rise above/above that which is not) twenty five </w:t>
      </w:r>
      <w:proofErr w:type="spellStart"/>
      <w:r w:rsidRPr="00F030A1">
        <w:rPr>
          <w:rFonts w:asciiTheme="minorHAnsi" w:hAnsiTheme="minorHAnsi"/>
          <w:i/>
          <w:color w:val="000000"/>
          <w:sz w:val="20"/>
          <w:szCs w:val="20"/>
        </w:rPr>
        <w:t>kaḻañcu</w:t>
      </w:r>
      <w:r>
        <w:rPr>
          <w:rFonts w:asciiTheme="minorHAnsi" w:hAnsiTheme="minorHAnsi"/>
          <w:color w:val="000000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; in this manner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ipparicu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having made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as </w:t>
      </w:r>
      <w:proofErr w:type="spellStart"/>
      <w:r w:rsidRPr="00B239E5">
        <w:rPr>
          <w:rFonts w:asciiTheme="minorHAnsi" w:hAnsiTheme="minorHAnsi"/>
          <w:i/>
          <w:color w:val="000000"/>
          <w:sz w:val="20"/>
          <w:szCs w:val="20"/>
        </w:rPr>
        <w:t>kāṇi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kāṇiyāka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as long as the sun and the moon endure, we gave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kuṭuttōm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); when he</w:t>
      </w:r>
      <w:r w:rsidRPr="00757AFF"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4"/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graciously gave the order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aruḷic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ceyya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&gt; lit. graciously made) “you also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niṅkaḷum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</w:t>
      </w:r>
      <w:r>
        <w:rPr>
          <w:rFonts w:asciiTheme="minorHAnsi" w:hAnsiTheme="minorHAnsi"/>
          <w:color w:val="000000"/>
          <w:sz w:val="20"/>
          <w:szCs w:val="20"/>
        </w:rPr>
        <w:t xml:space="preserve"> the </w:t>
      </w:r>
      <w:proofErr w:type="spellStart"/>
      <w:r>
        <w:rPr>
          <w:rFonts w:asciiTheme="minorHAnsi" w:hAnsiTheme="minorHAnsi"/>
          <w:color w:val="000000"/>
          <w:sz w:val="20"/>
          <w:szCs w:val="20"/>
        </w:rPr>
        <w:t>N</w:t>
      </w:r>
      <w:r w:rsidRPr="00757AFF">
        <w:rPr>
          <w:rFonts w:asciiTheme="minorHAnsi" w:hAnsiTheme="minorHAnsi"/>
          <w:color w:val="000000"/>
          <w:sz w:val="20"/>
          <w:szCs w:val="20"/>
        </w:rPr>
        <w:t>āṭṭār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having made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in this manner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ipparicu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you give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kuṭuṅkaḷ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</w:t>
      </w:r>
      <w:r w:rsidRPr="00757AFF"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5"/>
      </w:r>
      <w:r w:rsidRPr="00757AFF">
        <w:rPr>
          <w:rFonts w:asciiTheme="minorHAnsi" w:hAnsiTheme="minorHAnsi"/>
          <w:color w:val="000000"/>
          <w:sz w:val="20"/>
          <w:szCs w:val="20"/>
        </w:rPr>
        <w:t>”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eṉṟu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), we all 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Nāṭṭār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nāṭṭōmum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having removed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nīkki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paḻaṅ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cultivators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kuṭiyum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and the 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paḻam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name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pērum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Uṟattūr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this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having taken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ākki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&gt; lit. having become) the name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pēyar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Karuppūr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karuppūr-eṉṉum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having fixed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ākki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&gt; lit. having become) twenty five </w:t>
      </w:r>
      <w:proofErr w:type="spellStart"/>
      <w:r w:rsidRPr="007F758F">
        <w:rPr>
          <w:rFonts w:asciiTheme="minorHAnsi" w:hAnsiTheme="minorHAnsi"/>
          <w:i/>
          <w:color w:val="000000"/>
          <w:sz w:val="20"/>
          <w:szCs w:val="20"/>
        </w:rPr>
        <w:t>kaḻañcu</w:t>
      </w:r>
      <w:r>
        <w:rPr>
          <w:rFonts w:asciiTheme="minorHAnsi" w:hAnsiTheme="minorHAnsi"/>
          <w:color w:val="000000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wordly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tāla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fine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cemmai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gold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poṉ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for permanent tax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nilai</w:t>
      </w:r>
      <w:proofErr w:type="spellEnd"/>
      <w:r w:rsidRPr="00757AFF">
        <w:rPr>
          <w:rFonts w:asciiTheme="minorHAnsi" w:hAnsiTheme="minorHAnsi"/>
          <w:i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iṟai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every year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āṭṭaivaṭṭam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), we 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Nāṭṭar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nāṭṭōm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when making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ceyyum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assessment/ranking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tarañ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we should not make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ceyyātatākavum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assessment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tarañ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above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ēṟa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that which is not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allatu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twenty five </w:t>
      </w:r>
      <w:proofErr w:type="spellStart"/>
      <w:r w:rsidRPr="007F758F">
        <w:rPr>
          <w:rFonts w:asciiTheme="minorHAnsi" w:hAnsiTheme="minorHAnsi"/>
          <w:i/>
          <w:color w:val="000000"/>
          <w:sz w:val="20"/>
          <w:szCs w:val="20"/>
        </w:rPr>
        <w:t>kaḻañcu</w:t>
      </w:r>
      <w:r>
        <w:rPr>
          <w:rFonts w:asciiTheme="minorHAnsi" w:hAnsiTheme="minorHAnsi"/>
          <w:color w:val="000000"/>
          <w:sz w:val="20"/>
          <w:szCs w:val="20"/>
        </w:rPr>
        <w:t>s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of gold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poṉ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); </w:t>
      </w:r>
    </w:p>
    <w:p w14:paraId="18A53BF4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 w:rsidRPr="00757AFF">
        <w:rPr>
          <w:rFonts w:asciiTheme="minorHAnsi" w:hAnsiTheme="minorHAnsi"/>
          <w:color w:val="000000"/>
          <w:sz w:val="20"/>
          <w:szCs w:val="20"/>
        </w:rPr>
        <w:t>in this manner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ipparicu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to the chieftain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kōṉār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Viṟaināṭu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Lord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Karuppūr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Veṅkaṭavaṉ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Araṅkaṉ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757AFF">
        <w:rPr>
          <w:rFonts w:asciiTheme="minorHAnsi" w:hAnsiTheme="minorHAnsi"/>
          <w:i/>
          <w:color w:val="000000"/>
          <w:sz w:val="20"/>
          <w:szCs w:val="20"/>
        </w:rPr>
        <w:t>alias</w:t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Cempiyaṉ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as </w:t>
      </w:r>
      <w:proofErr w:type="spellStart"/>
      <w:r w:rsidRPr="007F758F">
        <w:rPr>
          <w:rFonts w:asciiTheme="minorHAnsi" w:hAnsiTheme="minorHAnsi"/>
          <w:i/>
          <w:color w:val="000000"/>
          <w:sz w:val="20"/>
          <w:szCs w:val="20"/>
        </w:rPr>
        <w:t>kāṇi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kāṇiyāka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), as long and the sun and the moon endure, with the name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Karuppūr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as a birth-land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janma-pūmiyāka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 having made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ceytu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 palm-leaf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ōlai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drum-beating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aṟai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),</w:t>
      </w:r>
      <w:r w:rsidRPr="00757AFF">
        <w:rPr>
          <w:rStyle w:val="FootnoteReference"/>
          <w:rFonts w:asciiTheme="minorHAnsi" w:hAnsiTheme="minorHAnsi"/>
          <w:color w:val="000000"/>
          <w:sz w:val="20"/>
          <w:szCs w:val="20"/>
        </w:rPr>
        <w:footnoteReference w:id="6"/>
      </w:r>
      <w:r w:rsidRPr="00757AFF">
        <w:rPr>
          <w:rFonts w:asciiTheme="minorHAnsi" w:hAnsiTheme="minorHAnsi"/>
          <w:color w:val="000000"/>
          <w:sz w:val="20"/>
          <w:szCs w:val="20"/>
        </w:rPr>
        <w:t xml:space="preserve"> we gave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kuṭuttōm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), we 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Nāṭṭār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nāṭṭōm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Kuṉṟakūṟṟam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; all small taxes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ciṟṟiṟaiyum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XXX [last line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unlegible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];</w:t>
      </w:r>
    </w:p>
    <w:p w14:paraId="15F9C7E0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2A7593C0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 w:rsidRPr="00757AFF">
        <w:rPr>
          <w:rFonts w:asciiTheme="minorHAnsi" w:hAnsiTheme="minorHAnsi"/>
          <w:color w:val="000000"/>
          <w:sz w:val="20"/>
          <w:szCs w:val="20"/>
        </w:rPr>
        <w:t xml:space="preserve">The series of signatures comes above, starting with 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Paḻuvēṭṭaraiyar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king himself:</w:t>
      </w:r>
    </w:p>
    <w:p w14:paraId="7BB1E924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 w:rsidRPr="00757AFF">
        <w:rPr>
          <w:rFonts w:asciiTheme="minorHAnsi" w:hAnsiTheme="minorHAnsi"/>
          <w:color w:val="000000"/>
          <w:sz w:val="20"/>
          <w:szCs w:val="20"/>
        </w:rPr>
        <w:t>Those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ivai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), I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Paḻuvēṭṭaraiyaṉ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Kaṇṭaṉ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Maṟavaṉ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I have written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eṉṉeḻuttu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these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ivai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); we have agreed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icaintōm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in this manner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ipparicu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); I the Lord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Marutūr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Kāṭaṉ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Māṟuyaṉ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, I have written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eṉṉeḻuttu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 these (</w:t>
      </w:r>
      <w:proofErr w:type="spellStart"/>
      <w:r w:rsidRPr="00757AFF">
        <w:rPr>
          <w:rFonts w:asciiTheme="minorHAnsi" w:hAnsiTheme="minorHAnsi"/>
          <w:i/>
          <w:color w:val="000000"/>
          <w:sz w:val="20"/>
          <w:szCs w:val="20"/>
        </w:rPr>
        <w:t>ivai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>); [end of the line blank]</w:t>
      </w:r>
    </w:p>
    <w:p w14:paraId="7349F35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7709A57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20"/>
          <w:szCs w:val="20"/>
        </w:rPr>
      </w:pPr>
      <w:r w:rsidRPr="00757AFF">
        <w:rPr>
          <w:rFonts w:asciiTheme="minorHAnsi" w:hAnsiTheme="minorHAnsi"/>
          <w:color w:val="000000"/>
          <w:sz w:val="20"/>
          <w:szCs w:val="20"/>
        </w:rPr>
        <w:t xml:space="preserve">The series of signatures, probably to be related to the same order in this inscription, </w:t>
      </w:r>
      <w:proofErr w:type="gramStart"/>
      <w:r w:rsidRPr="00757AFF">
        <w:rPr>
          <w:rFonts w:asciiTheme="minorHAnsi" w:hAnsiTheme="minorHAnsi"/>
          <w:color w:val="000000"/>
          <w:sz w:val="20"/>
          <w:szCs w:val="20"/>
        </w:rPr>
        <w:t>continues on</w:t>
      </w:r>
      <w:proofErr w:type="gramEnd"/>
      <w:r w:rsidRPr="00757AFF">
        <w:rPr>
          <w:rFonts w:asciiTheme="minorHAnsi" w:hAnsiTheme="minorHAnsi"/>
          <w:color w:val="000000"/>
          <w:sz w:val="20"/>
          <w:szCs w:val="20"/>
        </w:rPr>
        <w:t xml:space="preserve"> the next panel (the </w:t>
      </w:r>
      <w:proofErr w:type="spellStart"/>
      <w:r w:rsidRPr="00757AFF">
        <w:rPr>
          <w:rFonts w:asciiTheme="minorHAnsi" w:hAnsiTheme="minorHAnsi"/>
          <w:color w:val="000000"/>
          <w:sz w:val="20"/>
          <w:szCs w:val="20"/>
        </w:rPr>
        <w:t>eastermonst</w:t>
      </w:r>
      <w:proofErr w:type="spellEnd"/>
      <w:r w:rsidRPr="00757AFF">
        <w:rPr>
          <w:rFonts w:asciiTheme="minorHAnsi" w:hAnsiTheme="minorHAnsi"/>
          <w:color w:val="000000"/>
          <w:sz w:val="20"/>
          <w:szCs w:val="20"/>
        </w:rPr>
        <w:t xml:space="preserve"> panel of the southern façade), on top.</w:t>
      </w:r>
    </w:p>
    <w:p w14:paraId="7F5589AA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0F8F4D0D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[not read with VVG]</w:t>
      </w:r>
    </w:p>
    <w:p w14:paraId="078B9CCE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[that which is]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&gt; lit. written) by the signatories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eḻutaṉār-ai</w:t>
      </w:r>
      <w:proofErr w:type="spellEnd"/>
      <w:r w:rsidRPr="00757AFF">
        <w:rPr>
          <w:rFonts w:asciiTheme="minorHAnsi" w:hAnsiTheme="minorHAnsi"/>
          <w:sz w:val="20"/>
          <w:szCs w:val="20"/>
        </w:rPr>
        <w:t>), having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 XXX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aṟai</w:t>
      </w:r>
      <w:proofErr w:type="spellEnd"/>
      <w:r w:rsidRPr="00757AFF">
        <w:rPr>
          <w:rFonts w:asciiTheme="minorHAnsi" w:hAnsiTheme="minorHAnsi"/>
          <w:i/>
          <w:sz w:val="20"/>
          <w:szCs w:val="20"/>
        </w:rPr>
        <w:t>-y-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ōlai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&gt; the palm-leaf proclaimed along the drum-beating) XXX.</w:t>
      </w:r>
    </w:p>
    <w:p w14:paraId="120B3D57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I, 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XXmallūr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Caṅkaṉ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NakeXkamāṉ</w:t>
      </w:r>
      <w:proofErr w:type="spellEnd"/>
      <w:r w:rsidRPr="00757AFF">
        <w:rPr>
          <w:rFonts w:asciiTheme="minorHAnsi" w:hAnsiTheme="minorHAnsi"/>
          <w:sz w:val="20"/>
          <w:szCs w:val="20"/>
        </w:rPr>
        <w:t>, have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543CF66A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 xml:space="preserve">I, the Lord of </w:t>
      </w:r>
      <w:proofErr w:type="spellStart"/>
      <w:r w:rsidRPr="00757AFF">
        <w:rPr>
          <w:rFonts w:asciiTheme="minorHAnsi" w:hAnsiTheme="minorHAnsi"/>
          <w:sz w:val="20"/>
          <w:szCs w:val="20"/>
        </w:rPr>
        <w:t>Puttūr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Tūcaṭikōṉ</w:t>
      </w:r>
      <w:proofErr w:type="spellEnd"/>
      <w:r w:rsidRPr="00757AFF">
        <w:rPr>
          <w:rFonts w:asciiTheme="minorHAnsi" w:hAnsiTheme="minorHAnsi"/>
          <w:sz w:val="20"/>
          <w:szCs w:val="20"/>
        </w:rPr>
        <w:t>, have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eṉattu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&gt;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41C6291C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Āraṇitallūr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Ceruvanuta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Cōmitēvaṉ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Cuvāmi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ettu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&gt; 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A23E086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Cāttaṉūr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Tiṇeyāṉ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Māyilaṭṭi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7D696E36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Mēlmaruttūr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Tiṇaiyāṉ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Kuṭitaraṅki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50B5FF48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757AFF">
        <w:rPr>
          <w:rFonts w:asciiTheme="minorHAnsi" w:hAnsiTheme="minorHAnsi"/>
          <w:sz w:val="20"/>
          <w:szCs w:val="20"/>
        </w:rPr>
        <w:t>Paṭṭuṭaiyaṉ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Ciṅkaṉeyyoṟaṉ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710F5C1F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Umapaḷakkāṉattūr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Oṉeṉpāmpaṉ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754E11D6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Āṇpāṉcukūr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Cāttaṉ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Nampaṉ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4F0F3341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Kuṟṟūr</w:t>
      </w:r>
      <w:proofErr w:type="spellEnd"/>
      <w:r w:rsidRPr="00757AFF">
        <w:rPr>
          <w:rFonts w:asciiTheme="minorHAnsi" w:hAnsiTheme="minorHAnsi"/>
          <w:sz w:val="20"/>
          <w:szCs w:val="20"/>
        </w:rPr>
        <w:t>, Ne XXX</w:t>
      </w:r>
    </w:p>
    <w:p w14:paraId="152E2FD7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Vākūr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Oṉeṉvampal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27EDFBD0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XXX, </w:t>
      </w:r>
      <w:proofErr w:type="spellStart"/>
      <w:r w:rsidRPr="00757AFF">
        <w:rPr>
          <w:rFonts w:asciiTheme="minorHAnsi" w:hAnsiTheme="minorHAnsi"/>
          <w:sz w:val="20"/>
          <w:szCs w:val="20"/>
        </w:rPr>
        <w:t>Velitaraṅki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FE21095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Āttūr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Cāttaṉ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TaraX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4EA322E8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lastRenderedPageBreak/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Kuḷattūr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Aṉaiyaṉamutaṉ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37F0502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Varākupāṭi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Māṉtaṉpperaiyaṉ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1AEFF8B1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</w:p>
    <w:p w14:paraId="0324656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E</w:t>
      </w:r>
      <w:r>
        <w:rPr>
          <w:rFonts w:asciiTheme="minorHAnsi" w:hAnsiTheme="minorHAnsi"/>
          <w:sz w:val="20"/>
          <w:szCs w:val="20"/>
        </w:rPr>
        <w:t>a</w:t>
      </w:r>
      <w:r w:rsidRPr="00757AFF">
        <w:rPr>
          <w:rFonts w:asciiTheme="minorHAnsi" w:hAnsiTheme="minorHAnsi"/>
          <w:sz w:val="20"/>
          <w:szCs w:val="20"/>
        </w:rPr>
        <w:t>stern panel</w:t>
      </w:r>
    </w:p>
    <w:p w14:paraId="26532F15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Caṅkaṇamur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KāraXXmukaṉ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0420C7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XXX, </w:t>
      </w:r>
      <w:proofErr w:type="spellStart"/>
      <w:r w:rsidRPr="00757AFF">
        <w:rPr>
          <w:rFonts w:asciiTheme="minorHAnsi" w:hAnsiTheme="minorHAnsi"/>
          <w:sz w:val="20"/>
          <w:szCs w:val="20"/>
        </w:rPr>
        <w:t>Vaṭukaṉ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Pūti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0E5789D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Timmi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Cuntara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Cōḻ</w:t>
      </w:r>
      <w:r>
        <w:rPr>
          <w:rFonts w:asciiTheme="minorHAnsi" w:hAnsiTheme="minorHAnsi"/>
          <w:sz w:val="20"/>
          <w:szCs w:val="20"/>
        </w:rPr>
        <w:t>apperun</w:t>
      </w:r>
      <w:r w:rsidRPr="00757AFF">
        <w:rPr>
          <w:rFonts w:asciiTheme="minorHAnsi" w:hAnsiTheme="minorHAnsi"/>
          <w:sz w:val="20"/>
          <w:szCs w:val="20"/>
        </w:rPr>
        <w:t>tiṇai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5E510623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Puttūr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Āramālakkōṉ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Peraiyaṉ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5654427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Peraṟconi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Araiyaṉāccaṉ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78F48B65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Ciṅkaraṉattūr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Perumāṉ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Maḻapāṭi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58948BDD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XXXppaṭi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KaliyivaXXX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55C685F5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KūraṅX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Maṟava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Kōṉ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PerunaXṇai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3C0DFEB1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Kaṟakāṭṭur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Vempaṉuḷveli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7FF09B5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i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Pokaḻi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KaṇṭamalaiyamaXṉ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4C84975F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Kiḷi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NāraṇaṉāXṅkay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15B0030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XXX, </w:t>
      </w:r>
      <w:proofErr w:type="spellStart"/>
      <w:r w:rsidRPr="00757AFF">
        <w:rPr>
          <w:rFonts w:asciiTheme="minorHAnsi" w:hAnsiTheme="minorHAnsi"/>
          <w:sz w:val="20"/>
          <w:szCs w:val="20"/>
        </w:rPr>
        <w:t>KaṇṭappeXXX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1C713CD9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Ciṅkaṇamur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Paṭaipperaiyaṉ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A</w:t>
      </w:r>
      <w:r w:rsidRPr="00757AFF">
        <w:rPr>
          <w:rFonts w:asciiTheme="minorHAnsi" w:hAnsiTheme="minorHAnsi"/>
          <w:i/>
          <w:sz w:val="20"/>
          <w:szCs w:val="20"/>
        </w:rPr>
        <w:t>ddha</w:t>
      </w:r>
      <w:r w:rsidRPr="00757AFF">
        <w:rPr>
          <w:rFonts w:asciiTheme="minorHAnsi" w:hAnsiTheme="minorHAnsi"/>
          <w:sz w:val="20"/>
          <w:szCs w:val="20"/>
        </w:rPr>
        <w:t>yāṟaṉ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3F381CBC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Aruṅkarayil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Āccaṉ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Nakkaṉ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66B33235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Āṉaiñallūr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Nakkaṉ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Kumaraṉ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039A1A43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Vaṭavacukūr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Nirupa</w:t>
      </w:r>
      <w:proofErr w:type="spellEnd"/>
      <w:r w:rsidRPr="00757AFF">
        <w:rPr>
          <w:rFonts w:asciiTheme="minorHAnsi" w:hAnsiTheme="minorHAnsi"/>
          <w:sz w:val="20"/>
          <w:szCs w:val="20"/>
        </w:rPr>
        <w:t>/</w:t>
      </w:r>
      <w:proofErr w:type="spellStart"/>
      <w:r w:rsidRPr="00757AFF">
        <w:rPr>
          <w:rFonts w:asciiTheme="minorHAnsi" w:hAnsiTheme="minorHAnsi"/>
          <w:sz w:val="20"/>
          <w:szCs w:val="20"/>
        </w:rPr>
        <w:t>vaX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KacaramalaiyaXXṉ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);</w:t>
      </w:r>
    </w:p>
    <w:p w14:paraId="49EE2B3F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  <w:r w:rsidRPr="00757AFF">
        <w:rPr>
          <w:rFonts w:asciiTheme="minorHAnsi" w:hAnsiTheme="minorHAnsi"/>
          <w:sz w:val="20"/>
          <w:szCs w:val="20"/>
        </w:rPr>
        <w:t>The Lord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uṭaiya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) of </w:t>
      </w:r>
      <w:proofErr w:type="spellStart"/>
      <w:r w:rsidRPr="00757AFF">
        <w:rPr>
          <w:rFonts w:asciiTheme="minorHAnsi" w:hAnsiTheme="minorHAnsi"/>
          <w:sz w:val="20"/>
          <w:szCs w:val="20"/>
        </w:rPr>
        <w:t>Mālvāyil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757AFF">
        <w:rPr>
          <w:rFonts w:asciiTheme="minorHAnsi" w:hAnsiTheme="minorHAnsi"/>
          <w:sz w:val="20"/>
          <w:szCs w:val="20"/>
        </w:rPr>
        <w:t>Manavakōṉ</w:t>
      </w:r>
      <w:proofErr w:type="spellEnd"/>
      <w:r w:rsidRPr="00757AF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757AFF">
        <w:rPr>
          <w:rFonts w:asciiTheme="minorHAnsi" w:hAnsiTheme="minorHAnsi"/>
          <w:sz w:val="20"/>
          <w:szCs w:val="20"/>
        </w:rPr>
        <w:t>Peraiyaṉ</w:t>
      </w:r>
      <w:proofErr w:type="spellEnd"/>
      <w:r w:rsidRPr="00757AFF">
        <w:rPr>
          <w:rFonts w:asciiTheme="minorHAnsi" w:hAnsiTheme="minorHAnsi"/>
          <w:sz w:val="20"/>
          <w:szCs w:val="20"/>
        </w:rPr>
        <w:t>, has signed (</w:t>
      </w:r>
      <w:proofErr w:type="spellStart"/>
      <w:r w:rsidRPr="00757AFF">
        <w:rPr>
          <w:rFonts w:asciiTheme="minorHAnsi" w:hAnsiTheme="minorHAnsi"/>
          <w:i/>
          <w:sz w:val="20"/>
          <w:szCs w:val="20"/>
        </w:rPr>
        <w:t>eḻuttu</w:t>
      </w:r>
      <w:proofErr w:type="spellEnd"/>
      <w:r w:rsidRPr="00757AFF">
        <w:rPr>
          <w:rFonts w:asciiTheme="minorHAnsi" w:hAnsiTheme="minorHAnsi"/>
          <w:sz w:val="20"/>
          <w:szCs w:val="20"/>
        </w:rPr>
        <w:t>).</w:t>
      </w:r>
    </w:p>
    <w:p w14:paraId="50FDDE7C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</w:p>
    <w:p w14:paraId="364D29A4" w14:textId="77777777" w:rsidR="002B65C0" w:rsidRPr="00757AFF" w:rsidRDefault="002B65C0" w:rsidP="002B65C0">
      <w:pPr>
        <w:spacing w:beforeLines="1" w:before="2"/>
        <w:jc w:val="both"/>
        <w:rPr>
          <w:rFonts w:asciiTheme="minorHAnsi" w:hAnsiTheme="minorHAnsi"/>
          <w:sz w:val="20"/>
          <w:szCs w:val="20"/>
        </w:rPr>
      </w:pPr>
    </w:p>
    <w:p w14:paraId="06A9C371" w14:textId="77777777" w:rsidR="00D868C8" w:rsidRDefault="00432F0F"/>
    <w:sectPr w:rsidR="00D868C8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EDE9" w14:textId="77777777" w:rsidR="00432F0F" w:rsidRDefault="00432F0F" w:rsidP="002B65C0">
      <w:r>
        <w:separator/>
      </w:r>
    </w:p>
  </w:endnote>
  <w:endnote w:type="continuationSeparator" w:id="0">
    <w:p w14:paraId="6855C360" w14:textId="77777777" w:rsidR="00432F0F" w:rsidRDefault="00432F0F" w:rsidP="002B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D13D2" w14:textId="77777777" w:rsidR="00432F0F" w:rsidRDefault="00432F0F" w:rsidP="002B65C0">
      <w:r>
        <w:separator/>
      </w:r>
    </w:p>
  </w:footnote>
  <w:footnote w:type="continuationSeparator" w:id="0">
    <w:p w14:paraId="5B68D1A3" w14:textId="77777777" w:rsidR="00432F0F" w:rsidRDefault="00432F0F" w:rsidP="002B65C0">
      <w:r>
        <w:continuationSeparator/>
      </w:r>
    </w:p>
  </w:footnote>
  <w:footnote w:id="1">
    <w:p w14:paraId="37531DD2" w14:textId="77777777" w:rsidR="002B65C0" w:rsidRPr="00BC7B7F" w:rsidRDefault="002B65C0" w:rsidP="002B65C0">
      <w:pPr>
        <w:pStyle w:val="FootnoteText"/>
        <w:rPr>
          <w:sz w:val="16"/>
          <w:szCs w:val="16"/>
          <w:lang w:val="en-US"/>
        </w:rPr>
      </w:pPr>
      <w:r w:rsidRPr="00BC7B7F">
        <w:rPr>
          <w:rStyle w:val="FootnoteReference"/>
          <w:sz w:val="16"/>
          <w:szCs w:val="16"/>
        </w:rPr>
        <w:footnoteRef/>
      </w:r>
      <w:r w:rsidRPr="00BC7B7F">
        <w:rPr>
          <w:sz w:val="16"/>
          <w:szCs w:val="16"/>
          <w:lang w:val="en-GB"/>
        </w:rPr>
        <w:t xml:space="preserve"> </w:t>
      </w:r>
      <w:r w:rsidRPr="00BC7B7F">
        <w:rPr>
          <w:sz w:val="16"/>
          <w:szCs w:val="16"/>
          <w:lang w:val="en-US"/>
        </w:rPr>
        <w:t xml:space="preserve">It is not settled whether there is a physical eviction of the previous tenants or if only their rights were revoked. On this question, see R. </w:t>
      </w:r>
      <w:proofErr w:type="spellStart"/>
      <w:r w:rsidRPr="00BC7B7F">
        <w:rPr>
          <w:sz w:val="16"/>
          <w:szCs w:val="16"/>
          <w:lang w:val="en-US"/>
        </w:rPr>
        <w:t>Tirumalai</w:t>
      </w:r>
      <w:proofErr w:type="spellEnd"/>
      <w:r w:rsidRPr="00BC7B7F">
        <w:rPr>
          <w:sz w:val="16"/>
          <w:szCs w:val="16"/>
          <w:lang w:val="en-US"/>
        </w:rPr>
        <w:t xml:space="preserve"> (1987: </w:t>
      </w:r>
      <w:r w:rsidRPr="00BC7B7F">
        <w:rPr>
          <w:color w:val="FF0000"/>
          <w:sz w:val="16"/>
          <w:szCs w:val="16"/>
          <w:lang w:val="en-US"/>
        </w:rPr>
        <w:t>93–98</w:t>
      </w:r>
      <w:r w:rsidRPr="00BC7B7F">
        <w:rPr>
          <w:sz w:val="16"/>
          <w:szCs w:val="16"/>
          <w:lang w:val="en-US"/>
        </w:rPr>
        <w:t xml:space="preserve">), </w:t>
      </w:r>
      <w:proofErr w:type="spellStart"/>
      <w:r w:rsidRPr="00BC7B7F">
        <w:rPr>
          <w:sz w:val="16"/>
          <w:szCs w:val="16"/>
          <w:lang w:val="en-US"/>
        </w:rPr>
        <w:t>Veluthat</w:t>
      </w:r>
      <w:proofErr w:type="spellEnd"/>
      <w:r w:rsidRPr="00BC7B7F">
        <w:rPr>
          <w:sz w:val="16"/>
          <w:szCs w:val="16"/>
          <w:lang w:val="en-US"/>
        </w:rPr>
        <w:t xml:space="preserve"> (2012: 160; 229–230).</w:t>
      </w:r>
    </w:p>
  </w:footnote>
  <w:footnote w:id="2">
    <w:p w14:paraId="0AABC434" w14:textId="77777777" w:rsidR="002B65C0" w:rsidRPr="0094736B" w:rsidRDefault="002B65C0" w:rsidP="002B65C0">
      <w:pPr>
        <w:pStyle w:val="FootnoteText"/>
        <w:jc w:val="both"/>
        <w:rPr>
          <w:sz w:val="16"/>
          <w:szCs w:val="16"/>
          <w:lang w:val="en-US"/>
        </w:rPr>
      </w:pPr>
      <w:r w:rsidRPr="0094736B">
        <w:rPr>
          <w:rStyle w:val="FootnoteReference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proofErr w:type="spellStart"/>
      <w:r w:rsidRPr="0094736B">
        <w:rPr>
          <w:sz w:val="16"/>
          <w:szCs w:val="16"/>
          <w:lang w:val="en-US"/>
        </w:rPr>
        <w:t>VVg</w:t>
      </w:r>
      <w:proofErr w:type="spellEnd"/>
      <w:r w:rsidRPr="0094736B">
        <w:rPr>
          <w:sz w:val="16"/>
          <w:szCs w:val="16"/>
          <w:lang w:val="en-US"/>
        </w:rPr>
        <w:t xml:space="preserve"> suggests that </w:t>
      </w:r>
      <w:proofErr w:type="spellStart"/>
      <w:r w:rsidRPr="0094736B">
        <w:rPr>
          <w:sz w:val="16"/>
          <w:szCs w:val="16"/>
          <w:lang w:val="en-US"/>
        </w:rPr>
        <w:t>Veṅkaṭavaṉ</w:t>
      </w:r>
      <w:proofErr w:type="spellEnd"/>
      <w:r w:rsidRPr="0094736B">
        <w:rPr>
          <w:sz w:val="16"/>
          <w:szCs w:val="16"/>
          <w:lang w:val="en-US"/>
        </w:rPr>
        <w:t xml:space="preserve"> is the name of the father of </w:t>
      </w:r>
      <w:proofErr w:type="spellStart"/>
      <w:r w:rsidRPr="0094736B">
        <w:rPr>
          <w:sz w:val="16"/>
          <w:szCs w:val="16"/>
          <w:lang w:val="en-US"/>
        </w:rPr>
        <w:t>Cempiyaṉ</w:t>
      </w:r>
      <w:proofErr w:type="spellEnd"/>
      <w:r w:rsidRPr="0094736B">
        <w:rPr>
          <w:sz w:val="16"/>
          <w:szCs w:val="16"/>
          <w:lang w:val="en-US"/>
        </w:rPr>
        <w:t>.</w:t>
      </w:r>
    </w:p>
  </w:footnote>
  <w:footnote w:id="3">
    <w:p w14:paraId="7A92BA3B" w14:textId="77777777" w:rsidR="002B65C0" w:rsidRPr="0094736B" w:rsidRDefault="002B65C0" w:rsidP="002B65C0">
      <w:pPr>
        <w:spacing w:beforeLines="1" w:before="2"/>
        <w:jc w:val="both"/>
        <w:rPr>
          <w:rFonts w:asciiTheme="minorHAnsi" w:hAnsiTheme="minorHAnsi"/>
          <w:color w:val="000000"/>
          <w:sz w:val="16"/>
          <w:szCs w:val="16"/>
        </w:rPr>
      </w:pPr>
      <w:r w:rsidRPr="0094736B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94736B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94736B">
        <w:rPr>
          <w:rFonts w:asciiTheme="minorHAnsi" w:hAnsiTheme="minorHAnsi"/>
          <w:i/>
          <w:color w:val="000000"/>
          <w:sz w:val="16"/>
          <w:szCs w:val="16"/>
        </w:rPr>
        <w:t>tāla</w:t>
      </w:r>
      <w:proofErr w:type="spellEnd"/>
      <w:r w:rsidRPr="0094736B">
        <w:rPr>
          <w:rFonts w:asciiTheme="minorHAnsi" w:hAnsiTheme="minorHAnsi"/>
          <w:color w:val="000000"/>
          <w:sz w:val="16"/>
          <w:szCs w:val="16"/>
        </w:rPr>
        <w:t xml:space="preserve"> is clearly legible but it is very difficult to make sense of it here in relation with gold. It means, besides earth &amp; world, Palmyra tree, metal plate, tongue.</w:t>
      </w:r>
    </w:p>
  </w:footnote>
  <w:footnote w:id="4">
    <w:p w14:paraId="69FF643D" w14:textId="77777777" w:rsidR="002B65C0" w:rsidRPr="0094736B" w:rsidRDefault="002B65C0" w:rsidP="002B65C0">
      <w:pPr>
        <w:pStyle w:val="FootnoteText"/>
        <w:jc w:val="both"/>
        <w:rPr>
          <w:sz w:val="16"/>
          <w:szCs w:val="16"/>
          <w:lang w:val="en-GB"/>
        </w:rPr>
      </w:pPr>
      <w:r w:rsidRPr="0094736B">
        <w:rPr>
          <w:rStyle w:val="FootnoteReference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Probably </w:t>
      </w:r>
      <w:r w:rsidRPr="0094736B">
        <w:rPr>
          <w:rFonts w:cs="Times New Roman"/>
          <w:color w:val="000000"/>
          <w:sz w:val="16"/>
          <w:szCs w:val="16"/>
          <w:lang w:val="en-GB"/>
        </w:rPr>
        <w:t xml:space="preserve">the </w:t>
      </w:r>
      <w:proofErr w:type="spellStart"/>
      <w:r w:rsidRPr="0094736B">
        <w:rPr>
          <w:rFonts w:cs="Times New Roman"/>
          <w:color w:val="000000"/>
          <w:sz w:val="16"/>
          <w:szCs w:val="16"/>
          <w:lang w:val="en-GB"/>
        </w:rPr>
        <w:t>Paḻuvēṭṭaraiyar</w:t>
      </w:r>
      <w:proofErr w:type="spellEnd"/>
      <w:r w:rsidRPr="0094736B">
        <w:rPr>
          <w:rFonts w:cs="Times New Roman"/>
          <w:color w:val="000000"/>
          <w:sz w:val="16"/>
          <w:szCs w:val="16"/>
          <w:lang w:val="en-GB"/>
        </w:rPr>
        <w:t>.</w:t>
      </w:r>
    </w:p>
  </w:footnote>
  <w:footnote w:id="5">
    <w:p w14:paraId="05B56D47" w14:textId="77777777" w:rsidR="002B65C0" w:rsidRPr="0094736B" w:rsidRDefault="002B65C0" w:rsidP="002B65C0">
      <w:pPr>
        <w:pStyle w:val="FootnoteText"/>
        <w:jc w:val="both"/>
        <w:rPr>
          <w:sz w:val="16"/>
          <w:szCs w:val="16"/>
          <w:lang w:val="en-US"/>
        </w:rPr>
      </w:pPr>
      <w:r w:rsidRPr="0094736B">
        <w:rPr>
          <w:rStyle w:val="FootnoteReference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>VVG thinks it is a spoken form.</w:t>
      </w:r>
    </w:p>
  </w:footnote>
  <w:footnote w:id="6">
    <w:p w14:paraId="1C2DEC9A" w14:textId="77777777" w:rsidR="002B65C0" w:rsidRPr="0094736B" w:rsidRDefault="002B65C0" w:rsidP="002B65C0">
      <w:pPr>
        <w:pStyle w:val="FootnoteText"/>
        <w:jc w:val="both"/>
        <w:rPr>
          <w:sz w:val="16"/>
          <w:szCs w:val="16"/>
          <w:lang w:val="en-US"/>
        </w:rPr>
      </w:pPr>
      <w:r w:rsidRPr="0094736B">
        <w:rPr>
          <w:rStyle w:val="FootnoteReference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 xml:space="preserve">VVG says that it is traditionally considered that they were reciting the text of the palm leaf along with the beating of the drum, and here </w:t>
      </w:r>
      <w:proofErr w:type="spellStart"/>
      <w:r w:rsidRPr="0094736B">
        <w:rPr>
          <w:i/>
          <w:sz w:val="16"/>
          <w:szCs w:val="16"/>
          <w:lang w:val="en-US"/>
        </w:rPr>
        <w:t>aṟai-tal</w:t>
      </w:r>
      <w:proofErr w:type="spellEnd"/>
      <w:r w:rsidRPr="0094736B">
        <w:rPr>
          <w:sz w:val="16"/>
          <w:szCs w:val="16"/>
          <w:lang w:val="en-US"/>
        </w:rPr>
        <w:t xml:space="preserve"> should be taken as referring to the beating of the drum.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4F"/>
    <w:rsid w:val="000C767F"/>
    <w:rsid w:val="002B65C0"/>
    <w:rsid w:val="002E3FF2"/>
    <w:rsid w:val="00432F0F"/>
    <w:rsid w:val="00506B2D"/>
    <w:rsid w:val="007A170D"/>
    <w:rsid w:val="009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5E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5C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2B65C0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FootnoteTextChar">
    <w:name w:val="Footnote Text Char"/>
    <w:basedOn w:val="DefaultParagraphFont"/>
    <w:link w:val="FootnoteText"/>
    <w:rsid w:val="002B65C0"/>
    <w:rPr>
      <w:sz w:val="20"/>
      <w:szCs w:val="20"/>
      <w:lang w:val="fr-FR" w:bidi="ta-IN"/>
    </w:rPr>
  </w:style>
  <w:style w:type="character" w:styleId="FootnoteReference">
    <w:name w:val="footnote reference"/>
    <w:basedOn w:val="DefaultParagraphFont"/>
    <w:unhideWhenUsed/>
    <w:rsid w:val="002B65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778</Words>
  <Characters>4437</Characters>
  <Application>Microsoft Macintosh Word</Application>
  <DocSecurity>0</DocSecurity>
  <Lines>36</Lines>
  <Paragraphs>10</Paragraphs>
  <ScaleCrop>false</ScaleCrop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2020-04-21T16:53:00Z</dcterms:created>
  <dcterms:modified xsi:type="dcterms:W3CDTF">2020-04-22T16:23:00Z</dcterms:modified>
</cp:coreProperties>
</file>