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2E050"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Gandhari Unicode" w:hAnsi="Gandhari Unicode" w:cs="Gandhari Unicode"/>
          <w:b/>
          <w:sz w:val="28"/>
          <w:szCs w:val="28"/>
        </w:rPr>
      </w:pPr>
      <w:r w:rsidRPr="00673F35">
        <w:rPr>
          <w:rFonts w:ascii="Gandhari Unicode" w:hAnsi="Gandhari Unicode" w:cs="Gandhari Unicode"/>
          <w:b/>
          <w:sz w:val="28"/>
          <w:szCs w:val="28"/>
        </w:rPr>
        <w:t>C. 30 A 2</w:t>
      </w:r>
      <w:r>
        <w:rPr>
          <w:rFonts w:ascii="Gandhari Unicode" w:hAnsi="Gandhari Unicode" w:cs="Gandhari Unicode"/>
          <w:b/>
          <w:sz w:val="28"/>
          <w:szCs w:val="28"/>
        </w:rPr>
        <w:t xml:space="preserve">. </w:t>
      </w:r>
      <w:r w:rsidRPr="00673F35">
        <w:rPr>
          <w:rFonts w:ascii="Gandhari Unicode" w:hAnsi="Gandhari Unicode" w:cs="Gandhari Unicode"/>
          <w:b/>
          <w:sz w:val="28"/>
          <w:szCs w:val="28"/>
        </w:rPr>
        <w:t xml:space="preserve">Inscription </w:t>
      </w:r>
      <w:r w:rsidRPr="00673F35">
        <w:rPr>
          <w:rFonts w:ascii="Gandhari Unicode" w:hAnsi="Gandhari Unicode" w:cs="Gandhari Unicode"/>
          <w:b/>
          <w:sz w:val="28"/>
          <w:szCs w:val="28"/>
        </w:rPr>
        <w:t xml:space="preserve">sur la face intérieure du piédroit Sud </w:t>
      </w:r>
    </w:p>
    <w:p w14:paraId="62F40F43" w14:textId="08AB9CBC"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Gandhari Unicode" w:hAnsi="Gandhari Unicode" w:cs="Gandhari Unicode"/>
          <w:b/>
          <w:sz w:val="28"/>
          <w:szCs w:val="28"/>
        </w:rPr>
      </w:pPr>
      <w:r w:rsidRPr="00673F35">
        <w:rPr>
          <w:rFonts w:ascii="Gandhari Unicode" w:hAnsi="Gandhari Unicode" w:cs="Gandhari Unicode"/>
          <w:b/>
          <w:sz w:val="28"/>
          <w:szCs w:val="28"/>
        </w:rPr>
        <w:t xml:space="preserve">de la porte </w:t>
      </w:r>
      <w:r w:rsidR="00D40C82">
        <w:rPr>
          <w:rFonts w:ascii="Gandhari Unicode" w:hAnsi="Gandhari Unicode" w:cs="Gandhari Unicode"/>
          <w:b/>
          <w:sz w:val="28"/>
          <w:szCs w:val="28"/>
        </w:rPr>
        <w:t>d’entrée</w:t>
      </w:r>
      <w:r w:rsidR="00A31791">
        <w:rPr>
          <w:rFonts w:ascii="Gandhari Unicode" w:hAnsi="Gandhari Unicode" w:cs="Gandhari Unicode"/>
          <w:b/>
          <w:sz w:val="28"/>
          <w:szCs w:val="28"/>
        </w:rPr>
        <w:t xml:space="preserve"> du monument principal</w:t>
      </w:r>
      <w:bookmarkStart w:id="0" w:name="_GoBack"/>
      <w:bookmarkEnd w:id="0"/>
    </w:p>
    <w:p w14:paraId="47FA7201" w14:textId="77777777" w:rsidR="00673F35" w:rsidRP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Gandhari Unicode" w:hAnsi="Gandhari Unicode" w:cs="Gandhari Unicode"/>
          <w:b/>
          <w:sz w:val="28"/>
          <w:szCs w:val="28"/>
        </w:rPr>
      </w:pPr>
      <w:r w:rsidRPr="00673F35">
        <w:rPr>
          <w:rFonts w:ascii="Gandhari Unicode" w:hAnsi="Gandhari Unicode" w:cs="Gandhari Unicode"/>
          <w:b/>
          <w:sz w:val="28"/>
          <w:szCs w:val="28"/>
        </w:rPr>
        <w:t>du temple de Po Nagar</w:t>
      </w:r>
      <w:r w:rsidRPr="00673F35">
        <w:rPr>
          <w:rFonts w:ascii="Gandhari Unicode" w:hAnsi="Gandhari Unicode" w:cs="Gandhari Unicode"/>
          <w:b/>
          <w:sz w:val="28"/>
          <w:szCs w:val="28"/>
        </w:rPr>
        <w:t xml:space="preserve"> à Nha Trang</w:t>
      </w:r>
    </w:p>
    <w:p w14:paraId="6DF46315"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p>
    <w:p w14:paraId="538A0AD9"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r>
        <w:rPr>
          <w:rFonts w:ascii="Gandhari Unicode" w:hAnsi="Gandhari Unicode" w:cs="Gandhari Unicode"/>
          <w:sz w:val="28"/>
          <w:szCs w:val="28"/>
        </w:rPr>
        <w:t>Estampages EFEO: 20, n. 227, le dernier reproduit sur CD. Bonne photo du piédroit, p. 35 dans Takashima &amp; Sawada.</w:t>
      </w:r>
    </w:p>
    <w:p w14:paraId="71CF0829"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p>
    <w:p w14:paraId="2E790B3A"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r>
        <w:rPr>
          <w:rFonts w:ascii="Gandhari Unicode" w:hAnsi="Gandhari Unicode" w:cs="Gandhari Unicode"/>
          <w:sz w:val="28"/>
          <w:szCs w:val="28"/>
        </w:rPr>
        <w:t xml:space="preserve">Bibliographie: Aymonier, JA 1891, p. 41, No. 409; </w:t>
      </w:r>
      <w:r w:rsidRPr="00673F35">
        <w:rPr>
          <w:rFonts w:ascii="Gandhari Unicode" w:hAnsi="Gandhari Unicode" w:cs="Gandhari Unicode"/>
          <w:i/>
          <w:sz w:val="28"/>
          <w:szCs w:val="28"/>
        </w:rPr>
        <w:t>ISCC</w:t>
      </w:r>
      <w:r>
        <w:rPr>
          <w:rFonts w:ascii="Gandhari Unicode" w:hAnsi="Gandhari Unicode" w:cs="Gandhari Unicode"/>
          <w:sz w:val="28"/>
          <w:szCs w:val="28"/>
        </w:rPr>
        <w:t xml:space="preserve">, pp. 282-285; Finot, </w:t>
      </w:r>
      <w:r w:rsidRPr="00673F35">
        <w:rPr>
          <w:rFonts w:ascii="Gandhari Unicode" w:hAnsi="Gandhari Unicode" w:cs="Gandhari Unicode"/>
          <w:i/>
          <w:sz w:val="28"/>
          <w:szCs w:val="28"/>
        </w:rPr>
        <w:t>BEFEO</w:t>
      </w:r>
      <w:r>
        <w:rPr>
          <w:rFonts w:ascii="Gandhari Unicode" w:hAnsi="Gandhari Unicode" w:cs="Gandhari Unicode"/>
          <w:sz w:val="28"/>
          <w:szCs w:val="28"/>
        </w:rPr>
        <w:t xml:space="preserve"> XV (1915), p. 50 [</w:t>
      </w:r>
      <w:r w:rsidRPr="00673F35">
        <w:rPr>
          <w:rFonts w:ascii="Gandhari Unicode" w:hAnsi="Gandhari Unicode" w:cs="Gandhari Unicode"/>
          <w:i/>
          <w:sz w:val="28"/>
          <w:szCs w:val="28"/>
        </w:rPr>
        <w:t>EEPC</w:t>
      </w:r>
      <w:r>
        <w:rPr>
          <w:rFonts w:ascii="Gandhari Unicode" w:hAnsi="Gandhari Unicode" w:cs="Gandhari Unicode"/>
          <w:sz w:val="28"/>
          <w:szCs w:val="28"/>
        </w:rPr>
        <w:t>, p. 198]; Majumdar, pp. 194-195; Golzio, pp. 162-163; Schweyer 2005, pp. 91-92; texte et traduction japonaise, Takashima &amp; Sawada, no. 7, p. 34.</w:t>
      </w:r>
    </w:p>
    <w:p w14:paraId="74B06D22"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p>
    <w:p w14:paraId="2F57B2FB"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r>
        <w:rPr>
          <w:rFonts w:ascii="Gandhari Unicode" w:hAnsi="Gandhari Unicode" w:cs="Gandhari Unicode"/>
          <w:sz w:val="28"/>
          <w:szCs w:val="28"/>
        </w:rPr>
        <w:t>Le texte san</w:t>
      </w:r>
      <w:r>
        <w:rPr>
          <w:rFonts w:ascii="Gandhari Unicode" w:hAnsi="Gandhari Unicode" w:cs="Gandhari Unicode"/>
          <w:sz w:val="28"/>
          <w:szCs w:val="28"/>
        </w:rPr>
        <w:t>skrit a été édité par Bergaigne ;</w:t>
      </w:r>
      <w:r>
        <w:rPr>
          <w:rFonts w:ascii="Gandhari Unicode" w:hAnsi="Gandhari Unicode" w:cs="Gandhari Unicode"/>
          <w:sz w:val="28"/>
          <w:szCs w:val="28"/>
        </w:rPr>
        <w:t xml:space="preserve"> le texte cam par Aymonier, sans respecter la graphie précis</w:t>
      </w:r>
      <w:r>
        <w:rPr>
          <w:rFonts w:ascii="Gandhari Unicode" w:hAnsi="Gandhari Unicode" w:cs="Gandhari Unicode"/>
          <w:sz w:val="28"/>
          <w:szCs w:val="28"/>
        </w:rPr>
        <w:t>e des nasales ni la ponctuation ;</w:t>
      </w:r>
      <w:r>
        <w:rPr>
          <w:rFonts w:ascii="Gandhari Unicode" w:hAnsi="Gandhari Unicode" w:cs="Gandhari Unicode"/>
          <w:sz w:val="28"/>
          <w:szCs w:val="28"/>
        </w:rPr>
        <w:t xml:space="preserve"> la publication de Schweyer les reproduit en insérant des coquilles. Nous ne n</w:t>
      </w:r>
      <w:r>
        <w:rPr>
          <w:rFonts w:ascii="Gandhari Unicode" w:hAnsi="Gandhari Unicode" w:cs="Gandhari Unicode"/>
          <w:sz w:val="28"/>
          <w:szCs w:val="28"/>
        </w:rPr>
        <w:t>otons pas dans notre édition ce genre de</w:t>
      </w:r>
      <w:r>
        <w:rPr>
          <w:rFonts w:ascii="Gandhari Unicode" w:hAnsi="Gandhari Unicode" w:cs="Gandhari Unicode"/>
          <w:sz w:val="28"/>
          <w:szCs w:val="28"/>
        </w:rPr>
        <w:t xml:space="preserve"> </w:t>
      </w:r>
      <w:r>
        <w:rPr>
          <w:rFonts w:ascii="Gandhari Unicode" w:hAnsi="Gandhari Unicode" w:cs="Gandhari Unicode"/>
          <w:i/>
          <w:iCs/>
          <w:sz w:val="28"/>
          <w:szCs w:val="28"/>
        </w:rPr>
        <w:t xml:space="preserve">variae lectiones </w:t>
      </w:r>
      <w:r>
        <w:rPr>
          <w:rFonts w:ascii="Gandhari Unicode" w:hAnsi="Gandhari Unicode" w:cs="Gandhari Unicode"/>
          <w:sz w:val="28"/>
          <w:szCs w:val="28"/>
        </w:rPr>
        <w:t>sans intérêt.</w:t>
      </w:r>
    </w:p>
    <w:p w14:paraId="527A03F3"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p>
    <w:p w14:paraId="2DF66708"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r>
        <w:rPr>
          <w:rFonts w:ascii="Gandhari Unicode" w:hAnsi="Gandhari Unicode" w:cs="Gandhari Unicode"/>
          <w:sz w:val="28"/>
          <w:szCs w:val="28"/>
        </w:rPr>
        <w:t>TEXTE</w:t>
      </w:r>
    </w:p>
    <w:p w14:paraId="60DB6B01"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p>
    <w:p w14:paraId="5CA5020B"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r>
        <w:rPr>
          <w:rFonts w:ascii="Gandhari Unicode" w:hAnsi="Gandhari Unicode" w:cs="Gandhari Unicode"/>
          <w:b/>
          <w:bCs/>
          <w:sz w:val="28"/>
          <w:szCs w:val="28"/>
        </w:rPr>
        <w:t>(1)</w:t>
      </w:r>
      <w:r>
        <w:rPr>
          <w:rFonts w:ascii="Gandhari Unicode" w:hAnsi="Gandhari Unicode" w:cs="Gandhari Unicode"/>
          <w:sz w:val="28"/>
          <w:szCs w:val="28"/>
        </w:rPr>
        <w:t xml:space="preserve"> || [quatrefoil] svasti || [quatrefoil] ||</w:t>
      </w:r>
    </w:p>
    <w:p w14:paraId="414C436D"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p>
    <w:p w14:paraId="25C387DD"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r>
        <w:rPr>
          <w:rFonts w:ascii="Gandhari Unicode" w:hAnsi="Gandhari Unicode" w:cs="Gandhari Unicode"/>
          <w:sz w:val="28"/>
          <w:szCs w:val="28"/>
        </w:rPr>
        <w:t>I. [vasantatilakā]</w:t>
      </w:r>
    </w:p>
    <w:p w14:paraId="593FE5E7"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r>
        <w:rPr>
          <w:rFonts w:ascii="Gandhari Unicode" w:hAnsi="Gandhari Unicode" w:cs="Gandhari Unicode"/>
          <w:sz w:val="28"/>
          <w:szCs w:val="28"/>
        </w:rPr>
        <w:t xml:space="preserve">āsindhubhūtalapatitvarasasya lābhe </w:t>
      </w:r>
    </w:p>
    <w:p w14:paraId="0363A6BD"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r>
        <w:rPr>
          <w:rFonts w:ascii="Gandhari Unicode" w:hAnsi="Gandhari Unicode" w:cs="Gandhari Unicode"/>
          <w:sz w:val="28"/>
          <w:szCs w:val="28"/>
        </w:rPr>
        <w:t>svarggāspadāspadapatitvarasasya lā</w:t>
      </w:r>
      <w:r>
        <w:rPr>
          <w:rFonts w:ascii="Gandhari Unicode" w:hAnsi="Gandhari Unicode" w:cs="Gandhari Unicode"/>
          <w:b/>
          <w:bCs/>
          <w:sz w:val="28"/>
          <w:szCs w:val="28"/>
        </w:rPr>
        <w:t>(2)</w:t>
      </w:r>
      <w:r>
        <w:rPr>
          <w:rFonts w:ascii="Gandhari Unicode" w:hAnsi="Gandhari Unicode" w:cs="Gandhari Unicode"/>
          <w:sz w:val="28"/>
          <w:szCs w:val="28"/>
        </w:rPr>
        <w:t>bham·</w:t>
      </w:r>
    </w:p>
    <w:p w14:paraId="21004FA4"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r>
        <w:rPr>
          <w:rFonts w:ascii="Gandhari Unicode" w:hAnsi="Gandhari Unicode" w:cs="Gandhari Unicode"/>
          <w:sz w:val="28"/>
          <w:szCs w:val="28"/>
        </w:rPr>
        <w:t>vāñchan sa yām̃punagarāhvayadevatāṁ prāk</w:t>
      </w:r>
    </w:p>
    <w:p w14:paraId="23FC1C26"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r>
        <w:rPr>
          <w:rFonts w:ascii="Gandhari Unicode" w:hAnsi="Gandhari Unicode" w:cs="Gandhari Unicode"/>
          <w:sz w:val="28"/>
          <w:szCs w:val="28"/>
        </w:rPr>
        <w:t>saṁsevate sma sudhanena nu tāvatai</w:t>
      </w:r>
      <w:r>
        <w:rPr>
          <w:rFonts w:ascii="Gandhari Unicode" w:hAnsi="Gandhari Unicode" w:cs="Gandhari Unicode"/>
          <w:b/>
          <w:bCs/>
          <w:sz w:val="28"/>
          <w:szCs w:val="28"/>
        </w:rPr>
        <w:t>(3)</w:t>
      </w:r>
      <w:r>
        <w:rPr>
          <w:rFonts w:ascii="Gandhari Unicode" w:hAnsi="Gandhari Unicode" w:cs="Gandhari Unicode"/>
          <w:sz w:val="28"/>
          <w:szCs w:val="28"/>
        </w:rPr>
        <w:t>(va)m· ||</w:t>
      </w:r>
    </w:p>
    <w:p w14:paraId="19D0A1EB"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r>
        <w:rPr>
          <w:rFonts w:ascii="Gandhari Unicode" w:hAnsi="Gandhari Unicode" w:cs="Gandhari Unicode"/>
          <w:sz w:val="28"/>
          <w:szCs w:val="28"/>
        </w:rPr>
        <w:tab/>
        <w:t xml:space="preserve">c. </w:t>
      </w:r>
      <w:r>
        <w:rPr>
          <w:rFonts w:ascii="Gandhari Unicode" w:hAnsi="Gandhari Unicode" w:cs="Gandhari Unicode"/>
          <w:i/>
          <w:iCs/>
          <w:sz w:val="28"/>
          <w:szCs w:val="28"/>
        </w:rPr>
        <w:t>vāñchan</w:t>
      </w:r>
      <w:r>
        <w:rPr>
          <w:rFonts w:ascii="Gandhari Unicode" w:hAnsi="Gandhari Unicode" w:cs="Gandhari Unicode"/>
          <w:sz w:val="28"/>
          <w:szCs w:val="28"/>
        </w:rPr>
        <w:t xml:space="preserve">: </w:t>
      </w:r>
      <w:r>
        <w:rPr>
          <w:rFonts w:ascii="Gandhari Unicode" w:hAnsi="Gandhari Unicode" w:cs="Gandhari Unicode"/>
          <w:i/>
          <w:iCs/>
          <w:sz w:val="28"/>
          <w:szCs w:val="28"/>
        </w:rPr>
        <w:t>tat tān</w:t>
      </w:r>
      <w:r>
        <w:rPr>
          <w:rFonts w:ascii="Gandhari Unicode" w:hAnsi="Gandhari Unicode" w:cs="Gandhari Unicode"/>
          <w:sz w:val="28"/>
          <w:szCs w:val="28"/>
        </w:rPr>
        <w:t xml:space="preserve"> Bergaigne.</w:t>
      </w:r>
    </w:p>
    <w:p w14:paraId="73E06C1D"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r>
        <w:rPr>
          <w:rFonts w:ascii="Gandhari Unicode" w:hAnsi="Gandhari Unicode" w:cs="Gandhari Unicode"/>
          <w:sz w:val="28"/>
          <w:szCs w:val="28"/>
        </w:rPr>
        <w:tab/>
        <w:t xml:space="preserve">d. </w:t>
      </w:r>
      <w:r>
        <w:rPr>
          <w:rFonts w:ascii="Gandhari Unicode" w:hAnsi="Gandhari Unicode" w:cs="Gandhari Unicode"/>
          <w:i/>
          <w:iCs/>
          <w:sz w:val="28"/>
          <w:szCs w:val="28"/>
        </w:rPr>
        <w:t>tāvatai(va)m</w:t>
      </w:r>
      <w:r>
        <w:rPr>
          <w:rFonts w:ascii="Gandhari Unicode" w:hAnsi="Gandhari Unicode" w:cs="Gandhari Unicode"/>
          <w:sz w:val="28"/>
          <w:szCs w:val="28"/>
        </w:rPr>
        <w:t xml:space="preserve">: </w:t>
      </w:r>
      <w:r>
        <w:rPr>
          <w:rFonts w:ascii="Gandhari Unicode" w:hAnsi="Gandhari Unicode" w:cs="Gandhari Unicode"/>
          <w:i/>
          <w:iCs/>
          <w:sz w:val="28"/>
          <w:szCs w:val="28"/>
        </w:rPr>
        <w:t>tāvatainam</w:t>
      </w:r>
      <w:r>
        <w:rPr>
          <w:rFonts w:ascii="Gandhari Unicode" w:hAnsi="Gandhari Unicode" w:cs="Gandhari Unicode"/>
          <w:sz w:val="28"/>
          <w:szCs w:val="28"/>
        </w:rPr>
        <w:t xml:space="preserve"> Bergaigne.</w:t>
      </w:r>
    </w:p>
    <w:p w14:paraId="03A09A23"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p>
    <w:p w14:paraId="4345DF18"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Gandhari Unicode" w:hAnsi="Gandhari Unicode" w:cs="Gandhari Unicode"/>
          <w:sz w:val="28"/>
          <w:szCs w:val="28"/>
        </w:rPr>
      </w:pPr>
      <w:r>
        <w:rPr>
          <w:rFonts w:ascii="Gandhari Unicode" w:hAnsi="Gandhari Unicode" w:cs="Gandhari Unicode"/>
          <w:sz w:val="28"/>
          <w:szCs w:val="28"/>
        </w:rPr>
        <w:t>[quatrefoil] yām̃ po ku śrī jaya harivarmmadeva ciy śivānandana urām̃ ratna</w:t>
      </w:r>
      <w:r>
        <w:rPr>
          <w:rFonts w:ascii="Gandhari Unicode" w:hAnsi="Gandhari Unicode" w:cs="Gandhari Unicode"/>
          <w:sz w:val="28"/>
          <w:szCs w:val="28"/>
        </w:rPr>
        <w:softHyphen/>
      </w:r>
      <w:r>
        <w:rPr>
          <w:rFonts w:ascii="Gandhari Unicode" w:hAnsi="Gandhari Unicode" w:cs="Gandhari Unicode"/>
          <w:sz w:val="28"/>
          <w:szCs w:val="28"/>
        </w:rPr>
        <w:t>bhū</w:t>
      </w:r>
      <w:r>
        <w:rPr>
          <w:rFonts w:ascii="Gandhari Unicode" w:hAnsi="Gandhari Unicode" w:cs="Gandhari Unicode"/>
          <w:sz w:val="28"/>
          <w:szCs w:val="28"/>
        </w:rPr>
        <w:softHyphen/>
      </w:r>
      <w:r>
        <w:rPr>
          <w:rFonts w:ascii="Gandhari Unicode" w:hAnsi="Gandhari Unicode" w:cs="Gandhari Unicode"/>
          <w:sz w:val="28"/>
          <w:szCs w:val="28"/>
        </w:rPr>
        <w:t xml:space="preserve">mivijaya anāk· </w:t>
      </w:r>
      <w:r>
        <w:rPr>
          <w:rFonts w:ascii="Gandhari Unicode" w:hAnsi="Gandhari Unicode" w:cs="Gandhari Unicode"/>
          <w:b/>
          <w:bCs/>
          <w:sz w:val="28"/>
          <w:szCs w:val="28"/>
        </w:rPr>
        <w:t>(4)</w:t>
      </w:r>
      <w:r>
        <w:rPr>
          <w:rFonts w:ascii="Gandhari Unicode" w:hAnsi="Gandhari Unicode" w:cs="Gandhari Unicode"/>
          <w:sz w:val="28"/>
          <w:szCs w:val="28"/>
        </w:rPr>
        <w:t xml:space="preserve"> yām̃ po ku śrī jaya rudravarmmadeva pu pom̃ tana rayā nan· kā paslyam̃ śatruvargga makapun·</w:t>
      </w:r>
      <w:r>
        <w:rPr>
          <w:rFonts w:ascii="Gandhari Unicode" w:hAnsi="Gandhari Unicode" w:cs="Gandhari Unicode"/>
          <w:sz w:val="28"/>
          <w:szCs w:val="28"/>
        </w:rPr>
        <w:t xml:space="preserve"> </w:t>
      </w:r>
      <w:r>
        <w:rPr>
          <w:rFonts w:ascii="Gandhari Unicode" w:hAnsi="Gandhari Unicode" w:cs="Gandhari Unicode"/>
          <w:b/>
          <w:bCs/>
          <w:sz w:val="28"/>
          <w:szCs w:val="28"/>
        </w:rPr>
        <w:t>(5)</w:t>
      </w:r>
      <w:r>
        <w:rPr>
          <w:rFonts w:ascii="Gandhari Unicode" w:hAnsi="Gandhari Unicode" w:cs="Gandhari Unicode"/>
          <w:sz w:val="28"/>
          <w:szCs w:val="28"/>
        </w:rPr>
        <w:t xml:space="preserve"> kamvuja yavana vijaya ṅan· uttaradiśa makapun· amarāvatī ṅan· dakṣiṇadiśa makapun· </w:t>
      </w:r>
      <w:r>
        <w:rPr>
          <w:rFonts w:ascii="Gandhari Unicode" w:hAnsi="Gandhari Unicode" w:cs="Gandhari Unicode"/>
          <w:sz w:val="28"/>
          <w:szCs w:val="28"/>
        </w:rPr>
        <w:t xml:space="preserve"> </w:t>
      </w:r>
      <w:r>
        <w:rPr>
          <w:rFonts w:ascii="Gandhari Unicode" w:hAnsi="Gandhari Unicode" w:cs="Gandhari Unicode"/>
          <w:b/>
          <w:bCs/>
          <w:sz w:val="28"/>
          <w:szCs w:val="28"/>
        </w:rPr>
        <w:t>(6)</w:t>
      </w:r>
      <w:r>
        <w:rPr>
          <w:rFonts w:ascii="Gandhari Unicode" w:hAnsi="Gandhari Unicode" w:cs="Gandhari Unicode"/>
          <w:sz w:val="28"/>
          <w:szCs w:val="28"/>
        </w:rPr>
        <w:t xml:space="preserve"> pāṇḍurāṅga ṅan· paścimadiśa makapun· randaiy· madaṅan· mvleccha vukam̃n· avista suhetu </w:t>
      </w:r>
      <w:r>
        <w:rPr>
          <w:rFonts w:ascii="Gandhari Unicode" w:hAnsi="Gandhari Unicode" w:cs="Gandhari Unicode"/>
          <w:b/>
          <w:bCs/>
          <w:sz w:val="28"/>
          <w:szCs w:val="28"/>
        </w:rPr>
        <w:t>(7)</w:t>
      </w:r>
      <w:r>
        <w:rPr>
          <w:rFonts w:ascii="Gandhari Unicode" w:hAnsi="Gandhari Unicode" w:cs="Gandhari Unicode"/>
          <w:sz w:val="28"/>
          <w:szCs w:val="28"/>
        </w:rPr>
        <w:t xml:space="preserve"> pu pom̃ tana rayā nan· kā tmum̃ jaya sadākāla mam̃n· si jem̃ vuḥ</w:t>
      </w:r>
      <w:r>
        <w:rPr>
          <w:rFonts w:ascii="Gandhari Unicode" w:hAnsi="Gandhari Unicode" w:cs="Gandhari Unicode"/>
          <w:sz w:val="28"/>
          <w:szCs w:val="28"/>
        </w:rPr>
        <w:t xml:space="preserve"> anekabhogo</w:t>
      </w:r>
      <w:r>
        <w:rPr>
          <w:rFonts w:ascii="Gandhari Unicode" w:hAnsi="Gandhari Unicode" w:cs="Gandhari Unicode"/>
          <w:b/>
          <w:bCs/>
          <w:sz w:val="28"/>
          <w:szCs w:val="28"/>
        </w:rPr>
        <w:t>(8)</w:t>
      </w:r>
      <w:r>
        <w:rPr>
          <w:rFonts w:ascii="Gandhari Unicode" w:hAnsi="Gandhari Unicode" w:cs="Gandhari Unicode"/>
          <w:sz w:val="28"/>
          <w:szCs w:val="28"/>
        </w:rPr>
        <w:t>pabhoga kam̃n· yām̃ pu nagara devī nī | kāla śakarāja 1082</w:t>
      </w:r>
    </w:p>
    <w:p w14:paraId="6A8C8644"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p>
    <w:p w14:paraId="2C07C3C8"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b/>
          <w:bCs/>
          <w:sz w:val="28"/>
          <w:szCs w:val="28"/>
        </w:rPr>
      </w:pPr>
      <w:r>
        <w:rPr>
          <w:rFonts w:ascii="Gandhari Unicode" w:hAnsi="Gandhari Unicode" w:cs="Gandhari Unicode"/>
          <w:b/>
          <w:bCs/>
          <w:sz w:val="28"/>
          <w:szCs w:val="28"/>
        </w:rPr>
        <w:t>Notes</w:t>
      </w:r>
    </w:p>
    <w:p w14:paraId="40EEAAC5"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r>
        <w:rPr>
          <w:rFonts w:ascii="Gandhari Unicode" w:hAnsi="Gandhari Unicode" w:cs="Gandhari Unicode"/>
          <w:sz w:val="28"/>
          <w:szCs w:val="28"/>
        </w:rPr>
        <w:t xml:space="preserve">6. </w:t>
      </w:r>
      <w:r>
        <w:rPr>
          <w:rFonts w:ascii="Gandhari Unicode" w:hAnsi="Gandhari Unicode" w:cs="Gandhari Unicode"/>
          <w:i/>
          <w:iCs/>
          <w:sz w:val="28"/>
          <w:szCs w:val="28"/>
        </w:rPr>
        <w:t>mvleccha</w:t>
      </w:r>
      <w:r>
        <w:rPr>
          <w:rFonts w:ascii="Gandhari Unicode" w:hAnsi="Gandhari Unicode" w:cs="Gandhari Unicode"/>
          <w:sz w:val="28"/>
          <w:szCs w:val="28"/>
        </w:rPr>
        <w:t xml:space="preserve">: l’orthographe </w:t>
      </w:r>
      <w:r>
        <w:rPr>
          <w:rFonts w:ascii="Gandhari Unicode" w:hAnsi="Gandhari Unicode" w:cs="Gandhari Unicode"/>
          <w:i/>
          <w:iCs/>
          <w:sz w:val="28"/>
          <w:szCs w:val="28"/>
        </w:rPr>
        <w:t>mleca</w:t>
      </w:r>
      <w:r>
        <w:rPr>
          <w:rFonts w:ascii="Gandhari Unicode" w:hAnsi="Gandhari Unicode" w:cs="Gandhari Unicode"/>
          <w:sz w:val="28"/>
          <w:szCs w:val="28"/>
        </w:rPr>
        <w:t xml:space="preserve"> figure dans C. 17, l. 12.</w:t>
      </w:r>
    </w:p>
    <w:p w14:paraId="1F1A1C9D" w14:textId="77777777" w:rsidR="008641E9" w:rsidRDefault="00673F35" w:rsidP="00673F35">
      <w:pPr>
        <w:rPr>
          <w:rFonts w:ascii="Gandhari Unicode" w:hAnsi="Gandhari Unicode" w:cs="Gandhari Unicode"/>
          <w:sz w:val="28"/>
          <w:szCs w:val="28"/>
        </w:rPr>
      </w:pPr>
      <w:r>
        <w:rPr>
          <w:rFonts w:ascii="Gandhari Unicode" w:hAnsi="Gandhari Unicode" w:cs="Gandhari Unicode"/>
          <w:sz w:val="28"/>
          <w:szCs w:val="28"/>
        </w:rPr>
        <w:t xml:space="preserve">7. </w:t>
      </w:r>
      <w:r>
        <w:rPr>
          <w:rFonts w:ascii="Gandhari Unicode" w:hAnsi="Gandhari Unicode" w:cs="Gandhari Unicode"/>
          <w:i/>
          <w:iCs/>
          <w:sz w:val="28"/>
          <w:szCs w:val="28"/>
        </w:rPr>
        <w:t>madaṅan</w:t>
      </w:r>
      <w:r>
        <w:rPr>
          <w:rFonts w:ascii="Gandhari Unicode" w:hAnsi="Gandhari Unicode" w:cs="Gandhari Unicode"/>
          <w:sz w:val="28"/>
          <w:szCs w:val="28"/>
        </w:rPr>
        <w:t xml:space="preserve">·: </w:t>
      </w:r>
      <w:r>
        <w:rPr>
          <w:rFonts w:ascii="Gandhari Unicode" w:hAnsi="Gandhari Unicode" w:cs="Gandhari Unicode"/>
          <w:i/>
          <w:iCs/>
          <w:sz w:val="28"/>
          <w:szCs w:val="28"/>
        </w:rPr>
        <w:t>mada ṅan</w:t>
      </w:r>
      <w:r>
        <w:rPr>
          <w:rFonts w:ascii="Gandhari Unicode" w:hAnsi="Gandhari Unicode" w:cs="Gandhari Unicode"/>
          <w:sz w:val="28"/>
          <w:szCs w:val="28"/>
        </w:rPr>
        <w:t xml:space="preserve"> Aymonier. </w:t>
      </w:r>
      <w:r w:rsidRPr="00673F35">
        <w:rPr>
          <w:rFonts w:ascii="Gandhari Unicode" w:hAnsi="Gandhari Unicode" w:cs="Gandhari Unicode"/>
          <w:color w:val="FF0000"/>
          <w:sz w:val="28"/>
          <w:szCs w:val="28"/>
        </w:rPr>
        <w:t xml:space="preserve">Sur notre lecture en un seul mot, voir </w:t>
      </w:r>
      <w:r>
        <w:rPr>
          <w:rFonts w:ascii="Gandhari Unicode" w:hAnsi="Gandhari Unicode" w:cs="Gandhari Unicode"/>
          <w:color w:val="FF0000"/>
          <w:sz w:val="28"/>
          <w:szCs w:val="28"/>
        </w:rPr>
        <w:t>Lepoutre, article sur JHV</w:t>
      </w:r>
      <w:r>
        <w:rPr>
          <w:rFonts w:ascii="Gandhari Unicode" w:hAnsi="Gandhari Unicode" w:cs="Gandhari Unicode"/>
          <w:sz w:val="28"/>
          <w:szCs w:val="28"/>
        </w:rPr>
        <w:t>.</w:t>
      </w:r>
    </w:p>
    <w:p w14:paraId="47C86CBB"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r>
        <w:rPr>
          <w:rFonts w:ascii="Gandhari Unicode" w:hAnsi="Gandhari Unicode" w:cs="Gandhari Unicode"/>
          <w:sz w:val="28"/>
          <w:szCs w:val="28"/>
        </w:rPr>
        <w:lastRenderedPageBreak/>
        <w:t>TRADUCTION</w:t>
      </w:r>
    </w:p>
    <w:p w14:paraId="6F001686"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p>
    <w:p w14:paraId="716D15A7"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r>
        <w:rPr>
          <w:rFonts w:ascii="Gandhari Unicode" w:hAnsi="Gandhari Unicode" w:cs="Gandhari Unicode"/>
          <w:sz w:val="28"/>
          <w:szCs w:val="28"/>
        </w:rPr>
        <w:t>« Lors de la prise de l’ambroisie de la souveraineté sur la surface de la terre jusqu’aux océans, désirant la prise de l’ambroisie de la souveraineté sur le territoire de ceux qui ont les cieux comme territoire, il a vénéré d’abord, de la même façon (que celle décrite en C. 30 A1) la divinité nommée Yāṅ Pu Nagara, avec la même quantité de richesses. »</w:t>
      </w:r>
    </w:p>
    <w:p w14:paraId="00E494FE"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p>
    <w:p w14:paraId="5C348859" w14:textId="77777777" w:rsidR="00673F35" w:rsidRP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673F35">
        <w:rPr>
          <w:rFonts w:ascii="Gandhari Unicode" w:hAnsi="Gandhari Unicode" w:cs="Gandhari Unicode"/>
        </w:rPr>
        <w:tab/>
        <w:t xml:space="preserve">Noter emploi de </w:t>
      </w:r>
      <w:r w:rsidRPr="00673F35">
        <w:rPr>
          <w:rFonts w:ascii="Gandhari Unicode" w:hAnsi="Gandhari Unicode" w:cs="Gandhari Unicode"/>
          <w:i/>
        </w:rPr>
        <w:t>sma</w:t>
      </w:r>
      <w:r w:rsidRPr="00673F35">
        <w:rPr>
          <w:rFonts w:ascii="Gandhari Unicode" w:hAnsi="Gandhari Unicode" w:cs="Gandhari Unicode"/>
        </w:rPr>
        <w:t xml:space="preserve"> comme en C. 100.</w:t>
      </w:r>
    </w:p>
    <w:p w14:paraId="665FA163"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p>
    <w:p w14:paraId="7DBF3D36"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r>
        <w:rPr>
          <w:rFonts w:ascii="Gandhari Unicode" w:hAnsi="Gandhari Unicode" w:cs="Gandhari Unicode"/>
          <w:sz w:val="28"/>
          <w:szCs w:val="28"/>
        </w:rPr>
        <w:t>Ce Y.P.K. Śrī Jaya Harivarmadeva, prince Śivānandana, homme de Ratnabhūmivijaya, fils de Y.P.K. Śrī Jaya Rudravarmadeva, P.P.T.R. a ensuite (</w:t>
      </w:r>
      <w:r>
        <w:rPr>
          <w:rFonts w:ascii="Gandhari Unicode" w:hAnsi="Gandhari Unicode" w:cs="Gandhari Unicode"/>
          <w:i/>
          <w:iCs/>
          <w:sz w:val="28"/>
          <w:szCs w:val="28"/>
        </w:rPr>
        <w:t>kā</w:t>
      </w:r>
      <w:r>
        <w:rPr>
          <w:rFonts w:ascii="Gandhari Unicode" w:hAnsi="Gandhari Unicode" w:cs="Gandhari Unicode"/>
          <w:sz w:val="28"/>
          <w:szCs w:val="28"/>
        </w:rPr>
        <w:t>) enchaîné les troupes des ennemis, à savoir les Khmers, les Viets, (les gens de) Vijaya. Également le Nord, à savoir Amarāvatī. Également le Sud, à savoir Pāṇḍuraṅga. Également l’Ouest, à savoir les Randaiy avec tous les autres sauvages. En raison du fait que ce P.P.T.R. prit ensuite toujours la victoire, alors il donna de très divers biens et moyens de subsistance à cette déesse Yāṅ Pu Nagara. Ère des rois des Śaka 1082.</w:t>
      </w:r>
    </w:p>
    <w:p w14:paraId="2C9C3030"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p>
    <w:p w14:paraId="7EF166BE" w14:textId="77777777" w:rsidR="00673F35" w:rsidRP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673F35">
        <w:rPr>
          <w:rFonts w:ascii="Gandhari Unicode" w:hAnsi="Gandhari Unicode" w:cs="Gandhari Unicode"/>
        </w:rPr>
        <w:t xml:space="preserve">sur le sens de </w:t>
      </w:r>
      <w:r w:rsidRPr="00673F35">
        <w:rPr>
          <w:rFonts w:ascii="Gandhari Unicode" w:hAnsi="Gandhari Unicode" w:cs="Gandhari Unicode"/>
          <w:i/>
        </w:rPr>
        <w:t>kam̃n</w:t>
      </w:r>
      <w:r w:rsidRPr="00673F35">
        <w:rPr>
          <w:rFonts w:ascii="Gandhari Unicode" w:hAnsi="Gandhari Unicode" w:cs="Gandhari Unicode"/>
        </w:rPr>
        <w:t xml:space="preserve">, le parallélisme avec C. 84.1, l. 8: </w:t>
      </w:r>
    </w:p>
    <w:p w14:paraId="0DFF87E7" w14:textId="77777777" w:rsidR="00673F35" w:rsidRP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673F35">
        <w:rPr>
          <w:rFonts w:ascii="Gandhari Unicode" w:hAnsi="Gandhari Unicode" w:cs="Gandhari Unicode"/>
        </w:rPr>
        <w:tab/>
      </w:r>
      <w:r w:rsidRPr="00673F35">
        <w:rPr>
          <w:rFonts w:ascii="Gandhari Unicode" w:hAnsi="Gandhari Unicode" w:cs="Gandhari Unicode"/>
          <w:i/>
          <w:iCs/>
        </w:rPr>
        <w:t>vuḥ sarvvabhogopabhoga di devatā nī</w:t>
      </w:r>
    </w:p>
    <w:p w14:paraId="1F0D6C95" w14:textId="77777777" w:rsidR="00673F35" w:rsidRP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673F35">
        <w:rPr>
          <w:rFonts w:ascii="Gandhari Unicode" w:hAnsi="Gandhari Unicode" w:cs="Gandhari Unicode"/>
        </w:rPr>
        <w:t xml:space="preserve">voir aussi C. 210 C, 8–9: </w:t>
      </w:r>
    </w:p>
    <w:p w14:paraId="610B446D" w14:textId="77777777" w:rsidR="00673F35" w:rsidRP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i/>
        </w:rPr>
      </w:pPr>
      <w:r w:rsidRPr="00673F35">
        <w:rPr>
          <w:rFonts w:ascii="Gandhari Unicode" w:hAnsi="Gandhari Unicode" w:cs="Gandhari Unicode"/>
        </w:rPr>
        <w:tab/>
      </w:r>
      <w:r w:rsidRPr="00673F35">
        <w:rPr>
          <w:rFonts w:ascii="Gandhari Unicode" w:hAnsi="Gandhari Unicode" w:cs="Gandhari Unicode"/>
          <w:i/>
        </w:rPr>
        <w:t>vriy·</w:t>
      </w:r>
      <w:r w:rsidRPr="00673F35">
        <w:rPr>
          <w:rFonts w:ascii="Gandhari Unicode" w:hAnsi="Gandhari Unicode" w:cs="Gandhari Unicode"/>
          <w:i/>
        </w:rPr>
        <w:t xml:space="preserve"> dāna kam̃n· brāhmaṇa tapasmī bhikṣu </w:t>
      </w:r>
    </w:p>
    <w:p w14:paraId="084D0190" w14:textId="77777777" w:rsidR="00673F35" w:rsidRDefault="00673F35" w:rsidP="00673F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p>
    <w:p w14:paraId="0D419D60" w14:textId="77777777" w:rsidR="00673F35" w:rsidRDefault="00673F35" w:rsidP="00673F35">
      <w:pPr>
        <w:rPr>
          <w:rFonts w:ascii="Gandhari Unicode" w:hAnsi="Gandhari Unicode" w:cs="Gandhari Unicode"/>
          <w:sz w:val="28"/>
          <w:szCs w:val="28"/>
        </w:rPr>
      </w:pPr>
    </w:p>
    <w:p w14:paraId="293F17DC" w14:textId="77777777" w:rsidR="00673F35" w:rsidRDefault="00673F35" w:rsidP="00673F35"/>
    <w:sectPr w:rsidR="00673F35" w:rsidSect="000B76B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andhari Unicode">
    <w:panose1 w:val="02000503060000020004"/>
    <w:charset w:val="00"/>
    <w:family w:val="auto"/>
    <w:pitch w:val="variable"/>
    <w:sig w:usb0="E00002FF" w:usb1="5000E0F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F35"/>
    <w:rsid w:val="000B76B2"/>
    <w:rsid w:val="001F6A9C"/>
    <w:rsid w:val="00303801"/>
    <w:rsid w:val="006714CE"/>
    <w:rsid w:val="00673F35"/>
    <w:rsid w:val="009E4876"/>
    <w:rsid w:val="00A31791"/>
    <w:rsid w:val="00AB63E8"/>
    <w:rsid w:val="00D40C82"/>
    <w:rsid w:val="00DB4BE7"/>
    <w:rsid w:val="00F116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D17C8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450</Words>
  <Characters>2481</Characters>
  <Application>Microsoft Macintosh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Arlo Griffiths</dc:creator>
  <cp:keywords/>
  <dc:description/>
  <cp:lastModifiedBy>Arlo Griffiths</cp:lastModifiedBy>
  <cp:revision>2</cp:revision>
  <dcterms:created xsi:type="dcterms:W3CDTF">2016-02-18T16:37:00Z</dcterms:created>
  <dcterms:modified xsi:type="dcterms:W3CDTF">2016-02-18T16:48:00Z</dcterms:modified>
</cp:coreProperties>
</file>