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8"/>
          <w:sz w:val="36"/>
          <w:szCs w:val="36"/>
        </w:rPr>
        <w:t xml:space="preserve">MEMORANDO JURÍDICO-OPERACIONAL</w:t>
      </w:r>
    </w:p>
    <w:p>
      <w:pPr>
        <w:spacing w:after="360"/>
        <w:jc w:val="center"/>
      </w:pPr>
      <w:r>
        <w:rPr>
          <w:i/>
          <w:iCs/>
          <w:color w:val="595959"/>
          <w:sz w:val="24"/>
          <w:szCs w:val="24"/>
        </w:rPr>
        <w:t xml:space="preserve">Obra BTR Paraíso II · Senador Canedo / GO · 2 Unidades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De:</w:t>
            </w:r>
          </w:p>
        </w:tc>
        <w:tc>
          <w:tcPr>
            <w:tcW w:type="dxa" w:w="63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(assessoria multidisciplinar — Engenharia, Direito, Gestão)</w:t>
            </w:r>
          </w:p>
        </w:tc>
      </w:tr>
      <w:t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Para:</w:t>
            </w:r>
          </w:p>
        </w:tc>
        <w:tc>
          <w:tcPr>
            <w:tcW w:type="dxa" w:w="63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Ercilio Oliveira (Investidor/Proprietário)</w:t>
            </w:r>
          </w:p>
        </w:tc>
      </w:tr>
      <w:t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Assunto:</w:t>
            </w:r>
          </w:p>
        </w:tc>
        <w:tc>
          <w:tcPr>
            <w:tcW w:type="dxa" w:w="63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 jurídico, riscos e estrutura contratual da obra BTR Paraíso II</w:t>
            </w:r>
          </w:p>
        </w:tc>
      </w:tr>
      <w:t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Data:</w:t>
            </w:r>
          </w:p>
        </w:tc>
        <w:tc>
          <w:tcPr>
            <w:tcW w:type="dxa" w:w="63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 de maio de 2026</w:t>
            </w:r>
          </w:p>
        </w:tc>
      </w:tr>
      <w:t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Regime:</w:t>
            </w:r>
          </w:p>
        </w:tc>
        <w:tc>
          <w:tcPr>
            <w:tcW w:type="dxa" w:w="63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Empreitada por etapas/mista (CC arts. 610-626)</w:t>
            </w:r>
          </w:p>
        </w:tc>
      </w:tr>
      <w:tr>
        <w:tc>
          <w:tcPr>
            <w:tcW w:type="dxa" w:w="3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Escopo:</w:t>
            </w:r>
          </w:p>
        </w:tc>
        <w:tc>
          <w:tcPr>
            <w:tcW w:type="dxa" w:w="636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unidades residenciais BTR no mesmo terreno</w:t>
            </w:r>
          </w:p>
        </w:tc>
      </w:tr>
    </w:tbl>
    <w:p>
      <w:pPr>
        <w:pStyle w:val="Heading1"/>
        <w:pBdr>
          <w:bottom w:val="single" w:color="1F4E78" w:sz="12" w:space="2"/>
        </w:pBdr>
        <w:spacing w:after="180" w:before="360"/>
      </w:pPr>
      <w:r>
        <w:rPr>
          <w:b/>
          <w:bCs/>
          <w:color w:val="1F4E78"/>
          <w:sz w:val="32"/>
          <w:szCs w:val="32"/>
        </w:rPr>
        <w:t xml:space="preserve">1. Escopo e natureza jurídica</w:t>
      </w:r>
    </w:p>
    <w:p>
      <w:pPr>
        <w:spacing w:after="100"/>
      </w:pPr>
      <w:r>
        <w:t xml:space="preserve">A obra em questão é um empreendimento imobiliário residencial composto por 2 (duas) unidades habitacionais autônomas no mesmo terreno, no Setor Residencial Paraíso II, município de Senador Canedo/GO. A destinação econômica é Build-to-Rent (BTR), ou seja, construção para fins de locação residencial pelo próprio investidor, não havendo, em princípio, alienação das unidades a terceiros consumidores. Essa característica afasta, por ora, a incidência da Lei 4.591/64 (incorporações) e do Código de Defesa do Consumidor na relação construção/venda, mas mantém integralmente a aplicação: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Lei 8.245/91 (Lei do Inquilinato) quando os imóveis forem locados;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Código Civil, especialmente arts. 610 a 626 (contratos de empreitada) e art. 618 (garantia quinquenal pela solidez e segurança);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CLT e legislação previdenciária (responsabilidade trabalhista do dono da obra);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 normas regulamentadoras do Ministério do Trabalho (NR-1, NR-6, NR-7, NR-18, NR-35);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legislação ambiental federal (Resoluções CONAMA) e municipal de Senador Canedo;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Plano Diretor e Código de Obras de Senador Canedo (Lei municipal local).</w:t>
      </w:r>
    </w:p>
    <w:p>
      <w:pPr>
        <w:pStyle w:val="Heading1"/>
        <w:pBdr>
          <w:bottom w:val="single" w:color="1F4E78" w:sz="12" w:space="2"/>
        </w:pBdr>
        <w:spacing w:after="180" w:before="360"/>
      </w:pPr>
      <w:r>
        <w:rPr>
          <w:b/>
          <w:bCs/>
          <w:color w:val="1F4E78"/>
          <w:sz w:val="32"/>
          <w:szCs w:val="32"/>
        </w:rPr>
        <w:t xml:space="preserve">2. Regime de empreitada mista — implicações práticas</w:t>
      </w:r>
    </w:p>
    <w:p>
      <w:pPr>
        <w:spacing w:after="100"/>
      </w:pPr>
      <w:r>
        <w:t xml:space="preserve">No regime escolhido (administração direta para parte dos serviços + empreitada por etapas para os demais), Ercilio acumula simultaneamente os papéis de DONO DA OBRA, CONTRATANTE DE EMPREITEIROS e EMPREGADOR DIRETO (ou tomador de serviço autônomo) da mão de obra contratada por administração. Cada um desses papéis gera obrigações distintas: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2.1 Como dono da obra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Súmula 363 do TST e OJ 191 SDI-1: o dono da obra de construção civil NÃO responde solidariamente nem subsidiariamente pelos débitos trabalhistas do empreiteiro, salvo se for empresa do ramo da construção ou se houver fraude. Como Ercilio é pessoa física construindo para investimento próprio (não construtora), a regra protetiva se aplica — desde que a contratação não configure terceirização de atividade habitual, nem caracterize empreiteiro como mero "pessoa interposta".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Cuidado: se o empreiteiro for pessoa física sem capacidade econômica e o serviço durar muito tempo, há risco de o juiz desconsiderar a empreitada e reconhecer vínculo direto com Ercilio.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Recomendação: formalizar TODOS os empreiteiros como pessoa jurídica (mesmo MEI) e exigir contrato escrito, NF de serviço e GPS/eSocial dos trabalhadores deles.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2.2 Como contratante de empreitada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Retenção de 11% sobre a base de cálculo da mão de obra (Lei 8.212/91, art. 31; IN RFB 2.110/2022) — OBRIGATÓRIA quando o empreiteiro cede mão de obra. Ercilio deve recolher o valor em GPS no mês seguinte sob a matrícula CNO da obra.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Garantia quinquenal (CC art. 618): pela solidez e segurança, por 5 anos contados da entrega. Cláusula importante a manter nos contratos.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 deve ser retido na fonte se o contrato de prestação de serviço de construção indicar essa obrigação no município de Senador Canedo (verificar legislação tributária municipal).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2.3 Como administrador direto (mão de obra própria)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Ercilio contratar trabalhadores diretamente sob administração da obra, incidem TODAS as obrigações de empregador: CTPS, FGTS, INSS patronal (20% + RAT + Sistema S), 13º, férias, aviso prévio, eSocial.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Pessoa física pode ser empregadora doméstica/rural, mas NÃO de construção civil em obra própria sem matrícula CNO ativa e folha registrada. O caminho usual é contratar o mestre (Osias) como autônomo (RPA com retenção INSS 20% + 11%) ou como empreiteiro MEI.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Recomendação: avaliar formalização do Osias como MEI ou PJ prestadora de serviço de gestão de obra, com contrato escrito e nota fiscal mensal, evitando vínculo trabalhista.</w:t>
      </w:r>
    </w:p>
    <w:p>
      <w:pPr>
        <w:pStyle w:val="Heading1"/>
        <w:pBdr>
          <w:bottom w:val="single" w:color="1F4E78" w:sz="12" w:space="2"/>
        </w:pBdr>
        <w:spacing w:after="180" w:before="360"/>
      </w:pPr>
      <w:r>
        <w:rPr>
          <w:b/>
          <w:bCs/>
          <w:color w:val="1F4E78"/>
          <w:sz w:val="32"/>
          <w:szCs w:val="32"/>
        </w:rPr>
        <w:t xml:space="preserve">3. Documentos obrigatórios — checklist crítico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3.1 Antes de iniciar a obra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Projeto arquitetônico aprovado na Prefeitura de Senador Canedo (Ercilio já possui).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Alvará de Construção (Ercilio já possui).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ART (CREA) ou RRT (CAU) do responsável técnico — uma para o projeto, uma para a execução. Anotações por etapa terceirizada (estrutura, elétrica, hidráulica) também.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CNO — Cadastro Nacional de Obras (substituiu a Matrícula CEI desde 2019, IN RFB 2.021/2021). Obrigatório para abertura de GFIP/eSocial e recolhimento de INSS. Emissão gratuita no e-CAC da Receita Federal.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municipal de obra e taxa de licenciamento paga.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Comunicação aos vizinhos e vistoria cautelar (CC arts. 1.277-1.281). Recomendamos laudo fotográfico ASSINADO pelos vizinhos das edificações limítrofes para evitar futuras alegações de dano por trepidação ou infiltração.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3.2 Durante a obra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PCMAT (NR-18 item 18.4) se houver 20 ou mais trabalhadores em algum momento. Como a obra é pequena (2 unidades), provavelmente ficará abaixo desse patamar — nesse caso, PGR substitui (NR-1).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PCMSO + ASO admissional para CADA trabalhador (NR-7), inclusive dos empreiteiros.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Fichas de EPI assinadas (NR-6) — capacete, botina, óculos, cinto de segurança em altura, luvas. Manter cópia em obra.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Ordem de Serviço de Segurança (OS) por função, entregue e assinada pelo trabalhador (NR-1 item 1.4.1 'b').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Diário de Obra (RDO) preenchido diariamente — é prova judicial robusta em disputas trabalhistas, contratuais e de responsabilidade civil.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3.3 Após a conclusão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Vistoria final da Prefeitura → emissão do Habite-se.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Averbação da construção no Cartório de Registro de Imóveis (Lei 6.015/73). Sem averbação, o imóvel continua registrado como terreno e a edificação não existe juridicamente — impede financiamento, venda futura e tem repercussão tributária.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Atualização do IPTU junto à Prefeitura (CTN art. 32) — a base de cálculo passa a incluir a construção.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Termo de quitação assinado por cada empreiteiro, com declaração de inexistência de débito trabalhista, previdenciário ou de fornecedor.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Baixa da CNO no e-CAC após declaração de obra concluída.</w:t>
      </w:r>
    </w:p>
    <w:p>
      <w:pPr>
        <w:pStyle w:val="Heading1"/>
        <w:pBdr>
          <w:bottom w:val="single" w:color="1F4E78" w:sz="12" w:space="2"/>
        </w:pBdr>
        <w:spacing w:after="180" w:before="360"/>
      </w:pPr>
      <w:r>
        <w:rPr>
          <w:b/>
          <w:bCs/>
          <w:color w:val="1F4E78"/>
          <w:sz w:val="32"/>
          <w:szCs w:val="32"/>
        </w:rPr>
        <w:t xml:space="preserve">4. Matriz de riscos jurídicos prioritários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4.1 Riscos trabalhistas</w:t>
      </w:r>
    </w:p>
    <w:p>
      <w:pPr>
        <w:spacing w:after="100"/>
        <w:ind w:left="360"/>
      </w:pPr>
      <w:r>
        <w:rPr>
          <w:b/>
          <w:bCs/>
          <w:color w:val="C00000"/>
        </w:rPr>
        <w:t xml:space="preserve">[ALTO] </w:t>
      </w:r>
      <w:r>
        <w:t xml:space="preserve">Reconhecimento de vínculo empregatício de empreiteiro pessoa física que trabalha de forma habitual, com pessoalidade e subordinação. </w:t>
      </w:r>
      <w:r>
        <w:rPr>
          <w:i/>
          <w:iCs/>
          <w:color w:val="595959"/>
          <w:sz w:val="18"/>
          <w:szCs w:val="18"/>
        </w:rPr>
        <w:t xml:space="preserve">(CLT art. 3º + jurisprudência TST)</w:t>
      </w:r>
    </w:p>
    <w:p>
      <w:pPr>
        <w:spacing w:after="100"/>
        <w:ind w:left="360"/>
      </w:pPr>
      <w:r>
        <w:rPr>
          <w:b/>
          <w:bCs/>
          <w:color w:val="C00000"/>
        </w:rPr>
        <w:t xml:space="preserve">[ALTO] </w:t>
      </w:r>
      <w:r>
        <w:t xml:space="preserve">Acidente de trabalho em obra sem CNO, sem ASO, sem EPI registrado — gera ação regressiva do INSS e indenização civil/trabalhista pesada. </w:t>
      </w:r>
      <w:r>
        <w:rPr>
          <w:i/>
          <w:iCs/>
          <w:color w:val="595959"/>
          <w:sz w:val="18"/>
          <w:szCs w:val="18"/>
        </w:rPr>
        <w:t xml:space="preserve">(Lei 8.213/91 art. 120; CF art. 7º XXVIII)</w:t>
      </w:r>
    </w:p>
    <w:p>
      <w:pPr>
        <w:spacing w:after="100"/>
        <w:ind w:left="360"/>
      </w:pPr>
      <w:r>
        <w:rPr>
          <w:b/>
          <w:bCs/>
          <w:color w:val="BF8F00"/>
        </w:rPr>
        <w:t xml:space="preserve">[MÉDIO] </w:t>
      </w:r>
      <w:r>
        <w:t xml:space="preserve">Responsabilidade subsidiária se Ercilio for considerado tomador de serviço em terceirização irregular. </w:t>
      </w:r>
      <w:r>
        <w:rPr>
          <w:i/>
          <w:iCs/>
          <w:color w:val="595959"/>
          <w:sz w:val="18"/>
          <w:szCs w:val="18"/>
        </w:rPr>
        <w:t xml:space="preserve">(Súmula 331 TST)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4.2 Riscos tributários / previdenciários</w:t>
      </w:r>
    </w:p>
    <w:p>
      <w:pPr>
        <w:spacing w:after="100"/>
        <w:ind w:left="360"/>
      </w:pPr>
      <w:r>
        <w:rPr>
          <w:b/>
          <w:bCs/>
          <w:color w:val="C00000"/>
        </w:rPr>
        <w:t xml:space="preserve">[ALTO] </w:t>
      </w:r>
      <w:r>
        <w:t xml:space="preserve">Não recolhimento dos 11% retidos de empreiteiros — multa de 75% + juros Selic + risco de inscrição em dívida ativa. </w:t>
      </w:r>
      <w:r>
        <w:rPr>
          <w:i/>
          <w:iCs/>
          <w:color w:val="595959"/>
          <w:sz w:val="18"/>
          <w:szCs w:val="18"/>
        </w:rPr>
        <w:t xml:space="preserve">(Lei 8.212/91 art. 31; Lei 9.430/96)</w:t>
      </w:r>
    </w:p>
    <w:p>
      <w:pPr>
        <w:spacing w:after="100"/>
        <w:ind w:left="360"/>
      </w:pPr>
      <w:r>
        <w:rPr>
          <w:b/>
          <w:bCs/>
          <w:color w:val="C00000"/>
        </w:rPr>
        <w:t xml:space="preserve">[ALTO] </w:t>
      </w:r>
      <w:r>
        <w:t xml:space="preserve">Não emissão da CNO — bloqueia averbação do Habite-se e gera ARO (Aferição Indireta) com lançamento de oficio do INSS sobre o valor presumido da mão de obra (~percentual sobre custo total). </w:t>
      </w:r>
      <w:r>
        <w:rPr>
          <w:i/>
          <w:iCs/>
          <w:color w:val="595959"/>
          <w:sz w:val="18"/>
          <w:szCs w:val="18"/>
        </w:rPr>
        <w:t xml:space="preserve">(IN RFB 2.110/22 Cap. IX)</w:t>
      </w:r>
    </w:p>
    <w:p>
      <w:pPr>
        <w:spacing w:after="100"/>
        <w:ind w:left="360"/>
      </w:pPr>
      <w:r>
        <w:rPr>
          <w:b/>
          <w:bCs/>
          <w:color w:val="BF8F00"/>
        </w:rPr>
        <w:t xml:space="preserve">[MÉDIO] </w:t>
      </w:r>
      <w:r>
        <w:t xml:space="preserve">ISS não retido conforme legislação municipal de Senador Canedo. </w:t>
      </w:r>
      <w:r>
        <w:rPr>
          <w:i/>
          <w:iCs/>
          <w:color w:val="595959"/>
          <w:sz w:val="18"/>
          <w:szCs w:val="18"/>
        </w:rPr>
        <w:t xml:space="preserve">(LC 116/03 + Cód. Trib. Municipal)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4.3 Riscos civis / vizinhança</w:t>
      </w:r>
    </w:p>
    <w:p>
      <w:pPr>
        <w:spacing w:after="100"/>
        <w:ind w:left="360"/>
      </w:pPr>
      <w:r>
        <w:rPr>
          <w:b/>
          <w:bCs/>
          <w:color w:val="BF8F00"/>
        </w:rPr>
        <w:t xml:space="preserve">[MÉDIO] </w:t>
      </w:r>
      <w:r>
        <w:t xml:space="preserve">Danos a vizinhos por trepidação, infiltração, ruído — sem vistoria cautelar prévia o ônus da prova fica com Ercilio. </w:t>
      </w:r>
      <w:r>
        <w:rPr>
          <w:i/>
          <w:iCs/>
          <w:color w:val="595959"/>
          <w:sz w:val="18"/>
          <w:szCs w:val="18"/>
        </w:rPr>
        <w:t xml:space="preserve">(CC arts. 1.277-1.281; CPC art. 381)</w:t>
      </w:r>
    </w:p>
    <w:p>
      <w:pPr>
        <w:spacing w:after="100"/>
        <w:ind w:left="360"/>
      </w:pPr>
      <w:r>
        <w:rPr>
          <w:b/>
          <w:bCs/>
          <w:color w:val="C00000"/>
        </w:rPr>
        <w:t xml:space="preserve">[ALTO] </w:t>
      </w:r>
      <w:r>
        <w:t xml:space="preserve">Vícios de construção (rachaduras, infiltração) descobertos nos 5 anos após entrega — Ercilio responde solidariamente com o empreiteiro perante o locatário e poderá ser acionado pela Lei do Inquilinato. </w:t>
      </w:r>
      <w:r>
        <w:rPr>
          <w:i/>
          <w:iCs/>
          <w:color w:val="595959"/>
          <w:sz w:val="18"/>
          <w:szCs w:val="18"/>
        </w:rPr>
        <w:t xml:space="preserve">(CC art. 618; Lei 8.245/91 arts. 22 e 23)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4.4 Riscos ambientais / regulatórios</w:t>
      </w:r>
    </w:p>
    <w:p>
      <w:pPr>
        <w:spacing w:after="100"/>
        <w:ind w:left="360"/>
      </w:pPr>
      <w:r>
        <w:rPr>
          <w:b/>
          <w:bCs/>
          <w:color w:val="BF8F00"/>
        </w:rPr>
        <w:t xml:space="preserve">[MÉDIO] </w:t>
      </w:r>
      <w:r>
        <w:t xml:space="preserve">Descarte irregular de resíduos da construção (RCC) — multa CONAMA e municipal. </w:t>
      </w:r>
      <w:r>
        <w:rPr>
          <w:i/>
          <w:iCs/>
          <w:color w:val="595959"/>
          <w:sz w:val="18"/>
          <w:szCs w:val="18"/>
        </w:rPr>
        <w:t xml:space="preserve">(Res. CONAMA 307/02 e 448/12)</w:t>
      </w:r>
    </w:p>
    <w:p>
      <w:pPr>
        <w:spacing w:after="100"/>
        <w:ind w:left="360"/>
      </w:pPr>
      <w:r>
        <w:rPr>
          <w:b/>
          <w:bCs/>
          <w:color w:val="548235"/>
        </w:rPr>
        <w:t xml:space="preserve">[BAIXO] </w:t>
      </w:r>
      <w:r>
        <w:t xml:space="preserve">Falta de outorga de água se houver poço artesiano — geralmente não exigida em obra residencial pequena ligada à rede. </w:t>
      </w:r>
      <w:r>
        <w:rPr>
          <w:i/>
          <w:iCs/>
          <w:color w:val="595959"/>
          <w:sz w:val="18"/>
          <w:szCs w:val="18"/>
        </w:rPr>
        <w:t xml:space="preserve">(Lei 9.433/97)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4.5 Riscos contratuais com empreiteiros</w:t>
      </w:r>
    </w:p>
    <w:p>
      <w:pPr>
        <w:spacing w:after="100"/>
        <w:ind w:left="360"/>
      </w:pPr>
      <w:r>
        <w:rPr>
          <w:b/>
          <w:bCs/>
          <w:color w:val="C00000"/>
        </w:rPr>
        <w:t xml:space="preserve">[ALTO] </w:t>
      </w:r>
      <w:r>
        <w:t xml:space="preserve">Empreiteiro abandona a obra na metade — sem cláusula de retenção (caução) e multa, Ercilio paga duas vezes pelo serviço. </w:t>
      </w:r>
      <w:r>
        <w:rPr>
          <w:i/>
          <w:iCs/>
          <w:color w:val="595959"/>
          <w:sz w:val="18"/>
          <w:szCs w:val="18"/>
        </w:rPr>
        <w:t xml:space="preserve">(CC art. 623)</w:t>
      </w:r>
    </w:p>
    <w:p>
      <w:pPr>
        <w:spacing w:after="100"/>
        <w:ind w:left="360"/>
      </w:pPr>
      <w:r>
        <w:rPr>
          <w:b/>
          <w:bCs/>
          <w:color w:val="BF8F00"/>
        </w:rPr>
        <w:t xml:space="preserve">[MÉDIO] </w:t>
      </w:r>
      <w:r>
        <w:t xml:space="preserve">Reajuste pleiteado por empreiteiro sem cláusula prevista — sem índice contratado (INCC-M ou IPCA), reajuste exigirá novação. </w:t>
      </w:r>
      <w:r>
        <w:rPr>
          <w:i/>
          <w:iCs/>
          <w:color w:val="595959"/>
          <w:sz w:val="18"/>
          <w:szCs w:val="18"/>
        </w:rPr>
        <w:t xml:space="preserve">(Lei 10.192/01 art. 2º (anualidade))</w:t>
      </w:r>
    </w:p>
    <w:p>
      <w:pPr>
        <w:pStyle w:val="Heading1"/>
        <w:pBdr>
          <w:bottom w:val="single" w:color="1F4E78" w:sz="12" w:space="2"/>
        </w:pBdr>
        <w:spacing w:after="180" w:before="360"/>
      </w:pPr>
      <w:r>
        <w:rPr>
          <w:b/>
          <w:bCs/>
          <w:color w:val="1F4E78"/>
          <w:sz w:val="32"/>
          <w:szCs w:val="32"/>
        </w:rPr>
        <w:t xml:space="preserve">5. Cláusulas contratuais essenciais (empreitada por etapa)</w:t>
      </w:r>
    </w:p>
    <w:p>
      <w:pPr>
        <w:spacing w:after="100"/>
      </w:pPr>
      <w:r>
        <w:t xml:space="preserve">Para cada empreiteiro contratado (estrutura, alvenaria, elétrica, hidráulica, acabamento), o contrato deve conter, no mínimo: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OBJETO detalhado com referência ao projeto aprovado e ao memorial descritivo, indicando quantitativos e padrão de qualidade (norma técnica).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PREÇO global ou unitário e forma de medição/pagamento (mensal ou por etapa concluída e medida).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PRAZO de execução com data de início e término, e cronograma de marcos.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MULTA por atraso (sugerido 0,5% a 1% do contrato por dia, limitada a 10% do valor total) e por abandono (sugerido 20%).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RETENÇÃO/CAUÇÃO de 5% a 10% do pagamento, liberada após o Habite-se ou 90 dias após conclusão sem vícios aparentes.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REAJUSTE com base em INCC-M ou IPCA, com periodicidade mínima anual (Lei 10.192/01).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RESPONSABILIDADE TÉCNICA com obrigação do empreiteiro de fornecer ART/RRT da sua etapa.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OBRIGAÇÕES TRABALHISTAS E PREVIDENCIÁRIAS exclusivas do empreiteiro, com obrigação de apresentar mensalmente: folha de pagamento, GFIP/eSocial, GPS, comprovantes de FGTS, ASOs.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RETENÇÃO 11% INSS já prevista em cláusula como reajuste do valor bruto.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GARANTIA QUINQUENAL expressa (CC art. 618) sobre solidez e segurança.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FORO de Senador Canedo/GO.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SEGURO de Responsabilidade Civil do empreiteiro durante a vigência (recomendado para etapas estruturais).</w:t>
      </w:r>
    </w:p>
    <w:p>
      <w:pPr>
        <w:pStyle w:val="Heading1"/>
        <w:pBdr>
          <w:bottom w:val="single" w:color="1F4E78" w:sz="12" w:space="2"/>
        </w:pBdr>
        <w:spacing w:after="180" w:before="360"/>
      </w:pPr>
      <w:r>
        <w:rPr>
          <w:b/>
          <w:bCs/>
          <w:color w:val="1F4E78"/>
          <w:sz w:val="32"/>
          <w:szCs w:val="32"/>
        </w:rPr>
        <w:t xml:space="preserve">6. Especificidades do regime BTR — preparação para locação</w:t>
      </w:r>
    </w:p>
    <w:p>
      <w:pPr>
        <w:spacing w:after="100"/>
      </w:pPr>
      <w:r>
        <w:t xml:space="preserve">Como o investimento tem por finalidade locação contínua das duas unidades, é prudente adiantar, ainda na fase de obra, os seguintes pontos jurídicos: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de CONTRATO DE LOCAÇÃO (Lei 8.245/91) com prazo determinado de 30 meses para garantir a possibilidade de retomada imotivada após o término (art. 46).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Definição da GARANTIA contratual preferida — caução de até 3 alugueis, fiança ou seguro-fiança (art. 37). Para BTR de imóvel novo, seguro-fiança é o que melhor protege o investidor.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LAUDO DE VISTORIA DE ENTRADA do imóvel (fotografias, estado de cada cômodo, leituras de luz e água) anexo ao contrato — peça crucial para devolução em ações futuras.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Especificação clara das DESPESAS ORDINÁRIAS (locatário) versus EXTRAORDINÁRIAS (locador) (art. 22 e 23) — relevante porque em BTR de imóvel isolado não há condomínio formal, o que altera essa distribuição.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Definição de regras sobre PETS, alterações no imóvel, sublocação (em geral vetada) e prazo para devolução em caso de dilapidação.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Avaliar contratar ADMINISTRADORA imobiliária ou usar plataforma (QuintoAndar, Loft, etc.) — impacto direto no NOI.</w:t>
      </w:r>
    </w:p>
    <w:p>
      <w:pPr>
        <w:pStyle w:val="Heading1"/>
        <w:pBdr>
          <w:bottom w:val="single" w:color="1F4E78" w:sz="12" w:space="2"/>
        </w:pBdr>
        <w:spacing w:after="180" w:before="360"/>
      </w:pPr>
      <w:r>
        <w:rPr>
          <w:b/>
          <w:bCs/>
          <w:color w:val="1F4E78"/>
          <w:sz w:val="32"/>
          <w:szCs w:val="32"/>
        </w:rPr>
        <w:t xml:space="preserve">7. Recomendações prioritárias (próximos 30 dias)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Emitir CNO da obra no e-CAC e afixar a matrícula em local visível.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emissão da ART/RRT pelo responsável técnico e arquivar uma via na pasta 04_Juridico_Compliance.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Padronizar todos os contratos de empreitada usando as cláusulas da Seção 5 deste memorando — revisar contratos já assinados e aditar se necessário.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Exigir formalização de Osias (gestor de obra) como autônomo com RPA mensal ou MEI prestador de serviço, com contrato escrito.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Notificar formalmente os 2 vizinhos confinantes da obra e fazer vistoria cautelar com laudo fotográfico assinado.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Contratar Seguro de Risco de Engenharia (EAR) — apólice típica cobre R$ 200-500 mil de obra residencial pequena por R$ 2.000-5.000.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Configurar pasta de compliance digital (já criada em 04_Juridico_Compliance) com subpastas: ART_RRT / CNO / Alvará / Contratos / Notas_Fiscais / GPS_GFIP_eSocial / ASO_EPI / Vizinhos.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periodicidade de auditoria interna mensal (Ercilio + Osias) usando a aba 06_Compliance_Juridico da planilha mestra.</w:t>
      </w:r>
    </w:p>
    <w:p>
      <w:pPr>
        <w:spacing w:before="480"/>
      </w:pPr>
      <w:r>
        <w:rPr>
          <w:i/>
          <w:iCs/>
          <w:color w:val="595959"/>
          <w:sz w:val="20"/>
          <w:szCs w:val="20"/>
        </w:rPr>
        <w:t xml:space="preserve">Este memorando é parte integrante do dossiê do projeto BTR Paraíso II e será atualizado conforme novos fatos relevantes — alterações regulatórias, novos contratos, ocorrências e marcos da obra. Para dúvidas pontuais, basta enviar a documentação correspondente para análise específica.</w:t>
      </w:r>
    </w:p>
    <w:p>
      <w:pPr>
        <w:spacing w:before="240"/>
      </w:pPr>
      <w:r>
        <w:rPr>
          <w:b/>
          <w:bCs/>
          <w:sz w:val="22"/>
          <w:szCs w:val="22"/>
        </w:rPr>
        <w:t xml:space="preserve">Senador Canedo / GO, 18 de maio de 2026.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BTR Paraíso II · Memorando Jurídico-Operacional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2026-05-18T19:27:18.919Z</dcterms:created>
  <dcterms:modified xsi:type="dcterms:W3CDTF">2026-05-18T19:27:18.919Z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