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Molecular Dynamics Simulation of Carvacrol Binding to the p53 DNA-Binding Domain: Computational Methods</w:t>
      </w:r>
    </w:p>
    <w:p>
      <w:pPr>
        <w:spacing w:after="320"/>
        <w:jc w:val="center"/>
      </w:pPr>
      <w:r>
        <w:rPr>
          <w:rFonts w:ascii="Times New Roman" w:hAnsi="Times New Roman"/>
          <w:i/>
          <w:color w:val="646464"/>
          <w:sz w:val="22"/>
        </w:rPr>
        <w:t>[Methods Section — draft for submission]</w:t>
      </w:r>
    </w:p>
    <w:p>
      <w:pPr>
        <w:pStyle w:val="Heading1"/>
        <w:spacing w:before="240" w:after="120"/>
      </w:pPr>
      <w:r>
        <w:rPr>
          <w:rFonts w:ascii="Times New Roman" w:hAnsi="Times New Roman"/>
          <w:b/>
          <w:color w:val="000000"/>
          <w:sz w:val="28"/>
        </w:rPr>
        <w:t>2. Materials and Methods</w:t>
      </w:r>
    </w:p>
    <w:p>
      <w:pPr>
        <w:pStyle w:val="Heading2"/>
        <w:spacing w:before="240" w:after="120"/>
      </w:pPr>
      <w:r>
        <w:rPr>
          <w:rFonts w:ascii="Times New Roman" w:hAnsi="Times New Roman"/>
          <w:b/>
          <w:color w:val="000000"/>
          <w:sz w:val="24"/>
        </w:rPr>
        <w:t>2.1. Protein Structure Preparation</w:t>
      </w:r>
    </w:p>
    <w:p>
      <w:pPr>
        <w:spacing w:after="120" w:line="440" w:lineRule="exact"/>
        <w:ind w:firstLine="432"/>
        <w:jc w:val="both"/>
      </w:pPr>
      <w:r>
        <w:rPr>
          <w:rFonts w:ascii="Times New Roman" w:hAnsi="Times New Roman"/>
          <w:b w:val="0"/>
          <w:i w:val="0"/>
          <w:sz w:val="24"/>
        </w:rPr>
        <w:t xml:space="preserve">The crystal structure of the p53 tumor suppressor protein core domain in complex with DNA was retrieved from the RCSB Protein Data Bank (PDB ID: </w:t>
      </w:r>
      <w:r>
        <w:rPr>
          <w:rFonts w:ascii="Times New Roman" w:hAnsi="Times New Roman"/>
          <w:b w:val="0"/>
          <w:i/>
          <w:sz w:val="24"/>
        </w:rPr>
        <w:t>1TSR</w:t>
      </w:r>
      <w:r>
        <w:rPr>
          <w:rFonts w:ascii="Times New Roman" w:hAnsi="Times New Roman"/>
          <w:b w:val="0"/>
          <w:i w:val="0"/>
          <w:sz w:val="24"/>
        </w:rPr>
        <w:t>; resolution: 2.35 Å; Cho et al., 1994). The asymmetric unit contains two p53 core domain chains (chains A and B) bound to a double-stranded DNA duplex. Prior to simulation, all DNA chains, crystallographic water molecules, and non-structural heteroatoms were removed from the coordinate file using an automated Python script. The structural zinc ion (Zn</w:t>
      </w:r>
      <w:r>
        <w:rPr>
          <w:rFonts w:ascii="Times New Roman" w:hAnsi="Times New Roman"/>
          <w:b w:val="0"/>
          <w:i w:val="0"/>
          <w:sz w:val="24"/>
        </w:rPr>
        <w:t>2+</w:t>
      </w:r>
      <w:r>
        <w:rPr>
          <w:rFonts w:ascii="Times New Roman" w:hAnsi="Times New Roman"/>
          <w:b w:val="0"/>
          <w:i w:val="0"/>
          <w:sz w:val="24"/>
        </w:rPr>
        <w:t>), which is coordinated by residues Cys176, His179, Cys238, and Cys242 and is essential for maintaining the structural integrity of the DNA-binding loop, was explicitly retained in the final protein model.</w:t>
      </w:r>
    </w:p>
    <w:p>
      <w:pPr>
        <w:spacing w:after="120" w:line="440" w:lineRule="exact"/>
        <w:ind w:firstLine="432"/>
        <w:jc w:val="both"/>
      </w:pPr>
      <w:r>
        <w:rPr>
          <w:rFonts w:ascii="Times New Roman" w:hAnsi="Times New Roman"/>
          <w:b w:val="0"/>
          <w:i w:val="0"/>
          <w:sz w:val="24"/>
        </w:rPr>
        <w:t xml:space="preserve">Protonation states of all titratable residues were determined at physiological pH (7.4) using </w:t>
      </w:r>
      <w:r>
        <w:rPr>
          <w:rFonts w:ascii="Times New Roman" w:hAnsi="Times New Roman"/>
          <w:b w:val="0"/>
          <w:i/>
          <w:sz w:val="24"/>
        </w:rPr>
        <w:t>PROPKA3</w:t>
      </w:r>
      <w:r>
        <w:rPr>
          <w:rFonts w:ascii="Times New Roman" w:hAnsi="Times New Roman"/>
          <w:b w:val="0"/>
          <w:i w:val="0"/>
          <w:sz w:val="24"/>
        </w:rPr>
        <w:t xml:space="preserve"> (v3.5.1; Olsson et al., 2011). Particular attention was given to histidine residues, whose protonation state (HID: N</w:t>
      </w:r>
      <w:r>
        <w:rPr>
          <w:rFonts w:ascii="Times New Roman" w:hAnsi="Times New Roman"/>
          <w:b w:val="0"/>
          <w:i w:val="0"/>
          <w:sz w:val="24"/>
        </w:rPr>
        <w:t>δ</w:t>
      </w:r>
      <w:r>
        <w:rPr>
          <w:rFonts w:ascii="Times New Roman" w:hAnsi="Times New Roman"/>
          <w:b w:val="0"/>
          <w:i w:val="0"/>
          <w:sz w:val="24"/>
        </w:rPr>
        <w:t>-protonated; HIE: N</w:t>
      </w:r>
      <w:r>
        <w:rPr>
          <w:rFonts w:ascii="Times New Roman" w:hAnsi="Times New Roman"/>
          <w:b w:val="0"/>
          <w:i w:val="0"/>
          <w:sz w:val="24"/>
        </w:rPr>
        <w:t>ε</w:t>
      </w:r>
      <w:r>
        <w:rPr>
          <w:rFonts w:ascii="Times New Roman" w:hAnsi="Times New Roman"/>
          <w:b w:val="0"/>
          <w:i w:val="0"/>
          <w:sz w:val="24"/>
        </w:rPr>
        <w:t>-protonated; HIP: doubly protonated) can substantially affect the electrostatic environment of the active site. Residues with predicted pK</w:t>
      </w:r>
      <w:r>
        <w:rPr>
          <w:rFonts w:ascii="Times New Roman" w:hAnsi="Times New Roman"/>
          <w:b w:val="0"/>
          <w:i/>
          <w:sz w:val="24"/>
        </w:rPr>
        <w:t>a</w:t>
      </w:r>
      <w:r>
        <w:rPr>
          <w:rFonts w:ascii="Times New Roman" w:hAnsi="Times New Roman"/>
          <w:b w:val="0"/>
          <w:i w:val="0"/>
          <w:sz w:val="24"/>
        </w:rPr>
        <w:t xml:space="preserve"> values deviating by more than 1 pH unit from the standard value were assigned non-default protonation states. The zinc-coordinating histidine (His179) was assigned the HIE state, consistent with its role as a metal ligand.</w:t>
      </w:r>
    </w:p>
    <w:p>
      <w:pPr>
        <w:pStyle w:val="Heading2"/>
        <w:spacing w:before="240" w:after="120"/>
      </w:pPr>
      <w:r>
        <w:rPr>
          <w:rFonts w:ascii="Times New Roman" w:hAnsi="Times New Roman"/>
          <w:b/>
          <w:color w:val="000000"/>
          <w:sz w:val="24"/>
        </w:rPr>
        <w:t>2.2. Ligand Preparation and Force Field Parametrization</w:t>
      </w:r>
    </w:p>
    <w:p>
      <w:pPr>
        <w:spacing w:after="120" w:line="440" w:lineRule="exact"/>
        <w:ind w:firstLine="432"/>
        <w:jc w:val="both"/>
      </w:pPr>
      <w:r>
        <w:rPr>
          <w:rFonts w:ascii="Times New Roman" w:hAnsi="Times New Roman"/>
          <w:b w:val="0"/>
          <w:i w:val="0"/>
          <w:sz w:val="24"/>
        </w:rPr>
        <w:t>The three-dimensional structure of carvacrol (2-methyl-5-(propan-2-yl)phenol; systematic name: 5-isopropyl-2-methylphenol; PubChem CID: 10364; molecular formula: C</w:t>
      </w:r>
      <w:r>
        <w:rPr>
          <w:rFonts w:ascii="Times New Roman" w:hAnsi="Times New Roman"/>
          <w:b w:val="0"/>
          <w:i w:val="0"/>
          <w:sz w:val="24"/>
        </w:rPr>
        <w:t>10</w:t>
      </w:r>
      <w:r>
        <w:rPr>
          <w:rFonts w:ascii="Times New Roman" w:hAnsi="Times New Roman"/>
          <w:b w:val="0"/>
          <w:i w:val="0"/>
          <w:sz w:val="24"/>
        </w:rPr>
        <w:t>H</w:t>
      </w:r>
      <w:r>
        <w:rPr>
          <w:rFonts w:ascii="Times New Roman" w:hAnsi="Times New Roman"/>
          <w:b w:val="0"/>
          <w:i w:val="0"/>
          <w:sz w:val="24"/>
        </w:rPr>
        <w:t>14</w:t>
      </w:r>
      <w:r>
        <w:rPr>
          <w:rFonts w:ascii="Times New Roman" w:hAnsi="Times New Roman"/>
          <w:b w:val="0"/>
          <w:i w:val="0"/>
          <w:sz w:val="24"/>
        </w:rPr>
        <w:t xml:space="preserve">O; MW: 150.22 g/mol; SMILES: </w:t>
      </w:r>
      <w:r>
        <w:rPr>
          <w:rFonts w:ascii="Times New Roman" w:hAnsi="Times New Roman"/>
          <w:b/>
          <w:i w:val="0"/>
          <w:sz w:val="24"/>
        </w:rPr>
        <w:t>Cc1ccc(C(C)C)cc1O</w:t>
      </w:r>
      <w:r>
        <w:rPr>
          <w:rFonts w:ascii="Times New Roman" w:hAnsi="Times New Roman"/>
          <w:b w:val="0"/>
          <w:i w:val="0"/>
          <w:sz w:val="24"/>
        </w:rPr>
        <w:t xml:space="preserve">) was obtained from the PubChem Compound Database in SDF format (record type: 3D). Force field parameters for carvacrol were generated using </w:t>
      </w:r>
      <w:r>
        <w:rPr>
          <w:rFonts w:ascii="Times New Roman" w:hAnsi="Times New Roman"/>
          <w:b w:val="0"/>
          <w:i/>
          <w:sz w:val="24"/>
        </w:rPr>
        <w:t>ACPYPE</w:t>
      </w:r>
      <w:r>
        <w:rPr>
          <w:rFonts w:ascii="Times New Roman" w:hAnsi="Times New Roman"/>
          <w:b w:val="0"/>
          <w:i w:val="0"/>
          <w:sz w:val="24"/>
        </w:rPr>
        <w:t xml:space="preserve"> (AnteChamber PYthon Parser interfacE; Sousa da Silva and Vranken, 2012) with the General AMBER Force Field version 2 (GAFF2; Wang et al., 2004) atom-type assignment. Partial atomic charges were derived using the AM1-BCC semiempirical quantum mechanical charge model (Jakalian et al., 2002), which provides a computationally efficient approximation of HF/6-31G* RESP charges. The net formal charge of carvacrol was set to zero (neutral species at pH 7.4, well above its phenolic pK</w:t>
      </w:r>
      <w:r>
        <w:rPr>
          <w:rFonts w:ascii="Times New Roman" w:hAnsi="Times New Roman"/>
          <w:b w:val="0"/>
          <w:i/>
          <w:sz w:val="24"/>
        </w:rPr>
        <w:t>a</w:t>
      </w:r>
      <w:r>
        <w:rPr>
          <w:rFonts w:ascii="Times New Roman" w:hAnsi="Times New Roman"/>
          <w:b w:val="0"/>
          <w:i w:val="0"/>
          <w:sz w:val="24"/>
        </w:rPr>
        <w:t xml:space="preserve"> of ~10.3). The residue name was standardized to </w:t>
      </w:r>
      <w:r>
        <w:rPr>
          <w:rFonts w:ascii="Times New Roman" w:hAnsi="Times New Roman"/>
          <w:b/>
          <w:i w:val="0"/>
          <w:sz w:val="24"/>
        </w:rPr>
        <w:t>LIG</w:t>
      </w:r>
      <w:r>
        <w:rPr>
          <w:rFonts w:ascii="Times New Roman" w:hAnsi="Times New Roman"/>
          <w:b w:val="0"/>
          <w:i w:val="0"/>
          <w:sz w:val="24"/>
        </w:rPr>
        <w:t xml:space="preserve"> for compatibility with the GROMACS topology framework.</w:t>
      </w:r>
    </w:p>
    <w:p>
      <w:pPr>
        <w:pStyle w:val="Heading2"/>
        <w:spacing w:before="240" w:after="120"/>
      </w:pPr>
      <w:r>
        <w:rPr>
          <w:rFonts w:ascii="Times New Roman" w:hAnsi="Times New Roman"/>
          <w:b/>
          <w:color w:val="000000"/>
          <w:sz w:val="24"/>
        </w:rPr>
        <w:t>2.3. Molecular Docking</w:t>
      </w:r>
    </w:p>
    <w:p>
      <w:pPr>
        <w:spacing w:after="120" w:line="440" w:lineRule="exact"/>
        <w:ind w:firstLine="432"/>
        <w:jc w:val="both"/>
      </w:pPr>
      <w:r>
        <w:rPr>
          <w:rFonts w:ascii="Times New Roman" w:hAnsi="Times New Roman"/>
          <w:b w:val="0"/>
          <w:i w:val="0"/>
          <w:sz w:val="24"/>
        </w:rPr>
        <w:t xml:space="preserve">The initial binding pose of carvacrol within the p53 core domain was determined by molecular docking using </w:t>
      </w:r>
      <w:r>
        <w:rPr>
          <w:rFonts w:ascii="Times New Roman" w:hAnsi="Times New Roman"/>
          <w:b w:val="0"/>
          <w:i/>
          <w:sz w:val="24"/>
        </w:rPr>
        <w:t>AutoDock Vina</w:t>
      </w:r>
      <w:r>
        <w:rPr>
          <w:rFonts w:ascii="Times New Roman" w:hAnsi="Times New Roman"/>
          <w:b w:val="0"/>
          <w:i w:val="0"/>
          <w:sz w:val="24"/>
        </w:rPr>
        <w:t xml:space="preserve"> 1.2.6 (Eberhardt et al., 2021). Receptor and ligand input files in PDBQT format were prepared using </w:t>
      </w:r>
      <w:r>
        <w:rPr>
          <w:rFonts w:ascii="Times New Roman" w:hAnsi="Times New Roman"/>
          <w:b w:val="0"/>
          <w:i/>
          <w:sz w:val="24"/>
        </w:rPr>
        <w:t>Meeko</w:t>
      </w:r>
      <w:r>
        <w:rPr>
          <w:rFonts w:ascii="Times New Roman" w:hAnsi="Times New Roman"/>
          <w:b w:val="0"/>
          <w:i w:val="0"/>
          <w:sz w:val="24"/>
        </w:rPr>
        <w:t xml:space="preserve"> 0.7.1 (Forli laboratory, The Scripps Research Institute). To ensure unbiased binding site identification, a blind docking protocol was applied in which the search space encompassed the entire solvent-exposed surface of the p53 core domain. The docking grid box was centered on the center of mass of the protein and extended 10 Å beyond the maximum atomic coordinates in each Cartesian direction. The exhaustiveness parameter was set to 32 to ensure thorough conformational sampling, and ten binding modes were requested. The random seed was fixed (seed = 42) to ensure reproducibility. The top-ranked docking pose (lowest predicted binding free energy) was selected as the starting conformation for molecular dynamics simulations.</w:t>
      </w:r>
    </w:p>
    <w:p>
      <w:pPr>
        <w:pStyle w:val="Heading2"/>
        <w:spacing w:before="240" w:after="120"/>
      </w:pPr>
      <w:r>
        <w:rPr>
          <w:rFonts w:ascii="Times New Roman" w:hAnsi="Times New Roman"/>
          <w:b/>
          <w:color w:val="000000"/>
          <w:sz w:val="24"/>
        </w:rPr>
        <w:t>2.4. Molecular Dynamics System Setup</w:t>
      </w:r>
    </w:p>
    <w:p>
      <w:pPr>
        <w:spacing w:after="120" w:line="440" w:lineRule="exact"/>
        <w:ind w:firstLine="432"/>
        <w:jc w:val="both"/>
      </w:pPr>
      <w:r>
        <w:rPr>
          <w:rFonts w:ascii="Times New Roman" w:hAnsi="Times New Roman"/>
          <w:b w:val="0"/>
          <w:i w:val="0"/>
          <w:sz w:val="24"/>
        </w:rPr>
        <w:t xml:space="preserve">All molecular dynamics simulations were performed using </w:t>
      </w:r>
      <w:r>
        <w:rPr>
          <w:rFonts w:ascii="Times New Roman" w:hAnsi="Times New Roman"/>
          <w:b w:val="0"/>
          <w:i/>
          <w:sz w:val="24"/>
        </w:rPr>
        <w:t>GROMACS</w:t>
      </w:r>
      <w:r>
        <w:rPr>
          <w:rFonts w:ascii="Times New Roman" w:hAnsi="Times New Roman"/>
          <w:b w:val="0"/>
          <w:i w:val="0"/>
          <w:sz w:val="24"/>
        </w:rPr>
        <w:t xml:space="preserve"> 2024.1 (Abraham et al., 2015), compiled with Intel oneAPI 2024 optimizations. The protein was described by the AMBER99SB-ILDN force field (Maier et al., 2015), and the ligand was described by GAFF2 parameters as described in Section 2.2. The protein–ligand complex was assembled by combining the GROMACS coordinate files generated by </w:t>
      </w:r>
      <w:r>
        <w:rPr>
          <w:rFonts w:ascii="Times New Roman" w:hAnsi="Times New Roman"/>
          <w:b/>
          <w:i w:val="0"/>
          <w:sz w:val="24"/>
        </w:rPr>
        <w:t>pdb2gmx</w:t>
      </w:r>
      <w:r>
        <w:rPr>
          <w:rFonts w:ascii="Times New Roman" w:hAnsi="Times New Roman"/>
          <w:b w:val="0"/>
          <w:i w:val="0"/>
          <w:sz w:val="24"/>
        </w:rPr>
        <w:t xml:space="preserve"> and ACPYPE, respectively.</w:t>
      </w:r>
    </w:p>
    <w:p>
      <w:pPr>
        <w:spacing w:after="120" w:line="440" w:lineRule="exact"/>
        <w:ind w:firstLine="432"/>
        <w:jc w:val="both"/>
      </w:pPr>
      <w:r>
        <w:rPr>
          <w:rFonts w:ascii="Times New Roman" w:hAnsi="Times New Roman"/>
          <w:b w:val="0"/>
          <w:i w:val="0"/>
          <w:sz w:val="24"/>
        </w:rPr>
        <w:t>The system was solvated in a rhombic dodecahedral periodic box with a minimum distance of 1.2 nm between any solute atom and the box boundary. The TIP3P water model (Jorgensen et al., 1983) was employed. The overall charge of the system was neutralized by replacing water molecules with Na</w:t>
      </w:r>
      <w:r>
        <w:rPr>
          <w:rFonts w:ascii="Times New Roman" w:hAnsi="Times New Roman"/>
          <w:b w:val="0"/>
          <w:i w:val="0"/>
          <w:sz w:val="24"/>
        </w:rPr>
        <w:t>+</w:t>
      </w:r>
      <w:r>
        <w:rPr>
          <w:rFonts w:ascii="Times New Roman" w:hAnsi="Times New Roman"/>
          <w:b w:val="0"/>
          <w:i w:val="0"/>
          <w:sz w:val="24"/>
        </w:rPr>
        <w:t xml:space="preserve"> or Cl</w:t>
      </w:r>
      <w:r>
        <w:rPr>
          <w:rFonts w:ascii="Times New Roman" w:hAnsi="Times New Roman"/>
          <w:b w:val="0"/>
          <w:i w:val="0"/>
          <w:sz w:val="24"/>
        </w:rPr>
        <w:t>−</w:t>
      </w:r>
      <w:r>
        <w:rPr>
          <w:rFonts w:ascii="Times New Roman" w:hAnsi="Times New Roman"/>
          <w:b w:val="0"/>
          <w:i w:val="0"/>
          <w:sz w:val="24"/>
        </w:rPr>
        <w:t xml:space="preserve"> ions as appropriate, and the physiological ionic strength of 0.15 M NaCl was established using the GROMACS </w:t>
      </w:r>
      <w:r>
        <w:rPr>
          <w:rFonts w:ascii="Times New Roman" w:hAnsi="Times New Roman"/>
          <w:b/>
          <w:i w:val="0"/>
          <w:sz w:val="24"/>
        </w:rPr>
        <w:t>genion</w:t>
      </w:r>
      <w:r>
        <w:rPr>
          <w:rFonts w:ascii="Times New Roman" w:hAnsi="Times New Roman"/>
          <w:b w:val="0"/>
          <w:i w:val="0"/>
          <w:sz w:val="24"/>
        </w:rPr>
        <w:t xml:space="preserve"> utility.</w:t>
      </w:r>
    </w:p>
    <w:p>
      <w:pPr>
        <w:pStyle w:val="Heading2"/>
        <w:spacing w:before="240" w:after="120"/>
      </w:pPr>
      <w:r>
        <w:rPr>
          <w:rFonts w:ascii="Times New Roman" w:hAnsi="Times New Roman"/>
          <w:b/>
          <w:color w:val="000000"/>
          <w:sz w:val="24"/>
        </w:rPr>
        <w:t>2.5. Energy Minimization and Equilibration</w:t>
      </w:r>
    </w:p>
    <w:p>
      <w:pPr>
        <w:spacing w:after="120" w:line="440" w:lineRule="exact"/>
        <w:ind w:firstLine="432"/>
        <w:jc w:val="both"/>
      </w:pPr>
      <w:r>
        <w:rPr>
          <w:rFonts w:ascii="Times New Roman" w:hAnsi="Times New Roman"/>
          <w:b w:val="0"/>
          <w:i w:val="0"/>
          <w:sz w:val="24"/>
        </w:rPr>
        <w:t>Prior to production dynamics, the solvated system was subjected to energy minimization using the steepest descent algorithm until the maximum force on any atom fell below 10 kJ mol</w:t>
      </w:r>
      <w:r>
        <w:rPr>
          <w:rFonts w:ascii="Times New Roman" w:hAnsi="Times New Roman"/>
          <w:b w:val="0"/>
          <w:i w:val="0"/>
          <w:sz w:val="24"/>
        </w:rPr>
        <w:t>−1</w:t>
      </w:r>
      <w:r>
        <w:rPr>
          <w:rFonts w:ascii="Times New Roman" w:hAnsi="Times New Roman"/>
          <w:b w:val="0"/>
          <w:i w:val="0"/>
          <w:sz w:val="24"/>
        </w:rPr>
        <w:t xml:space="preserve"> nm</w:t>
      </w:r>
      <w:r>
        <w:rPr>
          <w:rFonts w:ascii="Times New Roman" w:hAnsi="Times New Roman"/>
          <w:b w:val="0"/>
          <w:i w:val="0"/>
          <w:sz w:val="24"/>
        </w:rPr>
        <w:t>−1</w:t>
      </w:r>
      <w:r>
        <w:rPr>
          <w:rFonts w:ascii="Times New Roman" w:hAnsi="Times New Roman"/>
          <w:b w:val="0"/>
          <w:i w:val="0"/>
          <w:sz w:val="24"/>
        </w:rPr>
        <w:t xml:space="preserve"> (maximum 50,000 steps). Subsequently, the system was equilibrated in two sequential phases. In the first phase, a 100 ps constant-volume (NVT) simulation was performed at 310 K using the V-rescale velocity-rescaling thermostat (Bussi et al., 2007; coupling time constant τ</w:t>
      </w:r>
      <w:r>
        <w:rPr>
          <w:rFonts w:ascii="Times New Roman" w:hAnsi="Times New Roman"/>
          <w:b w:val="0"/>
          <w:i/>
          <w:sz w:val="24"/>
        </w:rPr>
        <w:t>T</w:t>
      </w:r>
      <w:r>
        <w:rPr>
          <w:rFonts w:ascii="Times New Roman" w:hAnsi="Times New Roman"/>
          <w:b w:val="0"/>
          <w:i w:val="0"/>
          <w:sz w:val="24"/>
        </w:rPr>
        <w:t xml:space="preserve"> = 0.1 ps) with harmonic position restraints applied to all heavy atoms of the protein and ligand (force constant k = 1000 kJ mol</w:t>
      </w:r>
      <w:r>
        <w:rPr>
          <w:rFonts w:ascii="Times New Roman" w:hAnsi="Times New Roman"/>
          <w:b w:val="0"/>
          <w:i w:val="0"/>
          <w:sz w:val="24"/>
        </w:rPr>
        <w:t>−1</w:t>
      </w:r>
      <w:r>
        <w:rPr>
          <w:rFonts w:ascii="Times New Roman" w:hAnsi="Times New Roman"/>
          <w:b w:val="0"/>
          <w:i w:val="0"/>
          <w:sz w:val="24"/>
        </w:rPr>
        <w:t xml:space="preserve"> nm</w:t>
      </w:r>
      <w:r>
        <w:rPr>
          <w:rFonts w:ascii="Times New Roman" w:hAnsi="Times New Roman"/>
          <w:b w:val="0"/>
          <w:i w:val="0"/>
          <w:sz w:val="24"/>
        </w:rPr>
        <w:t>−2</w:t>
      </w:r>
      <w:r>
        <w:rPr>
          <w:rFonts w:ascii="Times New Roman" w:hAnsi="Times New Roman"/>
          <w:b w:val="0"/>
          <w:i w:val="0"/>
          <w:sz w:val="24"/>
        </w:rPr>
        <w:t>). Initial velocities were assigned from a Maxwell–Boltzmann distribution at 310 K.</w:t>
      </w:r>
    </w:p>
    <w:p>
      <w:pPr>
        <w:spacing w:after="120" w:line="440" w:lineRule="exact"/>
        <w:ind w:firstLine="432"/>
        <w:jc w:val="both"/>
      </w:pPr>
      <w:r>
        <w:rPr>
          <w:rFonts w:ascii="Times New Roman" w:hAnsi="Times New Roman"/>
          <w:b w:val="0"/>
          <w:i w:val="0"/>
          <w:sz w:val="24"/>
        </w:rPr>
        <w:t>In the second equilibration phase, an isothermal–isobaric (NPT) simulation of 1 ns was conducted at 310 K and 1.0 bar using the same thermostat settings combined with the Parrinello–Rahman barostat (Parrinello and Rahman, 1981; coupling time constant τ</w:t>
      </w:r>
      <w:r>
        <w:rPr>
          <w:rFonts w:ascii="Times New Roman" w:hAnsi="Times New Roman"/>
          <w:b w:val="0"/>
          <w:i/>
          <w:sz w:val="24"/>
        </w:rPr>
        <w:t>P</w:t>
      </w:r>
      <w:r>
        <w:rPr>
          <w:rFonts w:ascii="Times New Roman" w:hAnsi="Times New Roman"/>
          <w:b w:val="0"/>
          <w:i w:val="0"/>
          <w:sz w:val="24"/>
        </w:rPr>
        <w:t xml:space="preserve"> = 2.0 ps; isothermal compressibility = 4.5 × 10</w:t>
      </w:r>
      <w:r>
        <w:rPr>
          <w:rFonts w:ascii="Times New Roman" w:hAnsi="Times New Roman"/>
          <w:b w:val="0"/>
          <w:i w:val="0"/>
          <w:sz w:val="24"/>
        </w:rPr>
        <w:t>−5</w:t>
      </w:r>
      <w:r>
        <w:rPr>
          <w:rFonts w:ascii="Times New Roman" w:hAnsi="Times New Roman"/>
          <w:b w:val="0"/>
          <w:i w:val="0"/>
          <w:sz w:val="24"/>
        </w:rPr>
        <w:t xml:space="preserve"> bar</w:t>
      </w:r>
      <w:r>
        <w:rPr>
          <w:rFonts w:ascii="Times New Roman" w:hAnsi="Times New Roman"/>
          <w:b w:val="0"/>
          <w:i w:val="0"/>
          <w:sz w:val="24"/>
        </w:rPr>
        <w:t>−1</w:t>
      </w:r>
      <w:r>
        <w:rPr>
          <w:rFonts w:ascii="Times New Roman" w:hAnsi="Times New Roman"/>
          <w:b w:val="0"/>
          <w:i w:val="0"/>
          <w:sz w:val="24"/>
        </w:rPr>
        <w:t>). Position restraints were maintained throughout both equilibration phases to allow solvent and ions to relax around the fixed solute. The protein and ligand were coupled to one thermostat group (</w:t>
      </w:r>
      <w:r>
        <w:rPr>
          <w:rFonts w:ascii="Times New Roman" w:hAnsi="Times New Roman"/>
          <w:b/>
          <w:i w:val="0"/>
          <w:sz w:val="24"/>
        </w:rPr>
        <w:t>Protein_LIG</w:t>
      </w:r>
      <w:r>
        <w:rPr>
          <w:rFonts w:ascii="Times New Roman" w:hAnsi="Times New Roman"/>
          <w:b w:val="0"/>
          <w:i w:val="0"/>
          <w:sz w:val="24"/>
        </w:rPr>
        <w:t>), and the solvent was coupled to a separate thermostat group (</w:t>
      </w:r>
      <w:r>
        <w:rPr>
          <w:rFonts w:ascii="Times New Roman" w:hAnsi="Times New Roman"/>
          <w:b/>
          <w:i w:val="0"/>
          <w:sz w:val="24"/>
        </w:rPr>
        <w:t>Water_and_ions</w:t>
      </w:r>
      <w:r>
        <w:rPr>
          <w:rFonts w:ascii="Times New Roman" w:hAnsi="Times New Roman"/>
          <w:b w:val="0"/>
          <w:i w:val="0"/>
          <w:sz w:val="24"/>
        </w:rPr>
        <w:t>), in accordance with recommended best practices for heterogeneous biomolecular systems.</w:t>
      </w:r>
    </w:p>
    <w:p>
      <w:pPr>
        <w:pStyle w:val="Heading2"/>
        <w:spacing w:before="240" w:after="120"/>
      </w:pPr>
      <w:r>
        <w:rPr>
          <w:rFonts w:ascii="Times New Roman" w:hAnsi="Times New Roman"/>
          <w:b/>
          <w:color w:val="000000"/>
          <w:sz w:val="24"/>
        </w:rPr>
        <w:t>2.6. Production Molecular Dynamics Simulation</w:t>
      </w:r>
    </w:p>
    <w:p>
      <w:pPr>
        <w:spacing w:after="120" w:line="440" w:lineRule="exact"/>
        <w:ind w:firstLine="432"/>
        <w:jc w:val="both"/>
      </w:pPr>
      <w:r>
        <w:rPr>
          <w:rFonts w:ascii="Times New Roman" w:hAnsi="Times New Roman"/>
          <w:b w:val="0"/>
          <w:i w:val="0"/>
          <w:sz w:val="24"/>
        </w:rPr>
        <w:t xml:space="preserve">Following equilibration, unrestrained production MD was performed for 1 µs (1,000,000 ps; 500,000,000 integration steps) using a 2 fs timestep. The simulation was carried out on the Turkish National High-Performance Computing infrastructure (TRUBA; https://www.truba.gov.tr) using the GROMACS 2024.1-oneapi-2024 build. The SLURM job scheduler was used to allocate resources on the </w:t>
      </w:r>
      <w:r>
        <w:rPr>
          <w:rFonts w:ascii="Times New Roman" w:hAnsi="Times New Roman"/>
          <w:b/>
          <w:i w:val="0"/>
          <w:sz w:val="24"/>
        </w:rPr>
        <w:t>hamsi</w:t>
      </w:r>
      <w:r>
        <w:rPr>
          <w:rFonts w:ascii="Times New Roman" w:hAnsi="Times New Roman"/>
          <w:b w:val="0"/>
          <w:i w:val="0"/>
          <w:sz w:val="24"/>
        </w:rPr>
        <w:t xml:space="preserve"> partition (AMD EPYC 7742 processors, 128 cores per node). A single MPI rank with 56 OpenMP threads was employed, which was found to be optimal for the system size (~50,000 atoms). The total simulation was divided into consecutive SLURM jobs (72-hour wall-clock limit per job), each automatically resuming from a binary checkpoint file (</w:t>
      </w:r>
      <w:r>
        <w:rPr>
          <w:rFonts w:ascii="Times New Roman" w:hAnsi="Times New Roman"/>
          <w:b/>
          <w:i w:val="0"/>
          <w:sz w:val="24"/>
        </w:rPr>
        <w:t>md.cpt</w:t>
      </w:r>
      <w:r>
        <w:rPr>
          <w:rFonts w:ascii="Times New Roman" w:hAnsi="Times New Roman"/>
          <w:b w:val="0"/>
          <w:i w:val="0"/>
          <w:sz w:val="24"/>
        </w:rPr>
        <w:t>) to ensure seamless continuation.</w:t>
      </w:r>
    </w:p>
    <w:p>
      <w:pPr>
        <w:pStyle w:val="Heading2"/>
        <w:spacing w:before="240" w:after="120"/>
      </w:pPr>
      <w:r>
        <w:rPr>
          <w:rFonts w:ascii="Times New Roman" w:hAnsi="Times New Roman"/>
          <w:b/>
          <w:color w:val="000000"/>
          <w:sz w:val="24"/>
        </w:rPr>
        <w:t>2.7. Simulation Parameters</w:t>
      </w:r>
    </w:p>
    <w:p>
      <w:pPr>
        <w:spacing w:after="120" w:line="440" w:lineRule="exact"/>
        <w:ind w:firstLine="432"/>
        <w:jc w:val="both"/>
      </w:pPr>
      <w:r>
        <w:rPr>
          <w:rFonts w:ascii="Times New Roman" w:hAnsi="Times New Roman"/>
          <w:b w:val="0"/>
          <w:i w:val="0"/>
          <w:sz w:val="24"/>
        </w:rPr>
        <w:t xml:space="preserve">Throughout all MD phases, electrostatic interactions were calculated using the Particle Mesh Ewald (PME) method (Darden et al., 1993; Essmann et al., 1995) with a real-space cutoff of 1.2 nm and a Fourier grid spacing of 0.12 nm. Van der Waals interactions were treated with a force-switch modifier applied between 1.0 and 1.2 nm, consistent with AMBER force field recommendations (Shirts et al., 2020). Long-range dispersion corrections for energy and pressure were applied using the isotropic </w:t>
      </w:r>
      <w:r>
        <w:rPr>
          <w:rFonts w:ascii="Times New Roman" w:hAnsi="Times New Roman"/>
          <w:b/>
          <w:i w:val="0"/>
          <w:sz w:val="24"/>
        </w:rPr>
        <w:t>DispCorr</w:t>
      </w:r>
      <w:r>
        <w:rPr>
          <w:rFonts w:ascii="Times New Roman" w:hAnsi="Times New Roman"/>
          <w:b w:val="0"/>
          <w:i w:val="0"/>
          <w:sz w:val="24"/>
        </w:rPr>
        <w:t xml:space="preserve"> = EnerPres setting. All covalent bonds involving hydrogen atoms were constrained using the LINCS algorithm (Hess et al., 1997; expansion order 4, two iterations), enabling the use of a 2 fs timestep. Neighbor lists were updated every 20 steps using the Verlet cutoff scheme.</w:t>
      </w:r>
    </w:p>
    <w:p>
      <w:pPr>
        <w:pStyle w:val="Heading2"/>
        <w:spacing w:before="240" w:after="120"/>
      </w:pPr>
      <w:r>
        <w:rPr>
          <w:rFonts w:ascii="Times New Roman" w:hAnsi="Times New Roman"/>
          <w:b/>
          <w:color w:val="000000"/>
          <w:sz w:val="24"/>
        </w:rPr>
        <w:t>2.8. Trajectory Analysis</w:t>
      </w:r>
    </w:p>
    <w:p>
      <w:pPr>
        <w:spacing w:after="120" w:line="440" w:lineRule="exact"/>
        <w:ind w:firstLine="432"/>
        <w:jc w:val="both"/>
      </w:pPr>
      <w:r>
        <w:rPr>
          <w:rFonts w:ascii="Times New Roman" w:hAnsi="Times New Roman"/>
          <w:b w:val="0"/>
          <w:i w:val="0"/>
          <w:sz w:val="24"/>
        </w:rPr>
        <w:t>Trajectory analysis will be performed using standard GROMACS analysis utilities and custom Python scripts (MDAnalysis v2.x; Michaud-Agrawal et al., 2011; Gowers et al., 2016). The following structural and dynamic properties will be computed over the production trajectory: (i) backbone root-mean-square deviation (RMSD) relative to the energy-minimized structure, (ii) per-residue root-mean-square fluctuations (RMSF), (iii) protein–ligand interaction energies (van der Waals and electrostatic contributions decomposed), (iv) ligand binding pose stability assessed by heavy-atom RMSD of carvacrol relative to the docked pose, (v) radius of gyration (R</w:t>
      </w:r>
      <w:r>
        <w:rPr>
          <w:rFonts w:ascii="Times New Roman" w:hAnsi="Times New Roman"/>
          <w:b w:val="0"/>
          <w:i/>
          <w:sz w:val="24"/>
        </w:rPr>
        <w:t>g</w:t>
      </w:r>
      <w:r>
        <w:rPr>
          <w:rFonts w:ascii="Times New Roman" w:hAnsi="Times New Roman"/>
          <w:b w:val="0"/>
          <w:i w:val="0"/>
          <w:sz w:val="24"/>
        </w:rPr>
        <w:t>) of the protein, and (vi) solvent-accessible surface area (SASA) of the binding interface. Hydrogen bond formation between carvacrol and p53 residues will be monitored using a donor–acceptor distance cutoff of 3.5 Å and an angle cutoff of 30°. Principal component analysis (PCA) of backbone Cα atoms will be used to characterize dominant conformational motions.</w:t>
      </w:r>
    </w:p>
    <w:p>
      <w:pPr>
        <w:pStyle w:val="Heading2"/>
        <w:spacing w:before="240" w:after="120"/>
      </w:pPr>
      <w:r>
        <w:rPr>
          <w:rFonts w:ascii="Times New Roman" w:hAnsi="Times New Roman"/>
          <w:b/>
          <w:color w:val="000000"/>
          <w:sz w:val="24"/>
        </w:rPr>
        <w:t>2.9. Software and Reproducibility</w:t>
      </w:r>
    </w:p>
    <w:p>
      <w:pPr>
        <w:spacing w:after="120" w:line="440" w:lineRule="exact"/>
        <w:ind w:firstLine="432"/>
        <w:jc w:val="both"/>
      </w:pPr>
      <w:r>
        <w:rPr>
          <w:rFonts w:ascii="Times New Roman" w:hAnsi="Times New Roman"/>
          <w:b w:val="0"/>
          <w:i w:val="0"/>
          <w:sz w:val="24"/>
        </w:rPr>
        <w:t>All preparatory scripts, force field parameter files, MDP input files, and SLURM submission scripts are deposited in a publicly accessible GitHub repository (URL to be provided upon acceptance). The pipeline is fully automated and reproducible: executing the scripts in sequential order (Steps 1–5) yields an identical simulation-ready system from the raw PDB file. Software versions used in this study are summarized in Table 1.</w:t>
      </w:r>
    </w:p>
    <w:p/>
    <w:p>
      <w:pPr>
        <w:jc w:val="center"/>
      </w:pPr>
      <w:r>
        <w:rPr>
          <w:rFonts w:ascii="Times New Roman" w:hAnsi="Times New Roman"/>
          <w:b/>
          <w:sz w:val="22"/>
        </w:rPr>
        <w:t>Table 1. Software packages and versions used in this study.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Software</w:t>
            </w:r>
          </w:p>
        </w:tc>
        <w:tc>
          <w:tcPr>
            <w:tcW w:type="dxa" w:w="2340"/>
          </w:tcPr>
          <w:p>
            <w:r>
              <w:rPr>
                <w:rFonts w:ascii="Times New Roman" w:hAnsi="Times New Roman"/>
                <w:b/>
                <w:sz w:val="20"/>
              </w:rPr>
              <w:t>Version</w:t>
            </w:r>
          </w:p>
        </w:tc>
        <w:tc>
          <w:tcPr>
            <w:tcW w:type="dxa" w:w="2340"/>
          </w:tcPr>
          <w:p>
            <w:r>
              <w:rPr>
                <w:rFonts w:ascii="Times New Roman" w:hAnsi="Times New Roman"/>
                <w:b/>
                <w:sz w:val="20"/>
              </w:rPr>
              <w:t>Function</w:t>
            </w:r>
          </w:p>
        </w:tc>
        <w:tc>
          <w:tcPr>
            <w:tcW w:type="dxa" w:w="2340"/>
          </w:tcPr>
          <w:p>
            <w:r>
              <w:rPr>
                <w:rFonts w:ascii="Times New Roman" w:hAnsi="Times New Roman"/>
                <w:b/>
                <w:sz w:val="20"/>
              </w:rPr>
              <w:t>Reference</w:t>
            </w:r>
          </w:p>
        </w:tc>
      </w:tr>
      <w:tr>
        <w:tc>
          <w:tcPr>
            <w:tcW w:type="dxa" w:w="2340"/>
          </w:tcPr>
          <w:p>
            <w:r>
              <w:rPr>
                <w:rFonts w:ascii="Times New Roman" w:hAnsi="Times New Roman"/>
                <w:sz w:val="20"/>
              </w:rPr>
              <w:t>GROMACS</w:t>
            </w:r>
          </w:p>
        </w:tc>
        <w:tc>
          <w:tcPr>
            <w:tcW w:type="dxa" w:w="2340"/>
          </w:tcPr>
          <w:p>
            <w:r>
              <w:rPr>
                <w:rFonts w:ascii="Times New Roman" w:hAnsi="Times New Roman"/>
                <w:sz w:val="20"/>
              </w:rPr>
              <w:t>2024.1-oneapi-2024</w:t>
            </w:r>
          </w:p>
        </w:tc>
        <w:tc>
          <w:tcPr>
            <w:tcW w:type="dxa" w:w="2340"/>
          </w:tcPr>
          <w:p>
            <w:r>
              <w:rPr>
                <w:rFonts w:ascii="Times New Roman" w:hAnsi="Times New Roman"/>
                <w:sz w:val="20"/>
              </w:rPr>
              <w:t>MD engine</w:t>
            </w:r>
          </w:p>
        </w:tc>
        <w:tc>
          <w:tcPr>
            <w:tcW w:type="dxa" w:w="2340"/>
          </w:tcPr>
          <w:p>
            <w:r>
              <w:rPr>
                <w:rFonts w:ascii="Times New Roman" w:hAnsi="Times New Roman"/>
                <w:sz w:val="20"/>
              </w:rPr>
              <w:t>Abraham et al., 2015</w:t>
            </w:r>
          </w:p>
        </w:tc>
      </w:tr>
      <w:tr>
        <w:tc>
          <w:tcPr>
            <w:tcW w:type="dxa" w:w="2340"/>
          </w:tcPr>
          <w:p>
            <w:r>
              <w:rPr>
                <w:rFonts w:ascii="Times New Roman" w:hAnsi="Times New Roman"/>
                <w:sz w:val="20"/>
              </w:rPr>
              <w:t>AMBER99SB-ILDN FF</w:t>
            </w:r>
          </w:p>
        </w:tc>
        <w:tc>
          <w:tcPr>
            <w:tcW w:type="dxa" w:w="2340"/>
          </w:tcPr>
          <w:p>
            <w:r>
              <w:rPr>
                <w:rFonts w:ascii="Times New Roman" w:hAnsi="Times New Roman"/>
                <w:sz w:val="20"/>
              </w:rPr>
              <w:t>—</w:t>
            </w:r>
          </w:p>
        </w:tc>
        <w:tc>
          <w:tcPr>
            <w:tcW w:type="dxa" w:w="2340"/>
          </w:tcPr>
          <w:p>
            <w:r>
              <w:rPr>
                <w:rFonts w:ascii="Times New Roman" w:hAnsi="Times New Roman"/>
                <w:sz w:val="20"/>
              </w:rPr>
              <w:t>Protein force field</w:t>
            </w:r>
          </w:p>
        </w:tc>
        <w:tc>
          <w:tcPr>
            <w:tcW w:type="dxa" w:w="2340"/>
          </w:tcPr>
          <w:p>
            <w:r>
              <w:rPr>
                <w:rFonts w:ascii="Times New Roman" w:hAnsi="Times New Roman"/>
                <w:sz w:val="20"/>
              </w:rPr>
              <w:t>Maier et al., 2015</w:t>
            </w:r>
          </w:p>
        </w:tc>
      </w:tr>
      <w:tr>
        <w:tc>
          <w:tcPr>
            <w:tcW w:type="dxa" w:w="2340"/>
          </w:tcPr>
          <w:p>
            <w:r>
              <w:rPr>
                <w:rFonts w:ascii="Times New Roman" w:hAnsi="Times New Roman"/>
                <w:sz w:val="20"/>
              </w:rPr>
              <w:t>GAFF2</w:t>
            </w:r>
          </w:p>
        </w:tc>
        <w:tc>
          <w:tcPr>
            <w:tcW w:type="dxa" w:w="2340"/>
          </w:tcPr>
          <w:p>
            <w:r>
              <w:rPr>
                <w:rFonts w:ascii="Times New Roman" w:hAnsi="Times New Roman"/>
                <w:sz w:val="20"/>
              </w:rPr>
              <w:t>—</w:t>
            </w:r>
          </w:p>
        </w:tc>
        <w:tc>
          <w:tcPr>
            <w:tcW w:type="dxa" w:w="2340"/>
          </w:tcPr>
          <w:p>
            <w:r>
              <w:rPr>
                <w:rFonts w:ascii="Times New Roman" w:hAnsi="Times New Roman"/>
                <w:sz w:val="20"/>
              </w:rPr>
              <w:t>Ligand force field</w:t>
            </w:r>
          </w:p>
        </w:tc>
        <w:tc>
          <w:tcPr>
            <w:tcW w:type="dxa" w:w="2340"/>
          </w:tcPr>
          <w:p>
            <w:r>
              <w:rPr>
                <w:rFonts w:ascii="Times New Roman" w:hAnsi="Times New Roman"/>
                <w:sz w:val="20"/>
              </w:rPr>
              <w:t>Wang et al., 2004</w:t>
            </w:r>
          </w:p>
        </w:tc>
      </w:tr>
      <w:tr>
        <w:tc>
          <w:tcPr>
            <w:tcW w:type="dxa" w:w="2340"/>
          </w:tcPr>
          <w:p>
            <w:r>
              <w:rPr>
                <w:rFonts w:ascii="Times New Roman" w:hAnsi="Times New Roman"/>
                <w:sz w:val="20"/>
              </w:rPr>
              <w:t>ACPYPE</w:t>
            </w:r>
          </w:p>
        </w:tc>
        <w:tc>
          <w:tcPr>
            <w:tcW w:type="dxa" w:w="2340"/>
          </w:tcPr>
          <w:p>
            <w:r>
              <w:rPr>
                <w:rFonts w:ascii="Times New Roman" w:hAnsi="Times New Roman"/>
                <w:sz w:val="20"/>
              </w:rPr>
              <w:t>latest (pip)</w:t>
            </w:r>
          </w:p>
        </w:tc>
        <w:tc>
          <w:tcPr>
            <w:tcW w:type="dxa" w:w="2340"/>
          </w:tcPr>
          <w:p>
            <w:r>
              <w:rPr>
                <w:rFonts w:ascii="Times New Roman" w:hAnsi="Times New Roman"/>
                <w:sz w:val="20"/>
              </w:rPr>
              <w:t>Ligand parametrization</w:t>
            </w:r>
          </w:p>
        </w:tc>
        <w:tc>
          <w:tcPr>
            <w:tcW w:type="dxa" w:w="2340"/>
          </w:tcPr>
          <w:p>
            <w:r>
              <w:rPr>
                <w:rFonts w:ascii="Times New Roman" w:hAnsi="Times New Roman"/>
                <w:sz w:val="20"/>
              </w:rPr>
              <w:t>Sousa da Silva &amp; Vranken, 2012</w:t>
            </w:r>
          </w:p>
        </w:tc>
      </w:tr>
      <w:tr>
        <w:tc>
          <w:tcPr>
            <w:tcW w:type="dxa" w:w="2340"/>
          </w:tcPr>
          <w:p>
            <w:r>
              <w:rPr>
                <w:rFonts w:ascii="Times New Roman" w:hAnsi="Times New Roman"/>
                <w:sz w:val="20"/>
              </w:rPr>
              <w:t>AutoDock Vina</w:t>
            </w:r>
          </w:p>
        </w:tc>
        <w:tc>
          <w:tcPr>
            <w:tcW w:type="dxa" w:w="2340"/>
          </w:tcPr>
          <w:p>
            <w:r>
              <w:rPr>
                <w:rFonts w:ascii="Times New Roman" w:hAnsi="Times New Roman"/>
                <w:sz w:val="20"/>
              </w:rPr>
              <w:t>1.2.6</w:t>
            </w:r>
          </w:p>
        </w:tc>
        <w:tc>
          <w:tcPr>
            <w:tcW w:type="dxa" w:w="2340"/>
          </w:tcPr>
          <w:p>
            <w:r>
              <w:rPr>
                <w:rFonts w:ascii="Times New Roman" w:hAnsi="Times New Roman"/>
                <w:sz w:val="20"/>
              </w:rPr>
              <w:t>Molecular docking</w:t>
            </w:r>
          </w:p>
        </w:tc>
        <w:tc>
          <w:tcPr>
            <w:tcW w:type="dxa" w:w="2340"/>
          </w:tcPr>
          <w:p>
            <w:r>
              <w:rPr>
                <w:rFonts w:ascii="Times New Roman" w:hAnsi="Times New Roman"/>
                <w:sz w:val="20"/>
              </w:rPr>
              <w:t>Eberhardt et al., 2021</w:t>
            </w:r>
          </w:p>
        </w:tc>
      </w:tr>
      <w:tr>
        <w:tc>
          <w:tcPr>
            <w:tcW w:type="dxa" w:w="2340"/>
          </w:tcPr>
          <w:p>
            <w:r>
              <w:rPr>
                <w:rFonts w:ascii="Times New Roman" w:hAnsi="Times New Roman"/>
                <w:sz w:val="20"/>
              </w:rPr>
              <w:t>Meeko</w:t>
            </w:r>
          </w:p>
        </w:tc>
        <w:tc>
          <w:tcPr>
            <w:tcW w:type="dxa" w:w="2340"/>
          </w:tcPr>
          <w:p>
            <w:r>
              <w:rPr>
                <w:rFonts w:ascii="Times New Roman" w:hAnsi="Times New Roman"/>
                <w:sz w:val="20"/>
              </w:rPr>
              <w:t>0.7.1</w:t>
            </w:r>
          </w:p>
        </w:tc>
        <w:tc>
          <w:tcPr>
            <w:tcW w:type="dxa" w:w="2340"/>
          </w:tcPr>
          <w:p>
            <w:r>
              <w:rPr>
                <w:rFonts w:ascii="Times New Roman" w:hAnsi="Times New Roman"/>
                <w:sz w:val="20"/>
              </w:rPr>
              <w:t>Docking input preparation</w:t>
            </w:r>
          </w:p>
        </w:tc>
        <w:tc>
          <w:tcPr>
            <w:tcW w:type="dxa" w:w="2340"/>
          </w:tcPr>
          <w:p>
            <w:r>
              <w:rPr>
                <w:rFonts w:ascii="Times New Roman" w:hAnsi="Times New Roman"/>
                <w:sz w:val="20"/>
              </w:rPr>
              <w:t>Forli lab</w:t>
            </w:r>
          </w:p>
        </w:tc>
      </w:tr>
      <w:tr>
        <w:tc>
          <w:tcPr>
            <w:tcW w:type="dxa" w:w="2340"/>
          </w:tcPr>
          <w:p>
            <w:r>
              <w:rPr>
                <w:rFonts w:ascii="Times New Roman" w:hAnsi="Times New Roman"/>
                <w:sz w:val="20"/>
              </w:rPr>
              <w:t>PROPKA3</w:t>
            </w:r>
          </w:p>
        </w:tc>
        <w:tc>
          <w:tcPr>
            <w:tcW w:type="dxa" w:w="2340"/>
          </w:tcPr>
          <w:p>
            <w:r>
              <w:rPr>
                <w:rFonts w:ascii="Times New Roman" w:hAnsi="Times New Roman"/>
                <w:sz w:val="20"/>
              </w:rPr>
              <w:t>3.5.1</w:t>
            </w:r>
          </w:p>
        </w:tc>
        <w:tc>
          <w:tcPr>
            <w:tcW w:type="dxa" w:w="2340"/>
          </w:tcPr>
          <w:p>
            <w:r>
              <w:rPr>
                <w:rFonts w:ascii="Times New Roman" w:hAnsi="Times New Roman"/>
                <w:sz w:val="20"/>
              </w:rPr>
              <w:t>pKa prediction</w:t>
            </w:r>
          </w:p>
        </w:tc>
        <w:tc>
          <w:tcPr>
            <w:tcW w:type="dxa" w:w="2340"/>
          </w:tcPr>
          <w:p>
            <w:r>
              <w:rPr>
                <w:rFonts w:ascii="Times New Roman" w:hAnsi="Times New Roman"/>
                <w:sz w:val="20"/>
              </w:rPr>
              <w:t>Olsson et al., 2011</w:t>
            </w:r>
          </w:p>
        </w:tc>
      </w:tr>
      <w:tr>
        <w:tc>
          <w:tcPr>
            <w:tcW w:type="dxa" w:w="2340"/>
          </w:tcPr>
          <w:p>
            <w:r>
              <w:rPr>
                <w:rFonts w:ascii="Times New Roman" w:hAnsi="Times New Roman"/>
                <w:sz w:val="20"/>
              </w:rPr>
              <w:t>OpenBabel</w:t>
            </w:r>
          </w:p>
        </w:tc>
        <w:tc>
          <w:tcPr>
            <w:tcW w:type="dxa" w:w="2340"/>
          </w:tcPr>
          <w:p>
            <w:r>
              <w:rPr>
                <w:rFonts w:ascii="Times New Roman" w:hAnsi="Times New Roman"/>
                <w:sz w:val="20"/>
              </w:rPr>
              <w:t>3.x</w:t>
            </w:r>
          </w:p>
        </w:tc>
        <w:tc>
          <w:tcPr>
            <w:tcW w:type="dxa" w:w="2340"/>
          </w:tcPr>
          <w:p>
            <w:r>
              <w:rPr>
                <w:rFonts w:ascii="Times New Roman" w:hAnsi="Times New Roman"/>
                <w:sz w:val="20"/>
              </w:rPr>
              <w:t>File format conversion</w:t>
            </w:r>
          </w:p>
        </w:tc>
        <w:tc>
          <w:tcPr>
            <w:tcW w:type="dxa" w:w="2340"/>
          </w:tcPr>
          <w:p>
            <w:r>
              <w:rPr>
                <w:rFonts w:ascii="Times New Roman" w:hAnsi="Times New Roman"/>
                <w:sz w:val="20"/>
              </w:rPr>
              <w:t>O'Boyle et al., 2011</w:t>
            </w:r>
          </w:p>
        </w:tc>
      </w:tr>
      <w:tr>
        <w:tc>
          <w:tcPr>
            <w:tcW w:type="dxa" w:w="2340"/>
          </w:tcPr>
          <w:p>
            <w:r>
              <w:rPr>
                <w:rFonts w:ascii="Times New Roman" w:hAnsi="Times New Roman"/>
                <w:sz w:val="20"/>
              </w:rPr>
              <w:t>RDKit</w:t>
            </w:r>
          </w:p>
        </w:tc>
        <w:tc>
          <w:tcPr>
            <w:tcW w:type="dxa" w:w="2340"/>
          </w:tcPr>
          <w:p>
            <w:r>
              <w:rPr>
                <w:rFonts w:ascii="Times New Roman" w:hAnsi="Times New Roman"/>
                <w:sz w:val="20"/>
              </w:rPr>
              <w:t>2025.x</w:t>
            </w:r>
          </w:p>
        </w:tc>
        <w:tc>
          <w:tcPr>
            <w:tcW w:type="dxa" w:w="2340"/>
          </w:tcPr>
          <w:p>
            <w:r>
              <w:rPr>
                <w:rFonts w:ascii="Times New Roman" w:hAnsi="Times New Roman"/>
                <w:sz w:val="20"/>
              </w:rPr>
              <w:t>Cheminformatics</w:t>
            </w:r>
          </w:p>
        </w:tc>
        <w:tc>
          <w:tcPr>
            <w:tcW w:type="dxa" w:w="2340"/>
          </w:tcPr>
          <w:p>
            <w:r>
              <w:rPr>
                <w:rFonts w:ascii="Times New Roman" w:hAnsi="Times New Roman"/>
                <w:sz w:val="20"/>
              </w:rPr>
              <w:t>Landrum et al., 2023</w:t>
            </w:r>
          </w:p>
        </w:tc>
      </w:tr>
      <w:tr>
        <w:tc>
          <w:tcPr>
            <w:tcW w:type="dxa" w:w="2340"/>
          </w:tcPr>
          <w:p>
            <w:r>
              <w:rPr>
                <w:rFonts w:ascii="Times New Roman" w:hAnsi="Times New Roman"/>
                <w:sz w:val="20"/>
              </w:rPr>
              <w:t>Python</w:t>
            </w:r>
          </w:p>
        </w:tc>
        <w:tc>
          <w:tcPr>
            <w:tcW w:type="dxa" w:w="2340"/>
          </w:tcPr>
          <w:p>
            <w:r>
              <w:rPr>
                <w:rFonts w:ascii="Times New Roman" w:hAnsi="Times New Roman"/>
                <w:sz w:val="20"/>
              </w:rPr>
              <w:t>3.x</w:t>
            </w:r>
          </w:p>
        </w:tc>
        <w:tc>
          <w:tcPr>
            <w:tcW w:type="dxa" w:w="2340"/>
          </w:tcPr>
          <w:p>
            <w:r>
              <w:rPr>
                <w:rFonts w:ascii="Times New Roman" w:hAnsi="Times New Roman"/>
                <w:sz w:val="20"/>
              </w:rPr>
              <w:t>Scripting / analysis</w:t>
            </w:r>
          </w:p>
        </w:tc>
        <w:tc>
          <w:tcPr>
            <w:tcW w:type="dxa" w:w="2340"/>
          </w:tcPr>
          <w:p>
            <w:r>
              <w:rPr>
                <w:rFonts w:ascii="Times New Roman" w:hAnsi="Times New Roman"/>
                <w:sz w:val="20"/>
              </w:rPr>
              <w:t>Van Rossum &amp; Drake, 2009</w:t>
            </w:r>
          </w:p>
        </w:tc>
      </w:tr>
    </w:tbl>
    <w:p/>
    <w:p>
      <w:pPr>
        <w:pStyle w:val="Heading1"/>
        <w:spacing w:before="240" w:after="120"/>
      </w:pPr>
      <w:r>
        <w:rPr>
          <w:rFonts w:ascii="Times New Roman" w:hAnsi="Times New Roman"/>
          <w:b/>
          <w:color w:val="000000"/>
          <w:sz w:val="28"/>
        </w:rPr>
        <w:t>References (Methods Section)</w:t>
      </w:r>
    </w:p>
    <w:p>
      <w:pPr>
        <w:spacing w:after="80"/>
        <w:ind w:left="432" w:hanging="432"/>
        <w:jc w:val="both"/>
      </w:pPr>
      <w:r>
        <w:rPr>
          <w:rFonts w:ascii="Times New Roman" w:hAnsi="Times New Roman"/>
          <w:sz w:val="20"/>
        </w:rPr>
        <w:t>Abraham, M. J., Murtola, T., Schulz, R., Páll, S., Smith, J. C., Hess, B., &amp; Lindahl, E. (2015). GROMACS: High performance molecular simulations through multi-level parallelism from laptops to supercomputers. SoftwareX, 1–2, 19–25. https://doi.org/10.1016/j.softx.2015.06.001</w:t>
      </w:r>
    </w:p>
    <w:p>
      <w:pPr>
        <w:spacing w:after="80"/>
        <w:ind w:left="432" w:hanging="432"/>
        <w:jc w:val="both"/>
      </w:pPr>
      <w:r>
        <w:rPr>
          <w:rFonts w:ascii="Times New Roman" w:hAnsi="Times New Roman"/>
          <w:sz w:val="20"/>
        </w:rPr>
        <w:t>Bussi, G., Donadio, D., &amp; Parrinello, M. (2007). Canonical sampling through velocity rescaling. The Journal of Chemical Physics, 126(1), 014101. https://doi.org/10.1063/1.2408420</w:t>
      </w:r>
    </w:p>
    <w:p>
      <w:pPr>
        <w:spacing w:after="80"/>
        <w:ind w:left="432" w:hanging="432"/>
        <w:jc w:val="both"/>
      </w:pPr>
      <w:r>
        <w:rPr>
          <w:rFonts w:ascii="Times New Roman" w:hAnsi="Times New Roman"/>
          <w:sz w:val="20"/>
        </w:rPr>
        <w:t>Cho, Y., Gorina, S., Jeffrey, P. D., &amp; Pavletich, N. P. (1994). Crystal structure of a p53 tumor suppressor-DNA complex: Understanding tumorigenic mutations. Science, 265(5170), 346–355. https://doi.org/10.1126/science.8023157</w:t>
      </w:r>
    </w:p>
    <w:p>
      <w:pPr>
        <w:spacing w:after="80"/>
        <w:ind w:left="432" w:hanging="432"/>
        <w:jc w:val="both"/>
      </w:pPr>
      <w:r>
        <w:rPr>
          <w:rFonts w:ascii="Times New Roman" w:hAnsi="Times New Roman"/>
          <w:sz w:val="20"/>
        </w:rPr>
        <w:t>Darden, T., York, D., &amp; Pedersen, L. (1993). Particle mesh Ewald: An N·log(N) method for Ewald sums in large systems. The Journal of Chemical Physics, 98(12), 10089–10092. https://doi.org/10.1063/1.464397</w:t>
      </w:r>
    </w:p>
    <w:p>
      <w:pPr>
        <w:spacing w:after="80"/>
        <w:ind w:left="432" w:hanging="432"/>
        <w:jc w:val="both"/>
      </w:pPr>
      <w:r>
        <w:rPr>
          <w:rFonts w:ascii="Times New Roman" w:hAnsi="Times New Roman"/>
          <w:sz w:val="20"/>
        </w:rPr>
        <w:t>Eberhardt, J., Santos-Martins, D., Tillack, A. F., &amp; Forli, S. (2021). AutoDock Vina 1.2.0: New docking methods, expanded force field, and Python bindings. Journal of Chemical Information and Modeling, 61(8), 3891–3898. https://doi.org/10.1021/acs.jcim.1c00203</w:t>
      </w:r>
    </w:p>
    <w:p>
      <w:pPr>
        <w:spacing w:after="80"/>
        <w:ind w:left="432" w:hanging="432"/>
        <w:jc w:val="both"/>
      </w:pPr>
      <w:r>
        <w:rPr>
          <w:rFonts w:ascii="Times New Roman" w:hAnsi="Times New Roman"/>
          <w:sz w:val="20"/>
        </w:rPr>
        <w:t>Essmann, U., Perera, L., Berkowitz, M. L., Darden, T., Lee, H., &amp; Pedersen, L. G. (1995). A smooth particle mesh Ewald method. The Journal of Chemical Physics, 103(19), 8577–8593. https://doi.org/10.1063/1.470117</w:t>
      </w:r>
    </w:p>
    <w:p>
      <w:pPr>
        <w:spacing w:after="80"/>
        <w:ind w:left="432" w:hanging="432"/>
        <w:jc w:val="both"/>
      </w:pPr>
      <w:r>
        <w:rPr>
          <w:rFonts w:ascii="Times New Roman" w:hAnsi="Times New Roman"/>
          <w:sz w:val="20"/>
        </w:rPr>
        <w:t>Gowers, R. J., et al. (2016). MDAnalysis: A Python package for the rapid analysis of molecular dynamics simulations. Proceedings of the 15th Python in Science Conference (SciPy 2016), 98–105. https://doi.org/10.25080/Majora-629e541a-00e</w:t>
      </w:r>
    </w:p>
    <w:p>
      <w:pPr>
        <w:spacing w:after="80"/>
        <w:ind w:left="432" w:hanging="432"/>
        <w:jc w:val="both"/>
      </w:pPr>
      <w:r>
        <w:rPr>
          <w:rFonts w:ascii="Times New Roman" w:hAnsi="Times New Roman"/>
          <w:sz w:val="20"/>
        </w:rPr>
        <w:t>Hess, B., Bekker, H., Berendsen, H. J. C., &amp; Fraaije, J. G. E. M. (1997). LINCS: A linear constraint solver for molecular simulations. Journal of Computational Chemistry, 18(12), 1463–1472. https://doi.org/10.1002/(SICI)1096-987X(199709)18:12&lt;1463::AID-JCC4&gt;3.0.CO;2-H</w:t>
      </w:r>
    </w:p>
    <w:p>
      <w:pPr>
        <w:spacing w:after="80"/>
        <w:ind w:left="432" w:hanging="432"/>
        <w:jc w:val="both"/>
      </w:pPr>
      <w:r>
        <w:rPr>
          <w:rFonts w:ascii="Times New Roman" w:hAnsi="Times New Roman"/>
          <w:sz w:val="20"/>
        </w:rPr>
        <w:t>Jakalian, A., Jack, D. B., &amp; Bayly, C. I. (2002). Fast, efficient generation of high-quality atomic charges. AM1-BCC model: II. Parameterization and validation. Journal of Computational Chemistry, 23(16), 1623–1641. https://doi.org/10.1002/jcc.10128</w:t>
      </w:r>
    </w:p>
    <w:p>
      <w:pPr>
        <w:spacing w:after="80"/>
        <w:ind w:left="432" w:hanging="432"/>
        <w:jc w:val="both"/>
      </w:pPr>
      <w:r>
        <w:rPr>
          <w:rFonts w:ascii="Times New Roman" w:hAnsi="Times New Roman"/>
          <w:sz w:val="20"/>
        </w:rPr>
        <w:t>Jorgensen, W. L., Chandrasekhar, J., Madura, J. D., Impey, R. W., &amp; Klein, M. L. (1983). Comparison of simple potential functions for simulating liquid water. The Journal of Chemical Physics, 79(2), 926–935. https://doi.org/10.1063/1.445869</w:t>
      </w:r>
    </w:p>
    <w:p>
      <w:pPr>
        <w:spacing w:after="80"/>
        <w:ind w:left="432" w:hanging="432"/>
        <w:jc w:val="both"/>
      </w:pPr>
      <w:r>
        <w:rPr>
          <w:rFonts w:ascii="Times New Roman" w:hAnsi="Times New Roman"/>
          <w:sz w:val="20"/>
        </w:rPr>
        <w:t>Maier, J. A., Martinez, C., Kasavajhala, K., Wickstrom, L., Hauser, K. E., &amp; Simmerling, C. (2015). ff14SB: Improving the accuracy of protein side chain and backbone parameters from ff99SB. Journal of Chemical Theory and Computation, 11(8), 3696–3713. https://doi.org/10.1021/acs.jctc.5b00255</w:t>
      </w:r>
    </w:p>
    <w:p>
      <w:pPr>
        <w:spacing w:after="80"/>
        <w:ind w:left="432" w:hanging="432"/>
        <w:jc w:val="both"/>
      </w:pPr>
      <w:r>
        <w:rPr>
          <w:rFonts w:ascii="Times New Roman" w:hAnsi="Times New Roman"/>
          <w:sz w:val="20"/>
        </w:rPr>
        <w:t>Michaud-Agrawal, N., Denning, E. J., Woolf, T. B., &amp; Beckstein, O. (2011). MDAnalysis: A toolkit for the analysis of molecular dynamics simulations. Journal of Computational Chemistry, 32(10), 2319–2327. https://doi.org/10.1002/jcc.21787</w:t>
      </w:r>
    </w:p>
    <w:p>
      <w:pPr>
        <w:spacing w:after="80"/>
        <w:ind w:left="432" w:hanging="432"/>
        <w:jc w:val="both"/>
      </w:pPr>
      <w:r>
        <w:rPr>
          <w:rFonts w:ascii="Times New Roman" w:hAnsi="Times New Roman"/>
          <w:sz w:val="20"/>
        </w:rPr>
        <w:t>O'Boyle, N. M., Banck, M., James, C. A., Morley, C., Vandermeersch, T., &amp; Hutchison, G. R. (2011). Open Babel: An open chemical toolbox. Journal of Cheminformatics, 3, 33. https://doi.org/10.1186/1758-2946-3-33</w:t>
      </w:r>
    </w:p>
    <w:p>
      <w:pPr>
        <w:spacing w:after="80"/>
        <w:ind w:left="432" w:hanging="432"/>
        <w:jc w:val="both"/>
      </w:pPr>
      <w:r>
        <w:rPr>
          <w:rFonts w:ascii="Times New Roman" w:hAnsi="Times New Roman"/>
          <w:sz w:val="20"/>
        </w:rPr>
        <w:t>Olsson, M. H. M., Søndergaard, C. R., Rostkowski, M., &amp; Jensen, J. H. (2011). PROPKA3: Consistent treatment of internal and surface residues in empirical pKa predictions. Journal of Chemical Theory and Computation, 7(2), 525–537. https://doi.org/10.1021/ct100578z</w:t>
      </w:r>
    </w:p>
    <w:p>
      <w:pPr>
        <w:spacing w:after="80"/>
        <w:ind w:left="432" w:hanging="432"/>
        <w:jc w:val="both"/>
      </w:pPr>
      <w:r>
        <w:rPr>
          <w:rFonts w:ascii="Times New Roman" w:hAnsi="Times New Roman"/>
          <w:sz w:val="20"/>
        </w:rPr>
        <w:t>Parrinello, M., &amp; Rahman, A. (1981). Polymorphic transitions in single crystals: A new molecular dynamics method. Journal of Applied Physics, 52(12), 7182–7190. https://doi.org/10.1063/1.328693</w:t>
      </w:r>
    </w:p>
    <w:p>
      <w:pPr>
        <w:spacing w:after="80"/>
        <w:ind w:left="432" w:hanging="432"/>
        <w:jc w:val="both"/>
      </w:pPr>
      <w:r>
        <w:rPr>
          <w:rFonts w:ascii="Times New Roman" w:hAnsi="Times New Roman"/>
          <w:sz w:val="20"/>
        </w:rPr>
        <w:t>Shirts, M. R., Klein, C., Swails, J. M., Yin, J., Gilson, M. K., Mobley, D. L., Case, D. A., &amp; Zhong, E. D. (2017). Lessons learned from comparing molecular dynamics engines on the SAMPL5 dataset. Journal of Computer-Aided Molecular Design, 31(1), 147–161. https://doi.org/10.1007/s10822-016-9977-1</w:t>
      </w:r>
    </w:p>
    <w:p>
      <w:pPr>
        <w:spacing w:after="80"/>
        <w:ind w:left="432" w:hanging="432"/>
        <w:jc w:val="both"/>
      </w:pPr>
      <w:r>
        <w:rPr>
          <w:rFonts w:ascii="Times New Roman" w:hAnsi="Times New Roman"/>
          <w:sz w:val="20"/>
        </w:rPr>
        <w:t>Sousa da Silva, A. W., &amp; Vranken, W. F. (2012). ACPYPE - AnteChamber PYthon Parser interfacE. BMC Research Notes, 5, 367. https://doi.org/10.1186/1756-0500-5-367</w:t>
      </w:r>
    </w:p>
    <w:p>
      <w:pPr>
        <w:spacing w:after="80"/>
        <w:ind w:left="432" w:hanging="432"/>
        <w:jc w:val="both"/>
      </w:pPr>
      <w:r>
        <w:rPr>
          <w:rFonts w:ascii="Times New Roman" w:hAnsi="Times New Roman"/>
          <w:sz w:val="20"/>
        </w:rPr>
        <w:t>Wang, J., Wolf, R. M., Caldwell, J. W., Kollman, P. A., &amp; Case, D. A. (2004). Development and testing of a general amber force field. Journal of Computational Chemistry, 25(9), 1157–1174. https://doi.org/10.1002/jcc.20035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