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rFonts w:eastAsia="Times New Roman" w:cs="Arial" w:ascii="Arial" w:hAnsi="Arial"/>
          <w:b/>
          <w:color w:val="000000"/>
          <w:sz w:val="20"/>
          <w:szCs w:val="20"/>
          <w:lang w:eastAsia="tr-TR"/>
        </w:rPr>
        <w:t>KİŞİSEL VERİLERİN KORUNMASI ÇALIŞAN AYDINLATMA METNİ</w:t>
      </w:r>
    </w:p>
    <w:p>
      <w:pPr>
        <w:pStyle w:val="Normal"/>
        <w:spacing w:before="240" w:after="240"/>
        <w:jc w:val="both"/>
        <w:rPr/>
      </w:pPr>
      <w:r>
        <w:rPr>
          <w:rFonts w:eastAsia="Times New Roman" w:cs="Arial" w:ascii="Arial" w:hAnsi="Arial"/>
          <w:color w:val="000000"/>
          <w:sz w:val="20"/>
          <w:szCs w:val="20"/>
          <w:lang w:eastAsia="tr-TR"/>
        </w:rPr>
        <w:t xml:space="preserve">İşyeri, faaliyetleri doğrultusunda çalışanlarının kişisel bilgilerini tamamen veya kısmen otomatik olan ya da herhangi bir veri kayıt sisteminin parçası olmak kaydıyla otomatik olmayan yollarla ölçülü ve sınırlı olmak şartıyla işlemektedir. Bu bilinçle İşyeri bünyesinde </w:t>
      </w:r>
      <w:r>
        <w:rPr>
          <w:rFonts w:eastAsia="Times New Roman" w:cs="Arial" w:ascii="Arial" w:hAnsi="Arial"/>
          <w:b/>
          <w:sz w:val="20"/>
          <w:szCs w:val="20"/>
          <w:lang w:eastAsia="tr-TR"/>
        </w:rPr>
        <w:t>sigortalı olarak çalışan tüm çalışanlara</w:t>
      </w:r>
      <w:r>
        <w:rPr>
          <w:rFonts w:eastAsia="Times New Roman" w:cs="Arial" w:ascii="Arial" w:hAnsi="Arial"/>
          <w:sz w:val="20"/>
          <w:szCs w:val="20"/>
          <w:lang w:eastAsia="tr-TR"/>
        </w:rPr>
        <w:t xml:space="preserve"> </w:t>
      </w:r>
      <w:r>
        <w:rPr>
          <w:rFonts w:eastAsia="Times New Roman" w:cs="Arial" w:ascii="Arial" w:hAnsi="Arial"/>
          <w:color w:val="000000"/>
          <w:sz w:val="20"/>
          <w:szCs w:val="20"/>
          <w:lang w:eastAsia="tr-TR"/>
        </w:rPr>
        <w:t>ait özel ve genel nitelikli kişisel verilerin 6698 sayılı Kişisel Verilerin Korunması Kanununa, Kanun’a bağlı yürürlüğe koyulan ve koyulacak ikincil düzenlemelere (yönetmelik, tebliğ, genelge) ve bağlayıcı nitelikteki Kişisel Verileri Koruma Kurul’u tarafından alınmış ve alınacak kararlara uygun olarak işlenmesine, muhafaza edilmesine ve silinmesine büyük önem göstermektedir. Bu sorumluluğun bilinci ile Kanun’da tanımlı şekli ile “Veri Sorumlusu” sıfatıyla, kişisel veriler aşağıda izah edildiği surette ve mevzuat tarafından emredilen sınırlar çerçevesinde işlemektedir.</w:t>
      </w:r>
    </w:p>
    <w:p>
      <w:pPr>
        <w:pStyle w:val="Normal"/>
        <w:keepNext w:val="true"/>
        <w:keepLines/>
        <w:numPr>
          <w:ilvl w:val="0"/>
          <w:numId w:val="6"/>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 xml:space="preserve">Veri Sorumlusuna İlişkin Bilgiler </w:t>
      </w:r>
    </w:p>
    <w:p>
      <w:pPr>
        <w:pStyle w:val="Normal"/>
        <w:ind w:start="45" w:end="0"/>
        <w:rPr/>
      </w:pPr>
      <w:r>
        <w:rPr>
          <w:rFonts w:eastAsia="Times New Roman" w:cs="Arial" w:ascii="Arial" w:hAnsi="Arial"/>
          <w:color w:val="000000"/>
          <w:sz w:val="20"/>
          <w:szCs w:val="20"/>
          <w:lang w:eastAsia="tr-TR"/>
        </w:rPr>
        <w:t xml:space="preserve">Kanun uyarınca </w:t>
      </w:r>
      <w:r>
        <w:rPr>
          <w:rFonts w:cs="Arial" w:ascii="Arial" w:hAnsi="Arial"/>
          <w:b/>
          <w:bCs/>
          <w:sz w:val="20"/>
          <w:szCs w:val="20"/>
        </w:rPr>
        <w:t>{{kurum.vergi_no}}</w:t>
      </w:r>
      <w:r>
        <w:rPr>
          <w:rFonts w:cs="Arial" w:ascii="Arial" w:hAnsi="Arial"/>
          <w:sz w:val="20"/>
          <w:szCs w:val="20"/>
        </w:rPr>
        <w:t xml:space="preserve"> </w:t>
      </w:r>
      <w:r>
        <w:rPr>
          <w:rFonts w:eastAsia="Times New Roman" w:cs="Arial" w:ascii="Arial" w:hAnsi="Arial"/>
          <w:color w:val="000000"/>
          <w:sz w:val="20"/>
          <w:szCs w:val="20"/>
          <w:lang w:eastAsia="tr-TR"/>
        </w:rPr>
        <w:t xml:space="preserve">Vergi numarasıyla kayıtlı, </w:t>
      </w:r>
      <w:r>
        <w:rPr>
          <w:rFonts w:cs="Arial" w:ascii="Arial" w:hAnsi="Arial"/>
          <w:b/>
          <w:bCs/>
          <w:sz w:val="20"/>
          <w:szCs w:val="20"/>
        </w:rPr>
        <w:t>{{kurum.adresi}}</w:t>
      </w:r>
      <w:r>
        <w:rPr>
          <w:rFonts w:cs="Arial" w:ascii="Arial" w:hAnsi="Arial"/>
          <w:bCs/>
          <w:sz w:val="20"/>
          <w:szCs w:val="20"/>
        </w:rPr>
        <w:t xml:space="preserve"> </w:t>
      </w:r>
      <w:r>
        <w:rPr>
          <w:rFonts w:eastAsia="Times New Roman" w:cs="Arial" w:ascii="Arial" w:hAnsi="Arial"/>
          <w:color w:val="000000"/>
          <w:sz w:val="20"/>
          <w:szCs w:val="20"/>
          <w:lang w:eastAsia="tr-TR"/>
        </w:rPr>
        <w:t xml:space="preserve">adresinde mukim </w:t>
      </w:r>
      <w:r>
        <w:rPr>
          <w:rFonts w:cs="Arial" w:ascii="Arial" w:hAnsi="Arial"/>
          <w:b/>
          <w:bCs/>
          <w:sz w:val="20"/>
          <w:szCs w:val="20"/>
        </w:rPr>
        <w:t>{{kurum.unvan}}</w:t>
      </w:r>
      <w:r>
        <w:rPr>
          <w:rFonts w:eastAsia="Times New Roman" w:cs="Arial" w:ascii="Arial" w:hAnsi="Arial"/>
          <w:bCs/>
          <w:color w:val="000000"/>
          <w:sz w:val="20"/>
          <w:szCs w:val="20"/>
          <w:lang w:eastAsia="tr-TR"/>
        </w:rPr>
        <w:t xml:space="preserve"> </w:t>
      </w:r>
      <w:r>
        <w:rPr>
          <w:rFonts w:eastAsia="Times New Roman" w:cs="Arial" w:ascii="Arial" w:hAnsi="Arial"/>
          <w:color w:val="000000"/>
          <w:sz w:val="20"/>
          <w:szCs w:val="20"/>
          <w:lang w:eastAsia="tr-TR"/>
        </w:rPr>
        <w:t>Veri Sorumlusudur.</w:t>
      </w:r>
    </w:p>
    <w:p>
      <w:pPr>
        <w:pStyle w:val="Normal"/>
        <w:spacing w:before="240" w:after="240"/>
        <w:ind w:start="360" w:end="0"/>
        <w:contextualSpacing/>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r>
    </w:p>
    <w:p>
      <w:pPr>
        <w:pStyle w:val="Normal"/>
        <w:keepNext w:val="true"/>
        <w:keepLines/>
        <w:numPr>
          <w:ilvl w:val="0"/>
          <w:numId w:val="3"/>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Kişisel Verilerin İşlenme Amaçları</w:t>
      </w:r>
    </w:p>
    <w:p>
      <w:pPr>
        <w:pStyle w:val="Normal"/>
        <w:spacing w:before="240" w:after="240"/>
        <w:jc w:val="both"/>
        <w:rPr/>
      </w:pPr>
      <w:r>
        <w:rPr>
          <w:rFonts w:eastAsia="Times New Roman" w:cs="Arial" w:ascii="Arial" w:hAnsi="Arial"/>
          <w:color w:val="000000"/>
          <w:sz w:val="20"/>
          <w:szCs w:val="20"/>
          <w:lang w:eastAsia="tr-TR"/>
        </w:rPr>
        <w:t xml:space="preserve">İşyeri bünyesinde </w:t>
      </w:r>
      <w:r>
        <w:rPr>
          <w:rFonts w:eastAsia="Times New Roman" w:cs="Arial" w:ascii="Arial" w:hAnsi="Arial"/>
          <w:bCs/>
          <w:sz w:val="20"/>
          <w:szCs w:val="20"/>
          <w:lang w:eastAsia="tr-TR"/>
        </w:rPr>
        <w:t>sigortalı olarak çalışan</w:t>
      </w:r>
      <w:r>
        <w:rPr>
          <w:rFonts w:eastAsia="Times New Roman" w:cs="Arial" w:ascii="Arial" w:hAnsi="Arial"/>
          <w:sz w:val="20"/>
          <w:szCs w:val="20"/>
          <w:lang w:eastAsia="tr-TR"/>
        </w:rPr>
        <w:t xml:space="preserve"> </w:t>
      </w:r>
      <w:r>
        <w:rPr>
          <w:rFonts w:eastAsia="Times New Roman" w:cs="Arial" w:ascii="Arial" w:hAnsi="Arial"/>
          <w:color w:val="000000"/>
          <w:sz w:val="20"/>
          <w:szCs w:val="20"/>
          <w:lang w:eastAsia="tr-TR"/>
        </w:rPr>
        <w:t>tüm çalışanlara ait özel ve genel nitelikli kişisel veriler ilgi kişinin temel hak ve özgürlüklerine zarar vermemek kaydıyla Veri Sorumlusu İşyerinin meşru menfaati gereğince işlenmektedir. Bu kapsamda kanuni yükümlülüklerini gerek doğrudan yerine getirirken gerekse bu yükümlülükler ve verilen hizmetlerin dolaylı olarak gerektirdiği durumlarda Kişisel verilerin işlenmesine ihtiyaç duymaktadır.</w:t>
      </w:r>
    </w:p>
    <w:p>
      <w:pPr>
        <w:pStyle w:val="Normal"/>
        <w:spacing w:before="240" w:after="240"/>
        <w:jc w:val="both"/>
        <w:rPr/>
      </w:pPr>
      <w:r>
        <w:rPr>
          <w:rFonts w:eastAsia="Arial" w:cs="Arial" w:ascii="Arial" w:hAnsi="Arial"/>
          <w:color w:val="000000"/>
          <w:sz w:val="20"/>
          <w:szCs w:val="20"/>
          <w:lang w:eastAsia="tr-TR"/>
        </w:rPr>
        <w:t xml:space="preserve"> </w:t>
      </w:r>
      <w:r>
        <w:rPr>
          <w:rFonts w:eastAsia="Times New Roman" w:cs="Arial" w:ascii="Arial" w:hAnsi="Arial"/>
          <w:color w:val="000000"/>
          <w:sz w:val="20"/>
          <w:szCs w:val="20"/>
          <w:lang w:eastAsia="tr-TR"/>
        </w:rPr>
        <w:t>Bu anlamda kişisel verileriniz İşyeri tarafından</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4857 sayılı İş Kanunu’nda ve bu Kanun’a bağlı çıkarılan ikinci düzenlemelerde belirtilen yükümlülüklerimizi yerine getirmek,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5510 sayılı Sosyal Sigortalar ve Genel Sağlık Sigortası Kanunu’nda ve bu Kanun’a bağlı çıkarılan ikinci düzenlemelerde belirtilen yükümlülüklerimizi yerine getirmek,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6331 sayılı İş Sağlığı ve Güvenliği Kanunu’nda ve bu Kanun’a bağlı çıkarılan ikinci düzenlemelerde belirtilen yükümlülüklerimizi yerine getirmek,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5651 sayılı İnternet Ortamında Yapılan Yayınların Düzenlenmesi Ve Bu Yayınlar Yoluyla İşlenen Suçlarla Mücadele Edilmesi Hakkında Kanun’a bağlı çıkarılan ikinci düzenlemelerde belirtilen yükümlülüklerimizi yerine getirmek,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6698 sayılı Kişisel Verilerin Korunması Kanunu’nda ve bu Kanun’a bağlı çıkarılan ikinci düzenlemelerde belirtilen yükümlülüklerimizi yerine getirmek,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 xml:space="preserve">Gerektiğinde ilgili kamu kurum ver kuruluşlarının, adli veya idari yargı mercilerinin ve kolluk güçlerinin ihtiyacı olan bilgileri sağlamak, </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Personel iş ilişkisinin ve dahili iş operasyonlarının idaresi, bordro ve ücret tazminat yönetimi, yan haklar ve sigorta işlerinin yönetimi ile genel yönetimi sağlamak,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İnsan kaynakları politikalarının geliştirilmesini ve sürdürülmesini sağlamak,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Emeklilik, hayat ve özel sağlık sigortası yardımlarında bulunmak ve bunlara ilişkin süreçleri yönetmek,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Çalışanların kişisel gelişimini ve yeteneklerini geliştirici eğitim, seminer vb. faaliyetlerin yürütülmesini sürdürmek,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Performans ve üretkenlik ölçümlerinin analizlerini yapmak, performans raporlarını hazırlamak ve buna bağlı olarak performans artışını sağlamak,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İşyeri kariyer ve başarı planlarının oluşumunu sağlamak ve bu süreçleri yürütmek,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İşyerinde çalışan memnuniyetini ve ihtiyaçlarını karşılamak,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İşyerindeki güvenlik önlemlerinin alınmasını sağlamak ve işyerindeki çalışma ortamının bozulmasını önlemek,</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İş koşulları için gerekli olan eğitim, sağlık, nitelik ve becerilerin tespiti ve   değerlendirilmesi,</w:t>
      </w:r>
    </w:p>
    <w:p>
      <w:pPr>
        <w:pStyle w:val="Normal"/>
        <w:numPr>
          <w:ilvl w:val="0"/>
          <w:numId w:val="2"/>
        </w:numPr>
        <w:spacing w:before="240" w:after="240"/>
        <w:ind w:hanging="360" w:start="720" w:end="0"/>
        <w:contextualSpacing/>
        <w:jc w:val="both"/>
        <w:rPr>
          <w:rFonts w:ascii="Arial" w:hAnsi="Arial" w:eastAsia="Calibri" w:cs="Arial"/>
          <w:color w:val="000000"/>
          <w:sz w:val="20"/>
          <w:szCs w:val="20"/>
          <w:lang w:eastAsia="tr-TR"/>
        </w:rPr>
      </w:pPr>
      <w:r>
        <w:rPr>
          <w:rFonts w:eastAsia="Calibri" w:cs="Arial" w:ascii="Arial" w:hAnsi="Arial"/>
          <w:color w:val="000000"/>
          <w:sz w:val="20"/>
          <w:szCs w:val="20"/>
          <w:lang w:eastAsia="tr-TR"/>
        </w:rPr>
        <w:t xml:space="preserve">Bu kanunlar uyarınca yürürlükte olan diğer ikincil düzenlemeler </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Amaçlarıyla Kanun’da belirtilen sınırlar çerçevesinde hukuka, dürüstlük kurallarına uygun ve işbu amaçlarla her daim bağlantılı, sınırlı ve ölçülü şekilde işlenmektedir.</w:t>
      </w:r>
    </w:p>
    <w:p>
      <w:pPr>
        <w:pStyle w:val="Normal"/>
        <w:keepNext w:val="true"/>
        <w:keepLines/>
        <w:numPr>
          <w:ilvl w:val="0"/>
          <w:numId w:val="3"/>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Kişisel Verilerin Aktarılması</w:t>
      </w:r>
    </w:p>
    <w:p>
      <w:pPr>
        <w:pStyle w:val="Normal"/>
        <w:spacing w:before="240" w:after="240"/>
        <w:jc w:val="both"/>
        <w:rPr/>
      </w:pPr>
      <w:bookmarkStart w:id="0" w:name="_Hlk530091345"/>
      <w:bookmarkEnd w:id="0"/>
      <w:r>
        <w:rPr>
          <w:rFonts w:eastAsia="Times New Roman" w:cs="Arial" w:ascii="Arial" w:hAnsi="Arial"/>
          <w:color w:val="000000"/>
          <w:sz w:val="20"/>
          <w:szCs w:val="20"/>
          <w:lang w:eastAsia="tr-TR"/>
        </w:rPr>
        <w:t xml:space="preserve">Kişisel verileriniz, yukarıda sayılan amaçlar dahilinde, Kanun’un 8. ve 9. maddesinde belirtilen şartlara uygun olarak, ilgili mevzuatta izin verilen gerçek ve tüzel kişilere, başta Sosyal Güvelik Kurumu olmak üzere gerektiğinde yetkili diğer kamu kurum ve kuruluşlarına, adli ve idari yargı mercilerine, kolluk kuvvetlerine, sır saklama yükümlülüğü altında bulunan işyeri sağlığı ve güvenliği uzmanları ile işyeri hekimlerine, ücret ve her türlü hak edişlerinizin ödenebilmesi amacıyla ilgili finans kuruluşlarına, bordrolama ve ilgili sistemlerin kurulması gibi insan kaynakları yönetimi ve bilişimi sistemlerinin yürütülmesi amacıyla iş ilişkisi içerisinde olduğumuz kurum ve kuruluşlara, özel sağlık sigortası ilişkilerinin kurulması amacıyla iş ilişkisi içerisinde olduğumuz sigorta şirketleri ile, otoriteleri ve ilgili bakanlığa, dışarıdan eğitim hizmeti alınan danışmanlık şirketlerine aktarılmaktadır. </w:t>
      </w:r>
    </w:p>
    <w:p>
      <w:pPr>
        <w:pStyle w:val="Normal"/>
        <w:keepNext w:val="true"/>
        <w:keepLines/>
        <w:numPr>
          <w:ilvl w:val="0"/>
          <w:numId w:val="3"/>
        </w:numPr>
        <w:spacing w:before="240" w:after="240"/>
        <w:outlineLvl w:val="0"/>
        <w:rPr>
          <w:rFonts w:ascii="Arial" w:hAnsi="Arial" w:eastAsia="Times New Roman" w:cs="Arial"/>
          <w:b/>
          <w:bCs/>
          <w:sz w:val="20"/>
          <w:szCs w:val="20"/>
          <w:lang w:eastAsia="en-US"/>
        </w:rPr>
      </w:pPr>
      <w:bookmarkStart w:id="1" w:name="_Hlk530091345"/>
      <w:bookmarkEnd w:id="1"/>
      <w:r>
        <w:rPr>
          <w:rFonts w:eastAsia="Times New Roman" w:cs="Arial" w:ascii="Arial" w:hAnsi="Arial"/>
          <w:b/>
          <w:bCs/>
          <w:sz w:val="20"/>
          <w:szCs w:val="20"/>
          <w:lang w:eastAsia="en-US"/>
        </w:rPr>
        <w:t>Kişisel Verilerin Toplanma Yöntemleri ve Hukuki Sebepleri</w:t>
      </w:r>
    </w:p>
    <w:p>
      <w:pPr>
        <w:pStyle w:val="Normal"/>
        <w:spacing w:before="240" w:after="240"/>
        <w:jc w:val="both"/>
        <w:rPr/>
      </w:pPr>
      <w:r>
        <w:rPr>
          <w:rFonts w:eastAsia="Times New Roman" w:cs="Arial" w:ascii="Arial" w:hAnsi="Arial"/>
          <w:color w:val="000000"/>
          <w:sz w:val="20"/>
          <w:szCs w:val="20"/>
          <w:lang w:eastAsia="tr-TR"/>
        </w:rPr>
        <w:t xml:space="preserve">Kişisel verileriniz; İşyeri tarafından yetkilendirilmiş veri işleyen gerçek veya tüzel kişiler tarafından, e-posta, telefon, internet sitesi, muhtelif sözleşmeler, kâğıt ortamında tutulan formlar ve tutanaklar gibi vasıtalarla otomatik ve otomatik olmayan yöntemlerle sözlü, yazılı veya elektronik ortamda toplanmaktadır. </w:t>
      </w:r>
    </w:p>
    <w:p>
      <w:pPr>
        <w:pStyle w:val="Normal"/>
        <w:spacing w:before="240" w:after="240"/>
        <w:jc w:val="both"/>
        <w:rPr/>
      </w:pPr>
      <w:r>
        <w:rPr>
          <w:rFonts w:eastAsia="Times New Roman" w:cs="Arial" w:ascii="Arial" w:hAnsi="Arial"/>
          <w:color w:val="000000"/>
          <w:sz w:val="20"/>
          <w:szCs w:val="20"/>
          <w:lang w:eastAsia="tr-TR"/>
        </w:rPr>
        <w:t>Bu kapsamda;  Ad, soy ad,</w:t>
      </w:r>
      <w:r>
        <w:rPr>
          <w:rFonts w:eastAsia="Times New Roman" w:cs="Arial" w:ascii="Arial" w:hAnsi="Arial"/>
          <w:strike/>
          <w:color w:val="000000"/>
          <w:sz w:val="20"/>
          <w:szCs w:val="20"/>
          <w:lang w:eastAsia="tr-TR"/>
        </w:rPr>
        <w:t xml:space="preserve"> </w:t>
      </w:r>
      <w:r>
        <w:rPr>
          <w:rFonts w:eastAsia="Times New Roman" w:cs="Arial" w:ascii="Arial" w:hAnsi="Arial"/>
          <w:color w:val="000000"/>
          <w:sz w:val="20"/>
          <w:szCs w:val="20"/>
          <w:lang w:eastAsia="tr-TR"/>
        </w:rPr>
        <w:t>T.C. kimlik numarası</w:t>
      </w:r>
      <w:r>
        <w:rPr>
          <w:rFonts w:eastAsia="Times New Roman" w:cs="Arial" w:ascii="Arial" w:hAnsi="Arial"/>
          <w:sz w:val="20"/>
          <w:szCs w:val="20"/>
          <w:lang w:eastAsia="tr-TR"/>
        </w:rPr>
        <w:t>, uyruk</w:t>
      </w:r>
      <w:r>
        <w:rPr>
          <w:rFonts w:eastAsia="Times New Roman" w:cs="Arial" w:ascii="Arial" w:hAnsi="Arial"/>
          <w:color w:val="000000"/>
          <w:sz w:val="20"/>
          <w:szCs w:val="20"/>
          <w:lang w:eastAsia="tr-TR"/>
        </w:rPr>
        <w:t xml:space="preserve">, ana-baba adı, doğum yeri, doğum tarihi, cinsiyet, medeni hali, sizin ve bakmak yükümlü olunan kişiler hakkında ailenizin nüfus kayıt bilgileri, ikametgâh adresi, imza, SGK numarası, ehliyet, vesikalık fotoğraf, banka hesap bilgileri, eğitim bilgisi, AGİ (Asgari Geçim İndirimi)’ne ilişkin bilgiler, erkek çalışanlar için askerlik durum belgesi, yabancı personel için çalışma izin belgesi, istirahat ve sağlık raporları, ücretli-ücretsiz izin formları, adli sicil kaydı, adli veya idari makamlardan gelen kaydı gereken evrak, performans raporları, telefon numarası, e-posta adresi, faks numarası, işyeri bilgisayarına ait IP adresi, log kayıtları, işyeri güvenliğinin ve işyeri giriş çıkışlarının takibinin yapılması adına kamera kayıtları, ve güvenlik kontrolünde alınan kayıtlar, acil durumlarda iletişime geçilmesi amacıyla irtibat kişisi bilgileri, araç plaka ve ruhsat verileri, işyeri işleyiş kurallarına aykırı hareketler sebebiyle yapılacak ihbarlar, sır saklama yükümlülüğü altında bulunan iş yeri hekimi ile iş sağlığı ve güvenliği uzmanıyla paylaşılan sağlık verileri, kaza veya diğer sağlık bilgileri, iş kıyafetlerinin dağıtılması amacıyla beden bilgileri tipindeki özel ve genel nitelikli kişisel veriler Kanun’un 5. maddesinin 2/a-c-ç-e-f bentleri ve 6. maddesinin 3. fıkrası uyarınca, temel hak ve özgürlüklerinize zarar vermemek kaydıyla ve İşyerinin meşru menfaatleri hukuki sebebine dayalı olarak işlenmektedir. </w:t>
      </w:r>
    </w:p>
    <w:p>
      <w:pPr>
        <w:pStyle w:val="Normal"/>
        <w:spacing w:before="240" w:after="240"/>
        <w:jc w:val="both"/>
        <w:rPr/>
      </w:pPr>
      <w:r>
        <w:rPr>
          <w:rFonts w:eastAsia="Times New Roman" w:cs="Arial" w:ascii="Arial" w:hAnsi="Arial"/>
          <w:color w:val="000000"/>
          <w:sz w:val="20"/>
          <w:szCs w:val="20"/>
          <w:lang w:eastAsia="tr-TR"/>
        </w:rPr>
        <w:t xml:space="preserve">Yukarıda sayılanlar veri tipleri haricinde dernek ve vakıf üyeliği, tipindeki genel ve özel nitelikteki kişisel verileriniz Kanun’un 5/1 ve 6/2 maddeleri kapsamında </w:t>
      </w:r>
      <w:r>
        <w:rPr>
          <w:rFonts w:eastAsia="Times New Roman" w:cs="Arial" w:ascii="Arial" w:hAnsi="Arial"/>
          <w:b/>
          <w:color w:val="000000"/>
          <w:sz w:val="20"/>
          <w:szCs w:val="20"/>
          <w:lang w:eastAsia="tr-TR"/>
        </w:rPr>
        <w:t>ancak</w:t>
      </w:r>
      <w:r>
        <w:rPr>
          <w:rFonts w:eastAsia="Times New Roman" w:cs="Arial" w:ascii="Arial" w:hAnsi="Arial"/>
          <w:color w:val="000000"/>
          <w:sz w:val="20"/>
          <w:szCs w:val="20"/>
          <w:lang w:eastAsia="tr-TR"/>
        </w:rPr>
        <w:t xml:space="preserve"> </w:t>
      </w:r>
      <w:r>
        <w:rPr>
          <w:rFonts w:eastAsia="Times New Roman" w:cs="Arial" w:ascii="Arial" w:hAnsi="Arial"/>
          <w:b/>
          <w:color w:val="000000"/>
          <w:sz w:val="20"/>
          <w:szCs w:val="20"/>
          <w:lang w:eastAsia="tr-TR"/>
        </w:rPr>
        <w:t>açık rızanız dahilinde</w:t>
      </w:r>
      <w:r>
        <w:rPr>
          <w:rFonts w:eastAsia="Times New Roman" w:cs="Arial" w:ascii="Arial" w:hAnsi="Arial"/>
          <w:color w:val="000000"/>
          <w:sz w:val="20"/>
          <w:szCs w:val="20"/>
          <w:lang w:eastAsia="tr-TR"/>
        </w:rPr>
        <w:t xml:space="preserve"> toplanacak ve işlenecektir. </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r>
    </w:p>
    <w:p>
      <w:pPr>
        <w:pStyle w:val="Normal"/>
        <w:keepNext w:val="true"/>
        <w:keepLines/>
        <w:numPr>
          <w:ilvl w:val="0"/>
          <w:numId w:val="3"/>
        </w:numPr>
        <w:spacing w:before="240" w:after="240"/>
        <w:outlineLvl w:val="0"/>
        <w:rPr>
          <w:rFonts w:ascii="Arial" w:hAnsi="Arial" w:eastAsia="Times New Roman" w:cs="Arial"/>
          <w:b/>
          <w:bCs/>
          <w:sz w:val="20"/>
          <w:szCs w:val="20"/>
          <w:lang w:eastAsia="en-US"/>
        </w:rPr>
      </w:pPr>
      <w:r>
        <w:rPr>
          <w:rFonts w:eastAsia="Times New Roman" w:cs="Arial" w:ascii="Arial" w:hAnsi="Arial"/>
          <w:b/>
          <w:bCs/>
          <w:sz w:val="20"/>
          <w:szCs w:val="20"/>
          <w:lang w:eastAsia="en-US"/>
        </w:rPr>
        <w:t>Veri Sahiplerinin Kanun Kapsamındaki Hakları</w:t>
      </w:r>
    </w:p>
    <w:p>
      <w:pPr>
        <w:pStyle w:val="Normal"/>
        <w:spacing w:before="240" w:after="240"/>
        <w:jc w:val="both"/>
        <w:rPr/>
      </w:pPr>
      <w:r>
        <w:rPr>
          <w:rFonts w:eastAsia="Times New Roman" w:cs="Arial" w:ascii="Arial" w:hAnsi="Arial"/>
          <w:color w:val="000000"/>
          <w:sz w:val="20"/>
          <w:szCs w:val="20"/>
          <w:lang w:eastAsia="tr-TR"/>
        </w:rPr>
        <w:t>Dilediğiniz zaman İşyerimize başvurarak kişisel verilerinizin;</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İşlenip işlenmediğini, işlenme amacını ve amacına uygun kullanıp kullanılmadığı öğrenebilir ve işlenmiş ise bu konuda bilgi isteyebilir,</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Kanun’a uygun olarak yurt içinde ve yurt dışında bilgilerinizin paylaşıldığı üçüncü kişileri öğrenebilir,</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eksik ya da hatalı işlendiğini düşünüyorsanız düzeltilmesini isteyebilir,</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Kanunun 7. maddesinde öngörülen şartlar çerçevesinde bilgilerinizin silinmesini ya da yok edilmesini talep edebilir,</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aktarıldığı üçüncü kişilere (c) ve (d) bentlerinde belirtilen taleplerinizin bildirilmesini ve aynı işlemleri gerçekleştirmelerini isteyebilir,</w:t>
      </w:r>
    </w:p>
    <w:p>
      <w:pPr>
        <w:pStyle w:val="Normal"/>
        <w:numPr>
          <w:ilvl w:val="0"/>
          <w:numId w:val="4"/>
        </w:numPr>
        <w:spacing w:before="240" w:after="240"/>
        <w:ind w:hanging="360" w:start="426" w:end="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Bilgilerinizin, otomatik sistemler ile analiz edilmesi nedeniyle aleyhinize bir sonucun ortaya çıkmasına itiraz edebilir veya kanuna aykırı olarak kaydedildiğini veya kullanıldığını düşünüyorsanız ve bu sebeple zarara uğradığınızı düşünüyorsanız zararın giderilmesini isteyebilirsiniz.</w:t>
      </w:r>
    </w:p>
    <w:p>
      <w:pPr>
        <w:pStyle w:val="Normal"/>
        <w:spacing w:before="240" w:after="240"/>
        <w:jc w:val="both"/>
        <w:rPr>
          <w:rFonts w:ascii="Arial" w:hAnsi="Arial" w:eastAsia="Times New Roman" w:cs="Arial"/>
          <w:color w:val="000000"/>
          <w:sz w:val="20"/>
          <w:szCs w:val="20"/>
          <w:shd w:fill="BA1E1F" w:val="clear"/>
          <w:lang w:eastAsia="tr-TR"/>
        </w:rPr>
      </w:pPr>
      <w:r>
        <w:rPr>
          <w:rFonts w:eastAsia="Times New Roman" w:cs="Arial" w:ascii="Arial" w:hAnsi="Arial"/>
          <w:color w:val="000000"/>
          <w:sz w:val="20"/>
          <w:szCs w:val="20"/>
          <w:lang w:eastAsia="tr-TR"/>
        </w:rPr>
        <w:br/>
        <w:t xml:space="preserve">Bu amaçlarla yapılan başvurunun ek bir maliyet gerektirmesi durumunda, Kişisel Verileri Koruma Kurulu tarafından çıkarılan Veri Sorumlusuna Başvuru Usul ve Esasları Hakkında Tebliğ ile belirlenen ücretin Veri Sahibi tarafından ödenmesi söz konusu olacaktır. Başvurulara yazılı cevap verilmesi halinde ilk 10 (on) sayfaya kadar ücret alınmayacak, 10 (on) sayfanın üzerindeki her sayfa için 1 TL işlem ücreti alınacaktır. Başvurulara verilecek cevabın CD, flash bellek gibi bir kayıt ortamında verilmesi halinde ise, kayıt ortamının maliyeti kadar ücret Veri Sahibine yansıtılacaktır. </w:t>
      </w:r>
    </w:p>
    <w:p>
      <w:pPr>
        <w:pStyle w:val="Normal"/>
        <w:spacing w:before="240" w:after="240"/>
        <w:jc w:val="both"/>
        <w:rPr/>
      </w:pPr>
      <w:r>
        <w:rPr>
          <w:rFonts w:eastAsia="Times New Roman" w:cs="Arial" w:ascii="Arial" w:hAnsi="Arial"/>
          <w:color w:val="000000"/>
          <w:sz w:val="20"/>
          <w:szCs w:val="20"/>
          <w:lang w:eastAsia="tr-TR"/>
        </w:rPr>
        <w:t>Başvurularda yer alan talepler, talebin niteliğine göre en kısa sürede ve en geç 30 (otuz) gün içinde sonuçlandırılacaktır.</w:t>
      </w:r>
    </w:p>
    <w:p>
      <w:pPr>
        <w:pStyle w:val="Normal"/>
        <w:spacing w:before="240" w:after="240"/>
        <w:jc w:val="both"/>
        <w:rPr/>
      </w:pPr>
      <w:r>
        <w:rPr>
          <w:rFonts w:eastAsia="Times New Roman" w:cs="Arial" w:ascii="Arial" w:hAnsi="Arial"/>
          <w:color w:val="000000"/>
          <w:sz w:val="20"/>
          <w:szCs w:val="20"/>
          <w:lang w:eastAsia="tr-TR"/>
        </w:rPr>
        <w:t>Kanun kapsamındaki haklardan yararlanmak için başvurular, Türkçe olmak kaydıyla yazılı olarak İşyeriye iletilebilir, detaylı bilgi almak için </w:t>
      </w:r>
      <w:hyperlink r:id="rId2" w:tgtFrame="_blank">
        <w:r>
          <w:rPr>
            <w:rStyle w:val="Hyperlink"/>
            <w:rFonts w:eastAsia="Times New Roman" w:cs="Arial" w:ascii="Arial" w:hAnsi="Arial"/>
            <w:color w:val="000000"/>
            <w:sz w:val="20"/>
            <w:szCs w:val="20"/>
            <w:u w:val="single"/>
            <w:lang w:eastAsia="tr-TR"/>
          </w:rPr>
          <w:t>Kişisel Verileri Koruma Kurumu’nun internet sayfasını ziyaret edilebilir.</w:t>
        </w:r>
      </w:hyperlink>
      <w:r>
        <w:rPr>
          <w:rFonts w:eastAsia="Times New Roman" w:cs="Arial" w:ascii="Arial" w:hAnsi="Arial"/>
          <w:color w:val="000000"/>
          <w:sz w:val="20"/>
          <w:szCs w:val="20"/>
          <w:lang w:eastAsia="tr-TR"/>
        </w:rPr>
        <w:t xml:space="preserve"> </w:t>
      </w:r>
    </w:p>
    <w:p>
      <w:pPr>
        <w:pStyle w:val="Normal"/>
        <w:spacing w:before="240" w:after="240"/>
        <w:jc w:val="both"/>
        <w:rPr>
          <w:rFonts w:ascii="Arial" w:hAnsi="Arial" w:eastAsia="Times New Roman" w:cs="Arial"/>
          <w:color w:val="000000"/>
          <w:sz w:val="20"/>
          <w:szCs w:val="20"/>
          <w:lang w:eastAsia="tr-TR"/>
        </w:rPr>
      </w:pPr>
      <w:r>
        <w:rPr>
          <w:rFonts w:eastAsia="Times New Roman" w:cs="Arial" w:ascii="Arial" w:hAnsi="Arial"/>
          <w:color w:val="000000"/>
          <w:sz w:val="20"/>
          <w:szCs w:val="20"/>
          <w:lang w:eastAsia="tr-TR"/>
        </w:rPr>
        <w:t xml:space="preserve">Başvurular; </w:t>
      </w:r>
    </w:p>
    <w:p>
      <w:pPr>
        <w:pStyle w:val="Normal"/>
        <w:numPr>
          <w:ilvl w:val="0"/>
          <w:numId w:val="5"/>
        </w:numPr>
        <w:spacing w:before="0" w:after="0"/>
        <w:contextualSpacing/>
        <w:jc w:val="both"/>
        <w:rPr>
          <w:rFonts w:ascii="Arial" w:hAnsi="Arial" w:eastAsia="Calibri" w:cs="Arial"/>
          <w:color w:val="000000"/>
          <w:sz w:val="20"/>
          <w:szCs w:val="20"/>
          <w:lang w:eastAsia="en-US"/>
        </w:rPr>
      </w:pPr>
      <w:bookmarkStart w:id="2" w:name="_Hlk530093051"/>
      <w:bookmarkStart w:id="3" w:name="_Hlk530093079"/>
      <w:r>
        <w:rPr>
          <w:rFonts w:eastAsia="Calibri" w:cs="Arial" w:ascii="Arial" w:hAnsi="Arial"/>
          <w:color w:val="000000"/>
          <w:sz w:val="20"/>
          <w:szCs w:val="20"/>
          <w:lang w:eastAsia="en-US"/>
        </w:rPr>
        <w:t xml:space="preserve">Başvuru formu </w:t>
      </w:r>
      <w:r>
        <w:rPr>
          <w:rFonts w:cs="Arial" w:ascii="Arial" w:hAnsi="Arial"/>
          <w:sz w:val="20"/>
          <w:szCs w:val="20"/>
        </w:rPr>
        <w:t xml:space="preserve">{{kurum.web_sitesi_adresi}} </w:t>
      </w:r>
      <w:r>
        <w:rPr>
          <w:rFonts w:eastAsia="Calibri" w:cs="Arial" w:ascii="Arial" w:hAnsi="Arial"/>
          <w:color w:val="000000"/>
          <w:sz w:val="20"/>
          <w:szCs w:val="20"/>
          <w:lang w:eastAsia="en-US"/>
        </w:rPr>
        <w:t>adresinden temin edilerek doldurduktan sonra ıslak imzalı bir nüshasının bizzat elden veya noter aracılığı ile 1. Maddede belirtilen işyeri</w:t>
      </w:r>
      <w:r>
        <w:rPr>
          <w:rFonts w:cs="Arial" w:ascii="Arial" w:hAnsi="Arial"/>
          <w:bCs/>
          <w:sz w:val="20"/>
          <w:szCs w:val="20"/>
        </w:rPr>
        <w:t xml:space="preserve"> </w:t>
      </w:r>
      <w:r>
        <w:rPr>
          <w:rFonts w:eastAsia="Calibri" w:cs="Arial" w:ascii="Arial" w:hAnsi="Arial"/>
          <w:color w:val="000000"/>
          <w:sz w:val="20"/>
          <w:szCs w:val="20"/>
          <w:lang w:eastAsia="en-US"/>
        </w:rPr>
        <w:t>adresine iletilmesi,</w:t>
      </w:r>
      <w:bookmarkEnd w:id="2"/>
    </w:p>
    <w:p>
      <w:pPr>
        <w:pStyle w:val="Normal"/>
        <w:numPr>
          <w:ilvl w:val="0"/>
          <w:numId w:val="5"/>
        </w:numPr>
        <w:spacing w:before="0" w:after="0"/>
        <w:contextualSpacing/>
        <w:jc w:val="both"/>
        <w:rPr>
          <w:rFonts w:ascii="Arial" w:hAnsi="Arial" w:eastAsia="Calibri" w:cs="Arial"/>
          <w:color w:val="000000"/>
          <w:sz w:val="20"/>
          <w:szCs w:val="20"/>
          <w:lang w:eastAsia="en-US"/>
        </w:rPr>
      </w:pPr>
      <w:r>
        <w:rPr>
          <w:rFonts w:eastAsia="Calibri" w:cs="Arial" w:ascii="Arial" w:hAnsi="Arial"/>
          <w:color w:val="000000"/>
          <w:sz w:val="20"/>
          <w:szCs w:val="20"/>
          <w:lang w:eastAsia="en-US"/>
        </w:rPr>
        <w:t>İşyeri veri tabanında kayıtlı gerçek kişi e-posta adresiniz varsa, bu e-posta adresi üzerinden e-posta gönderilmesi,</w:t>
      </w:r>
    </w:p>
    <w:p>
      <w:pPr>
        <w:pStyle w:val="Normal"/>
        <w:spacing w:before="240" w:after="240"/>
        <w:jc w:val="both"/>
        <w:rPr/>
      </w:pPr>
      <w:bookmarkStart w:id="4" w:name="_Hlk530093079"/>
      <w:r>
        <w:rPr>
          <w:rFonts w:eastAsia="Times New Roman" w:cs="Arial" w:ascii="Arial" w:hAnsi="Arial"/>
          <w:color w:val="000000"/>
          <w:sz w:val="20"/>
          <w:szCs w:val="20"/>
          <w:lang w:eastAsia="tr-TR"/>
        </w:rPr>
        <w:t>Yöntemlerinden biriyle yapabilirsiniz</w:t>
      </w:r>
      <w:bookmarkEnd w:id="4"/>
      <w:r>
        <w:rPr>
          <w:rFonts w:eastAsia="Times New Roman" w:cs="Arial" w:ascii="Arial" w:hAnsi="Arial"/>
          <w:color w:val="000000"/>
          <w:sz w:val="20"/>
          <w:szCs w:val="20"/>
          <w:lang w:eastAsia="tr-TR"/>
        </w:rPr>
        <w:t>.</w:t>
      </w:r>
    </w:p>
    <w:p>
      <w:pPr>
        <w:pStyle w:val="Normal"/>
        <w:spacing w:before="240" w:after="240"/>
        <w:jc w:val="both"/>
        <w:rPr/>
      </w:pPr>
      <w:r>
        <w:rPr>
          <w:rFonts w:eastAsia="Times New Roman" w:cs="Arial" w:ascii="Arial" w:hAnsi="Arial"/>
          <w:color w:val="000000"/>
          <w:sz w:val="20"/>
          <w:szCs w:val="20"/>
          <w:lang w:eastAsia="tr-TR"/>
        </w:rPr>
        <w:t xml:space="preserve">Kişisel veri sahibi olarak sahip olunan ve yukarıda belirtilen hakları kullanmak için yapılacak ve kullanım talep edilen hakka ilişkin açıklamaları içeren başvuruda; talep edilen hususun açık ve anlaşılır olması, talep edilen konunun Veri Sahibinin şahsı ile ilgili olması veya başkası adına hareket ediyor ise bu konuda noter tarafından tasdiklenmiş özel vekâletname ibraz edilmesi gerekecektir. </w:t>
      </w:r>
    </w:p>
    <w:p>
      <w:pPr>
        <w:pStyle w:val="Normal"/>
        <w:spacing w:before="240" w:after="240"/>
        <w:jc w:val="both"/>
        <w:rPr/>
      </w:pPr>
      <w:r>
        <w:rPr>
          <w:rFonts w:eastAsia="Times New Roman" w:cs="Arial" w:ascii="Arial" w:hAnsi="Arial"/>
          <w:color w:val="000000"/>
          <w:sz w:val="20"/>
          <w:szCs w:val="20"/>
          <w:lang w:eastAsia="tr-TR"/>
        </w:rPr>
        <w:t xml:space="preserve">Başvurularda, ad, soy ad, imza, T.C. kimlik numarası, ikamet veya işyeri adresi, e-posta adresi, telefon numarası talep konusu unsurlarının bulunması “Veri Sorumlusuna Başvuru Usul ve Esasları Hakkında Tebliğ” uyarınca zorunludur. Söz konusu unsurları barındırmayan başvurular İşyeri tarafından reddedilecektir. </w:t>
      </w:r>
    </w:p>
    <w:p>
      <w:pPr>
        <w:pStyle w:val="Normal"/>
        <w:spacing w:before="240" w:after="240"/>
        <w:jc w:val="both"/>
        <w:rPr/>
      </w:pPr>
      <w:r>
        <w:rPr>
          <w:rFonts w:eastAsia="Times New Roman" w:cs="Arial" w:ascii="Arial" w:hAnsi="Arial"/>
          <w:color w:val="000000"/>
          <w:sz w:val="20"/>
          <w:szCs w:val="20"/>
          <w:lang w:eastAsia="tr-TR"/>
        </w:rPr>
        <w:t>İşyerinin işbu aydınlat ma metninde Kanun’dan, ikincil düzenlemelerden ve Kurul kararlarından doğan sebeplerle değişiklik yapma hakkı her zaman saklıdır. Aydınlatma metninde yapılacak değişiklikler ve güncel metin</w:t>
      </w:r>
      <w:r>
        <w:rPr>
          <w:rFonts w:eastAsia="Times New Roman" w:cs="Arial" w:ascii="Arial" w:hAnsi="Arial"/>
          <w:color w:val="FF0000"/>
          <w:sz w:val="20"/>
          <w:szCs w:val="20"/>
          <w:lang w:eastAsia="tr-TR"/>
        </w:rPr>
        <w:t xml:space="preserve"> </w:t>
      </w:r>
      <w:r>
        <w:rPr>
          <w:rFonts w:eastAsia="Times New Roman" w:cs="Arial" w:ascii="Arial" w:hAnsi="Arial"/>
          <w:b/>
          <w:sz w:val="20"/>
          <w:szCs w:val="20"/>
          <w:lang w:eastAsia="tr-TR"/>
        </w:rPr>
        <w:t>yayınlandığı tarih</w:t>
      </w:r>
      <w:r>
        <w:rPr>
          <w:rFonts w:eastAsia="Times New Roman" w:cs="Arial" w:ascii="Arial" w:hAnsi="Arial"/>
          <w:sz w:val="20"/>
          <w:szCs w:val="20"/>
          <w:lang w:eastAsia="tr-TR"/>
        </w:rPr>
        <w:t xml:space="preserve"> </w:t>
      </w:r>
      <w:r>
        <w:rPr>
          <w:rFonts w:eastAsia="Times New Roman" w:cs="Arial" w:ascii="Arial" w:hAnsi="Arial"/>
          <w:color w:val="000000"/>
          <w:sz w:val="20"/>
          <w:szCs w:val="20"/>
          <w:lang w:eastAsia="tr-TR"/>
        </w:rPr>
        <w:t xml:space="preserve">itibariyle derhal geçerlilik kazanacaktır. </w:t>
      </w:r>
    </w:p>
    <w:p>
      <w:pPr>
        <w:pStyle w:val="Normal"/>
        <w:spacing w:before="240" w:after="240"/>
        <w:jc w:val="both"/>
        <w:rPr>
          <w:rFonts w:ascii="Arial" w:hAnsi="Arial" w:eastAsia="Times New Roman" w:cs="Arial"/>
          <w:strike/>
          <w:color w:val="000000"/>
          <w:sz w:val="20"/>
          <w:szCs w:val="20"/>
          <w:lang w:eastAsia="tr-TR"/>
        </w:rPr>
      </w:pPr>
      <w:r>
        <w:rPr>
          <w:rFonts w:eastAsia="Times New Roman" w:cs="Arial" w:ascii="Arial" w:hAnsi="Arial"/>
          <w:strike/>
          <w:color w:val="000000"/>
          <w:sz w:val="20"/>
          <w:szCs w:val="20"/>
          <w:lang w:eastAsia="tr-TR"/>
        </w:rPr>
      </w:r>
    </w:p>
    <w:p>
      <w:pPr>
        <w:pStyle w:val="Normal"/>
        <w:spacing w:before="240" w:after="240"/>
        <w:rPr/>
      </w:pPr>
      <w:r>
        <w:rPr>
          <w:rFonts w:eastAsia="Times New Roman" w:cs="Arial" w:ascii="Arial" w:hAnsi="Arial"/>
          <w:b/>
          <w:color w:val="000000"/>
          <w:sz w:val="20"/>
          <w:szCs w:val="20"/>
          <w:lang w:eastAsia="tr-TR"/>
        </w:rPr>
        <w:t>Çalışan Ad Soy ad:                                                            Veri Sorumlusu</w:t>
      </w:r>
      <w:r>
        <w:rPr>
          <w:rFonts w:eastAsia="Times New Roman" w:cs="Arial" w:ascii="Arial" w:hAnsi="Arial"/>
          <w:color w:val="000000"/>
          <w:sz w:val="20"/>
          <w:szCs w:val="20"/>
          <w:lang w:eastAsia="tr-TR"/>
        </w:rPr>
        <w:t>.</w:t>
      </w:r>
    </w:p>
    <w:p>
      <w:pPr>
        <w:pStyle w:val="Normal"/>
        <w:spacing w:before="240" w:after="240"/>
        <w:jc w:val="both"/>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t>Tarih:</w:t>
      </w:r>
    </w:p>
    <w:p>
      <w:pPr>
        <w:pStyle w:val="Normal"/>
        <w:spacing w:before="240" w:after="240"/>
        <w:jc w:val="both"/>
        <w:rPr>
          <w:rFonts w:ascii="Arial" w:hAnsi="Arial" w:eastAsia="Times New Roman" w:cs="Arial"/>
          <w:i/>
          <w:i/>
          <w:color w:val="000000"/>
          <w:sz w:val="20"/>
          <w:szCs w:val="20"/>
          <w:lang w:eastAsia="tr-TR"/>
        </w:rPr>
      </w:pPr>
      <w:r>
        <w:rPr>
          <w:rFonts w:eastAsia="Times New Roman" w:cs="Arial" w:ascii="Arial" w:hAnsi="Arial"/>
          <w:i/>
          <w:color w:val="000000"/>
          <w:sz w:val="20"/>
          <w:szCs w:val="20"/>
          <w:lang w:eastAsia="tr-TR"/>
        </w:rPr>
        <w:t>(el yazısı ile okudum anladım yazılmalıdır.)</w:t>
      </w:r>
    </w:p>
    <w:p>
      <w:pPr>
        <w:pStyle w:val="Normal"/>
        <w:spacing w:before="240" w:after="240"/>
        <w:jc w:val="both"/>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t xml:space="preserve">İmza: </w:t>
      </w:r>
    </w:p>
    <w:p>
      <w:pPr>
        <w:pStyle w:val="Normal"/>
        <w:spacing w:before="240" w:after="240"/>
        <w:jc w:val="both"/>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r>
    </w:p>
    <w:p>
      <w:pPr>
        <w:pStyle w:val="Normal"/>
        <w:spacing w:before="240" w:after="240"/>
        <w:jc w:val="both"/>
        <w:rPr>
          <w:rFonts w:ascii="Arial" w:hAnsi="Arial" w:eastAsia="Times New Roman" w:cs="Arial"/>
          <w:b/>
          <w:color w:val="000000"/>
          <w:sz w:val="20"/>
          <w:szCs w:val="20"/>
          <w:lang w:eastAsia="tr-TR"/>
        </w:rPr>
      </w:pPr>
      <w:r>
        <w:rPr>
          <w:rFonts w:eastAsia="Times New Roman" w:cs="Arial" w:ascii="Arial" w:hAnsi="Arial"/>
          <w:b/>
          <w:color w:val="000000"/>
          <w:sz w:val="20"/>
          <w:szCs w:val="20"/>
          <w:lang w:eastAsia="tr-TR"/>
        </w:rPr>
      </w:r>
    </w:p>
    <w:p>
      <w:pPr>
        <w:pStyle w:val="Normal"/>
        <w:spacing w:lineRule="auto" w:line="360"/>
        <w:jc w:val="center"/>
        <w:rPr>
          <w:vanish/>
          <w:sz w:val="20"/>
        </w:rPr>
      </w:pPr>
      <w:r>
        <w:rPr>
          <w:vanish/>
          <w:sz w:val="20"/>
        </w:rPr>
      </w:r>
      <w:bookmarkStart w:id="5" w:name="_PictureBullets"/>
      <w:bookmarkStart w:id="6" w:name="_PictureBullets"/>
      <w:bookmarkEnd w:id="6"/>
    </w:p>
    <w:sectPr>
      <w:headerReference w:type="default" r:id="rId3"/>
      <w:footerReference w:type="default" r:id="rId4"/>
      <w:type w:val="nextPage"/>
      <w:pgSz w:w="11906" w:h="16838"/>
      <w:pgMar w:left="1259" w:right="924" w:gutter="0" w:header="709" w:top="765"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Calibri">
    <w:charset w:val="a2" w:characterSet="windows-1254"/>
    <w:family w:val="swiss"/>
    <w:pitch w:val="variable"/>
  </w:font>
  <w:font w:name="Verdana">
    <w:charset w:val="a2" w:characterSet="windows-1254"/>
    <w:family w:val="swiss"/>
    <w:pitch w:val="variable"/>
  </w:font>
  <w:font w:name="VAGRundschriftD">
    <w:altName w:val="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szCs w:val="20"/>
            </w:rPr>
          </w:pPr>
          <w:r>
            <w:rPr>
              <w:rFonts w:cs="Verdana" w:ascii="Verdana" w:hAnsi="Verdana"/>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rPr>
          </w:pPr>
          <w:r>
            <w:rPr>
              <w:rFonts w:cs="Verdana" w:ascii="Verdana" w:hAnsi="Verdana"/>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tc>
    </w:tr>
  </w:tbl>
  <w:p>
    <w:pPr>
      <w:pStyle w:val="Footer"/>
      <w:ind w:end="-177"/>
      <w:rPr>
        <w:rFonts w:ascii="VAGRundschriftD;Calibri" w:hAnsi="VAGRundschriftD;Calibri" w:cs="VAGRundschriftD;Calibri"/>
        <w:color w:val="0000FF"/>
        <w:sz w:val="16"/>
        <w:szCs w:val="16"/>
      </w:rPr>
    </w:pPr>
    <w:r>
      <w:rPr>
        <w:rFonts w:cs="VAGRundschriftD;Calibri" w:ascii="VAGRundschriftD;Calibri" w:hAnsi="VAGRundschriftD;Calibri"/>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ind w:start="360" w:end="0"/>
            <w:rPr>
              <w:rFonts w:ascii="Arial" w:hAnsi="Arial" w:cs="Arial"/>
              <w:sz w:val="28"/>
              <w:szCs w:val="28"/>
            </w:rPr>
          </w:pPr>
          <w:r>
            <w:rPr>
              <w:rFonts w:cs="Arial" w:ascii="Arial" w:hAnsi="Arial"/>
              <w:sz w:val="20"/>
              <w:szCs w:val="20"/>
            </w:rPr>
            <w:t>{{kurum.unvan}}</w:t>
          </w:r>
        </w:p>
      </w:tc>
      <w:tc>
        <w:tcPr>
          <w:tcW w:w="3886" w:type="dxa"/>
          <w:vMerge w:val="restart"/>
          <w:tcBorders>
            <w:top w:val="double" w:sz="4" w:space="0" w:color="000000"/>
            <w:start w:val="single" w:sz="6" w:space="0" w:color="000000"/>
            <w:bottom w:val="single" w:sz="6" w:space="0" w:color="000000"/>
            <w:end w:val="double" w:sz="4" w:space="0" w:color="000000"/>
          </w:tcBorders>
          <w:vAlign w:val="center"/>
        </w:tcPr>
        <w:p>
          <w:pPr>
            <w:pStyle w:val="Heading3"/>
            <w:ind w:hanging="0" w:start="0"/>
            <w:jc w:val="center"/>
            <w:rPr>
              <w:rFonts w:ascii="Arial" w:hAnsi="Arial" w:cs="Arial"/>
              <w:b w:val="false"/>
              <w:bCs/>
              <w:color w:val="0000FF"/>
              <w:sz w:val="24"/>
              <w:szCs w:val="24"/>
            </w:rPr>
          </w:pPr>
          <w:r>
            <w:rPr>
              <w:rFonts w:cs="Arial" w:ascii="Arial" w:hAnsi="Arial"/>
              <w:sz w:val="24"/>
              <w:szCs w:val="24"/>
            </w:rPr>
            <w:t>KVKK ÇALIŞAN AYDINLATMA METNİ</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AYM-020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double" w:sz="4"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double" w:sz="4"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20"/>
              <w:szCs w:val="20"/>
              <w:lang w:val="en-US" w:eastAsia="en-US"/>
            </w:rPr>
          </w:pPr>
          <w:r>
            <w:rPr>
              <w:rFonts w:cs="Arial" w:ascii="Arial" w:hAnsi="Arial"/>
              <w:color w:val="000080"/>
              <w:sz w:val="20"/>
              <w:szCs w:val="20"/>
              <w:lang w:val="en-US" w:eastAsia="en-US"/>
            </w:rPr>
          </w:r>
        </w:p>
      </w:tc>
      <w:tc>
        <w:tcPr>
          <w:tcW w:w="3886" w:type="dxa"/>
          <w:vMerge w:val="continue"/>
          <w:tcBorders>
            <w:top w:val="double" w:sz="4" w:space="0" w:color="000000"/>
            <w:start w:val="single" w:sz="6" w:space="0" w:color="000000"/>
            <w:bottom w:val="single" w:sz="6" w:space="0" w:color="000000"/>
            <w:end w:val="double" w:sz="4" w:space="0" w:color="000000"/>
          </w:tcBorders>
          <w:vAlign w:val="center"/>
        </w:tcPr>
        <w:p>
          <w:pPr>
            <w:pStyle w:val="Heading3"/>
            <w:numPr>
              <w:ilvl w:val="0"/>
              <w:numId w:val="0"/>
            </w:numPr>
            <w:snapToGrid w:val="false"/>
            <w:ind w:hanging="0" w:start="0"/>
            <w:rPr>
              <w:rFonts w:ascii="Arial" w:hAnsi="Arial" w:cs="Arial"/>
              <w:b w:val="false"/>
              <w:bCs/>
              <w:color w:val="0000FF"/>
              <w:sz w:val="20"/>
              <w:szCs w:val="20"/>
              <w:lang w:val="en-US" w:eastAsia="en-US"/>
            </w:rPr>
          </w:pPr>
          <w:r>
            <w:rPr>
              <w:rFonts w:cs="Arial" w:ascii="Arial" w:hAnsi="Arial"/>
              <w:b w:val="false"/>
              <w:bCs/>
              <w:color w:val="0000FF"/>
              <w:sz w:val="20"/>
              <w:szCs w:val="20"/>
              <w:lang w:val="en-US" w:eastAsia="en-US"/>
            </w:rPr>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pPr>
          <w:r>
            <w:rPr>
              <w:rFonts w:cs="Arial" w:ascii="Arial" w:hAnsi="Arial"/>
              <w:sz w:val="16"/>
              <w:szCs w:val="16"/>
            </w:rPr>
            <w:t xml:space="preserve">REVİZYON NO. </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20"/>
              <w:szCs w:val="20"/>
            </w:rPr>
          </w:pPr>
          <w:r>
            <w:rPr>
              <w:rFonts w:cs="Arial" w:ascii="Arial" w:hAnsi="Arial"/>
              <w:b/>
              <w:sz w:val="20"/>
              <w:szCs w:val="20"/>
            </w:rPr>
          </w:r>
        </w:p>
      </w:tc>
      <w:tc>
        <w:tcPr>
          <w:tcW w:w="3886" w:type="dxa"/>
          <w:vMerge w:val="continue"/>
          <w:tcBorders>
            <w:top w:val="double" w:sz="4" w:space="0" w:color="000000"/>
            <w:start w:val="single" w:sz="6" w:space="0" w:color="000000"/>
            <w:bottom w:val="single" w:sz="6" w:space="0" w:color="000000"/>
            <w:end w:val="double" w:sz="4" w:space="0" w:color="000000"/>
          </w:tcBorders>
          <w:vAlign w:val="center"/>
        </w:tcPr>
        <w:p>
          <w:pPr>
            <w:pStyle w:val="Normal"/>
            <w:snapToGrid w:val="false"/>
            <w:rPr>
              <w:rFonts w:ascii="Arial" w:hAnsi="Arial" w:cs="Arial"/>
              <w:b/>
              <w:sz w:val="20"/>
              <w:szCs w:val="20"/>
            </w:rPr>
          </w:pPr>
          <w:r>
            <w:rPr>
              <w:rFonts w:cs="Arial" w:ascii="Arial" w:hAnsi="Arial"/>
              <w:b/>
              <w:sz w:val="20"/>
              <w:szCs w:val="20"/>
            </w:rPr>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double" w:sz="4" w:space="0" w:color="000000"/>
            <w:start w:val="double" w:sz="4" w:space="0" w:color="000000"/>
            <w:bottom w:val="doub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4</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4</w:t>
          </w:r>
          <w:r>
            <w:rPr>
              <w:sz w:val="16"/>
              <w:szCs w:val="16"/>
              <w:rFonts w:cs="Arial" w:ascii="Arial" w:hAnsi="Arial"/>
            </w:rPr>
            <w:fldChar w:fldCharType="end"/>
          </w:r>
        </w:p>
      </w:tc>
    </w:tr>
  </w:tbl>
  <w:p>
    <w:pPr>
      <w:pStyle w:val="Header"/>
      <w:tabs>
        <w:tab w:val="clear" w:pos="4536"/>
        <w:tab w:val="clear" w:pos="9072"/>
        <w:tab w:val="left" w:pos="7260" w:leader="none"/>
      </w:tabs>
      <w:rPr>
        <w:rFonts w:eastAsia="Times New Roman"/>
      </w:rPr>
    </w:pPr>
    <w:r>
      <w:rPr>
        <w:rFonts w:eastAsia="Times New Roman"/>
      </w:rPr>
      <w:t xml:space="preserve">    </w:t>
    </w:r>
  </w:p>
  <w:p>
    <w:pPr>
      <w:pStyle w:val="Normal"/>
      <w:rPr>
        <w:b/>
        <w:sz w:val="18"/>
        <w:szCs w:val="18"/>
      </w:rPr>
    </w:pPr>
    <w:r>
      <w:rPr>
        <w:b/>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644" w:hanging="360"/>
      </w:pPr>
      <w:rPr>
        <w:rFonts w:ascii="Symbol" w:hAnsi="Symbol" w:cs="Symbol" w:hint="default"/>
      </w:rPr>
    </w:lvl>
  </w:abstractNum>
  <w:abstractNum w:abstractNumId="3">
    <w:lvl w:ilvl="0">
      <w:start w:val="1"/>
      <w:numFmt w:val="decimal"/>
      <w:lvlText w:val="%1."/>
      <w:lvlJc w:val="start"/>
      <w:pPr>
        <w:tabs>
          <w:tab w:val="num" w:pos="0"/>
        </w:tabs>
        <w:ind w:start="360" w:hanging="360"/>
      </w:pPr>
      <w:rPr>
        <w:rFonts w:ascii="Calibri" w:hAnsi="Calibri" w:cs="Calibri"/>
      </w:rPr>
    </w:lvl>
    <w:lvl w:ilvl="1">
      <w:start w:val="1"/>
      <w:isLgl/>
      <w:numFmt w:val="decimal"/>
      <w:lvlText w:val="%1.%2."/>
      <w:lvlJc w:val="start"/>
      <w:pPr>
        <w:tabs>
          <w:tab w:val="num" w:pos="0"/>
        </w:tabs>
        <w:ind w:start="720" w:hanging="720"/>
      </w:pPr>
      <w:rPr>
        <w:b/>
      </w:rPr>
    </w:lvl>
    <w:lvl w:ilvl="2">
      <w:start w:val="1"/>
      <w:isLgl/>
      <w:numFmt w:val="decimal"/>
      <w:lvlText w:val="%1.%2.%3."/>
      <w:lvlJc w:val="start"/>
      <w:pPr>
        <w:tabs>
          <w:tab w:val="num" w:pos="0"/>
        </w:tabs>
        <w:ind w:start="720" w:hanging="720"/>
      </w:pPr>
      <w:rPr/>
    </w:lvl>
    <w:lvl w:ilvl="3">
      <w:start w:val="2"/>
      <w:isLgl/>
      <w:numFmt w:val="decimal"/>
      <w:lvlText w:val="%1.%2.%3.%4."/>
      <w:lvlJc w:val="start"/>
      <w:pPr>
        <w:tabs>
          <w:tab w:val="num" w:pos="0"/>
        </w:tabs>
        <w:ind w:start="1080" w:hanging="108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440" w:hanging="144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800" w:hanging="1800"/>
      </w:pPr>
      <w:rPr/>
    </w:lvl>
    <w:lvl w:ilvl="8">
      <w:start w:val="1"/>
      <w:isLgl/>
      <w:numFmt w:val="decimal"/>
      <w:lvlText w:val="%1.%2.%3.%4.%5.%6.%7.%8.%9."/>
      <w:lvlJc w:val="start"/>
      <w:pPr>
        <w:tabs>
          <w:tab w:val="num" w:pos="0"/>
        </w:tabs>
        <w:ind w:start="1800" w:hanging="1800"/>
      </w:pPr>
      <w:rPr/>
    </w:lvl>
  </w:abstractNum>
  <w:abstractNum w:abstractNumId="4">
    <w:lvl w:ilvl="0">
      <w:start w:val="1"/>
      <w:numFmt w:val="bullet"/>
      <w:lvlText w:val=""/>
      <w:lvlJc w:val="start"/>
      <w:pPr>
        <w:tabs>
          <w:tab w:val="num" w:pos="0"/>
        </w:tabs>
        <w:ind w:start="1080" w:hanging="360"/>
      </w:pPr>
      <w:rPr>
        <w:rFonts w:ascii="Symbol" w:hAnsi="Symbol" w:cs="Symbol" w:hint="default"/>
      </w:rPr>
    </w:lvl>
  </w:abstractNum>
  <w:abstractNum w:abstractNumId="5">
    <w:lvl w:ilvl="0">
      <w:start w:val="1"/>
      <w:numFmt w:val="decimal"/>
      <w:lvlText w:val="%1."/>
      <w:lvlJc w:val="start"/>
      <w:pPr>
        <w:tabs>
          <w:tab w:val="num" w:pos="0"/>
        </w:tabs>
        <w:ind w:start="405" w:hanging="360"/>
      </w:pPr>
      <w:rPr>
        <w:sz w:val="20"/>
        <w:b w:val="false"/>
        <w:rFonts w:ascii="Arial" w:hAnsi="Arial" w:eastAsia="Calibri" w:cs="Arial"/>
        <w:color w:val="000000"/>
      </w:r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3z1">
    <w:name w:val="WW8Num3z1"/>
    <w:qFormat/>
    <w:rPr>
      <w:rFonts w:ascii="Courier New" w:hAnsi="Courier New" w:cs="Courier New"/>
    </w:rPr>
  </w:style>
  <w:style w:type="character" w:styleId="WW8Num5z0">
    <w:name w:val="WW8Num5z0"/>
    <w:qFormat/>
    <w:rPr>
      <w:rFonts w:ascii="Symbol" w:hAnsi="Symbol" w:cs="Symbol"/>
      <w:color w:val="008000"/>
      <w:sz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color w:val="008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Symbol" w:hAnsi="Symbol" w:cs="Symbol"/>
      <w:color w:val="008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color w:val="008000"/>
    </w:rPr>
  </w:style>
  <w:style w:type="character" w:styleId="WW8Num12z1">
    <w:name w:val="WW8Num12z1"/>
    <w:qFormat/>
    <w:rPr>
      <w:rFonts w:ascii="Wingdings" w:hAnsi="Wingdings" w:cs="Wingdings"/>
      <w:b/>
      <w:color w:val="008000"/>
    </w:rPr>
  </w:style>
  <w:style w:type="character" w:styleId="WW8Num13z1">
    <w:name w:val="WW8Num13z1"/>
    <w:qFormat/>
    <w:rPr>
      <w:rFonts w:ascii="Symbol" w:hAnsi="Symbol" w:cs="Symbol"/>
    </w:rPr>
  </w:style>
  <w:style w:type="character" w:styleId="WW8Num14z0">
    <w:name w:val="WW8Num14z0"/>
    <w:qFormat/>
    <w:rPr>
      <w:b/>
      <w:bCs/>
    </w:rPr>
  </w:style>
  <w:style w:type="character" w:styleId="WW8Num15z0">
    <w:name w:val="WW8Num15z0"/>
    <w:qFormat/>
    <w:rPr>
      <w:rFonts w:ascii="Calibri" w:hAnsi="Calibri" w:cs="Calibri"/>
    </w:rPr>
  </w:style>
  <w:style w:type="character" w:styleId="WW8Num15z1">
    <w:name w:val="WW8Num15z1"/>
    <w:qFormat/>
    <w:rPr>
      <w:b/>
    </w:rPr>
  </w:style>
  <w:style w:type="character" w:styleId="WW8Num15z2">
    <w:name w:val="WW8Num15z2"/>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color w:val="008000"/>
      <w:sz w:val="1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008000"/>
    </w:rPr>
  </w:style>
  <w:style w:type="character" w:styleId="WW8Num19z1">
    <w:name w:val="WW8Num19z1"/>
    <w:qFormat/>
    <w:rPr>
      <w:color w:val="008000"/>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rFonts w:ascii="Arial" w:hAnsi="Arial" w:eastAsia="Calibri" w:cs="Arial"/>
      <w:b w:val="false"/>
      <w:color w:val="000000"/>
      <w:sz w:val="20"/>
    </w:rPr>
  </w:style>
  <w:style w:type="character" w:styleId="WW8Num24z1">
    <w:name w:val="WW8Num24z1"/>
    <w:qFormat/>
    <w:rPr>
      <w:rFonts w:ascii="Courier New" w:hAnsi="Courier New" w:cs="Courier New"/>
    </w:rPr>
  </w:style>
  <w:style w:type="character" w:styleId="WW8Num25z1">
    <w:name w:val="WW8Num25z1"/>
    <w:qFormat/>
    <w:rPr>
      <w:rFonts w:ascii="Symbol" w:hAnsi="Symbol" w:cs="Symbol"/>
    </w:rPr>
  </w:style>
  <w:style w:type="character" w:styleId="WW8Num27z0">
    <w:name w:val="WW8Num27z0"/>
    <w:qFormat/>
    <w:rPr>
      <w:b/>
      <w:lang w:val="tr-TR"/>
    </w:rPr>
  </w:style>
  <w:style w:type="character" w:styleId="WW8Num27z1">
    <w:name w:val="WW8Num27z1"/>
    <w:qFormat/>
    <w:rPr>
      <w:lang w:val="tr-TR"/>
    </w:rPr>
  </w:style>
  <w:style w:type="character" w:styleId="WW8Num28z0">
    <w:name w:val="WW8Num28z0"/>
    <w:qFormat/>
    <w:rPr>
      <w:rFonts w:ascii="Symbol" w:hAnsi="Symbol" w:cs="Symbol"/>
      <w:color w:val="008000"/>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1">
    <w:name w:val="WW8Num29z1"/>
    <w:qFormat/>
    <w:rPr>
      <w:rFonts w:ascii="Symbol" w:hAnsi="Symbol" w:cs="Symbol"/>
    </w:rPr>
  </w:style>
  <w:style w:type="character" w:styleId="WW8Num30z0">
    <w:name w:val="WW8Num30z0"/>
    <w:qFormat/>
    <w:rPr>
      <w:rFonts w:ascii="Symbol" w:hAnsi="Symbol" w:cs="Symbol"/>
      <w:color w:val="00800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b w:val="false"/>
      <w:sz w:val="24"/>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Arial" w:hAnsi="Arial" w:eastAsia="Calibri" w:cs="Arial"/>
    </w:rPr>
  </w:style>
  <w:style w:type="character" w:styleId="WW8Num34z0">
    <w:name w:val="WW8Num34z0"/>
    <w:qFormat/>
    <w:rPr>
      <w:rFonts w:ascii="Symbol" w:hAnsi="Symbol" w:cs="Symbol"/>
      <w:color w:val="008000"/>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St16z0">
    <w:name w:val="WW8NumSt16z0"/>
    <w:qFormat/>
    <w:rPr>
      <w:rFonts w:ascii="Times New Roman" w:hAnsi="Times New Roman" w:cs="Times New Roman"/>
      <w:sz w:val="36"/>
    </w:rPr>
  </w:style>
  <w:style w:type="character" w:styleId="WW8NumSt19z0">
    <w:name w:val="WW8NumSt19z0"/>
    <w:qFormat/>
    <w:rPr>
      <w:rFonts w:ascii="Times New Roman" w:hAnsi="Times New Roman" w:cs="Times New Roman"/>
      <w:sz w:val="40"/>
    </w:rPr>
  </w:style>
  <w:style w:type="character" w:styleId="WW8NumSt20z0">
    <w:name w:val="WW8NumSt20z0"/>
    <w:qFormat/>
    <w:rPr>
      <w:rFonts w:ascii="Verdana" w:hAnsi="Verdana" w:cs="Verdana"/>
      <w:color w:val="0000FF"/>
      <w:sz w:val="40"/>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8"/>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vkk.gov.t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2026-10-06T21:18:00Z</dcterms:modified>
  <cp:revision>38</cp:revision>
  <dc:subject/>
  <dc:title>         </dc:title>
</cp:coreProperties>
</file>