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</w:pPr>
      <w:r>
        <w:rPr>
          <w:b/>
          <w:bCs/>
          <w:color w:val="1B1B1F"/>
          <w:sz w:val="40"/>
          <w:szCs w:val="40"/>
        </w:rPr>
        <w:t xml:space="preserve">Почему разработчики ошибаются в оценках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Исследование 80 709 задач из трёх независимых источников: что предсказуемо в ошибке оценки, а что нет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Данные: </w:t>
      </w:r>
      <w:hyperlink w:history="1" r:id="rIdfw9_ruozd3bfstn0rbwzl">
        <w:r>
          <w:rPr>
            <w:rStyle w:val="Hyperlink"/>
            <w:color w:val="1B1B1F"/>
            <w:sz w:val="21"/>
            <w:szCs w:val="21"/>
          </w:rPr>
          <w:t xml:space="preserve">Derek Jones — Software estimation datasets</w:t>
        </w:r>
      </w:hyperlink>
      <w:r>
        <w:rPr>
          <w:color w:val="1B1B1F"/>
          <w:sz w:val="21"/>
          <w:szCs w:val="21"/>
        </w:rPr>
        <w:t xml:space="preserve"> Код: </w:t>
      </w:r>
      <w:hyperlink w:history="1" r:id="rIdxqix13wnrkia-nvhasvde">
        <w:r>
          <w:rPr>
            <w:rStyle w:val="Hyperlink"/>
            <w:color w:val="1B1B1F"/>
            <w:sz w:val="21"/>
            <w:szCs w:val="21"/>
          </w:rPr>
          <w:t xml:space="preserve">`src/analysis.py`</w:t>
        </w:r>
      </w:hyperlink>
      <w:r>
        <w:rPr>
          <w:color w:val="1B1B1F"/>
          <w:sz w:val="21"/>
          <w:szCs w:val="21"/>
        </w:rPr>
        <w:t xml:space="preserve"> · Ноутбук: </w:t>
      </w:r>
      <w:hyperlink w:history="1" r:id="rId4hqnhlv0z5ky5bm_6zfyc">
        <w:r>
          <w:rPr>
            <w:rStyle w:val="Hyperlink"/>
            <w:color w:val="1B1B1F"/>
            <w:sz w:val="21"/>
            <w:szCs w:val="21"/>
          </w:rPr>
          <w:t xml:space="preserve">`notebooks/`</w:t>
        </w:r>
      </w:hyperlink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Резюме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Центральный вопрос проекта: </w:t>
      </w:r>
      <w:r>
        <w:rPr>
          <w:b/>
          <w:bCs/>
          <w:color w:val="1B1B1F"/>
          <w:sz w:val="21"/>
          <w:szCs w:val="21"/>
        </w:rPr>
        <w:t xml:space="preserve">можно ли предсказать, что задача будет недооценена, и какие факторы объясняют ошибку оценки?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Короткий ответ: </w:t>
      </w:r>
      <w:r>
        <w:rPr>
          <w:b/>
          <w:bCs/>
          <w:color w:val="1B1B1F"/>
          <w:sz w:val="21"/>
          <w:szCs w:val="21"/>
        </w:rPr>
        <w:t xml:space="preserve">предсказуема не задача, а обстоятельства.</w:t>
      </w:r>
      <w:r>
        <w:rPr>
          <w:color w:val="1B1B1F"/>
          <w:sz w:val="21"/>
          <w:szCs w:val="21"/>
        </w:rPr>
        <w:t xml:space="preserve"> Модель, знающая только оценку разработчика, предсказывает недооценку на уровне подбрасывания монеты (ROC-AUC 0.49). Как только добавляется контекст — кто, какой проект, какая фаза — AUC поднимается до 0.71. В самой оценке информации о её ошибке нет.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Из семи проверяемых гипотез </w:t>
      </w:r>
      <w:r>
        <w:rPr>
          <w:b/>
          <w:bCs/>
          <w:color w:val="1B1B1F"/>
          <w:sz w:val="21"/>
          <w:szCs w:val="21"/>
        </w:rPr>
        <w:t xml:space="preserve">три опровергнуты</w:t>
      </w:r>
      <w:r>
        <w:rPr>
          <w:color w:val="1B1B1F"/>
          <w:sz w:val="21"/>
          <w:szCs w:val="21"/>
        </w:rPr>
        <w:t xml:space="preserve">, включая обе самые популярные.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RQ</w:t>
            </w:r>
          </w:p>
        </w:tc>
        <w:tc>
          <w:tcPr>
            <w:tcW w:type="dxa" w:w="2621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гипотеза</w:t>
            </w:r>
          </w:p>
        </w:tc>
        <w:tc>
          <w:tcPr>
            <w:tcW w:type="dxa" w:w="2621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вердикт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RQ1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Разработчики систематически недооценивают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опровергнута</w:t>
            </w:r>
            <w:r>
              <w:rPr>
                <w:color w:val="1B1B1F"/>
                <w:sz w:val="18"/>
                <w:szCs w:val="18"/>
              </w:rPr>
              <w:t xml:space="preserve"> — в агрегате переоценка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RQ2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Крупные задачи недооценивают сильнее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опровергнута, знак обратный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RQ3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Точность зависит от исполнителя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подтверждена в CESAW (R² 0.10), не в SiP (0.03)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RQ4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Проект объясняет часть вариации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подтверждена, эффект мал (0.03)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RQ5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Тип работы влияет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подтверждена, эффект мал (0.04)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RQ6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Прерывания связаны с ошибкой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подтверждена, сильнейший фактор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RQ7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Круглые оценки менее точны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не подтверждена</w:t>
            </w:r>
            <w:r>
              <w:rPr>
                <w:color w:val="1B1B1F"/>
                <w:sz w:val="18"/>
                <w:szCs w:val="18"/>
              </w:rPr>
              <w:t xml:space="preserve"> — конфаундер</w:t>
            </w:r>
          </w:p>
        </w:tc>
      </w:tr>
    </w:tbl>
    <w:p>
      <w:pPr>
        <w:spacing w:after="200"/>
      </w:pP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1. Данные и метод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3182"/>
        <w:gridCol w:w="1544"/>
        <w:gridCol w:w="1544"/>
        <w:gridCol w:w="1544"/>
        <w:gridCol w:w="1546"/>
      </w:tblGrid>
      <w:tr>
        <w:trPr>
          <w:tblHeader/>
        </w:trPr>
        <w:tc>
          <w:tcPr>
            <w:tcW w:type="dxa" w:w="3182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датасет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задач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единицы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546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роль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CESAW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60 284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минуты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2008–2017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основной: 247 человек, 45 проектов, есть прерывания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SiP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10 266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часы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2004–2014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валидация на другой организации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Renzo Pomodoro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10 159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помидоры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2009–2019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валидация на одном человеке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color w:val="1B1B1F"/>
          <w:sz w:val="21"/>
          <w:szCs w:val="21"/>
        </w:rPr>
        <w:t xml:space="preserve">CESAW выбран основным: достаточно данных для неигрушечного ML, и, в отличие от PROMISE/COCOMO (где строка — целый проект), здесь есть пара estimate → actual на уровне </w:t>
      </w:r>
      <w:r>
        <w:rPr>
          <w:b/>
          <w:bCs/>
          <w:color w:val="1B1B1F"/>
          <w:sz w:val="21"/>
          <w:szCs w:val="21"/>
        </w:rPr>
        <w:t xml:space="preserve">отдельной задачи</w:t>
      </w:r>
      <w:r>
        <w:rPr>
          <w:color w:val="1B1B1F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Всё считается в логарифмах.</w:t>
      </w:r>
      <w:r>
        <w:rPr>
          <w:color w:val="1B1B1F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actual/estimate</w:t>
      </w:r>
      <w:r>
        <w:rPr>
          <w:color w:val="1B1B1F"/>
          <w:sz w:val="21"/>
          <w:szCs w:val="21"/>
        </w:rPr>
        <w:t xml:space="preserve"> — положительная скошенная величина (максимум ×298). В логах ошибки «в 2 раза дольше» и «в 2 раза быстрее» симметричны, среднее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log_ratio</w:t>
      </w:r>
      <w:r>
        <w:rPr>
          <w:color w:val="1B1B1F"/>
          <w:sz w:val="21"/>
          <w:szCs w:val="21"/>
        </w:rPr>
        <w:t xml:space="preserve"> = логарифм геометрического среднего, а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exp(MAE_log)</w:t>
      </w:r>
      <w:r>
        <w:rPr>
          <w:color w:val="1B1B1F"/>
          <w:sz w:val="21"/>
          <w:szCs w:val="21"/>
        </w:rPr>
        <w:t xml:space="preserve"> читается как «типичная ошибка в N раз».</w:t>
      </w:r>
    </w:p>
    <w:p>
      <w:pPr>
        <w:pStyle w:val="Heading2"/>
        <w:spacing w:after="120" w:before="240"/>
      </w:pPr>
      <w:r>
        <w:rPr>
          <w:b/>
          <w:bCs/>
          <w:color w:val="2B6CB0"/>
          <w:sz w:val="25"/>
          <w:szCs w:val="25"/>
        </w:rPr>
        <w:t xml:space="preserve">Что означает одна строка — и почему это заняло больше времени, чем ML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Описание CESAW заявляет «203 621 наблюдение». Это </w:t>
      </w:r>
      <w:r>
        <w:rPr>
          <w:b/>
          <w:bCs/>
          <w:color w:val="1B1B1F"/>
          <w:sz w:val="21"/>
          <w:szCs w:val="21"/>
        </w:rPr>
        <w:t xml:space="preserve">не задачи</w:t>
      </w:r>
      <w:r>
        <w:rPr>
          <w:color w:val="1B1B1F"/>
          <w:sz w:val="21"/>
          <w:szCs w:val="21"/>
        </w:rPr>
        <w:t xml:space="preserve">: архив содержит две таблицы — 61 817 задач и 203 621 </w:t>
      </w:r>
      <w:r>
        <w:rPr>
          <w:i/>
          <w:iCs/>
          <w:color w:val="1B1B1F"/>
          <w:sz w:val="21"/>
          <w:szCs w:val="21"/>
        </w:rPr>
        <w:t xml:space="preserve">сеанс работы</w:t>
      </w:r>
      <w:r>
        <w:rPr>
          <w:color w:val="1B1B1F"/>
          <w:sz w:val="21"/>
          <w:szCs w:val="21"/>
        </w:rPr>
        <w:t xml:space="preserve"> (включение таймера). Связь между ними не документирована. Ключ восстановлен перебором: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4118"/>
        <w:gridCol w:w="5242"/>
      </w:tblGrid>
      <w:tr>
        <w:trPr>
          <w:tblHeader/>
        </w:trPr>
        <w:tc>
          <w:tcPr>
            <w:tcW w:type="dxa" w:w="4118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проверенный ключ</w:t>
            </w:r>
          </w:p>
        </w:tc>
        <w:tc>
          <w:tcPr>
            <w:tcW w:type="dxa" w:w="5242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групп из 61 817 строк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color w:val="8A3B1F"/>
                <w:sz w:val="18"/>
                <w:szCs w:val="18"/>
              </w:rPr>
              <w:t xml:space="preserve">(project, wbs, plan_item)</w:t>
            </w:r>
          </w:p>
        </w:tc>
        <w:tc>
          <w:tcPr>
            <w:tcW w:type="dxa" w:w="524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51 582 — не уникален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color w:val="8A3B1F"/>
                <w:sz w:val="18"/>
                <w:szCs w:val="18"/>
              </w:rPr>
              <w:t xml:space="preserve">+ phase</w:t>
            </w:r>
          </w:p>
        </w:tc>
        <w:tc>
          <w:tcPr>
            <w:tcW w:type="dxa" w:w="524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51 582 — не уникален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color w:val="8A3B1F"/>
                <w:sz w:val="18"/>
                <w:szCs w:val="18"/>
              </w:rPr>
              <w:t xml:space="preserve">+ phase, person</w:t>
            </w:r>
          </w:p>
        </w:tc>
        <w:tc>
          <w:tcPr>
            <w:tcW w:type="dxa" w:w="524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61 817 — уникален</w:t>
            </w:r>
            <w:r>
              <w:rPr>
                <w:color w:val="1B1B1F"/>
                <w:sz w:val="18"/>
                <w:szCs w:val="18"/>
              </w:rPr>
              <w:t xml:space="preserve"> ✔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color w:val="1B1B1F"/>
          <w:sz w:val="21"/>
          <w:szCs w:val="21"/>
        </w:rPr>
        <w:t xml:space="preserve">Подтверждение, а не совпадение: агрегация сеансов по этому ключу воспроизводит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task_actual_time_minutes</w:t>
      </w:r>
      <w:r>
        <w:rPr>
          <w:color w:val="1B1B1F"/>
          <w:sz w:val="21"/>
          <w:szCs w:val="21"/>
        </w:rPr>
        <w:t xml:space="preserve"> для </w:t>
      </w:r>
      <w:r>
        <w:rPr>
          <w:b/>
          <w:bCs/>
          <w:color w:val="1B1B1F"/>
          <w:sz w:val="21"/>
          <w:szCs w:val="21"/>
        </w:rPr>
        <w:t xml:space="preserve">99.3 %</w:t>
      </w:r>
      <w:r>
        <w:rPr>
          <w:color w:val="1B1B1F"/>
          <w:sz w:val="21"/>
          <w:szCs w:val="21"/>
        </w:rPr>
        <w:t xml:space="preserve"> задач.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Аналогичная ловушка в SiP: 12 299 строк, но 10 266 задач — многолюдные задачи записаны несколькими строками с </w:t>
      </w:r>
      <w:r>
        <w:rPr>
          <w:b/>
          <w:bCs/>
          <w:color w:val="1B1B1F"/>
          <w:sz w:val="21"/>
          <w:szCs w:val="21"/>
        </w:rPr>
        <w:t xml:space="preserve">продублированными</w:t>
      </w:r>
      <w:r>
        <w:rPr>
          <w:color w:val="1B1B1F"/>
          <w:sz w:val="21"/>
          <w:szCs w:val="21"/>
        </w:rPr>
        <w:t xml:space="preserve"> оценкой и фактом. Без дедупликации крупные задачи получают вес ×2–×5.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Полный журнал решений об очистке —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results/01_cleaning_log.csv</w:t>
      </w:r>
      <w:r>
        <w:rPr>
          <w:color w:val="1B1B1F"/>
          <w:sz w:val="21"/>
          <w:szCs w:val="21"/>
        </w:rPr>
        <w:t xml:space="preserve">.</w:t>
      </w: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2. Ловушка, которую надо снять до любого моделирования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У 8 % задач CESAW, 34 % SiP и 44 % Renzo факт в точности равен оценке.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76"/>
          <w:sz w:val="17"/>
          <w:szCs w:val="17"/>
        </w:rPr>
        <w:t xml:space="preserve">Артефакт точных совпадений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Это не идеальные оценки. Доля точных совпадений падает с ~60 % на получасовых задачах до ~1 % на многодневных: списать время «по плану» легко на короткой задаче и невозможно на длинной. Это учётная практика.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Почему это критично: baseline «факт = оценка» получает на этих строках нулевую ошибку бесплатно, и по медианным метрикам его становится почти невозможно побить. Поэтому все ключевые результаты считаются </w:t>
      </w:r>
      <w:r>
        <w:rPr>
          <w:b/>
          <w:bCs/>
          <w:color w:val="1B1B1F"/>
          <w:sz w:val="21"/>
          <w:szCs w:val="21"/>
        </w:rPr>
        <w:t xml:space="preserve">дважды</w:t>
      </w:r>
      <w:r>
        <w:rPr>
          <w:color w:val="1B1B1F"/>
          <w:sz w:val="21"/>
          <w:szCs w:val="21"/>
        </w:rPr>
        <w:t xml:space="preserve"> — на всех данных и на подвыборке без точных совпадений.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Именно поэтому CESAW (8 %) — более честная основа, чем SiP (34 %).</w:t>
      </w: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3. RQ1–RQ2: систематической недооценки нет, есть регрессия к среднему</w:t>
      </w:r>
    </w:p>
    <w:p>
      <w:pPr>
        <w:pStyle w:val="Heading2"/>
        <w:spacing w:after="120" w:before="240"/>
      </w:pPr>
      <w:r>
        <w:rPr>
          <w:b/>
          <w:bCs/>
          <w:color w:val="2B6CB0"/>
          <w:sz w:val="25"/>
          <w:szCs w:val="25"/>
        </w:rPr>
        <w:t xml:space="preserve">RQ1 — гипотеза опровергнута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</w:p>
        </w:tc>
        <w:tc>
          <w:tcPr>
            <w:tcW w:type="dxa" w:w="2059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CESAW</w:t>
            </w:r>
          </w:p>
        </w:tc>
        <w:tc>
          <w:tcPr>
            <w:tcW w:type="dxa" w:w="2059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SiP</w:t>
            </w:r>
          </w:p>
        </w:tc>
        <w:tc>
          <w:tcPr>
            <w:tcW w:type="dxa" w:w="20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Renzo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N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55 393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6 767</w:t>
            </w:r>
          </w:p>
        </w:tc>
        <w:tc>
          <w:tcPr>
            <w:tcW w:type="dxa" w:w="2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5 703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доля недооценённых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42.4 %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45.6 %</w:t>
            </w:r>
          </w:p>
        </w:tc>
        <w:tc>
          <w:tcPr>
            <w:tcW w:type="dxa" w:w="2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49.1 %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геом. среднее </w:t>
            </w:r>
            <w:r>
              <w:rPr>
                <w:rFonts w:ascii="Consolas" w:cs="Consolas" w:eastAsia="Consolas" w:hAnsi="Consolas"/>
                <w:color w:val="8A3B1F"/>
                <w:sz w:val="18"/>
                <w:szCs w:val="18"/>
              </w:rPr>
              <w:t xml:space="preserve">actual/estimate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0.799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0.860</w:t>
            </w:r>
          </w:p>
        </w:tc>
        <w:tc>
          <w:tcPr>
            <w:tcW w:type="dxa" w:w="2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0.947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p (</w:t>
            </w:r>
            <w:r>
              <w:rPr>
                <w:rFonts w:ascii="Consolas" w:cs="Consolas" w:eastAsia="Consolas" w:hAnsi="Consolas"/>
                <w:color w:val="8A3B1F"/>
                <w:sz w:val="18"/>
                <w:szCs w:val="18"/>
              </w:rPr>
              <w:t xml:space="preserve">log_ratio</w:t>
            </w:r>
            <w:r>
              <w:rPr>
                <w:color w:val="1B1B1F"/>
                <w:sz w:val="18"/>
                <w:szCs w:val="18"/>
              </w:rPr>
              <w:t xml:space="preserve"> vs 0)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&lt; 1e−300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4e−32</w:t>
            </w:r>
          </w:p>
        </w:tc>
        <w:tc>
          <w:tcPr>
            <w:tcW w:type="dxa" w:w="2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8e−7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color w:val="1B1B1F"/>
          <w:sz w:val="21"/>
          <w:szCs w:val="21"/>
        </w:rPr>
        <w:t xml:space="preserve">Во всех трёх источниках смещение направлено </w:t>
      </w:r>
      <w:r>
        <w:rPr>
          <w:b/>
          <w:bCs/>
          <w:color w:val="1B1B1F"/>
          <w:sz w:val="21"/>
          <w:szCs w:val="21"/>
        </w:rPr>
        <w:t xml:space="preserve">в сторону переоценки</w:t>
      </w:r>
      <w:r>
        <w:rPr>
          <w:color w:val="1B1B1F"/>
          <w:sz w:val="21"/>
          <w:szCs w:val="21"/>
        </w:rPr>
        <w:t xml:space="preserve">. Фольклор «умножай на два» ошибается не в величине, а в знаке.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Любопытная деталь по Renzo: знаковый тест не отвергает 50 % (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p = 0.20</w:t>
      </w:r>
      <w:r>
        <w:rPr>
          <w:color w:val="1B1B1F"/>
          <w:sz w:val="21"/>
          <w:szCs w:val="21"/>
        </w:rPr>
        <w:t xml:space="preserve">), а t-тест на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log_ratio</w:t>
      </w:r>
      <w:r>
        <w:rPr>
          <w:color w:val="1B1B1F"/>
          <w:sz w:val="21"/>
          <w:szCs w:val="21"/>
        </w:rPr>
        <w:t xml:space="preserve"> отвергает (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p = 8e−7</w:t>
      </w:r>
      <w:r>
        <w:rPr>
          <w:color w:val="1B1B1F"/>
          <w:sz w:val="21"/>
          <w:szCs w:val="21"/>
        </w:rPr>
        <w:t xml:space="preserve">). Противоречия нет — задачи превышают оценку примерно в половине случаев, но по величине превышения меньше занижений. Человек откалиброван по частоте, но не по величине.</w:t>
      </w:r>
    </w:p>
    <w:p>
      <w:pPr>
        <w:pStyle w:val="Heading2"/>
        <w:spacing w:after="120" w:before="240"/>
      </w:pPr>
      <w:r>
        <w:rPr>
          <w:b/>
          <w:bCs/>
          <w:color w:val="2B6CB0"/>
          <w:sz w:val="25"/>
          <w:szCs w:val="25"/>
        </w:rPr>
        <w:t xml:space="preserve">RQ2 — гипотеза опровергнута, знак обратный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76"/>
          <w:sz w:val="17"/>
          <w:szCs w:val="17"/>
        </w:rPr>
        <w:t xml:space="preserve">Эффект размера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2621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CESAW</w:t>
            </w:r>
          </w:p>
        </w:tc>
        <w:tc>
          <w:tcPr>
            <w:tcW w:type="dxa" w:w="2621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SiP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≤ 0.5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×0.98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×1.30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0.5–1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×0.76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×1.18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1–2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×0.70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×1.10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2–4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×0.68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×0.97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4–8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×0.67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×0.82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8–16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×0.67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×0.75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&gt; 16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×0.57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×0.51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color w:val="1B1B1F"/>
          <w:sz w:val="21"/>
          <w:szCs w:val="21"/>
        </w:rPr>
        <w:t xml:space="preserve">Наклон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log_ratio ~ log_est</w:t>
      </w:r>
      <w:r>
        <w:rPr>
          <w:color w:val="1B1B1F"/>
          <w:sz w:val="21"/>
          <w:szCs w:val="21"/>
        </w:rPr>
        <w:t xml:space="preserve"> отрицателен везде: CESAW −0.169, SiP −0.240, Renzo −0.805, все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p &lt; 1e−140</w:t>
      </w:r>
      <w:r>
        <w:rPr>
          <w:color w:val="1B1B1F"/>
          <w:sz w:val="21"/>
          <w:szCs w:val="21"/>
        </w:rPr>
        <w:t xml:space="preserve">. Механизм — </w:t>
      </w:r>
      <w:r>
        <w:rPr>
          <w:b/>
          <w:bCs/>
          <w:color w:val="1B1B1F"/>
          <w:sz w:val="21"/>
          <w:szCs w:val="21"/>
        </w:rPr>
        <w:t xml:space="preserve">регрессия к среднему</w:t>
      </w:r>
      <w:r>
        <w:rPr>
          <w:color w:val="1B1B1F"/>
          <w:sz w:val="21"/>
          <w:szCs w:val="21"/>
        </w:rPr>
        <w:t xml:space="preserve">: оценка это шумный сигнал, и экстремальные оценки в обе стороны стягиваются к типичной длительности задачи.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В SiP смещение буквально меняет знак (×1.30 → ×0.51). В CESAW знак не меняется, но тренд тот же. У одного человека (Renzo) наклон в 3–5 раз круче: без организационного усреднения эффект виден ярче всего.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76"/>
          <w:sz w:val="17"/>
          <w:szCs w:val="17"/>
        </w:rPr>
        <w:t xml:space="preserve">Воспроизводимость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Практический вывод:</w:t>
      </w:r>
      <w:r>
        <w:rPr>
          <w:color w:val="1B1B1F"/>
          <w:sz w:val="21"/>
          <w:szCs w:val="21"/>
        </w:rPr>
        <w:t xml:space="preserve"> единый «коэффициент запаса» на команду вреден — он ошибается в разные стороны на разных задачах. Калибровать надо по размеру: мелкое умножать, крупное делить.</w:t>
      </w: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4. RQ3–RQ5: значимо ≠ важно, и главный фактор зависит от организации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Наивный R² обманчив: у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person</w:t>
      </w:r>
      <w:r>
        <w:rPr>
          <w:color w:val="1B1B1F"/>
          <w:sz w:val="21"/>
          <w:szCs w:val="21"/>
        </w:rPr>
        <w:t xml:space="preserve"> в CESAW 246 уровней, то есть 246 дамми-переменных. Поэтому считаем скорректированный и </w:t>
      </w:r>
      <w:r>
        <w:rPr>
          <w:b/>
          <w:bCs/>
          <w:color w:val="1B1B1F"/>
          <w:sz w:val="21"/>
          <w:szCs w:val="21"/>
        </w:rPr>
        <w:t xml:space="preserve">out-of-sample</w:t>
      </w:r>
      <w:r>
        <w:rPr>
          <w:color w:val="1B1B1F"/>
          <w:sz w:val="21"/>
          <w:szCs w:val="21"/>
        </w:rPr>
        <w:t xml:space="preserve"> R² (5-фолдовая CV) — последний нельзя накрутить числом уровней.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3182"/>
        <w:gridCol w:w="1544"/>
        <w:gridCol w:w="1544"/>
        <w:gridCol w:w="1544"/>
        <w:gridCol w:w="1546"/>
      </w:tblGrid>
      <w:tr>
        <w:trPr>
          <w:tblHeader/>
        </w:trPr>
        <w:tc>
          <w:tcPr>
            <w:tcW w:type="dxa" w:w="3182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CESAW: R²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R² скорр.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R² out-of-sample</w:t>
            </w:r>
          </w:p>
        </w:tc>
        <w:tc>
          <w:tcPr>
            <w:tcW w:type="dxa" w:w="1546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SiP: R² out-of-sample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исполнитель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0.112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0.108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0.103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0.026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фаза / тип работы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0.044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0.042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0.040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0.023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проект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0.032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0.031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0.030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0.012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размер задачи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0.021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0.021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0.021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0.080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все факторы вместе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0.182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0.176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0.170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0.137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9436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76"/>
          <w:sz w:val="17"/>
          <w:szCs w:val="17"/>
        </w:rPr>
        <w:t xml:space="preserve">Смещение по факторам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Два вывода.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Доминирующий фактор различается между организациями.</w:t>
      </w:r>
      <w:r>
        <w:rPr>
          <w:color w:val="1B1B1F"/>
          <w:sz w:val="21"/>
          <w:szCs w:val="21"/>
        </w:rPr>
        <w:t xml:space="preserve"> В CESAW сильнее всего исполнитель (10 % дисперсии; эффект переживает и корректировку, и кросс-валидацию — значит настоящий). В SiP наоборот: исполнитель почти ничего не даёт, а размер задачи объясняет 8 %. Переносить «у нас главное — кто оценивает» между компаниями нельзя: это свойство организации, а не разработки как таковой.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Потолок низкий.</w:t>
      </w:r>
      <w:r>
        <w:rPr>
          <w:color w:val="1B1B1F"/>
          <w:sz w:val="21"/>
          <w:szCs w:val="21"/>
        </w:rPr>
        <w:t xml:space="preserve"> Все наблюдаемые факторы вместе объясняют 17 % дисперсии в CESAW и 14 % в SiP. То есть </w:t>
      </w:r>
      <w:r>
        <w:rPr>
          <w:b/>
          <w:bCs/>
          <w:color w:val="1B1B1F"/>
          <w:sz w:val="21"/>
          <w:szCs w:val="21"/>
        </w:rPr>
        <w:t xml:space="preserve">83–86 % дисперсии ошибки оценки не объясняется ничем из того, что записано в данных.</w:t>
      </w:r>
      <w:r>
        <w:rPr>
          <w:color w:val="1B1B1F"/>
          <w:sz w:val="21"/>
          <w:szCs w:val="21"/>
        </w:rPr>
        <w:t xml:space="preserve"> Отсюда прямо следует раздел 7: точечный прогноз обречён, и правильный продукт — интервал.</w:t>
      </w: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5. RQ6: фрагментация работы — сильнейший найденный фактор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76"/>
          <w:sz w:val="17"/>
          <w:szCs w:val="17"/>
        </w:rPr>
        <w:t xml:space="preserve">Прерывания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размер задачи</w:t>
            </w:r>
          </w:p>
        </w:tc>
        <w:tc>
          <w:tcPr>
            <w:tcW w:type="dxa" w:w="2621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без прерываний</w:t>
            </w:r>
          </w:p>
        </w:tc>
        <w:tc>
          <w:tcPr>
            <w:tcW w:type="dxa" w:w="2621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были прерывания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≤ 0.5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×0.92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×2.01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0.5–1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×0.68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×1.50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1–2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×0.59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×1.25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2–4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×0.53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×1.11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4–8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×0.50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×1.00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8–16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×0.47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×0.96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&gt; 16 ч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×0.37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×0.75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color w:val="1B1B1F"/>
          <w:sz w:val="21"/>
          <w:szCs w:val="21"/>
        </w:rPr>
        <w:t xml:space="preserve">Эффект </w:t>
      </w:r>
      <w:r>
        <w:rPr>
          <w:b/>
          <w:bCs/>
          <w:color w:val="1B1B1F"/>
          <w:sz w:val="21"/>
          <w:szCs w:val="21"/>
        </w:rPr>
        <w:t xml:space="preserve">сохраняется внутри каждой группы по размеру</w:t>
      </w:r>
      <w:r>
        <w:rPr>
          <w:color w:val="1B1B1F"/>
          <w:sz w:val="21"/>
          <w:szCs w:val="21"/>
        </w:rPr>
        <w:t xml:space="preserve"> и по величине превосходит всё, что дали RQ3–RQ5: прерванные задачи перерасходуют примерно вдвое сильнее. То же по числу рабочих сеансов — от ×0.59 при одном сеансе до ×2.37 при более чем шестнадцати.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Но выводы отсюда ограничены дважды.</w:t>
      </w:r>
      <w:r>
        <w:rPr>
          <w:color w:val="1B1B1F"/>
          <w:sz w:val="21"/>
          <w:szCs w:val="21"/>
        </w:rPr>
        <w:t xml:space="preserve"> Направление причинности не установлено: прерывания могут удлинять задачу, а могут быть </w:t>
      </w:r>
      <w:r>
        <w:rPr>
          <w:i/>
          <w:iCs/>
          <w:color w:val="1B1B1F"/>
          <w:sz w:val="21"/>
          <w:szCs w:val="21"/>
        </w:rPr>
        <w:t xml:space="preserve">следствием</w:t>
      </w:r>
      <w:r>
        <w:rPr>
          <w:color w:val="1B1B1F"/>
          <w:sz w:val="21"/>
          <w:szCs w:val="21"/>
        </w:rPr>
        <w:t xml:space="preserve"> того, что задача оказалась тяжелее и растянулась на много дней. И для прогноза это бесполезно: в момент оценки прерываний ещё нет, поэтому в признаки модели они не вошли.</w:t>
      </w: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6. RQ7: как разваливается красивая гипотеза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Исходная работа по CESAW отмечает склонность к круглым числам как фактор точности. Сырое сравнение подтверждает: круглые оценки дают ×0.77, некруглые ×0.83.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76"/>
          <w:sz w:val="17"/>
          <w:szCs w:val="17"/>
        </w:rPr>
        <w:t xml:space="preserve">Круглые числа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Но медианная круглая оценка — 1 час, а некруглая — 0.72 часа. </w:t>
      </w:r>
      <w:r>
        <w:rPr>
          <w:b/>
          <w:bCs/>
          <w:color w:val="1B1B1F"/>
          <w:sz w:val="21"/>
          <w:szCs w:val="21"/>
        </w:rPr>
        <w:t xml:space="preserve">Круглые оценки просто чаще ставят на более крупные задачи</w:t>
      </w:r>
      <w:r>
        <w:rPr>
          <w:color w:val="1B1B1F"/>
          <w:sz w:val="21"/>
          <w:szCs w:val="21"/>
        </w:rPr>
        <w:t xml:space="preserve">, а крупные задачи по RQ2 переоцениваются. При сравнении внутри групп по размеру направление эффекта перестаёт быть последовательным: в одних группах круглые оценки точнее, в других хуже.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Наблюдаемый эффект объясняется размером задачи, а не «округлостью».</w:t>
      </w:r>
      <w:r>
        <w:rPr>
          <w:color w:val="1B1B1F"/>
          <w:sz w:val="21"/>
          <w:szCs w:val="21"/>
        </w:rPr>
        <w:t xml:space="preserve"> Конфаундер здесь — размер, и он коррелирует почти со всем в этих данных.</w:t>
      </w: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7. Машинное обучение</w:t>
      </w:r>
    </w:p>
    <w:p>
      <w:pPr>
        <w:pStyle w:val="Heading2"/>
        <w:spacing w:after="120" w:before="240"/>
      </w:pPr>
      <w:r>
        <w:rPr>
          <w:b/>
          <w:bCs/>
          <w:color w:val="2B6CB0"/>
          <w:sz w:val="25"/>
          <w:szCs w:val="25"/>
        </w:rPr>
        <w:t xml:space="preserve">7.1 Стратегия разбиения меняет выводы сильнее выбора модели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Данные содержат повторные наблюдения по людям и проектам. Случайное разбиение позволяет модели увидеть того же человека в том же проекте и в train, и в test.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3182"/>
        <w:gridCol w:w="1544"/>
        <w:gridCol w:w="1544"/>
        <w:gridCol w:w="1544"/>
        <w:gridCol w:w="1546"/>
      </w:tblGrid>
      <w:tr>
        <w:trPr>
          <w:tblHeader/>
        </w:trPr>
        <w:tc>
          <w:tcPr>
            <w:tcW w:type="dxa" w:w="3182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стратегия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что проверяет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выигрыш RMSE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ROC-AUC</w:t>
            </w:r>
          </w:p>
        </w:tc>
        <w:tc>
          <w:tcPr>
            <w:tcW w:type="dxa" w:w="1546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PR-AUC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A. Случайное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базовая обучаемость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18.5 %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0.775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0.688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B. Новые проекты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перенос на новый проект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12.7 %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0.738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0.648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C. Временное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прогноз будущего по прошлому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10.2 %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0.709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0.556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color w:val="1B1B1F"/>
          <w:sz w:val="21"/>
          <w:szCs w:val="21"/>
        </w:rPr>
        <w:t xml:space="preserve">Отчёт по случайному сплиту завысил бы всё. Дальше везде используется </w:t>
      </w:r>
      <w:r>
        <w:rPr>
          <w:b/>
          <w:bCs/>
          <w:color w:val="1B1B1F"/>
          <w:sz w:val="21"/>
          <w:szCs w:val="21"/>
        </w:rPr>
        <w:t xml:space="preserve">C</w:t>
      </w:r>
      <w:r>
        <w:rPr>
          <w:color w:val="1B1B1F"/>
          <w:sz w:val="21"/>
          <w:szCs w:val="21"/>
        </w:rPr>
        <w:t xml:space="preserve"> — единственная стратегия, соответствующая реальному сценарию.</w:t>
      </w:r>
    </w:p>
    <w:p>
      <w:pPr>
        <w:pStyle w:val="Heading2"/>
        <w:spacing w:after="120" w:before="240"/>
      </w:pPr>
      <w:r>
        <w:rPr>
          <w:b/>
          <w:bCs/>
          <w:color w:val="2B6CB0"/>
          <w:sz w:val="25"/>
          <w:szCs w:val="25"/>
        </w:rPr>
        <w:t xml:space="preserve">7.2 Регрессия: предсказать величину ошибки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Предсказываем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log_ratio</w:t>
      </w:r>
      <w:r>
        <w:rPr>
          <w:color w:val="1B1B1F"/>
          <w:sz w:val="21"/>
          <w:szCs w:val="21"/>
        </w:rPr>
        <w:t xml:space="preserve"> (поправку к оценке), а не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log(actual)</w:t>
      </w:r>
      <w:r>
        <w:rPr>
          <w:color w:val="1B1B1F"/>
          <w:sz w:val="21"/>
          <w:szCs w:val="21"/>
        </w:rPr>
        <w:t xml:space="preserve"> — так оценка разработчика остаётся опорной точкой.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3182"/>
        <w:gridCol w:w="1235"/>
        <w:gridCol w:w="1235"/>
        <w:gridCol w:w="1235"/>
        <w:gridCol w:w="1235"/>
        <w:gridCol w:w="1238"/>
      </w:tblGrid>
      <w:tr>
        <w:trPr>
          <w:tblHeader/>
        </w:trPr>
        <w:tc>
          <w:tcPr>
            <w:tcW w:type="dxa" w:w="3182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235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MAE_log</w:t>
            </w:r>
          </w:p>
        </w:tc>
        <w:tc>
          <w:tcPr>
            <w:tcW w:type="dxa" w:w="1235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типичная ошибка</w:t>
            </w:r>
          </w:p>
        </w:tc>
        <w:tc>
          <w:tcPr>
            <w:tcW w:type="dxa" w:w="1235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RMSE_log</w:t>
            </w:r>
          </w:p>
        </w:tc>
        <w:tc>
          <w:tcPr>
            <w:tcW w:type="dxa" w:w="1235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MdMRE</w:t>
            </w:r>
          </w:p>
        </w:tc>
        <w:tc>
          <w:tcPr>
            <w:tcW w:type="dxa" w:w="1238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PRED(25)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константа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1.242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×3.46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1.569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0.808</w:t>
            </w:r>
          </w:p>
        </w:tc>
        <w:tc>
          <w:tcPr>
            <w:tcW w:type="dxa" w:w="1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0.133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B0: факт = оценка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0.694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×2.00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1.053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0.408</w:t>
            </w:r>
          </w:p>
        </w:tc>
        <w:tc>
          <w:tcPr>
            <w:tcW w:type="dxa" w:w="1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0.390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B1: глобальный ×0.80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0.729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×2.07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1.041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0.405</w:t>
            </w:r>
          </w:p>
        </w:tc>
        <w:tc>
          <w:tcPr>
            <w:tcW w:type="dxa" w:w="1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0.383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B2: лог-линейная калибровка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0.750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×2.12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1.045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0.452</w:t>
            </w:r>
          </w:p>
        </w:tc>
        <w:tc>
          <w:tcPr>
            <w:tcW w:type="dxa" w:w="1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0.297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M1: Ridge + признаки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0.739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×2.09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1.003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0.547</w:t>
            </w:r>
          </w:p>
        </w:tc>
        <w:tc>
          <w:tcPr>
            <w:tcW w:type="dxa" w:w="1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0.249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M2: Gradient Boosting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0.673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×1.96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0.946</w:t>
            </w:r>
          </w:p>
        </w:tc>
        <w:tc>
          <w:tcPr>
            <w:tcW w:type="dxa" w:w="123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0.429</w:t>
            </w:r>
          </w:p>
        </w:tc>
        <w:tc>
          <w:tcPr>
            <w:tcW w:type="dxa" w:w="12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0.331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2B6CB0"/>
          <w:sz w:val="25"/>
          <w:szCs w:val="25"/>
        </w:rPr>
        <w:t xml:space="preserve">7.3 Классификация: предсказать сам факт недооценки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Base rate на тесте — 35.7 %, поэтому accuracy малоинформативна; смотрим PR-AUC.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3182"/>
        <w:gridCol w:w="1029"/>
        <w:gridCol w:w="1029"/>
        <w:gridCol w:w="1029"/>
        <w:gridCol w:w="1029"/>
        <w:gridCol w:w="1029"/>
        <w:gridCol w:w="1033"/>
      </w:tblGrid>
      <w:tr>
        <w:trPr>
          <w:tblHeader/>
        </w:trPr>
        <w:tc>
          <w:tcPr>
            <w:tcW w:type="dxa" w:w="3182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029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accuracy</w:t>
            </w:r>
          </w:p>
        </w:tc>
        <w:tc>
          <w:tcPr>
            <w:tcW w:type="dxa" w:w="1029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precision</w:t>
            </w:r>
          </w:p>
        </w:tc>
        <w:tc>
          <w:tcPr>
            <w:tcW w:type="dxa" w:w="1029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recall</w:t>
            </w:r>
          </w:p>
        </w:tc>
        <w:tc>
          <w:tcPr>
            <w:tcW w:type="dxa" w:w="1029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F1</w:t>
            </w:r>
          </w:p>
        </w:tc>
        <w:tc>
          <w:tcPr>
            <w:tcW w:type="dxa" w:w="1029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ROC-AUC</w:t>
            </w:r>
          </w:p>
        </w:tc>
        <w:tc>
          <w:tcPr>
            <w:tcW w:type="dxa" w:w="1033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PR-AUC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Baseline: доля класса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0.643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0.000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0.000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0.000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0.500</w:t>
            </w:r>
          </w:p>
        </w:tc>
        <w:tc>
          <w:tcPr>
            <w:tcW w:type="dxa" w:w="103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0.357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Логистическая регрессия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0.680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0.596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0.328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0.423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0.693</w:t>
            </w:r>
          </w:p>
        </w:tc>
        <w:tc>
          <w:tcPr>
            <w:tcW w:type="dxa" w:w="103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0.548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Дерево решений (depth=6)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0.670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0.560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0.359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0.438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0.663</w:t>
            </w:r>
          </w:p>
        </w:tc>
        <w:tc>
          <w:tcPr>
            <w:tcW w:type="dxa" w:w="103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0.503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0.696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0.692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0.268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0.386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0.735</w:t>
            </w:r>
          </w:p>
        </w:tc>
        <w:tc>
          <w:tcPr>
            <w:tcW w:type="dxa" w:w="103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0.595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Gradient Boosting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0.680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0.596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0.324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0.419</w:t>
            </w:r>
          </w:p>
        </w:tc>
        <w:tc>
          <w:tcPr>
            <w:tcW w:type="dxa" w:w="1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0.709</w:t>
            </w:r>
          </w:p>
        </w:tc>
        <w:tc>
          <w:tcPr>
            <w:tcW w:type="dxa" w:w="103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0.556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943600" cy="189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76"/>
          <w:sz w:val="17"/>
          <w:szCs w:val="17"/>
        </w:rPr>
        <w:t xml:space="preserve">Классификация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Random Forest оказался лучше бустинга и по ROC-AUC, и по PR-AUC — усложнение модели не всегда окупается. Recall низкий (0.27): при пороге 0.5 модель находит лишь четверть недооценённых задач, зато с точностью 0.69. Порог, разумеется, настраивается под цену ошибки.</w:t>
      </w:r>
    </w:p>
    <w:p>
      <w:pPr>
        <w:pStyle w:val="Heading2"/>
        <w:spacing w:after="120" w:before="240"/>
      </w:pPr>
      <w:r>
        <w:rPr>
          <w:b/>
          <w:bCs/>
          <w:color w:val="2B6CB0"/>
          <w:sz w:val="25"/>
          <w:szCs w:val="25"/>
        </w:rPr>
        <w:t xml:space="preserve">7.4 Главный эксперимент: откуда берётся предсказательная сила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76"/>
          <w:sz w:val="17"/>
          <w:szCs w:val="17"/>
        </w:rPr>
        <w:t xml:space="preserve">Абляция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3182"/>
        <w:gridCol w:w="1544"/>
        <w:gridCol w:w="1544"/>
        <w:gridCol w:w="1544"/>
        <w:gridCol w:w="1546"/>
      </w:tblGrid>
      <w:tr>
        <w:trPr>
          <w:tblHeader/>
        </w:trPr>
        <w:tc>
          <w:tcPr>
            <w:tcW w:type="dxa" w:w="3182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набор признаков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MAE_log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RMSE_log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ROC-AUC</w:t>
            </w:r>
          </w:p>
        </w:tc>
        <w:tc>
          <w:tcPr>
            <w:tcW w:type="dxa" w:w="1546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PR-AUC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только оценка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0.766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1.055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0.492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0.348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+ контекст (проект / фаза / человек)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0.689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0.963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0.692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0.539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+ история (leak-free)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0.673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0.946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0.709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0.556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i/>
          <w:iCs/>
          <w:color w:val="1B1B1F"/>
          <w:sz w:val="21"/>
          <w:szCs w:val="21"/>
        </w:rPr>
        <w:t xml:space="preserve">(B0 «факт = оценка»: MAE_log 0.694, RMSE_log 1.053)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Это ключевой результат проекта.</w:t>
      </w:r>
      <w:r>
        <w:rPr>
          <w:color w:val="1B1B1F"/>
          <w:sz w:val="21"/>
          <w:szCs w:val="21"/>
        </w:rPr>
        <w:t xml:space="preserve"> Модель, знающая только оценку, предсказывает недооценку с ROC-AUC 0.49 — </w:t>
      </w:r>
      <w:r>
        <w:rPr>
          <w:b/>
          <w:bCs/>
          <w:color w:val="1B1B1F"/>
          <w:sz w:val="21"/>
          <w:szCs w:val="21"/>
        </w:rPr>
        <w:t xml:space="preserve">не лучше монетки</w:t>
      </w:r>
      <w:r>
        <w:rPr>
          <w:color w:val="1B1B1F"/>
          <w:sz w:val="21"/>
          <w:szCs w:val="21"/>
        </w:rPr>
        <w:t xml:space="preserve">, и по MAE она хуже, чем просто поверить оценке.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Иначе говоря: </w:t>
      </w:r>
      <w:r>
        <w:rPr>
          <w:i/>
          <w:iCs/>
          <w:color w:val="1B1B1F"/>
          <w:sz w:val="21"/>
          <w:szCs w:val="21"/>
        </w:rPr>
        <w:t xml:space="preserve">в самой оценке нет информации о том, ошибочна ли она.</w:t>
      </w:r>
      <w:r>
        <w:rPr>
          <w:color w:val="1B1B1F"/>
          <w:sz w:val="21"/>
          <w:szCs w:val="21"/>
        </w:rPr>
        <w:t xml:space="preserve"> Разработчик не «немного знает» о своей ошибке — он не знает о ней ничего.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Вся предсказательная сила появляется вместе с контекстом. Ответ на RQ8: </w:t>
      </w:r>
      <w:r>
        <w:rPr>
          <w:b/>
          <w:bCs/>
          <w:color w:val="1B1B1F"/>
          <w:sz w:val="21"/>
          <w:szCs w:val="21"/>
        </w:rPr>
        <w:t xml:space="preserve">предсказать недооценку можно, но не по оценке — по обстоятельствам.</w:t>
      </w:r>
    </w:p>
    <w:p>
      <w:pPr>
        <w:pStyle w:val="Heading2"/>
        <w:spacing w:after="120" w:before="240"/>
      </w:pPr>
      <w:r>
        <w:rPr>
          <w:b/>
          <w:bCs/>
          <w:color w:val="2B6CB0"/>
          <w:sz w:val="25"/>
          <w:szCs w:val="25"/>
        </w:rPr>
        <w:t xml:space="preserve">7.5 Исторические признаки без утечек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Самый ценный признак — «насколько этот человек ошибался раньше». Наивный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groupby(person).log_ratio.mean()</w:t>
      </w:r>
      <w:r>
        <w:rPr>
          <w:color w:val="1B1B1F"/>
          <w:sz w:val="21"/>
          <w:szCs w:val="21"/>
        </w:rPr>
        <w:t xml:space="preserve"> использовал бы будущее. Правильно — расширяющееся среднее со сдвигом на шаг в хронологическом порядке. Отсутствие утечки проверяется автоматически: у первой задачи каждого исполнителя история обязана быть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NaN</w:t>
      </w:r>
      <w:r>
        <w:rPr>
          <w:color w:val="1B1B1F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Вклад скромный (AUC 0.692 → 0.709), и показательно, что </w:t>
      </w:r>
      <w:r>
        <w:rPr>
          <w:i/>
          <w:iCs/>
          <w:color w:val="1B1B1F"/>
          <w:sz w:val="21"/>
          <w:szCs w:val="21"/>
        </w:rPr>
        <w:t xml:space="preserve">недавняя</w:t>
      </w:r>
      <w:r>
        <w:rPr>
          <w:color w:val="1B1B1F"/>
          <w:sz w:val="21"/>
          <w:szCs w:val="21"/>
        </w:rPr>
        <w:t xml:space="preserve"> точность (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person_recent_lr</w:t>
      </w:r>
      <w:r>
        <w:rPr>
          <w:color w:val="1B1B1F"/>
          <w:sz w:val="21"/>
          <w:szCs w:val="21"/>
        </w:rPr>
        <w:t xml:space="preserve">, скользящее окно 10 задач) работает заметно лучше, чем накопленная за всё время: поведение оценщика дрейфует.</w:t>
      </w: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8. Объяснимость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380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76"/>
          <w:sz w:val="17"/>
          <w:szCs w:val="17"/>
        </w:rPr>
        <w:t xml:space="preserve">SHAP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Permutation importance и SHAP согласуются: доминируют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log_est</w:t>
      </w:r>
      <w:r>
        <w:rPr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person</w:t>
      </w:r>
      <w:r>
        <w:rPr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person_recent_lr</w:t>
      </w:r>
      <w:r>
        <w:rPr>
          <w:color w:val="1B1B1F"/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phase_short_name</w:t>
      </w:r>
      <w:r>
        <w:rPr>
          <w:color w:val="1B1B1F"/>
          <w:sz w:val="21"/>
          <w:szCs w:val="21"/>
        </w:rPr>
        <w:t xml:space="preserve">.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is_round</w:t>
      </w:r>
      <w:r>
        <w:rPr>
          <w:color w:val="1B1B1F"/>
          <w:sz w:val="21"/>
          <w:szCs w:val="21"/>
        </w:rPr>
        <w:t xml:space="preserve"> не даёт ничего — независимое подтверждение вердикта по RQ7.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person_hist_lr</w:t>
      </w:r>
      <w:r>
        <w:rPr>
          <w:color w:val="1B1B1F"/>
          <w:sz w:val="21"/>
          <w:szCs w:val="21"/>
        </w:rPr>
        <w:t xml:space="preserve"> (накопленная история) уступает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person_recent_lr</w:t>
      </w:r>
      <w:r>
        <w:rPr>
          <w:color w:val="1B1B1F"/>
          <w:sz w:val="21"/>
          <w:szCs w:val="21"/>
        </w:rPr>
        <w:t xml:space="preserve"> (недавняя) — ещё одно свидетельство дрейфа.</w:t>
      </w:r>
    </w:p>
    <w:p>
      <w:pPr>
        <w:pStyle w:val="Heading2"/>
        <w:spacing w:after="120" w:before="240"/>
      </w:pPr>
      <w:r>
        <w:rPr>
          <w:b/>
          <w:bCs/>
          <w:color w:val="2B6CB0"/>
          <w:sz w:val="25"/>
          <w:szCs w:val="25"/>
        </w:rPr>
        <w:t xml:space="preserve">Где модель ошибается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3182"/>
        <w:gridCol w:w="1544"/>
        <w:gridCol w:w="1544"/>
        <w:gridCol w:w="1544"/>
        <w:gridCol w:w="1546"/>
      </w:tblGrid>
      <w:tr>
        <w:trPr>
          <w:tblHeader/>
        </w:trPr>
        <w:tc>
          <w:tcPr>
            <w:tcW w:type="dxa" w:w="3182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размер задачи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N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B0 MAE_log</w:t>
            </w:r>
          </w:p>
        </w:tc>
        <w:tc>
          <w:tcPr>
            <w:tcW w:type="dxa" w:w="1544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GBM MAE_log</w:t>
            </w:r>
          </w:p>
        </w:tc>
        <w:tc>
          <w:tcPr>
            <w:tcW w:type="dxa" w:w="1546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выигрыш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≤ 0.5 ч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5 618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0.660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0.642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+2.7 %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0.5–1 ч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3 341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0.706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0.679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+3.8 %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1–2 ч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2 558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0.761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0.719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+5.5 %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2–4 ч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1 676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0.783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0.732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+6.6 %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4–8 ч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1 064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0.677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0.671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+0.9 %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8–16 ч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644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0.538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0.600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−11.6 %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&gt; 16 ч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170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0.442</w:t>
            </w:r>
          </w:p>
        </w:tc>
        <w:tc>
          <w:tcPr>
            <w:tcW w:type="dxa" w:w="154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0.604</w:t>
            </w:r>
          </w:p>
        </w:tc>
        <w:tc>
          <w:tcPr>
            <w:tcW w:type="dxa" w:w="154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−36.6 %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943600" cy="225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76"/>
          <w:sz w:val="17"/>
          <w:szCs w:val="17"/>
        </w:rPr>
        <w:t xml:space="preserve">Разбор ошибок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На крупных задачах модель проигрывает baseline, и заметно.</w:t>
      </w:r>
      <w:r>
        <w:rPr>
          <w:color w:val="1B1B1F"/>
          <w:sz w:val="21"/>
          <w:szCs w:val="21"/>
        </w:rPr>
        <w:t xml:space="preserve"> Причина видна по столбцу N: крупных задач мало, а разброс на них максимален. Модель тянет прогноз к типичному поведению и систематически их занижает (среднее смещение −0.24).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Практический вывод: применять модель осмысленно только на мелких и средних задачах, а на крупных честнее оставить оценку разработчика. Общая цифра «выигрыш 10 %» без этой разбивки вводила бы в заблуждение.</w:t>
      </w: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9. Что можно реально отдать команде</w:t>
      </w:r>
    </w:p>
    <w:p>
      <w:pPr>
        <w:pStyle w:val="Heading2"/>
        <w:spacing w:after="120" w:before="240"/>
      </w:pPr>
      <w:r>
        <w:rPr>
          <w:b/>
          <w:bCs/>
          <w:color w:val="2B6CB0"/>
          <w:sz w:val="25"/>
          <w:szCs w:val="25"/>
        </w:rPr>
        <w:t xml:space="preserve">Персональная калибровка работает наполовину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2621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MAE_log</w:t>
            </w:r>
          </w:p>
        </w:tc>
        <w:tc>
          <w:tcPr>
            <w:tcW w:type="dxa" w:w="2621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RMSE_log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B0: факт = оценка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0.694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1.053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персональный коэффициент (≥5 прошлых задач)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0.716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0.997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персональный коэффициент (≥20 прошлых задач)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0.716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0.999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глобальный коэффициент ×0.80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0.729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1.041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Gradient Boosting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0.673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0.946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color w:val="1B1B1F"/>
          <w:sz w:val="21"/>
          <w:szCs w:val="21"/>
        </w:rPr>
        <w:t xml:space="preserve">Персональный коэффициент улучшает RMSE, но </w:t>
      </w:r>
      <w:r>
        <w:rPr>
          <w:b/>
          <w:bCs/>
          <w:color w:val="1B1B1F"/>
          <w:sz w:val="21"/>
          <w:szCs w:val="21"/>
        </w:rPr>
        <w:t xml:space="preserve">ухудшает MAE</w:t>
      </w:r>
      <w:r>
        <w:rPr>
          <w:color w:val="1B1B1F"/>
          <w:sz w:val="21"/>
          <w:szCs w:val="21"/>
        </w:rPr>
        <w:t xml:space="preserve">: помогает на выбросах, вредит на типичной задаче. Порог истории ничего не меняет — дело не в объёме данных, а в том, что персональное смещение объясняет слишком мало (RQ3).</w:t>
      </w:r>
    </w:p>
    <w:p>
      <w:pPr>
        <w:pStyle w:val="Heading2"/>
        <w:spacing w:after="120" w:before="240"/>
      </w:pPr>
      <w:r>
        <w:rPr>
          <w:b/>
          <w:bCs/>
          <w:color w:val="2B6CB0"/>
          <w:sz w:val="25"/>
          <w:szCs w:val="25"/>
        </w:rPr>
        <w:t xml:space="preserve">Интервал вместо числа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Если 83–86 % дисперсии нередуцируемы, точечный прогноз бессмысленен. Строим квантильную регрессию (10 % и 90 % квантили 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log_ratio</w:t>
      </w:r>
      <w:r>
        <w:rPr>
          <w:color w:val="1B1B1F"/>
          <w:sz w:val="21"/>
          <w:szCs w:val="21"/>
        </w:rPr>
        <w:t xml:space="preserve">) и калибруем методом </w:t>
      </w:r>
      <w:r>
        <w:rPr>
          <w:b/>
          <w:bCs/>
          <w:color w:val="1B1B1F"/>
          <w:sz w:val="21"/>
          <w:szCs w:val="21"/>
        </w:rPr>
        <w:t xml:space="preserve">conformalized quantile regression</w:t>
      </w:r>
      <w:r>
        <w:rPr>
          <w:color w:val="1B1B1F"/>
          <w:sz w:val="21"/>
          <w:szCs w:val="21"/>
        </w:rPr>
        <w:t xml:space="preserve">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76"/>
          <w:sz w:val="17"/>
          <w:szCs w:val="17"/>
        </w:rPr>
        <w:t xml:space="preserve">Интервалы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</w:p>
        </w:tc>
        <w:tc>
          <w:tcPr>
            <w:tcW w:type="dxa" w:w="2621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покрытие</w:t>
            </w:r>
          </w:p>
        </w:tc>
        <w:tc>
          <w:tcPr>
            <w:tcW w:type="dxa" w:w="2621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медианная ширина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сырая квантильная регрессия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73.2 %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×6.1</w:t>
            </w:r>
          </w:p>
        </w:tc>
      </w:tr>
      <w:tr>
        <w:tc>
          <w:tcPr>
            <w:tcW w:type="dxa" w:w="41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после CQR-калибровки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78.3 %</w:t>
            </w:r>
          </w:p>
        </w:tc>
        <w:tc>
          <w:tcPr>
            <w:tcW w:type="dxa" w:w="262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×8.0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color w:val="1B1B1F"/>
          <w:sz w:val="21"/>
          <w:szCs w:val="21"/>
        </w:rPr>
        <w:t xml:space="preserve">Номинал — 80 %. Калибровка поднимает покрытие с 73 % до 78 %, но </w:t>
      </w:r>
      <w:r>
        <w:rPr>
          <w:b/>
          <w:bCs/>
          <w:color w:val="1B1B1F"/>
          <w:sz w:val="21"/>
          <w:szCs w:val="21"/>
        </w:rPr>
        <w:t xml:space="preserve">до номинала не дотягивает</w:t>
      </w:r>
      <w:r>
        <w:rPr>
          <w:color w:val="1B1B1F"/>
          <w:sz w:val="21"/>
          <w:szCs w:val="21"/>
        </w:rPr>
        <w:t xml:space="preserve">: обменность нарушена нестационарностью процесса. Заявлять ровно 80 % было бы неправдой.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Что на самом деле означает оценка разработчика</w:t>
      </w:r>
      <w:r>
        <w:rPr>
          <w:color w:val="1B1B1F"/>
          <w:sz w:val="21"/>
          <w:szCs w:val="21"/>
        </w:rPr>
        <w:t xml:space="preserve"> (80 %-й диапазон):</w:t>
      </w:r>
    </w:p>
    <w:tbl>
      <w:tblPr>
        <w:tblW w:type="dxa" w:w="9360"/>
        <w:tblBorders>
          <w:top w:val="single" w:color="D8D8E0" w:sz="4"/>
          <w:left w:val="single" w:color="D8D8E0" w:sz="4"/>
          <w:bottom w:val="single" w:color="D8D8E0" w:sz="4"/>
          <w:right w:val="single" w:color="D8D8E0" w:sz="4"/>
          <w:insideH w:val="single" w:color="D8D8E0" w:sz="2"/>
          <w:insideV w:val="single" w:color="D8D8E0" w:sz="2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059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нижняя граница</w:t>
            </w:r>
          </w:p>
        </w:tc>
        <w:tc>
          <w:tcPr>
            <w:tcW w:type="dxa" w:w="2059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верхняя граница</w:t>
            </w:r>
          </w:p>
        </w:tc>
        <w:tc>
          <w:tcPr>
            <w:tcW w:type="dxa" w:w="2060"/>
            <w:shd w:fill="EE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B1B1F"/>
                <w:sz w:val="18"/>
                <w:szCs w:val="18"/>
              </w:rPr>
              <w:t xml:space="preserve">фактическое покрытие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≤ 0.5 ч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×0.35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×3.0</w:t>
            </w:r>
          </w:p>
        </w:tc>
        <w:tc>
          <w:tcPr>
            <w:tcW w:type="dxa" w:w="2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0.79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0.5–1 ч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×0.30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×2.4</w:t>
            </w:r>
          </w:p>
        </w:tc>
        <w:tc>
          <w:tcPr>
            <w:tcW w:type="dxa" w:w="2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0.75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1–2 ч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×0.29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×2.15</w:t>
            </w:r>
          </w:p>
        </w:tc>
        <w:tc>
          <w:tcPr>
            <w:tcW w:type="dxa" w:w="2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0.75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2–4 ч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×0.26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×1.98</w:t>
            </w:r>
          </w:p>
        </w:tc>
        <w:tc>
          <w:tcPr>
            <w:tcW w:type="dxa" w:w="2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0.74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4–8 ч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×0.26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×2.06</w:t>
            </w:r>
          </w:p>
        </w:tc>
        <w:tc>
          <w:tcPr>
            <w:tcW w:type="dxa" w:w="2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0.72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color w:val="1B1B1F"/>
                <w:sz w:val="18"/>
                <w:szCs w:val="18"/>
              </w:rPr>
              <w:t xml:space="preserve">8–16 ч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×0.32</w:t>
            </w:r>
          </w:p>
        </w:tc>
        <w:tc>
          <w:tcPr>
            <w:tcW w:type="dxa" w:w="20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×1.71</w:t>
            </w:r>
          </w:p>
        </w:tc>
        <w:tc>
          <w:tcPr>
            <w:tcW w:type="dxa" w:w="2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color w:val="1B1B1F"/>
                <w:sz w:val="18"/>
                <w:szCs w:val="18"/>
              </w:rPr>
              <w:t xml:space="preserve">0.69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color w:val="1B1B1F"/>
          <w:sz w:val="21"/>
          <w:szCs w:val="21"/>
        </w:rPr>
        <w:t xml:space="preserve">Интервалы широкие — это не недостаток модели, а </w:t>
      </w:r>
      <w:r>
        <w:rPr>
          <w:b/>
          <w:bCs/>
          <w:color w:val="1B1B1F"/>
          <w:sz w:val="21"/>
          <w:szCs w:val="21"/>
        </w:rPr>
        <w:t xml:space="preserve">измеренное свойство предметной области</w:t>
      </w:r>
      <w:r>
        <w:rPr>
          <w:color w:val="1B1B1F"/>
          <w:sz w:val="21"/>
          <w:szCs w:val="21"/>
        </w:rPr>
        <w:t xml:space="preserve">.</w:t>
      </w: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10. Выводы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Об оценках: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«Идеальные оценки» надо проверять первыми.</w:t>
      </w:r>
      <w:r>
        <w:rPr>
          <w:color w:val="1B1B1F"/>
          <w:sz w:val="21"/>
          <w:szCs w:val="21"/>
        </w:rPr>
        <w:t xml:space="preserve"> Доля точных совпадений в разрезе размера задачи — бесплатный тест на здоровье данных. Падает с 60 % до 1 % — значит, вы измеряете дисциплину списания, а не точность.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Систематической недооценки нет — есть регрессия к среднему.</w:t>
      </w:r>
      <w:r>
        <w:rPr>
          <w:color w:val="1B1B1F"/>
          <w:sz w:val="21"/>
          <w:szCs w:val="21"/>
        </w:rPr>
        <w:t xml:space="preserve"> Воспроизводится на трёх независимых источниках с разными индустриями и единицами измерения.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Доминирующий фактор зависит от организации</w:t>
      </w:r>
      <w:r>
        <w:rPr>
          <w:color w:val="1B1B1F"/>
          <w:sz w:val="21"/>
          <w:szCs w:val="21"/>
        </w:rPr>
        <w:t xml:space="preserve"> (исполнитель в CESAW, размер задачи в SiP), но потолок везде низкий: 83–86 % дисперсии не объясняется ничем.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Фрагментация работы — сильнейший найденный фактор</w:t>
      </w:r>
      <w:r>
        <w:rPr>
          <w:color w:val="1B1B1F"/>
          <w:sz w:val="21"/>
          <w:szCs w:val="21"/>
        </w:rPr>
        <w:t xml:space="preserve"> (×2 внутри каждой группы по размеру), но причинность не установлена и для прогноза он недоступен.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Эффект круглых чисел не подтвердился</w:t>
      </w:r>
      <w:r>
        <w:rPr>
          <w:color w:val="1B1B1F"/>
          <w:sz w:val="21"/>
          <w:szCs w:val="21"/>
        </w:rPr>
        <w:t xml:space="preserve"> — это артефакт размера задачи.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О предсказуемости: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В самой оценке нет информации о её ошибке</w:t>
      </w:r>
      <w:r>
        <w:rPr>
          <w:color w:val="1B1B1F"/>
          <w:sz w:val="21"/>
          <w:szCs w:val="21"/>
        </w:rPr>
        <w:t xml:space="preserve"> (ROC-AUC 0.49). Предсказуемы обстоятельства, а не задача.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Стратегия разбиения меняет выводы сильнее выбора модели.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ML выигрывает на мелких и средних задачах и проигрывает на крупных.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Персональные коэффициенты работают наполовину.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Отдавать надо интервал — и честно сообщать, что он не дотягивает до номинала.</w:t>
      </w:r>
    </w:p>
    <w:p>
      <w:pPr>
        <w:spacing w:after="140" w:line="276"/>
      </w:pPr>
      <w:r>
        <w:rPr>
          <w:b/>
          <w:bCs/>
          <w:color w:val="1B1B1F"/>
          <w:sz w:val="21"/>
          <w:szCs w:val="21"/>
        </w:rPr>
        <w:t xml:space="preserve">Что делать команде: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B1B1F"/>
          <w:sz w:val="21"/>
          <w:szCs w:val="21"/>
        </w:rPr>
        <w:t xml:space="preserve">Проверить свой учёт до построения любых дашбордов точности.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B1B1F"/>
          <w:sz w:val="21"/>
          <w:szCs w:val="21"/>
        </w:rPr>
        <w:t xml:space="preserve">Отказаться от единого коэффициента запаса; калибровать по размеру задачи.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B1B1F"/>
          <w:sz w:val="21"/>
          <w:szCs w:val="21"/>
        </w:rPr>
        <w:t xml:space="preserve">Посчитать, что доминирует именно у вас — это одна таблица R², и она определяет, куда прикладывать усилия.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B1B1F"/>
          <w:sz w:val="21"/>
          <w:szCs w:val="21"/>
        </w:rPr>
        <w:t xml:space="preserve">Защищать фокус: фрагментация — единственный сильный управляемый фактор из найденных.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B1B1F"/>
          <w:sz w:val="21"/>
          <w:szCs w:val="21"/>
        </w:rPr>
        <w:t xml:space="preserve">Планировать интервалами. Оценка «4 часа» здесь означает 80 %-й диапазон примерно от часа до восьми.</w:t>
      </w: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11. Ограничения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Наблюдательные данные.</w:t>
      </w:r>
      <w:r>
        <w:rPr>
          <w:color w:val="1B1B1F"/>
          <w:sz w:val="21"/>
          <w:szCs w:val="21"/>
        </w:rPr>
        <w:t xml:space="preserve"> Неизвестно, влияла ли оценка на факт: разработчик мог подгонять работу под названный срок (self-fulfilling prophecy). Без эксперимента это неразделимо.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Survivorship bias.</w:t>
      </w:r>
      <w:r>
        <w:rPr>
          <w:color w:val="1B1B1F"/>
          <w:sz w:val="21"/>
          <w:szCs w:val="21"/>
        </w:rPr>
        <w:t xml:space="preserve"> Незакрытых и отменённых задач в датасетах нет; выводы, вероятно, смещены в оптимистичную сторону.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RQ6 не причинный.</w:t>
      </w:r>
      <w:r>
        <w:rPr>
          <w:color w:val="1B1B1F"/>
          <w:sz w:val="21"/>
          <w:szCs w:val="21"/>
        </w:rPr>
        <w:t xml:space="preserve"> Связь прерываний с перерасходом установлена, направление — нет.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Обменность для CQR нарушена</w:t>
      </w:r>
      <w:r>
        <w:rPr>
          <w:color w:val="1B1B1F"/>
          <w:sz w:val="21"/>
          <w:szCs w:val="21"/>
        </w:rPr>
        <w:t xml:space="preserve">, поэтому покрытие проверялось эмпирически на каждом окне (0.76–0.81) и не дотягивает до номинальных 80 %.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CESAW — специфическая среда</w:t>
      </w:r>
      <w:r>
        <w:rPr>
          <w:color w:val="1B1B1F"/>
          <w:sz w:val="21"/>
          <w:szCs w:val="21"/>
        </w:rPr>
        <w:t xml:space="preserve"> (формальный TSP-процесс, часть проектов safety-critical). SiP и Renzo подтверждают направление эффектов, но не величину.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1B1B1F"/>
          <w:sz w:val="21"/>
          <w:szCs w:val="21"/>
        </w:rPr>
        <w:t xml:space="preserve">Модель непригодна для крупных задач</w:t>
      </w:r>
      <w:r>
        <w:rPr>
          <w:color w:val="1B1B1F"/>
          <w:sz w:val="21"/>
          <w:szCs w:val="21"/>
        </w:rPr>
        <w:t xml:space="preserve"> — см. раздел 8.</w:t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12. Что дальше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B1B1F"/>
          <w:sz w:val="21"/>
          <w:szCs w:val="21"/>
        </w:rPr>
        <w:t xml:space="preserve">Иерархическая байесовская модель: частичный пулинг по исполнителю и фазе даст устойчивые оценки для редких категорий вместо шумных групповых средних — и, вероятно, починит провал на крупных задачах.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B1B1F"/>
          <w:sz w:val="21"/>
          <w:szCs w:val="21"/>
        </w:rPr>
        <w:t xml:space="preserve">Модель цензурированных наблюдений для незакрытых задач (снять survivorship bias).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B1B1F"/>
          <w:sz w:val="21"/>
          <w:szCs w:val="21"/>
        </w:rPr>
        <w:t xml:space="preserve">Агрегация на уровень спринта: гасят ли ошибки отдельных задач друг друга или складываются? Для планирования это главный вопрос, и данные CESAW позволяют его задать.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B1B1F"/>
          <w:sz w:val="21"/>
          <w:szCs w:val="21"/>
        </w:rPr>
        <w:t xml:space="preserve">Иерархия WBS (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wbs_parent.csv</w:t>
      </w:r>
      <w:r>
        <w:rPr>
          <w:color w:val="1B1B1F"/>
          <w:sz w:val="21"/>
          <w:szCs w:val="21"/>
        </w:rPr>
        <w:t xml:space="preserve">) осталась незадействованной.</w:t>
      </w:r>
    </w:p>
    <w:p>
      <w:pPr>
        <w:pBdr>
          <w:bottom w:val="single" w:color="D8D8E0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1B1B1F"/>
          <w:sz w:val="30"/>
          <w:szCs w:val="30"/>
        </w:rPr>
        <w:t xml:space="preserve">Воспроизведение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8A3B1F"/>
          <w:sz w:val="18"/>
          <w:szCs w:val="18"/>
        </w:rPr>
        <w:t xml:space="preserve">bash pip install -r requirements.txt python src/analysis.py        # ~2 минуты, пишет reports/figures/ и results/ </w:t>
      </w:r>
      <w:r>
        <w:rPr>
          <w:color w:val="1B1B1F"/>
          <w:sz w:val="21"/>
          <w:szCs w:val="21"/>
        </w:rPr>
        <w:t xml:space="preserve">``</w:t>
      </w:r>
    </w:p>
    <w:p>
      <w:pPr>
        <w:spacing w:after="140" w:line="276"/>
      </w:pPr>
      <w:r>
        <w:rPr>
          <w:color w:val="1B1B1F"/>
          <w:sz w:val="21"/>
          <w:szCs w:val="21"/>
        </w:rPr>
        <w:t xml:space="preserve">Или открыть </w:t>
      </w:r>
      <w:hyperlink w:history="1" r:id="rIdhyseq_bnpvigireczsz8_">
        <w:r>
          <w:rPr>
            <w:rStyle w:val="Hyperlink"/>
            <w:color w:val="1B1B1F"/>
            <w:sz w:val="21"/>
            <w:szCs w:val="21"/>
          </w:rPr>
          <w:t xml:space="preserve">ноутбук</w:t>
        </w:r>
      </w:hyperlink>
      <w:r>
        <w:rPr>
          <w:color w:val="1B1B1F"/>
          <w:sz w:val="21"/>
          <w:szCs w:val="21"/>
        </w:rPr>
        <w:t xml:space="preserve"> в Google Colab — данные скачиваются автоматически.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4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yperlink">
    <w:name w:val="Hyperlink"/>
    <w:basedOn w:val="Normal"/>
    <w:rPr>
      <w:color w:val="2B6CB0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w9_ruozd3bfstn0rbwzl" Type="http://schemas.openxmlformats.org/officeDocument/2006/relationships/hyperlink" Target="https://github.com/Derek-Jones/Software-estimation-datasets" TargetMode="External"/><Relationship Id="rIdxqix13wnrkia-nvhasvde" Type="http://schemas.openxmlformats.org/officeDocument/2006/relationships/hyperlink" Target="https://github.com/erdankud/dev_estimations_analysis/blob/main/src/analysis.py" TargetMode="External"/><Relationship Id="rId4hqnhlv0z5ky5bm_6zfyc" Type="http://schemas.openxmlformats.org/officeDocument/2006/relationships/hyperlink" Target="https://github.com/erdankud/dev_estimations_analysis/blob/main/notebooks/Dev_Estimations_Analysis.ipynb" TargetMode="External"/><Relationship Id="rIdhyseq_bnpvigireczsz8_" Type="http://schemas.openxmlformats.org/officeDocument/2006/relationships/hyperlink" Target="https://github.com/erdankud/dev_estimations_analysis/blob/main/notebooks/Dev_Estimations_Analysis.ipynb" TargetMode="External"/><Relationship Id="rId7" Type="http://schemas.openxmlformats.org/officeDocument/2006/relationships/image" Target="media/701229f4f7f22b616186112c19c2ed85f74a45b1.png"/><Relationship Id="rId8" Type="http://schemas.openxmlformats.org/officeDocument/2006/relationships/image" Target="media/509c9f21c88955f76186499ec4e169426122ead1.png"/><Relationship Id="rId9" Type="http://schemas.openxmlformats.org/officeDocument/2006/relationships/image" Target="media/f6b55be7c0f6cf9f280e450ecfa80f8015086ac2.png"/><Relationship Id="rId10" Type="http://schemas.openxmlformats.org/officeDocument/2006/relationships/image" Target="media/7987f534ce0734b6c9438b2cc492a8e1c21d2cee.png"/><Relationship Id="rId11" Type="http://schemas.openxmlformats.org/officeDocument/2006/relationships/image" Target="media/1722574abf51fae31ef8dc94dfd4c12b9945c84b.png"/><Relationship Id="rId12" Type="http://schemas.openxmlformats.org/officeDocument/2006/relationships/image" Target="media/52951b9581cffc00dbd9f49458c5465eb503d7a5.png"/><Relationship Id="rId13" Type="http://schemas.openxmlformats.org/officeDocument/2006/relationships/image" Target="media/1436dde30a827c448b6ca6edc32d08748f37da02.png"/><Relationship Id="rId14" Type="http://schemas.openxmlformats.org/officeDocument/2006/relationships/image" Target="media/6b11481f6ed48c6e4963612bf2380d86aa4cae8d.png"/><Relationship Id="rId15" Type="http://schemas.openxmlformats.org/officeDocument/2006/relationships/image" Target="media/24c004cc004ca01d782625b91b339183db03032d.png"/><Relationship Id="rId16" Type="http://schemas.openxmlformats.org/officeDocument/2006/relationships/image" Target="media/b26166258b003b719ceafae221bb7ddceeef498b.png"/><Relationship Id="rId17" Type="http://schemas.openxmlformats.org/officeDocument/2006/relationships/image" Target="media/29c0f51f78556371e885b210e8cfcdd7c86126b2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разработчики ошибаются в оценках</dc:title>
  <dc:creator>Dev Estimations Analysis</dc:creator>
  <dc:description>Исследование 80 709 задач из трёх независимых источников</dc:description>
  <cp:lastModifiedBy>Un-named</cp:lastModifiedBy>
  <cp:revision>1</cp:revision>
  <dcterms:created xsi:type="dcterms:W3CDTF">2026-09-06T03:30:14.369Z</dcterms:created>
  <dcterms:modified xsi:type="dcterms:W3CDTF">2026-09-06T03:30:14.369Z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