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b/>
          <w:bCs/>
          <w:color w:val="1B1B1F"/>
          <w:sz w:val="40"/>
          <w:szCs w:val="40"/>
        </w:rPr>
        <w:t xml:space="preserve">Why Software Estimates Are Wrong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What 80,709 tasks from three independent sources say about what is predictable in estimation error — and what is not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Data: </w:t>
      </w:r>
      <w:hyperlink w:history="1" r:id="rIdduuqryaquxsw3xt0humyf">
        <w:r>
          <w:rPr>
            <w:rStyle w:val="Hyperlink"/>
            <w:color w:val="1B1B1F"/>
            <w:sz w:val="21"/>
            <w:szCs w:val="21"/>
          </w:rPr>
          <w:t xml:space="preserve">Derek Jones — Software estimation datasets</w:t>
        </w:r>
      </w:hyperlink>
      <w:r>
        <w:rPr>
          <w:color w:val="1B1B1F"/>
          <w:sz w:val="21"/>
          <w:szCs w:val="21"/>
        </w:rPr>
        <w:t xml:space="preserve"> Code: </w:t>
      </w:r>
      <w:hyperlink w:history="1" r:id="rIdenorr3ujblftsfieadq5v">
        <w:r>
          <w:rPr>
            <w:rStyle w:val="Hyperlink"/>
            <w:color w:val="1B1B1F"/>
            <w:sz w:val="21"/>
            <w:szCs w:val="21"/>
          </w:rPr>
          <w:t xml:space="preserve">`src/analysis.py`</w:t>
        </w:r>
      </w:hyperlink>
      <w:r>
        <w:rPr>
          <w:color w:val="1B1B1F"/>
          <w:sz w:val="21"/>
          <w:szCs w:val="21"/>
        </w:rPr>
        <w:t xml:space="preserve"> · Notebook: </w:t>
      </w:r>
      <w:hyperlink w:history="1" r:id="rIdjwb41hf1uqvunehcc9xqs">
        <w:r>
          <w:rPr>
            <w:rStyle w:val="Hyperlink"/>
            <w:color w:val="1B1B1F"/>
            <w:sz w:val="21"/>
            <w:szCs w:val="21"/>
          </w:rPr>
          <w:t xml:space="preserve">`notebooks/`</w:t>
        </w:r>
      </w:hyperlink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Executive summary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central question: </w:t>
      </w:r>
      <w:r>
        <w:rPr>
          <w:b/>
          <w:bCs/>
          <w:color w:val="1B1B1F"/>
          <w:sz w:val="21"/>
          <w:szCs w:val="21"/>
        </w:rPr>
        <w:t xml:space="preserve">can we predict that a task will be underestimated, and what factors explain the estimation error?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short answer: </w:t>
      </w:r>
      <w:r>
        <w:rPr>
          <w:b/>
          <w:bCs/>
          <w:color w:val="1B1B1F"/>
          <w:sz w:val="21"/>
          <w:szCs w:val="21"/>
        </w:rPr>
        <w:t xml:space="preserve">what is predictable is not the task but the circumstances.</w:t>
      </w:r>
      <w:r>
        <w:rPr>
          <w:color w:val="1B1B1F"/>
          <w:sz w:val="21"/>
          <w:szCs w:val="21"/>
        </w:rPr>
        <w:t xml:space="preserve"> A model given only the developer's estimate predicts underestimation at coin-flip level (ROC-AUC 0.49). Add context — who, which project, which phase — and AUC rises to 0.71. The estimate carries no information about its own error.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Of seven testable hypotheses, </w:t>
      </w:r>
      <w:r>
        <w:rPr>
          <w:b/>
          <w:bCs/>
          <w:color w:val="1B1B1F"/>
          <w:sz w:val="21"/>
          <w:szCs w:val="21"/>
        </w:rPr>
        <w:t xml:space="preserve">three were refuted</w:t>
      </w:r>
      <w:r>
        <w:rPr>
          <w:color w:val="1B1B1F"/>
          <w:sz w:val="21"/>
          <w:szCs w:val="21"/>
        </w:rPr>
        <w:t xml:space="preserve">, including the two most popular ones.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4118"/>
        <w:gridCol w:w="2621"/>
        <w:gridCol w:w="2621"/>
      </w:tblGrid>
      <w:tr>
        <w:trPr>
          <w:tblHeader/>
        </w:trPr>
        <w:tc>
          <w:tcPr>
            <w:tcW w:type="dxa" w:w="4118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RQ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RQ1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Developers systematically underestimate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refuted</w:t>
            </w:r>
            <w:r>
              <w:rPr>
                <w:color w:val="1B1B1F"/>
                <w:sz w:val="18"/>
                <w:szCs w:val="18"/>
              </w:rPr>
              <w:t xml:space="preserve"> — the aggregate shows overestimation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RQ2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Larger tasks are underestimated more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refuted, opposite sign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RQ3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Accuracy depends on the person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supported in CESAW (R² 0.10), not in SiP (0.03)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RQ4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Project explains part of the variation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supported, small effect (0.03)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RQ5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Type of work matters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supported, small effect (0.04)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RQ6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Interruptions relate to the error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supported, the strongest factor found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RQ7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Round-number estimates are less accurate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not supported</w:t>
            </w:r>
            <w:r>
              <w:rPr>
                <w:color w:val="1B1B1F"/>
                <w:sz w:val="18"/>
                <w:szCs w:val="18"/>
              </w:rPr>
              <w:t xml:space="preserve"> — a confounder</w:t>
            </w:r>
          </w:p>
        </w:tc>
      </w:tr>
    </w:tbl>
    <w:p>
      <w:pPr>
        <w:spacing w:after="200"/>
      </w:pP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1. Data and method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1544"/>
        <w:gridCol w:w="1544"/>
        <w:gridCol w:w="1544"/>
        <w:gridCol w:w="1546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dataset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tasks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units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period</w:t>
            </w:r>
          </w:p>
        </w:tc>
        <w:tc>
          <w:tcPr>
            <w:tcW w:type="dxa" w:w="1546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CESAW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60,284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minutes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2008–2017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primary: 247 people, 45 projects, has interruptions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SiP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10,266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hours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2004–2014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validation on a different organisation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Renzo Pomodoro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10,159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pomodoros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2009–2019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validation on a single person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CESAW is the primary set: enough data for non-toy ML and, unlike PROMISE/COCOMO where a row is a whole project, it carries an estimate → actual pair for an </w:t>
      </w:r>
      <w:r>
        <w:rPr>
          <w:b/>
          <w:bCs/>
          <w:color w:val="1B1B1F"/>
          <w:sz w:val="21"/>
          <w:szCs w:val="21"/>
        </w:rPr>
        <w:t xml:space="preserve">individual task</w:t>
      </w:r>
      <w:r>
        <w:rPr>
          <w:color w:val="1B1B1F"/>
          <w:sz w:val="21"/>
          <w:szCs w:val="21"/>
        </w:rPr>
        <w:t xml:space="preserve">.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Everything is computed in log space.</w:t>
      </w:r>
      <w:r>
        <w:rPr>
          <w:color w:val="1B1B1F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actual/estimate</w:t>
      </w:r>
      <w:r>
        <w:rPr>
          <w:color w:val="1B1B1F"/>
          <w:sz w:val="21"/>
          <w:szCs w:val="21"/>
        </w:rPr>
        <w:t xml:space="preserve"> is a strictly positive, skewed quantity (maximum ×298). In logs, "twice as long" and "half as long" are symmetric, the mean of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log_ratio</w:t>
      </w:r>
      <w:r>
        <w:rPr>
          <w:color w:val="1B1B1F"/>
          <w:sz w:val="21"/>
          <w:szCs w:val="21"/>
        </w:rPr>
        <w:t xml:space="preserve"> is the log of the geometric mean, and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exp(MAE_log)</w:t>
      </w:r>
      <w:r>
        <w:rPr>
          <w:color w:val="1B1B1F"/>
          <w:sz w:val="21"/>
          <w:szCs w:val="21"/>
        </w:rPr>
        <w:t xml:space="preserve"> reads as "typically wrong by a factor of N".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What one row means — and why this took longer than the ML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CESAW description advertises "203,621 observations". Those are </w:t>
      </w:r>
      <w:r>
        <w:rPr>
          <w:b/>
          <w:bCs/>
          <w:color w:val="1B1B1F"/>
          <w:sz w:val="21"/>
          <w:szCs w:val="21"/>
        </w:rPr>
        <w:t xml:space="preserve">not tasks</w:t>
      </w:r>
      <w:r>
        <w:rPr>
          <w:color w:val="1B1B1F"/>
          <w:sz w:val="21"/>
          <w:szCs w:val="21"/>
        </w:rPr>
        <w:t xml:space="preserve">: the archive holds two tables — 61,817 tasks and 203,621 </w:t>
      </w:r>
      <w:r>
        <w:rPr>
          <w:i/>
          <w:iCs/>
          <w:color w:val="1B1B1F"/>
          <w:sz w:val="21"/>
          <w:szCs w:val="21"/>
        </w:rPr>
        <w:t xml:space="preserve">work sessions</w:t>
      </w:r>
      <w:r>
        <w:rPr>
          <w:color w:val="1B1B1F"/>
          <w:sz w:val="21"/>
          <w:szCs w:val="21"/>
        </w:rPr>
        <w:t xml:space="preserve"> (timer entries). The link between them is undocumented. The key was recovered by search: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key tested</w:t>
            </w:r>
          </w:p>
        </w:tc>
        <w:tc>
          <w:tcPr>
            <w:tcW w:type="dxa" w:w="524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groups out of 61,817 rows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8A3B1F"/>
                <w:sz w:val="18"/>
                <w:szCs w:val="18"/>
              </w:rPr>
              <w:t xml:space="preserve">(project, wbs, plan_item)</w:t>
            </w:r>
          </w:p>
        </w:tc>
        <w:tc>
          <w:tcPr>
            <w:tcW w:type="dxa" w:w="524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51,582 — not unique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8A3B1F"/>
                <w:sz w:val="18"/>
                <w:szCs w:val="18"/>
              </w:rPr>
              <w:t xml:space="preserve">+ phase</w:t>
            </w:r>
          </w:p>
        </w:tc>
        <w:tc>
          <w:tcPr>
            <w:tcW w:type="dxa" w:w="524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51,582 — not unique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8A3B1F"/>
                <w:sz w:val="18"/>
                <w:szCs w:val="18"/>
              </w:rPr>
              <w:t xml:space="preserve">+ phase, person</w:t>
            </w:r>
          </w:p>
        </w:tc>
        <w:tc>
          <w:tcPr>
            <w:tcW w:type="dxa" w:w="524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61,817 — unique</w:t>
            </w:r>
            <w:r>
              <w:rPr>
                <w:color w:val="1B1B1F"/>
                <w:sz w:val="18"/>
                <w:szCs w:val="18"/>
              </w:rPr>
              <w:t xml:space="preserve"> ✔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Confirmation rather than coincidence: aggregating sessions by that key reproduces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task_actual_time_minutes</w:t>
      </w:r>
      <w:r>
        <w:rPr>
          <w:color w:val="1B1B1F"/>
          <w:sz w:val="21"/>
          <w:szCs w:val="21"/>
        </w:rPr>
        <w:t xml:space="preserve"> for </w:t>
      </w:r>
      <w:r>
        <w:rPr>
          <w:b/>
          <w:bCs/>
          <w:color w:val="1B1B1F"/>
          <w:sz w:val="21"/>
          <w:szCs w:val="21"/>
        </w:rPr>
        <w:t xml:space="preserve">99.3%</w:t>
      </w:r>
      <w:r>
        <w:rPr>
          <w:color w:val="1B1B1F"/>
          <w:sz w:val="21"/>
          <w:szCs w:val="21"/>
        </w:rPr>
        <w:t xml:space="preserve"> of tasks.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A similar trap exists in SiP: 12,299 rows but 10,266 tasks — multi-person tasks are stored as several rows with </w:t>
      </w:r>
      <w:r>
        <w:rPr>
          <w:b/>
          <w:bCs/>
          <w:color w:val="1B1B1F"/>
          <w:sz w:val="21"/>
          <w:szCs w:val="21"/>
        </w:rPr>
        <w:t xml:space="preserve">duplicated</w:t>
      </w:r>
      <w:r>
        <w:rPr>
          <w:color w:val="1B1B1F"/>
          <w:sz w:val="21"/>
          <w:szCs w:val="21"/>
        </w:rPr>
        <w:t xml:space="preserve"> estimate and actual. Without deduplication, large tasks get 2–5× the weight.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full log of cleaning decisions is in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results/01_cleaning_log.csv</w:t>
      </w:r>
      <w:r>
        <w:rPr>
          <w:color w:val="1B1B1F"/>
          <w:sz w:val="21"/>
          <w:szCs w:val="21"/>
        </w:rPr>
        <w:t xml:space="preserve">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2. The trap that must be removed before any modelling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In 8% of CESAW tasks, 34% of SiP and 44% of Renzo, the actual equals the estimate exactly.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The exact-match artefact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These are not perfect estimates. The share of exact matches falls from about 60% on half-hour tasks to about 1% on multi-day ones: logging time "as planned" is easy on a short task and impossible on a long one. This is a logging practice.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Why it is critical: the "actual = estimate" baseline gets zero error on those rows for free, which makes it nearly unbeatable on median metrics. Every key result is therefore computed </w:t>
      </w:r>
      <w:r>
        <w:rPr>
          <w:b/>
          <w:bCs/>
          <w:color w:val="1B1B1F"/>
          <w:sz w:val="21"/>
          <w:szCs w:val="21"/>
        </w:rPr>
        <w:t xml:space="preserve">twice</w:t>
      </w:r>
      <w:r>
        <w:rPr>
          <w:color w:val="1B1B1F"/>
          <w:sz w:val="21"/>
          <w:szCs w:val="21"/>
        </w:rPr>
        <w:t xml:space="preserve"> — on all data and on the subset with exact matches removed.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This is also why CESAW (8%) is a more honest basis than SiP (34%).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3. RQ1–RQ2: there is no systematic underestimation, there is regression to the mean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RQ1 — hypothesis refuted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05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CESAW</w:t>
            </w:r>
          </w:p>
        </w:tc>
        <w:tc>
          <w:tcPr>
            <w:tcW w:type="dxa" w:w="205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SiP</w:t>
            </w:r>
          </w:p>
        </w:tc>
        <w:tc>
          <w:tcPr>
            <w:tcW w:type="dxa" w:w="2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Renzo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N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55,393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6,767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5,703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share underestimated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42.4%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45.6%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49.1%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geometric mean </w:t>
            </w:r>
            <w:r>
              <w:rPr>
                <w:rFonts w:ascii="Consolas" w:cs="Consolas" w:eastAsia="Consolas" w:hAnsi="Consolas"/>
                <w:color w:val="8A3B1F"/>
                <w:sz w:val="18"/>
                <w:szCs w:val="18"/>
              </w:rPr>
              <w:t xml:space="preserve">actual/estimate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0.799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0.860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0.947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 (</w:t>
            </w:r>
            <w:r>
              <w:rPr>
                <w:rFonts w:ascii="Consolas" w:cs="Consolas" w:eastAsia="Consolas" w:hAnsi="Consolas"/>
                <w:color w:val="8A3B1F"/>
                <w:sz w:val="18"/>
                <w:szCs w:val="18"/>
              </w:rPr>
              <w:t xml:space="preserve">log_ratio</w:t>
            </w:r>
            <w:r>
              <w:rPr>
                <w:color w:val="1B1B1F"/>
                <w:sz w:val="18"/>
                <w:szCs w:val="18"/>
              </w:rPr>
              <w:t xml:space="preserve"> vs 0)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&lt; 1e−300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4e−32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8e−7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In all three sources the bias runs toward </w:t>
      </w:r>
      <w:r>
        <w:rPr>
          <w:b/>
          <w:bCs/>
          <w:color w:val="1B1B1F"/>
          <w:sz w:val="21"/>
          <w:szCs w:val="21"/>
        </w:rPr>
        <w:t xml:space="preserve">overestimation</w:t>
      </w:r>
      <w:r>
        <w:rPr>
          <w:color w:val="1B1B1F"/>
          <w:sz w:val="21"/>
          <w:szCs w:val="21"/>
        </w:rPr>
        <w:t xml:space="preserve">. The folklore "multiply by two" is wrong not in magnitude but in sign.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A curious detail on Renzo: the sign test does not reject 50% (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 = 0.20</w:t>
      </w:r>
      <w:r>
        <w:rPr>
          <w:color w:val="1B1B1F"/>
          <w:sz w:val="21"/>
          <w:szCs w:val="21"/>
        </w:rPr>
        <w:t xml:space="preserve">) while the t-test on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log_ratio</w:t>
      </w:r>
      <w:r>
        <w:rPr>
          <w:color w:val="1B1B1F"/>
          <w:sz w:val="21"/>
          <w:szCs w:val="21"/>
        </w:rPr>
        <w:t xml:space="preserve"> does (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 = 8e−7</w:t>
      </w:r>
      <w:r>
        <w:rPr>
          <w:color w:val="1B1B1F"/>
          <w:sz w:val="21"/>
          <w:szCs w:val="21"/>
        </w:rPr>
        <w:t xml:space="preserve">). There is no contradiction — tasks exceed their estimate about half the time, but the overruns are smaller in magnitude than the underruns. The person is calibrated in frequency but not in magnitude.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RQ2 — hypothesis refuted, opposite sign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The size effect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4118"/>
        <w:gridCol w:w="2621"/>
        <w:gridCol w:w="2621"/>
      </w:tblGrid>
      <w:tr>
        <w:trPr>
          <w:tblHeader/>
        </w:trPr>
        <w:tc>
          <w:tcPr>
            <w:tcW w:type="dxa" w:w="4118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size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CESAW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SiP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≤ 0.5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×0.98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×1.30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0.5–1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×0.76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×1.18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1–2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×0.70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×1.10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2–4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×0.68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×0.97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4–8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×0.67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×0.82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8–16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×0.67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×0.75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&gt; 16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×0.57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×0.51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slope of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log_ratio ~ log_est</w:t>
      </w:r>
      <w:r>
        <w:rPr>
          <w:color w:val="1B1B1F"/>
          <w:sz w:val="21"/>
          <w:szCs w:val="21"/>
        </w:rPr>
        <w:t xml:space="preserve"> is negative everywhere: CESAW −0.169, SiP −0.240, Renzo −0.805, all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 &lt; 1e−140</w:t>
      </w:r>
      <w:r>
        <w:rPr>
          <w:color w:val="1B1B1F"/>
          <w:sz w:val="21"/>
          <w:szCs w:val="21"/>
        </w:rPr>
        <w:t xml:space="preserve">. The mechanism is </w:t>
      </w:r>
      <w:r>
        <w:rPr>
          <w:b/>
          <w:bCs/>
          <w:color w:val="1B1B1F"/>
          <w:sz w:val="21"/>
          <w:szCs w:val="21"/>
        </w:rPr>
        <w:t xml:space="preserve">regression to the mean</w:t>
      </w:r>
      <w:r>
        <w:rPr>
          <w:color w:val="1B1B1F"/>
          <w:sz w:val="21"/>
          <w:szCs w:val="21"/>
        </w:rPr>
        <w:t xml:space="preserve">: the estimate is a noisy signal, and extreme estimates in either direction are pulled toward a typical task duration.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In SiP the bias literally changes sign (×1.30 → ×0.51). In CESAW the sign does not change, but the trend is the same. For the single person (Renzo) the slope is three to five times steeper: without organisational averaging, the effect shows most clearly.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Replication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Practical conclusion:</w:t>
      </w:r>
      <w:r>
        <w:rPr>
          <w:color w:val="1B1B1F"/>
          <w:sz w:val="21"/>
          <w:szCs w:val="21"/>
        </w:rPr>
        <w:t xml:space="preserve"> a single "safety coefficient" for a team is harmful — it errs in opposite directions on different tasks. Calibrate by size: multiply small, divide large.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4. RQ3–RQ5: significant ≠ important, and the dominant factor depends on the organisation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Naive R² is deceptive: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person</w:t>
      </w:r>
      <w:r>
        <w:rPr>
          <w:color w:val="1B1B1F"/>
          <w:sz w:val="21"/>
          <w:szCs w:val="21"/>
        </w:rPr>
        <w:t xml:space="preserve"> has 246 levels in CESAW, i.e. 246 dummy variables. So we also compute an adjusted and an </w:t>
      </w:r>
      <w:r>
        <w:rPr>
          <w:b/>
          <w:bCs/>
          <w:color w:val="1B1B1F"/>
          <w:sz w:val="21"/>
          <w:szCs w:val="21"/>
        </w:rPr>
        <w:t xml:space="preserve">out-of-sample</w:t>
      </w:r>
      <w:r>
        <w:rPr>
          <w:color w:val="1B1B1F"/>
          <w:sz w:val="21"/>
          <w:szCs w:val="21"/>
        </w:rPr>
        <w:t xml:space="preserve"> R² (5-fold CV) — the last one cannot be inflated by level count.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1544"/>
        <w:gridCol w:w="1544"/>
        <w:gridCol w:w="1544"/>
        <w:gridCol w:w="1546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factor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CESAW: R²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R² adjusted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R² out-of-sample</w:t>
            </w:r>
          </w:p>
        </w:tc>
        <w:tc>
          <w:tcPr>
            <w:tcW w:type="dxa" w:w="1546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SiP: R² out-of-sample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person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0.112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0.108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0.103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0.026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phase / type of work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0.044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0.042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0.040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0.023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project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0.032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0.031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0.030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0.012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task size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0.021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0.021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0.021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0.080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all factors combined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0.182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0.176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0.170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0.137</w:t>
            </w:r>
          </w:p>
        </w:tc>
      </w:tr>
    </w:tbl>
    <w:p>
      <w:pPr>
        <w:spacing w:after="200"/>
      </w:pPr>
    </w:p>
    <w:p>
      <w:pPr>
        <w:spacing w:after="60" w:before="160"/>
        <w:jc w:val="center"/>
      </w:pPr>
      <w:r>
        <w:drawing>
          <wp:inline distT="0" distB="0" distL="0" distR="0">
            <wp:extent cx="59436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Bias by factor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Two conclusions.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The dominant factor differs between organisations.</w:t>
      </w:r>
      <w:r>
        <w:rPr>
          <w:color w:val="1B1B1F"/>
          <w:sz w:val="21"/>
          <w:szCs w:val="21"/>
        </w:rPr>
        <w:t xml:space="preserve"> In CESAW the person matters most (10% of variance; the effect survives both the adjustment and cross-validation, so it is real). In SiP it is the reverse: the person contributes almost nothing while task size explains 8%. "What matters here is who estimates" cannot be carried between companies — it is a property of the organisation, not of software development.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The ceiling is low.</w:t>
      </w:r>
      <w:r>
        <w:rPr>
          <w:color w:val="1B1B1F"/>
          <w:sz w:val="21"/>
          <w:szCs w:val="21"/>
        </w:rPr>
        <w:t xml:space="preserve"> All observed factors combined explain 17% of the variance in CESAW and 14% in SiP. That is, </w:t>
      </w:r>
      <w:r>
        <w:rPr>
          <w:b/>
          <w:bCs/>
          <w:color w:val="1B1B1F"/>
          <w:sz w:val="21"/>
          <w:szCs w:val="21"/>
        </w:rPr>
        <w:t xml:space="preserve">83–86% of the variance in estimation error is explained by nothing recorded in the data.</w:t>
      </w:r>
      <w:r>
        <w:rPr>
          <w:color w:val="1B1B1F"/>
          <w:sz w:val="21"/>
          <w:szCs w:val="21"/>
        </w:rPr>
        <w:t xml:space="preserve"> Section 7 follows directly from this: a point prediction is doomed, and the right product is an interval.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5. RQ6: work fragmentation is the strongest factor found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Interruptions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4118"/>
        <w:gridCol w:w="2621"/>
        <w:gridCol w:w="2621"/>
      </w:tblGrid>
      <w:tr>
        <w:trPr>
          <w:tblHeader/>
        </w:trPr>
        <w:tc>
          <w:tcPr>
            <w:tcW w:type="dxa" w:w="4118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task size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uninterrupted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interrupted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≤ 0.5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×0.92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×2.01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0.5–1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×0.68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×1.50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1–2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×0.59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×1.25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2–4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×0.53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×1.11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4–8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×0.50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×1.00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8–16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×0.47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×0.96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&gt; 16 h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×0.37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×0.75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effect </w:t>
      </w:r>
      <w:r>
        <w:rPr>
          <w:b/>
          <w:bCs/>
          <w:color w:val="1B1B1F"/>
          <w:sz w:val="21"/>
          <w:szCs w:val="21"/>
        </w:rPr>
        <w:t xml:space="preserve">holds within every size band</w:t>
      </w:r>
      <w:r>
        <w:rPr>
          <w:color w:val="1B1B1F"/>
          <w:sz w:val="21"/>
          <w:szCs w:val="21"/>
        </w:rPr>
        <w:t xml:space="preserve"> and is larger than anything RQ3–RQ5 produced: interrupted tasks overrun roughly twice as much. The same pattern appears across session counts — from ×0.59 at one session to ×2.37 above sixteen.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But the conclusions are doubly limited.</w:t>
      </w:r>
      <w:r>
        <w:rPr>
          <w:color w:val="1B1B1F"/>
          <w:sz w:val="21"/>
          <w:szCs w:val="21"/>
        </w:rPr>
        <w:t xml:space="preserve"> Causal direction is not established: interruptions may lengthen a task, or they may be a </w:t>
      </w:r>
      <w:r>
        <w:rPr>
          <w:i/>
          <w:iCs/>
          <w:color w:val="1B1B1F"/>
          <w:sz w:val="21"/>
          <w:szCs w:val="21"/>
        </w:rPr>
        <w:t xml:space="preserve">consequence</w:t>
      </w:r>
      <w:r>
        <w:rPr>
          <w:color w:val="1B1B1F"/>
          <w:sz w:val="21"/>
          <w:szCs w:val="21"/>
        </w:rPr>
        <w:t xml:space="preserve"> of a task turning out harder and stretching over many days. And for prediction it is useless: at estimation time the interruptions have not happened, so they were excluded from the model's features.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6. RQ7: how a good-looking hypothesis falls apart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original CESAW work flags a tendency toward round numbers as an accuracy factor. The raw comparison agrees: round estimates give ×0.77, non-round ×0.83.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Round numbers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But the median round estimate is 1 hour while the median non-round one is 0.72 hours. </w:t>
      </w:r>
      <w:r>
        <w:rPr>
          <w:b/>
          <w:bCs/>
          <w:color w:val="1B1B1F"/>
          <w:sz w:val="21"/>
          <w:szCs w:val="21"/>
        </w:rPr>
        <w:t xml:space="preserve">Round estimates are simply used more often on larger tasks</w:t>
      </w:r>
      <w:r>
        <w:rPr>
          <w:color w:val="1B1B1F"/>
          <w:sz w:val="21"/>
          <w:szCs w:val="21"/>
        </w:rPr>
        <w:t xml:space="preserve">, and larger tasks are overestimated per RQ2. Comparing within size bands, the direction stops being consistent: in some bands round estimates are more accurate, in others worse.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The observed effect is explained by task size, not by roundness.</w:t>
      </w:r>
      <w:r>
        <w:rPr>
          <w:color w:val="1B1B1F"/>
          <w:sz w:val="21"/>
          <w:szCs w:val="21"/>
        </w:rPr>
        <w:t xml:space="preserve"> The confounder here is size, and it correlates with almost everything in this data.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7. Machine learning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7.1 The split strategy shifts conclusions more than the choice of model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data contains repeated observations of the same people and projects. A random split lets the model see the same person on the same project in both train and test.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1544"/>
        <w:gridCol w:w="1544"/>
        <w:gridCol w:w="1544"/>
        <w:gridCol w:w="1546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strategy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RMSE gain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ROC-AUC</w:t>
            </w:r>
          </w:p>
        </w:tc>
        <w:tc>
          <w:tcPr>
            <w:tcW w:type="dxa" w:w="1546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PR-AUC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A. Random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basic learnability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18.5%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0.775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0.688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B. Unseen projects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transfer to a new project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12.7%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0.738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0.648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C. Temporal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predicting the future from the past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10.2%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0.709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0.556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Reporting the random split would have inflated everything. Everything below uses </w:t>
      </w:r>
      <w:r>
        <w:rPr>
          <w:b/>
          <w:bCs/>
          <w:color w:val="1B1B1F"/>
          <w:sz w:val="21"/>
          <w:szCs w:val="21"/>
        </w:rPr>
        <w:t xml:space="preserve">C</w:t>
      </w:r>
      <w:r>
        <w:rPr>
          <w:color w:val="1B1B1F"/>
          <w:sz w:val="21"/>
          <w:szCs w:val="21"/>
        </w:rPr>
        <w:t xml:space="preserve"> — the only strategy matching the real scenario.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7.2 Regression: predicting the size of the error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We predict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log_ratio</w:t>
      </w:r>
      <w:r>
        <w:rPr>
          <w:color w:val="1B1B1F"/>
          <w:sz w:val="21"/>
          <w:szCs w:val="21"/>
        </w:rPr>
        <w:t xml:space="preserve"> (a correction to the estimate) rather than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log(actual)</w:t>
      </w:r>
      <w:r>
        <w:rPr>
          <w:color w:val="1B1B1F"/>
          <w:sz w:val="21"/>
          <w:szCs w:val="21"/>
        </w:rPr>
        <w:t xml:space="preserve">, so the developer's estimate stays in the prediction as an anchor.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1235"/>
        <w:gridCol w:w="1235"/>
        <w:gridCol w:w="1235"/>
        <w:gridCol w:w="1235"/>
        <w:gridCol w:w="1238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model</w:t>
            </w:r>
          </w:p>
        </w:tc>
        <w:tc>
          <w:tcPr>
            <w:tcW w:type="dxa" w:w="1235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MAE_log</w:t>
            </w:r>
          </w:p>
        </w:tc>
        <w:tc>
          <w:tcPr>
            <w:tcW w:type="dxa" w:w="1235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typical error</w:t>
            </w:r>
          </w:p>
        </w:tc>
        <w:tc>
          <w:tcPr>
            <w:tcW w:type="dxa" w:w="1235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RMSE_log</w:t>
            </w:r>
          </w:p>
        </w:tc>
        <w:tc>
          <w:tcPr>
            <w:tcW w:type="dxa" w:w="1235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MdMRE</w:t>
            </w:r>
          </w:p>
        </w:tc>
        <w:tc>
          <w:tcPr>
            <w:tcW w:type="dxa" w:w="1238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PRED(25)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constant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1.242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×3.46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1.569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0.808</w:t>
            </w:r>
          </w:p>
        </w:tc>
        <w:tc>
          <w:tcPr>
            <w:tcW w:type="dxa" w:w="1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0.133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B0: actual = estimate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0.694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×2.00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1.053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0.408</w:t>
            </w:r>
          </w:p>
        </w:tc>
        <w:tc>
          <w:tcPr>
            <w:tcW w:type="dxa" w:w="1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0.390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B1: global ×0.80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0.729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×2.07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1.041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0.405</w:t>
            </w:r>
          </w:p>
        </w:tc>
        <w:tc>
          <w:tcPr>
            <w:tcW w:type="dxa" w:w="1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0.383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B2: log-linear calibration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0.750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×2.12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1.045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0.452</w:t>
            </w:r>
          </w:p>
        </w:tc>
        <w:tc>
          <w:tcPr>
            <w:tcW w:type="dxa" w:w="1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0.297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M1: Ridge + features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0.739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×2.09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1.003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0.547</w:t>
            </w:r>
          </w:p>
        </w:tc>
        <w:tc>
          <w:tcPr>
            <w:tcW w:type="dxa" w:w="1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0.249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M2: Gradient Boosting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0.673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×1.96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0.946</w:t>
            </w:r>
          </w:p>
        </w:tc>
        <w:tc>
          <w:tcPr>
            <w:tcW w:type="dxa" w:w="123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0.429</w:t>
            </w:r>
          </w:p>
        </w:tc>
        <w:tc>
          <w:tcPr>
            <w:tcW w:type="dxa" w:w="1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0.331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7.3 Classification: predicting the fact of underestimation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base rate on the test set is 35.7%, so accuracy is uninformative; PR-AUC is the measure to watch.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1029"/>
        <w:gridCol w:w="1029"/>
        <w:gridCol w:w="1029"/>
        <w:gridCol w:w="1029"/>
        <w:gridCol w:w="1029"/>
        <w:gridCol w:w="1033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model</w:t>
            </w:r>
          </w:p>
        </w:tc>
        <w:tc>
          <w:tcPr>
            <w:tcW w:type="dxa" w:w="102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accuracy</w:t>
            </w:r>
          </w:p>
        </w:tc>
        <w:tc>
          <w:tcPr>
            <w:tcW w:type="dxa" w:w="102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02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recall</w:t>
            </w:r>
          </w:p>
        </w:tc>
        <w:tc>
          <w:tcPr>
            <w:tcW w:type="dxa" w:w="102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F1</w:t>
            </w:r>
          </w:p>
        </w:tc>
        <w:tc>
          <w:tcPr>
            <w:tcW w:type="dxa" w:w="102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ROC-AUC</w:t>
            </w:r>
          </w:p>
        </w:tc>
        <w:tc>
          <w:tcPr>
            <w:tcW w:type="dxa" w:w="1033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PR-AUC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Baseline: class share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0.643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0.000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0.000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0.000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0.500</w:t>
            </w:r>
          </w:p>
        </w:tc>
        <w:tc>
          <w:tcPr>
            <w:tcW w:type="dxa" w:w="10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0.357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0.680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0.596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0.328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0.423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0.693</w:t>
            </w:r>
          </w:p>
        </w:tc>
        <w:tc>
          <w:tcPr>
            <w:tcW w:type="dxa" w:w="10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0.548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Decision tree (depth=6)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0.670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0.560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0.359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0.438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0.663</w:t>
            </w:r>
          </w:p>
        </w:tc>
        <w:tc>
          <w:tcPr>
            <w:tcW w:type="dxa" w:w="10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0.503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0.696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0.692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0.268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0.386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0.735</w:t>
            </w:r>
          </w:p>
        </w:tc>
        <w:tc>
          <w:tcPr>
            <w:tcW w:type="dxa" w:w="10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0.595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0.680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0.596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0.324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0.419</w:t>
            </w:r>
          </w:p>
        </w:tc>
        <w:tc>
          <w:tcPr>
            <w:tcW w:type="dxa" w:w="102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0.709</w:t>
            </w:r>
          </w:p>
        </w:tc>
        <w:tc>
          <w:tcPr>
            <w:tcW w:type="dxa" w:w="10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0.556</w:t>
            </w:r>
          </w:p>
        </w:tc>
      </w:tr>
    </w:tbl>
    <w:p>
      <w:pPr>
        <w:spacing w:after="200"/>
      </w:pPr>
    </w:p>
    <w:p>
      <w:pPr>
        <w:spacing w:after="60" w:before="160"/>
        <w:jc w:val="center"/>
      </w:pPr>
      <w:r>
        <w:drawing>
          <wp:inline distT="0" distB="0" distL="0" distR="0">
            <wp:extent cx="59436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Classification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Random Forest beat boosting on both ROC-AUC and PR-AUC — added model complexity does not always pay. Recall is low (0.27): at a 0.5 threshold the model catches only a quarter of the underestimated tasks, but with 0.69 precision. The threshold is of course tunable to the cost of each error.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7.4 The key experiment: where the predictive power comes from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Ablation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1544"/>
        <w:gridCol w:w="1544"/>
        <w:gridCol w:w="1544"/>
        <w:gridCol w:w="1546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feature set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MAE_log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RMSE_log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ROC-AUC</w:t>
            </w:r>
          </w:p>
        </w:tc>
        <w:tc>
          <w:tcPr>
            <w:tcW w:type="dxa" w:w="1546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PR-AUC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estimate only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0.766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1.055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0.492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0.348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+ context (project / phase / person)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0.689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0.963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0.692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0.539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+ history (leak-free)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0.673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0.946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0.709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0.556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i/>
          <w:iCs/>
          <w:color w:val="1B1B1F"/>
          <w:sz w:val="21"/>
          <w:szCs w:val="21"/>
        </w:rPr>
        <w:t xml:space="preserve">(B0 "actual = estimate": MAE_log 0.694, RMSE_log 1.053)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This is the key result of the project.</w:t>
      </w:r>
      <w:r>
        <w:rPr>
          <w:color w:val="1B1B1F"/>
          <w:sz w:val="21"/>
          <w:szCs w:val="21"/>
        </w:rPr>
        <w:t xml:space="preserve"> A model that knows only the estimate predicts underestimation at ROC-AUC 0.49 — </w:t>
      </w:r>
      <w:r>
        <w:rPr>
          <w:b/>
          <w:bCs/>
          <w:color w:val="1B1B1F"/>
          <w:sz w:val="21"/>
          <w:szCs w:val="21"/>
        </w:rPr>
        <w:t xml:space="preserve">no better than a coin flip</w:t>
      </w:r>
      <w:r>
        <w:rPr>
          <w:color w:val="1B1B1F"/>
          <w:sz w:val="21"/>
          <w:szCs w:val="21"/>
        </w:rPr>
        <w:t xml:space="preserve"> — and on MAE it is worse than simply trusting the estimate.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In other words: </w:t>
      </w:r>
      <w:r>
        <w:rPr>
          <w:i/>
          <w:iCs/>
          <w:color w:val="1B1B1F"/>
          <w:sz w:val="21"/>
          <w:szCs w:val="21"/>
        </w:rPr>
        <w:t xml:space="preserve">the estimate contains no information about whether it is wrong.</w:t>
      </w:r>
      <w:r>
        <w:rPr>
          <w:color w:val="1B1B1F"/>
          <w:sz w:val="21"/>
          <w:szCs w:val="21"/>
        </w:rPr>
        <w:t xml:space="preserve"> A developer does not "somewhat know" about their error — they know nothing about it.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All the predictive power arrives with context. The answer to RQ8: </w:t>
      </w:r>
      <w:r>
        <w:rPr>
          <w:b/>
          <w:bCs/>
          <w:color w:val="1B1B1F"/>
          <w:sz w:val="21"/>
          <w:szCs w:val="21"/>
        </w:rPr>
        <w:t xml:space="preserve">underestimation can be predicted, but not from the estimate — from the circumstances.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7.5 Leak-free historical features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most valuable feature is "how wrong was this person before". A naive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groupby(person).log_ratio.mean()</w:t>
      </w:r>
      <w:r>
        <w:rPr>
          <w:color w:val="1B1B1F"/>
          <w:sz w:val="21"/>
          <w:szCs w:val="21"/>
        </w:rPr>
        <w:t xml:space="preserve"> would use the future. The correct construction is an expanding mean shifted by one step in chronological order. The absence of leakage is checked automatically: the first task of every person must have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NaN</w:t>
      </w:r>
      <w:r>
        <w:rPr>
          <w:color w:val="1B1B1F"/>
          <w:sz w:val="21"/>
          <w:szCs w:val="21"/>
        </w:rPr>
        <w:t xml:space="preserve"> history.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contribution is modest (AUC 0.692 → 0.709), and tellingly, </w:t>
      </w:r>
      <w:r>
        <w:rPr>
          <w:i/>
          <w:iCs/>
          <w:color w:val="1B1B1F"/>
          <w:sz w:val="21"/>
          <w:szCs w:val="21"/>
        </w:rPr>
        <w:t xml:space="preserve">recent</w:t>
      </w:r>
      <w:r>
        <w:rPr>
          <w:color w:val="1B1B1F"/>
          <w:sz w:val="21"/>
          <w:szCs w:val="21"/>
        </w:rPr>
        <w:t xml:space="preserve"> accuracy (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person_recent_lr</w:t>
      </w:r>
      <w:r>
        <w:rPr>
          <w:color w:val="1B1B1F"/>
          <w:sz w:val="21"/>
          <w:szCs w:val="21"/>
        </w:rPr>
        <w:t xml:space="preserve">, a rolling window of 10 tasks) works noticeably better than accuracy accumulated over all time: estimator behaviour drifts.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8. Explainability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SHAP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Permutation importance and SHAP agree: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log_est</w:t>
      </w:r>
      <w:r>
        <w:rPr>
          <w:color w:val="1B1B1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person</w:t>
      </w:r>
      <w:r>
        <w:rPr>
          <w:color w:val="1B1B1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person_recent_lr</w:t>
      </w:r>
      <w:r>
        <w:rPr>
          <w:color w:val="1B1B1F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phase_short_name</w:t>
      </w:r>
      <w:r>
        <w:rPr>
          <w:color w:val="1B1B1F"/>
          <w:sz w:val="21"/>
          <w:szCs w:val="21"/>
        </w:rPr>
        <w:t xml:space="preserve"> dominate.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is_round</w:t>
      </w:r>
      <w:r>
        <w:rPr>
          <w:color w:val="1B1B1F"/>
          <w:sz w:val="21"/>
          <w:szCs w:val="21"/>
        </w:rPr>
        <w:t xml:space="preserve"> contributes nothing — independent confirmation of the RQ7 verdict.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person_hist_lr</w:t>
      </w:r>
      <w:r>
        <w:rPr>
          <w:color w:val="1B1B1F"/>
          <w:sz w:val="21"/>
          <w:szCs w:val="21"/>
        </w:rPr>
        <w:t xml:space="preserve"> (accumulated history) loses to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person_recent_lr</w:t>
      </w:r>
      <w:r>
        <w:rPr>
          <w:color w:val="1B1B1F"/>
          <w:sz w:val="21"/>
          <w:szCs w:val="21"/>
        </w:rPr>
        <w:t xml:space="preserve"> (recent history) — further evidence of drift.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Where the model fails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1544"/>
        <w:gridCol w:w="1544"/>
        <w:gridCol w:w="1544"/>
        <w:gridCol w:w="1546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task size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N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B0 MAE_log</w:t>
            </w:r>
          </w:p>
        </w:tc>
        <w:tc>
          <w:tcPr>
            <w:tcW w:type="dxa" w:w="1544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GBM MAE_log</w:t>
            </w:r>
          </w:p>
        </w:tc>
        <w:tc>
          <w:tcPr>
            <w:tcW w:type="dxa" w:w="1546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gain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≤ 0.5 h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5,618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0.660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0.642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+2.7%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0.5–1 h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3,341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0.706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0.679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+3.8%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1–2 h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2,558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0.761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0.719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+5.5%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2–4 h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1,676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0.783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0.732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+6.6%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4–8 h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1,064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0.677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0.671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+0.9%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8–16 h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644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0.538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0.600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−11.6%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&gt; 16 h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170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0.442</w:t>
            </w:r>
          </w:p>
        </w:tc>
        <w:tc>
          <w:tcPr>
            <w:tcW w:type="dxa" w:w="15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0.604</w:t>
            </w:r>
          </w:p>
        </w:tc>
        <w:tc>
          <w:tcPr>
            <w:tcW w:type="dxa" w:w="1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−36.6%</w:t>
            </w:r>
          </w:p>
        </w:tc>
      </w:tr>
    </w:tbl>
    <w:p>
      <w:pPr>
        <w:spacing w:after="200"/>
      </w:pPr>
    </w:p>
    <w:p>
      <w:pPr>
        <w:spacing w:after="60" w:before="16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Error analysis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On large tasks the model loses to the baseline, and by a wide margin.</w:t>
      </w:r>
      <w:r>
        <w:rPr>
          <w:color w:val="1B1B1F"/>
          <w:sz w:val="21"/>
          <w:szCs w:val="21"/>
        </w:rPr>
        <w:t xml:space="preserve"> The N column shows why: large tasks are rare and their spread is widest. The model pulls predictions toward typical behaviour and systematically undershoots them (mean bias −0.24).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Practical conclusion: apply the model only to small and medium tasks and keep the developer's estimate on large ones. The headline "10% gain" without this breakdown would be misleading.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9. What can actually be handed to a team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Personal calibration works halfway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4118"/>
        <w:gridCol w:w="2621"/>
        <w:gridCol w:w="2621"/>
      </w:tblGrid>
      <w:tr>
        <w:trPr>
          <w:tblHeader/>
        </w:trPr>
        <w:tc>
          <w:tcPr>
            <w:tcW w:type="dxa" w:w="4118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model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MAE_log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RMSE_log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B0: actual = estimate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0.694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1.053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personal coefficient (≥5 past tasks)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0.716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0.997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personal coefficient (≥20 past tasks)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0.716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0.999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global coefficient ×0.80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0.729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1.041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0.673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0.946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personal coefficient improves RMSE but </w:t>
      </w:r>
      <w:r>
        <w:rPr>
          <w:b/>
          <w:bCs/>
          <w:color w:val="1B1B1F"/>
          <w:sz w:val="21"/>
          <w:szCs w:val="21"/>
        </w:rPr>
        <w:t xml:space="preserve">worsens MAE</w:t>
      </w:r>
      <w:r>
        <w:rPr>
          <w:color w:val="1B1B1F"/>
          <w:sz w:val="21"/>
          <w:szCs w:val="21"/>
        </w:rPr>
        <w:t xml:space="preserve">: it helps on outliers and hurts on typical tasks. The history threshold changes nothing — the issue is not data volume but that personal bias explains too little (RQ3).</w:t>
      </w:r>
    </w:p>
    <w:p>
      <w:pPr>
        <w:pStyle w:val="Heading2"/>
        <w:spacing w:after="120" w:before="240"/>
      </w:pPr>
      <w:r>
        <w:rPr>
          <w:b/>
          <w:bCs/>
          <w:color w:val="2B6CB0"/>
          <w:sz w:val="25"/>
          <w:szCs w:val="25"/>
        </w:rPr>
        <w:t xml:space="preserve">An interval instead of a number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If 83–86% of the variance is irreducible, a point prediction is meaningless. We build quantile regression (10% and 90% quantiles of 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log_ratio</w:t>
      </w:r>
      <w:r>
        <w:rPr>
          <w:color w:val="1B1B1F"/>
          <w:sz w:val="21"/>
          <w:szCs w:val="21"/>
        </w:rPr>
        <w:t xml:space="preserve">) and calibrate it with </w:t>
      </w:r>
      <w:r>
        <w:rPr>
          <w:b/>
          <w:bCs/>
          <w:color w:val="1B1B1F"/>
          <w:sz w:val="21"/>
          <w:szCs w:val="21"/>
        </w:rPr>
        <w:t xml:space="preserve">conformalized quantile regression</w:t>
      </w:r>
      <w:r>
        <w:rPr>
          <w:color w:val="1B1B1F"/>
          <w:sz w:val="21"/>
          <w:szCs w:val="21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6"/>
          <w:sz w:val="17"/>
          <w:szCs w:val="17"/>
        </w:rPr>
        <w:t xml:space="preserve">Intervals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4118"/>
        <w:gridCol w:w="2621"/>
        <w:gridCol w:w="2621"/>
      </w:tblGrid>
      <w:tr>
        <w:trPr>
          <w:tblHeader/>
        </w:trPr>
        <w:tc>
          <w:tcPr>
            <w:tcW w:type="dxa" w:w="4118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coverage</w:t>
            </w:r>
          </w:p>
        </w:tc>
        <w:tc>
          <w:tcPr>
            <w:tcW w:type="dxa" w:w="2621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median width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raw quantile regression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73.2%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×6.1</w:t>
            </w:r>
          </w:p>
        </w:tc>
      </w:tr>
      <w:tr>
        <w:tc>
          <w:tcPr>
            <w:tcW w:type="dxa" w:w="4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after CQR calibration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78.3%</w:t>
            </w:r>
          </w:p>
        </w:tc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×8.0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nominal target is 80%. Calibration lifts coverage from 73% to 78% but </w:t>
      </w:r>
      <w:r>
        <w:rPr>
          <w:b/>
          <w:bCs/>
          <w:color w:val="1B1B1F"/>
          <w:sz w:val="21"/>
          <w:szCs w:val="21"/>
        </w:rPr>
        <w:t xml:space="preserve">does not reach nominal</w:t>
      </w:r>
      <w:r>
        <w:rPr>
          <w:color w:val="1B1B1F"/>
          <w:sz w:val="21"/>
          <w:szCs w:val="21"/>
        </w:rPr>
        <w:t xml:space="preserve">: exchangeability is broken by the non-stationarity of the process. Claiming exactly 80% would be untrue.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What a developer's estimate actually means</w:t>
      </w:r>
      <w:r>
        <w:rPr>
          <w:color w:val="1B1B1F"/>
          <w:sz w:val="21"/>
          <w:szCs w:val="21"/>
        </w:rPr>
        <w:t xml:space="preserve"> (80% range):</w:t>
      </w:r>
    </w:p>
    <w:tbl>
      <w:tblPr>
        <w:tblW w:type="dxa" w:w="9360"/>
        <w:tblBorders>
          <w:top w:val="single" w:color="D8D8E0" w:sz="4"/>
          <w:left w:val="single" w:color="D8D8E0" w:sz="4"/>
          <w:bottom w:val="single" w:color="D8D8E0" w:sz="4"/>
          <w:right w:val="single" w:color="D8D8E0" w:sz="4"/>
          <w:insideH w:val="single" w:color="D8D8E0" w:sz="2"/>
          <w:insideV w:val="single" w:color="D8D8E0" w:sz="2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estimate</w:t>
            </w:r>
          </w:p>
        </w:tc>
        <w:tc>
          <w:tcPr>
            <w:tcW w:type="dxa" w:w="205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lower bound</w:t>
            </w:r>
          </w:p>
        </w:tc>
        <w:tc>
          <w:tcPr>
            <w:tcW w:type="dxa" w:w="2059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upper bound</w:t>
            </w:r>
          </w:p>
        </w:tc>
        <w:tc>
          <w:tcPr>
            <w:tcW w:type="dxa" w:w="2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B1B1F"/>
                <w:sz w:val="18"/>
                <w:szCs w:val="18"/>
              </w:rPr>
              <w:t xml:space="preserve">observed coverage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≤ 0.5 h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×0.35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×3.0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0.79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0.5–1 h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×0.30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×2.4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1–2 h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×0.29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×2.15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2–4 h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×0.26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×1.98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0.74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4–8 h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×0.26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×2.06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0.72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color w:val="1B1B1F"/>
                <w:sz w:val="18"/>
                <w:szCs w:val="18"/>
              </w:rPr>
              <w:t xml:space="preserve">8–16 h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×0.32</w:t>
            </w:r>
          </w:p>
        </w:tc>
        <w:tc>
          <w:tcPr>
            <w:tcW w:type="dxa" w:w="205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×1.71</w:t>
            </w:r>
          </w:p>
        </w:tc>
        <w:tc>
          <w:tcPr>
            <w:tcW w:type="dxa" w:w="2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color w:val="1B1B1F"/>
                <w:sz w:val="18"/>
                <w:szCs w:val="18"/>
              </w:rPr>
              <w:t xml:space="preserve">0.69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1B1B1F"/>
          <w:sz w:val="21"/>
          <w:szCs w:val="21"/>
        </w:rPr>
        <w:t xml:space="preserve">The intervals are wide — that is not a defect of the model but a </w:t>
      </w:r>
      <w:r>
        <w:rPr>
          <w:b/>
          <w:bCs/>
          <w:color w:val="1B1B1F"/>
          <w:sz w:val="21"/>
          <w:szCs w:val="21"/>
        </w:rPr>
        <w:t xml:space="preserve">measured property of the domain</w:t>
      </w:r>
      <w:r>
        <w:rPr>
          <w:color w:val="1B1B1F"/>
          <w:sz w:val="21"/>
          <w:szCs w:val="21"/>
        </w:rPr>
        <w:t xml:space="preserve">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10. Conclusions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About estimates: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Check what you are measuring first.</w:t>
      </w:r>
      <w:r>
        <w:rPr>
          <w:color w:val="1B1B1F"/>
          <w:sz w:val="21"/>
          <w:szCs w:val="21"/>
        </w:rPr>
        <w:t xml:space="preserve"> The share of exact matches by task size is a free health test for the data. If it falls from 60% to 1%, you are measuring logging discipline, not estimation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There is no systematic underestimation — there is regression to the mean.</w:t>
      </w:r>
      <w:r>
        <w:rPr>
          <w:color w:val="1B1B1F"/>
          <w:sz w:val="21"/>
          <w:szCs w:val="21"/>
        </w:rPr>
        <w:t xml:space="preserve"> It replicates across three independent sources with different industries and units.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The dominant factor depends on the organisation</w:t>
      </w:r>
      <w:r>
        <w:rPr>
          <w:color w:val="1B1B1F"/>
          <w:sz w:val="21"/>
          <w:szCs w:val="21"/>
        </w:rPr>
        <w:t xml:space="preserve"> (person in CESAW, task size in SiP), but the ceiling is low everywhere: 83–86% of the variance is explained by nothing.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Work fragmentation is the strongest factor found</w:t>
      </w:r>
      <w:r>
        <w:rPr>
          <w:color w:val="1B1B1F"/>
          <w:sz w:val="21"/>
          <w:szCs w:val="21"/>
        </w:rPr>
        <w:t xml:space="preserve"> (×2 within every size band), but causality is not established and it is unavailable for prediction.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The round-number effect did not hold up</w:t>
      </w:r>
      <w:r>
        <w:rPr>
          <w:color w:val="1B1B1F"/>
          <w:sz w:val="21"/>
          <w:szCs w:val="21"/>
        </w:rPr>
        <w:t xml:space="preserve"> — it is an artefact of task size.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About predictability: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The estimate contains no information about its own error</w:t>
      </w:r>
      <w:r>
        <w:rPr>
          <w:color w:val="1B1B1F"/>
          <w:sz w:val="21"/>
          <w:szCs w:val="21"/>
        </w:rPr>
        <w:t xml:space="preserve"> (ROC-AUC 0.49). The circumstances are predictable; the task is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The split strategy shifts conclusions more than the choice of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ML wins on small and medium tasks and loses on large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Personal coefficients work halfway.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Hand over an interval — and say honestly that it falls short of nominal.</w:t>
      </w:r>
    </w:p>
    <w:p>
      <w:pPr>
        <w:spacing w:after="140" w:line="276"/>
      </w:pPr>
      <w:r>
        <w:rPr>
          <w:b/>
          <w:bCs/>
          <w:color w:val="1B1B1F"/>
          <w:sz w:val="21"/>
          <w:szCs w:val="21"/>
        </w:rPr>
        <w:t xml:space="preserve">What a team should 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Check your logging before building any accuracy dashboards.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Drop the single safety coefficient; calibrate by task size.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Measure what dominates in your own organisation — it is one R² table, and it decides where effort is worth spending.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Protect focus: fragmentation is the only strong controllable factor found.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Plan with intervals. A "4 hours" estimate here means an 80% range of roughly one to eight hours.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11.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Observational data.</w:t>
      </w:r>
      <w:r>
        <w:rPr>
          <w:color w:val="1B1B1F"/>
          <w:sz w:val="21"/>
          <w:szCs w:val="21"/>
        </w:rPr>
        <w:t xml:space="preserve"> We do not know whether the estimate influenced the actual: a developer may have paced the work to the quoted deadline (self-fulfilling prophecy). Inseparable without an experiment.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Survivorship bias.</w:t>
      </w:r>
      <w:r>
        <w:rPr>
          <w:color w:val="1B1B1F"/>
          <w:sz w:val="21"/>
          <w:szCs w:val="21"/>
        </w:rPr>
        <w:t xml:space="preserve"> Unfinished and cancelled tasks are absent from the datasets; the conclusions are likely biased optimistic.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RQ6 is not causal.</w:t>
      </w:r>
      <w:r>
        <w:rPr>
          <w:color w:val="1B1B1F"/>
          <w:sz w:val="21"/>
          <w:szCs w:val="21"/>
        </w:rPr>
        <w:t xml:space="preserve"> The association between interruptions and overrun is established; the direction is not.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Exchangeability for CQR is broken</w:t>
      </w:r>
      <w:r>
        <w:rPr>
          <w:color w:val="1B1B1F"/>
          <w:sz w:val="21"/>
          <w:szCs w:val="21"/>
        </w:rPr>
        <w:t xml:space="preserve">, so coverage was checked empirically on each window (0.76–0.81) and falls short of the nominal 80%.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CESAW is a specific environment</w:t>
      </w:r>
      <w:r>
        <w:rPr>
          <w:color w:val="1B1B1F"/>
          <w:sz w:val="21"/>
          <w:szCs w:val="21"/>
        </w:rPr>
        <w:t xml:space="preserve"> (formal TSP process, some safety-critical projects). SiP and Renzo confirm the direction of the effects but not their magnitude.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B1B1F"/>
          <w:sz w:val="21"/>
          <w:szCs w:val="21"/>
        </w:rPr>
        <w:t xml:space="preserve">The model is unfit for large tasks</w:t>
      </w:r>
      <w:r>
        <w:rPr>
          <w:color w:val="1B1B1F"/>
          <w:sz w:val="21"/>
          <w:szCs w:val="21"/>
        </w:rPr>
        <w:t xml:space="preserve"> — see section 8.</w:t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12.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A hierarchical Bayesian model: partial pooling across person and phase would give stable estimates for rare categories instead of noisy group means — and would probably fix the failure on large tasks.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A censored-observation model for unfinished tasks, to remove the survivorship bias.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Aggregation to sprint level: do individual task errors cancel out or compound? For planning this is the central question, and the CESAW data can answer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B1B1F"/>
          <w:sz w:val="21"/>
          <w:szCs w:val="21"/>
        </w:rPr>
        <w:t xml:space="preserve">The WBS hierarchy (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wbs_parent.csv</w:t>
      </w:r>
      <w:r>
        <w:rPr>
          <w:color w:val="1B1B1F"/>
          <w:sz w:val="21"/>
          <w:szCs w:val="21"/>
        </w:rPr>
        <w:t xml:space="preserve">) remains unused.</w:t>
      </w:r>
    </w:p>
    <w:p>
      <w:pPr>
        <w:pBdr>
          <w:bottom w:val="single" w:color="D8D8E0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1B1F"/>
          <w:sz w:val="30"/>
          <w:szCs w:val="30"/>
        </w:rPr>
        <w:t xml:space="preserve">Reproducing this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``</w:t>
      </w:r>
      <w:r>
        <w:rPr>
          <w:rFonts w:ascii="Consolas" w:cs="Consolas" w:eastAsia="Consolas" w:hAnsi="Consolas"/>
          <w:color w:val="8A3B1F"/>
          <w:sz w:val="18"/>
          <w:szCs w:val="18"/>
        </w:rPr>
        <w:t xml:space="preserve">bash pip install -r requirements.txt python src/analysis.py        # ~2 minutes, writes reports/figures/ and results/ </w:t>
      </w:r>
      <w:r>
        <w:rPr>
          <w:color w:val="1B1B1F"/>
          <w:sz w:val="21"/>
          <w:szCs w:val="21"/>
        </w:rPr>
        <w:t xml:space="preserve">``</w:t>
      </w:r>
    </w:p>
    <w:p>
      <w:pPr>
        <w:spacing w:after="140" w:line="276"/>
      </w:pPr>
      <w:r>
        <w:rPr>
          <w:color w:val="1B1B1F"/>
          <w:sz w:val="21"/>
          <w:szCs w:val="21"/>
        </w:rPr>
        <w:t xml:space="preserve">Or open the </w:t>
      </w:r>
      <w:hyperlink w:history="1" r:id="rId1msj9mlacrmhpouil_bw-">
        <w:r>
          <w:rPr>
            <w:rStyle w:val="Hyperlink"/>
            <w:color w:val="1B1B1F"/>
            <w:sz w:val="21"/>
            <w:szCs w:val="21"/>
          </w:rPr>
          <w:t xml:space="preserve">notebook</w:t>
        </w:r>
      </w:hyperlink>
      <w:r>
        <w:rPr>
          <w:color w:val="1B1B1F"/>
          <w:sz w:val="21"/>
          <w:szCs w:val="21"/>
        </w:rPr>
        <w:t xml:space="preserve"> in Google Colab — the data downloads automatically.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2B6CB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uuqryaquxsw3xt0humyf" Type="http://schemas.openxmlformats.org/officeDocument/2006/relationships/hyperlink" Target="https://github.com/Derek-Jones/Software-estimation-datasets" TargetMode="External"/><Relationship Id="rIdenorr3ujblftsfieadq5v" Type="http://schemas.openxmlformats.org/officeDocument/2006/relationships/hyperlink" Target="https://github.com/erdankud/dev_estimations_analysis/blob/main/src/analysis.py" TargetMode="External"/><Relationship Id="rIdjwb41hf1uqvunehcc9xqs" Type="http://schemas.openxmlformats.org/officeDocument/2006/relationships/hyperlink" Target="https://github.com/erdankud/dev_estimations_analysis/blob/main/notebooks/Dev_Estimations_Analysis.ipynb" TargetMode="External"/><Relationship Id="rId1msj9mlacrmhpouil_bw-" Type="http://schemas.openxmlformats.org/officeDocument/2006/relationships/hyperlink" Target="https://github.com/erdankud/dev_estimations_analysis/blob/main/notebooks/Dev_Estimations_Analysis.ipynb" TargetMode="External"/><Relationship Id="rId7" Type="http://schemas.openxmlformats.org/officeDocument/2006/relationships/image" Target="media/f5a822b55f0d7a8bdd402a8aa792dea449522157.png"/><Relationship Id="rId8" Type="http://schemas.openxmlformats.org/officeDocument/2006/relationships/image" Target="media/2c7c146663a5cb633c5b90cddffdecea46eff1b4.png"/><Relationship Id="rId9" Type="http://schemas.openxmlformats.org/officeDocument/2006/relationships/image" Target="media/9b5978836b5a924cd00ff59b1c08e34ce2edabe9.png"/><Relationship Id="rId10" Type="http://schemas.openxmlformats.org/officeDocument/2006/relationships/image" Target="media/6eebad9c4c5ea5bc40d3863ac9a8b58b89ab7908.png"/><Relationship Id="rId11" Type="http://schemas.openxmlformats.org/officeDocument/2006/relationships/image" Target="media/24b26fff5435fd1cc1529a1851319a38afed5d06.png"/><Relationship Id="rId12" Type="http://schemas.openxmlformats.org/officeDocument/2006/relationships/image" Target="media/a57ef1dffdb34792edeedf13b400b0bcd78974e1.png"/><Relationship Id="rId13" Type="http://schemas.openxmlformats.org/officeDocument/2006/relationships/image" Target="media/7bdc0b5d8a5e6c31511d40f155d99315baa26aa9.png"/><Relationship Id="rId14" Type="http://schemas.openxmlformats.org/officeDocument/2006/relationships/image" Target="media/bada78176ecac23d8d69c71ed618adebeb85fbb5.png"/><Relationship Id="rId15" Type="http://schemas.openxmlformats.org/officeDocument/2006/relationships/image" Target="media/88655cef5cb16d8b1f07fee7e77a316f763ad745.png"/><Relationship Id="rId16" Type="http://schemas.openxmlformats.org/officeDocument/2006/relationships/image" Target="media/b8459a06f0acba78a657c9d659debe00607a71de.png"/><Relationship Id="rId17" Type="http://schemas.openxmlformats.org/officeDocument/2006/relationships/image" Target="media/9fa1bc086d4a61e1c4152e60b3bb14bfda6982c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Software Estimates Are Wrong</dc:title>
  <dc:creator>Dev Estimations Analysis</dc:creator>
  <dc:description>A study of 80,709 tasks from three independent sources</dc:description>
  <cp:lastModifiedBy>Un-named</cp:lastModifiedBy>
  <cp:revision>1</cp:revision>
  <dcterms:created xsi:type="dcterms:W3CDTF">2026-09-06T03:50:56.846Z</dcterms:created>
  <dcterms:modified xsi:type="dcterms:W3CDTF">2026-09-06T03:50:56.850Z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