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jc w:val="center"/>
      </w:pPr>
      <w:r>
        <w:rPr>
          <w:b/>
          <w:color w:val="172033"/>
          <w:sz w:val="76"/>
        </w:rPr>
        <w:t>Tickd</w:t>
      </w:r>
    </w:p>
    <w:p>
      <w:pPr>
        <w:jc w:val="center"/>
      </w:pPr>
      <w:r>
        <w:rPr>
          <w:b/>
          <w:color w:val="3478F6"/>
          <w:sz w:val="20"/>
        </w:rPr>
        <w:t>TIME, WORK, AND BILLING IN ONE PLACE</w:t>
      </w:r>
    </w:p>
    <w:p>
      <w:pPr>
        <w:spacing w:before="960"/>
        <w:jc w:val="center"/>
      </w:pPr>
      <w:r>
        <w:rPr>
          <w:b/>
          <w:color w:val="173B7A"/>
          <w:sz w:val="50"/>
        </w:rPr>
        <w:t>Product Guide &amp; QA Source</w:t>
      </w:r>
    </w:p>
    <w:p>
      <w:pPr>
        <w:jc w:val="center"/>
      </w:pPr>
      <w:r>
        <w:rPr>
          <w:color w:val="596579"/>
          <w:sz w:val="22"/>
        </w:rPr>
        <w:t>Feature reference for onboarding, help content, support Q&amp;A, and launch readiness</w:t>
      </w:r>
    </w:p>
    <w:p/>
    <w:tbl>
      <w:tblPr>
        <w:tblW w:type="auto" w:w="0"/>
        <w:jc w:val="center"/>
        <w:tblLayout w:type="fixed"/>
        <w:tblLook w:firstColumn="1" w:firstRow="1" w:lastColumn="0" w:lastRow="0" w:noHBand="0" w:noVBand="1" w:val="04A0"/>
      </w:tblPr>
      <w:tblGrid>
        <w:gridCol w:w="9288"/>
      </w:tblGrid>
      <w:tr>
        <w:tc>
          <w:tcPr>
            <w:tcW w:type="dxa" w:w="9878"/>
            <w:shd w:fill="EAF2FF"/>
            <w:tcMar>
              <w:top w:w="130" w:type="dxa"/>
              <w:start w:w="160" w:type="dxa"/>
              <w:bottom w:w="130" w:type="dxa"/>
              <w:end w:w="160" w:type="dxa"/>
            </w:tcMar>
          </w:tcPr>
          <w:p>
            <w:pPr>
              <w:spacing w:after="40"/>
            </w:pPr>
            <w:r>
              <w:rPr>
                <w:b/>
                <w:color w:val="173B7A"/>
              </w:rPr>
              <w:t>Purpose of this document</w:t>
            </w:r>
          </w:p>
          <w:p>
            <w:pPr>
              <w:spacing w:after="0"/>
            </w:pPr>
            <w:r>
              <w:t>This is the maintained source of truth for what Tickd does, how each workflow behaves, and what support content should explain. It also records the browser audit completed across desktop and mobile.</w:t>
            </w:r>
          </w:p>
        </w:tc>
      </w:tr>
    </w:tbl>
    <w:p>
      <w:pPr>
        <w:spacing w:before="840"/>
        <w:jc w:val="center"/>
      </w:pPr>
      <w:r>
        <w:rPr>
          <w:color w:val="596579"/>
        </w:rPr>
        <w:t>Version 1.0  |  Local product audit  |  25 July 2026</w:t>
      </w:r>
    </w:p>
    <w:p>
      <w:pPr>
        <w:sectPr>
          <w:headerReference w:type="default" r:id="rId9"/>
          <w:footerReference w:type="default" r:id="rId10"/>
          <w:pgSz w:w="12240" w:h="15840"/>
          <w:pgMar w:top="720" w:right="1181" w:bottom="979" w:left="1181" w:header="720" w:footer="720" w:gutter="0"/>
          <w:cols w:space="720"/>
          <w:docGrid w:linePitch="360"/>
        </w:sectPr>
      </w:pPr>
    </w:p>
    <w:p>
      <w:pPr>
        <w:pStyle w:val="Title"/>
        <w:pBdr>
          <w:bottom w:val="single" w:sz="18" w:space="4" w:color="3478F6"/>
        </w:pBdr>
      </w:pPr>
      <w:r>
        <w:t>SECTION 1  Product Map</w:t>
      </w:r>
    </w:p>
    <w:p>
      <w:pPr>
        <w:pStyle w:val="Subtitle"/>
      </w:pPr>
      <w:r>
        <w:t>What Tickd contains and how the parts connect</w:t>
      </w:r>
    </w:p>
    <w:p>
      <w:pPr>
        <w:pStyle w:val="Heading2"/>
        <w:keepNext/>
      </w:pPr>
      <w:r>
        <w:t>Core workflow</w:t>
      </w:r>
    </w:p>
    <w:p>
      <w:pPr>
        <w:spacing w:after="40"/>
        <w:ind w:left="403" w:hanging="403"/>
      </w:pPr>
      <w:r>
        <w:rPr>
          <w:b/>
        </w:rPr>
        <w:t xml:space="preserve">1. </w:t>
      </w:r>
      <w:r>
        <w:t>Create a client and record the client’s billing currency and invoice profile.</w:t>
      </w:r>
    </w:p>
    <w:p>
      <w:pPr>
        <w:spacing w:after="40"/>
        <w:ind w:left="403" w:hanging="403"/>
      </w:pPr>
      <w:r>
        <w:rPr>
          <w:b/>
        </w:rPr>
        <w:t xml:space="preserve">2. </w:t>
      </w:r>
      <w:r>
        <w:t>Create one or more projects with rates and identifying colors.</w:t>
      </w:r>
    </w:p>
    <w:p>
      <w:pPr>
        <w:spacing w:after="40"/>
        <w:ind w:left="403" w:hanging="403"/>
      </w:pPr>
      <w:r>
        <w:rPr>
          <w:b/>
        </w:rPr>
        <w:t xml:space="preserve">3. </w:t>
      </w:r>
      <w:r>
        <w:t>Track work with the timer or add/edit time manually; related blocks are grouped together.</w:t>
      </w:r>
    </w:p>
    <w:p>
      <w:pPr>
        <w:spacing w:after="40"/>
        <w:ind w:left="403" w:hanging="403"/>
      </w:pPr>
      <w:r>
        <w:rPr>
          <w:b/>
        </w:rPr>
        <w:t xml:space="preserve">4. </w:t>
      </w:r>
      <w:r>
        <w:t>Review activity and estimated value on the dashboard.</w:t>
      </w:r>
    </w:p>
    <w:p>
      <w:pPr>
        <w:spacing w:after="40"/>
        <w:ind w:left="403" w:hanging="403"/>
      </w:pPr>
      <w:r>
        <w:rPr>
          <w:b/>
        </w:rPr>
        <w:t xml:space="preserve">5. </w:t>
      </w:r>
      <w:r>
        <w:t>Generate a report, apply time adjustments, edit report rows, then export or create an invoice.</w:t>
      </w:r>
    </w:p>
    <w:p>
      <w:pPr>
        <w:spacing w:after="40"/>
        <w:ind w:left="403" w:hanging="403"/>
      </w:pPr>
      <w:r>
        <w:rPr>
          <w:b/>
        </w:rPr>
        <w:t xml:space="preserve">6. </w:t>
      </w:r>
      <w:r>
        <w:t>Customize, save, export, and manage invoice status.</w:t>
      </w:r>
    </w:p>
    <w:p>
      <w:pPr>
        <w:pStyle w:val="Heading2"/>
        <w:keepNext/>
      </w:pPr>
      <w:r>
        <w:t>Navigation reference</w:t>
      </w:r>
    </w:p>
    <w:tbl>
      <w:tblPr>
        <w:tblStyle w:val="TableGrid"/>
        <w:tblW w:type="auto" w:w="0"/>
        <w:jc w:val="center"/>
        <w:tblLayout w:type="fixed"/>
        <w:tblLook w:firstColumn="1" w:firstRow="1" w:lastColumn="0" w:lastRow="0" w:noHBand="0" w:noVBand="1" w:val="04A0"/>
      </w:tblPr>
      <w:tblGrid>
        <w:gridCol w:w="2232"/>
        <w:gridCol w:w="7056"/>
      </w:tblGrid>
      <w:tr>
        <w:trPr>
          <w:tblHeader w:val="true"/>
        </w:trPr>
        <w:tc>
          <w:tcPr>
            <w:tcW w:type="dxa" w:w="4939"/>
            <w:shd w:fill="173B7A"/>
            <w:tcMar>
              <w:top w:w="100" w:type="dxa"/>
              <w:start w:w="120" w:type="dxa"/>
              <w:bottom w:w="100" w:type="dxa"/>
              <w:end w:w="120" w:type="dxa"/>
            </w:tcMar>
            <w:vAlign w:val="center"/>
          </w:tcPr>
          <w:p>
            <w:r>
              <w:rPr>
                <w:b/>
                <w:color w:val="FFFFFF"/>
              </w:rPr>
              <w:t>Area</w:t>
            </w:r>
          </w:p>
        </w:tc>
        <w:tc>
          <w:tcPr>
            <w:tcW w:type="dxa" w:w="4939"/>
            <w:shd w:fill="173B7A"/>
            <w:tcMar>
              <w:top w:w="100" w:type="dxa"/>
              <w:start w:w="120" w:type="dxa"/>
              <w:bottom w:w="100" w:type="dxa"/>
              <w:end w:w="120" w:type="dxa"/>
            </w:tcMar>
            <w:vAlign w:val="center"/>
          </w:tcPr>
          <w:p>
            <w:r>
              <w:rPr>
                <w:b/>
                <w:color w:val="FFFFFF"/>
              </w:rPr>
              <w:t>Primary purpose</w:t>
            </w:r>
          </w:p>
        </w:tc>
      </w:tr>
      <w:tr>
        <w:tc>
          <w:tcPr>
            <w:tcW w:type="dxa" w:w="2232"/>
            <w:tcMar>
              <w:top w:w="100" w:type="dxa"/>
              <w:start w:w="120" w:type="dxa"/>
              <w:bottom w:w="100" w:type="dxa"/>
              <w:end w:w="120" w:type="dxa"/>
            </w:tcMar>
            <w:vAlign w:val="center"/>
          </w:tcPr>
          <w:p>
            <w:r>
              <w:t>Time Tracker</w:t>
            </w:r>
          </w:p>
        </w:tc>
        <w:tc>
          <w:tcPr>
            <w:tcW w:type="dxa" w:w="7056"/>
            <w:tcMar>
              <w:top w:w="100" w:type="dxa"/>
              <w:start w:w="120" w:type="dxa"/>
              <w:bottom w:w="100" w:type="dxa"/>
              <w:end w:w="120" w:type="dxa"/>
            </w:tcMar>
            <w:vAlign w:val="center"/>
          </w:tcPr>
          <w:p>
            <w:r>
              <w:t>Capture work, reuse suggestions, edit blocks, dates, notes, and display currency.</w:t>
            </w:r>
          </w:p>
        </w:tc>
      </w:tr>
      <w:tr>
        <w:tc>
          <w:tcPr>
            <w:tcW w:type="dxa" w:w="2232"/>
            <w:tcMar>
              <w:top w:w="100" w:type="dxa"/>
              <w:start w:w="120" w:type="dxa"/>
              <w:bottom w:w="100" w:type="dxa"/>
              <w:end w:w="120" w:type="dxa"/>
            </w:tcMar>
            <w:vAlign w:val="center"/>
            <w:shd w:fill="F6F8FB"/>
          </w:tcPr>
          <w:p>
            <w:r>
              <w:t>Dashboard</w:t>
            </w:r>
          </w:p>
        </w:tc>
        <w:tc>
          <w:tcPr>
            <w:tcW w:type="dxa" w:w="7056"/>
            <w:tcMar>
              <w:top w:w="100" w:type="dxa"/>
              <w:start w:w="120" w:type="dxa"/>
              <w:bottom w:w="100" w:type="dxa"/>
              <w:end w:w="120" w:type="dxa"/>
            </w:tcMar>
            <w:vAlign w:val="center"/>
            <w:shd w:fill="F6F8FB"/>
          </w:tcPr>
          <w:p>
            <w:r>
              <w:t>Analyze time, value, clients, and projects across flexible date ranges.</w:t>
            </w:r>
          </w:p>
        </w:tc>
      </w:tr>
      <w:tr>
        <w:tc>
          <w:tcPr>
            <w:tcW w:type="dxa" w:w="2232"/>
            <w:tcMar>
              <w:top w:w="100" w:type="dxa"/>
              <w:start w:w="120" w:type="dxa"/>
              <w:bottom w:w="100" w:type="dxa"/>
              <w:end w:w="120" w:type="dxa"/>
            </w:tcMar>
            <w:vAlign w:val="center"/>
          </w:tcPr>
          <w:p>
            <w:r>
              <w:t>Reports</w:t>
            </w:r>
          </w:p>
        </w:tc>
        <w:tc>
          <w:tcPr>
            <w:tcW w:type="dxa" w:w="7056"/>
            <w:tcMar>
              <w:top w:w="100" w:type="dxa"/>
              <w:start w:w="120" w:type="dxa"/>
              <w:bottom w:w="100" w:type="dxa"/>
              <w:end w:w="120" w:type="dxa"/>
            </w:tcMar>
            <w:vAlign w:val="center"/>
          </w:tcPr>
          <w:p>
            <w:r>
              <w:t>Filter work, adjust hours, edit rows, export reports, and generate invoices.</w:t>
            </w:r>
          </w:p>
        </w:tc>
      </w:tr>
      <w:tr>
        <w:tc>
          <w:tcPr>
            <w:tcW w:type="dxa" w:w="2232"/>
            <w:tcMar>
              <w:top w:w="100" w:type="dxa"/>
              <w:start w:w="120" w:type="dxa"/>
              <w:bottom w:w="100" w:type="dxa"/>
              <w:end w:w="120" w:type="dxa"/>
            </w:tcMar>
            <w:vAlign w:val="center"/>
            <w:shd w:fill="F6F8FB"/>
          </w:tcPr>
          <w:p>
            <w:r>
              <w:t>Invoices</w:t>
            </w:r>
          </w:p>
        </w:tc>
        <w:tc>
          <w:tcPr>
            <w:tcW w:type="dxa" w:w="7056"/>
            <w:tcMar>
              <w:top w:w="100" w:type="dxa"/>
              <w:start w:w="120" w:type="dxa"/>
              <w:bottom w:w="100" w:type="dxa"/>
              <w:end w:w="120" w:type="dxa"/>
            </w:tcMar>
            <w:vAlign w:val="center"/>
            <w:shd w:fill="F6F8FB"/>
          </w:tcPr>
          <w:p>
            <w:r>
              <w:t>Review saved invoices, update status, reopen the editor, and export PDFs.</w:t>
            </w:r>
          </w:p>
        </w:tc>
      </w:tr>
      <w:tr>
        <w:tc>
          <w:tcPr>
            <w:tcW w:type="dxa" w:w="2232"/>
            <w:tcMar>
              <w:top w:w="100" w:type="dxa"/>
              <w:start w:w="120" w:type="dxa"/>
              <w:bottom w:w="100" w:type="dxa"/>
              <w:end w:w="120" w:type="dxa"/>
            </w:tcMar>
            <w:vAlign w:val="center"/>
          </w:tcPr>
          <w:p>
            <w:r>
              <w:t>Clients / Projects</w:t>
            </w:r>
          </w:p>
        </w:tc>
        <w:tc>
          <w:tcPr>
            <w:tcW w:type="dxa" w:w="7056"/>
            <w:tcMar>
              <w:top w:w="100" w:type="dxa"/>
              <w:start w:w="120" w:type="dxa"/>
              <w:bottom w:w="100" w:type="dxa"/>
              <w:end w:w="120" w:type="dxa"/>
            </w:tcMar>
            <w:vAlign w:val="center"/>
          </w:tcPr>
          <w:p>
            <w:r>
              <w:t>Maintain billing identities, rates, colors, and client-specific invoice profiles.</w:t>
            </w:r>
          </w:p>
        </w:tc>
      </w:tr>
      <w:tr>
        <w:tc>
          <w:tcPr>
            <w:tcW w:type="dxa" w:w="2232"/>
            <w:tcMar>
              <w:top w:w="100" w:type="dxa"/>
              <w:start w:w="120" w:type="dxa"/>
              <w:bottom w:w="100" w:type="dxa"/>
              <w:end w:w="120" w:type="dxa"/>
            </w:tcMar>
            <w:vAlign w:val="center"/>
            <w:shd w:fill="F6F8FB"/>
          </w:tcPr>
          <w:p>
            <w:r>
              <w:t>Notes</w:t>
            </w:r>
          </w:p>
        </w:tc>
        <w:tc>
          <w:tcPr>
            <w:tcW w:type="dxa" w:w="7056"/>
            <w:tcMar>
              <w:top w:w="100" w:type="dxa"/>
              <w:start w:w="120" w:type="dxa"/>
              <w:bottom w:w="100" w:type="dxa"/>
              <w:end w:w="120" w:type="dxa"/>
            </w:tcMar>
            <w:vAlign w:val="center"/>
            <w:shd w:fill="F6F8FB"/>
          </w:tcPr>
          <w:p>
            <w:r>
              <w:t>Search and review notes attached to individual time entries.</w:t>
            </w:r>
          </w:p>
        </w:tc>
      </w:tr>
      <w:tr>
        <w:tc>
          <w:tcPr>
            <w:tcW w:type="dxa" w:w="2232"/>
            <w:tcMar>
              <w:top w:w="100" w:type="dxa"/>
              <w:start w:w="120" w:type="dxa"/>
              <w:bottom w:w="100" w:type="dxa"/>
              <w:end w:w="120" w:type="dxa"/>
            </w:tcMar>
            <w:vAlign w:val="center"/>
          </w:tcPr>
          <w:p>
            <w:r>
              <w:t>Settings / Account</w:t>
            </w:r>
          </w:p>
        </w:tc>
        <w:tc>
          <w:tcPr>
            <w:tcW w:type="dxa" w:w="7056"/>
            <w:tcMar>
              <w:top w:w="100" w:type="dxa"/>
              <w:start w:w="120" w:type="dxa"/>
              <w:bottom w:w="100" w:type="dxa"/>
              <w:end w:w="120" w:type="dxa"/>
            </w:tcMar>
            <w:vAlign w:val="center"/>
          </w:tcPr>
          <w:p>
            <w:r>
              <w:t>Manage business, invoice, language, branding, currency, and profile preferences.</w:t>
            </w:r>
          </w:p>
        </w:tc>
      </w:tr>
      <w:tr>
        <w:tc>
          <w:tcPr>
            <w:tcW w:type="dxa" w:w="2232"/>
            <w:tcMar>
              <w:top w:w="100" w:type="dxa"/>
              <w:start w:w="120" w:type="dxa"/>
              <w:bottom w:w="100" w:type="dxa"/>
              <w:end w:w="120" w:type="dxa"/>
            </w:tcMar>
            <w:vAlign w:val="center"/>
            <w:shd w:fill="F6F8FB"/>
          </w:tcPr>
          <w:p>
            <w:r>
              <w:t>Admin</w:t>
            </w:r>
          </w:p>
        </w:tc>
        <w:tc>
          <w:tcPr>
            <w:tcW w:type="dxa" w:w="7056"/>
            <w:tcMar>
              <w:top w:w="100" w:type="dxa"/>
              <w:start w:w="120" w:type="dxa"/>
              <w:bottom w:w="100" w:type="dxa"/>
              <w:end w:w="120" w:type="dxa"/>
            </w:tcMar>
            <w:vAlign w:val="center"/>
            <w:shd w:fill="F6F8FB"/>
          </w:tcPr>
          <w:p>
            <w:r>
              <w:t>Manage access and recovery controls without exposing users’ private work content.</w:t>
            </w:r>
          </w:p>
        </w:tc>
      </w:tr>
    </w:tbl>
    <w:tbl>
      <w:tblPr>
        <w:tblW w:type="auto" w:w="0"/>
        <w:jc w:val="center"/>
        <w:tblLayout w:type="fixed"/>
        <w:tblLook w:firstColumn="1" w:firstRow="1" w:lastColumn="0" w:lastRow="0" w:noHBand="0" w:noVBand="1" w:val="04A0"/>
      </w:tblPr>
      <w:tblGrid>
        <w:gridCol w:w="9288"/>
      </w:tblGrid>
      <w:tr>
        <w:tc>
          <w:tcPr>
            <w:tcW w:type="dxa" w:w="9878"/>
            <w:shd w:fill="EAF8F1"/>
            <w:tcMar>
              <w:top w:w="130" w:type="dxa"/>
              <w:start w:w="160" w:type="dxa"/>
              <w:bottom w:w="130" w:type="dxa"/>
              <w:end w:w="160" w:type="dxa"/>
            </w:tcMar>
          </w:tcPr>
          <w:p>
            <w:pPr>
              <w:spacing w:after="40"/>
            </w:pPr>
            <w:r>
              <w:rPr>
                <w:b/>
                <w:color w:val="173B7A"/>
              </w:rPr>
              <w:t>Verified</w:t>
            </w:r>
          </w:p>
          <w:p>
            <w:pPr>
              <w:spacing w:after="0"/>
            </w:pPr>
            <w:r>
              <w:t>All primary routes, navigation links, and authenticated access were exercised in the Codex browser on desktop and mobile.</w:t>
            </w:r>
          </w:p>
        </w:tc>
      </w:tr>
    </w:tbl>
    <w:p>
      <w:pPr>
        <w:sectPr>
          <w:pgSz w:w="12240" w:h="15840"/>
          <w:pgMar w:top="720" w:right="1181" w:bottom="979" w:left="1181" w:header="720" w:footer="720" w:gutter="0"/>
          <w:cols w:space="720"/>
          <w:docGrid w:linePitch="360"/>
        </w:sectPr>
      </w:pPr>
    </w:p>
    <w:p>
      <w:pPr>
        <w:pStyle w:val="Title"/>
        <w:pBdr>
          <w:bottom w:val="single" w:sz="18" w:space="4" w:color="3478F6"/>
        </w:pBdr>
      </w:pPr>
      <w:r>
        <w:t>SECTION 2  Clients &amp; Projects</w:t>
      </w:r>
    </w:p>
    <w:p>
      <w:pPr>
        <w:pStyle w:val="Subtitle"/>
      </w:pPr>
      <w:r>
        <w:t>Set up the structure that powers rates, colors, currencies, and invoices</w:t>
      </w:r>
    </w:p>
    <w:p>
      <w:pPr>
        <w:pStyle w:val="Heading2"/>
        <w:keepNext/>
      </w:pPr>
      <w:r>
        <w:t>Create or edit a client</w:t>
      </w:r>
    </w:p>
    <w:p>
      <w:pPr>
        <w:spacing w:after="40"/>
        <w:ind w:left="403" w:hanging="403"/>
      </w:pPr>
      <w:r>
        <w:rPr>
          <w:b/>
        </w:rPr>
        <w:t xml:space="preserve">1. </w:t>
      </w:r>
      <w:r>
        <w:t>Open Clients and select Add Client, or use the Client menu above the timer.</w:t>
      </w:r>
    </w:p>
    <w:p>
      <w:pPr>
        <w:spacing w:after="40"/>
        <w:ind w:left="403" w:hanging="403"/>
      </w:pPr>
      <w:r>
        <w:rPr>
          <w:b/>
        </w:rPr>
        <w:t xml:space="preserve">2. </w:t>
      </w:r>
      <w:r>
        <w:t>Enter the required client name, then add contact and address details as needed.</w:t>
      </w:r>
    </w:p>
    <w:p>
      <w:pPr>
        <w:spacing w:after="40"/>
        <w:ind w:left="403" w:hanging="403"/>
      </w:pPr>
      <w:r>
        <w:rPr>
          <w:b/>
        </w:rPr>
        <w:t xml:space="preserve">3. </w:t>
      </w:r>
      <w:r>
        <w:t>Choose the client currency. Reports and invoices generated for that client use this currency.</w:t>
      </w:r>
    </w:p>
    <w:p>
      <w:pPr>
        <w:spacing w:after="40"/>
        <w:ind w:left="403" w:hanging="403"/>
      </w:pPr>
      <w:r>
        <w:rPr>
          <w:b/>
        </w:rPr>
        <w:t xml:space="preserve">4. </w:t>
      </w:r>
      <w:r>
        <w:t>Configure an optional client invoice profile: template, language, labels, branding, layout, payment details, notes, and footer.</w:t>
      </w:r>
    </w:p>
    <w:p>
      <w:pPr>
        <w:spacing w:after="40"/>
        <w:ind w:left="403" w:hanging="403"/>
      </w:pPr>
      <w:r>
        <w:rPr>
          <w:b/>
        </w:rPr>
        <w:t xml:space="preserve">5. </w:t>
      </w:r>
      <w:r>
        <w:t>Save. Edit and Cancel both close the dialog cleanly.</w:t>
      </w:r>
    </w:p>
    <w:p>
      <w:pPr>
        <w:pStyle w:val="Heading2"/>
        <w:keepNext/>
      </w:pPr>
      <w:r>
        <w:t>Create or edit a project</w:t>
      </w:r>
    </w:p>
    <w:p>
      <w:pPr>
        <w:spacing w:after="40"/>
        <w:ind w:left="403" w:hanging="403"/>
      </w:pPr>
      <w:r>
        <w:rPr>
          <w:b/>
        </w:rPr>
        <w:t xml:space="preserve">1. </w:t>
      </w:r>
      <w:r>
        <w:t>Open Projects or use the Project menu above the timer.</w:t>
      </w:r>
    </w:p>
    <w:p>
      <w:pPr>
        <w:spacing w:after="40"/>
        <w:ind w:left="403" w:hanging="403"/>
      </w:pPr>
      <w:r>
        <w:rPr>
          <w:b/>
        </w:rPr>
        <w:t xml:space="preserve">2. </w:t>
      </w:r>
      <w:r>
        <w:t>Choose a client, enter a project name and hourly rate, then choose a color.</w:t>
      </w:r>
    </w:p>
    <w:p>
      <w:pPr>
        <w:spacing w:after="40"/>
        <w:ind w:left="403" w:hanging="403"/>
      </w:pPr>
      <w:r>
        <w:rPr>
          <w:b/>
        </w:rPr>
        <w:t xml:space="preserve">3. </w:t>
      </w:r>
      <w:r>
        <w:t>Use Active to control whether the project remains available for new tracking.</w:t>
      </w:r>
    </w:p>
    <w:p>
      <w:pPr>
        <w:spacing w:after="40"/>
        <w:ind w:left="403" w:hanging="403"/>
      </w:pPr>
      <w:r>
        <w:rPr>
          <w:b/>
        </w:rPr>
        <w:t xml:space="preserve">4. </w:t>
      </w:r>
      <w:r>
        <w:t>The project inherits its billing currency from the client; its color appears throughout tracking and suggestions.</w:t>
      </w:r>
    </w:p>
    <w:p>
      <w:pPr>
        <w:pStyle w:val="Heading2"/>
        <w:keepNext/>
      </w:pPr>
      <w:r>
        <w:t>Client-specific invoice profiles</w:t>
      </w:r>
    </w:p>
    <w:p>
      <w:r>
        <w:t>A client profile overrides the global invoice defaults only for that client. This supports, for example, a UK client with an English/GBP invoice and a Serbian client with localized labels and a different layout. The live preview shows the result before saving.</w:t>
      </w:r>
    </w:p>
    <w:tbl>
      <w:tblPr>
        <w:tblW w:type="auto" w:w="0"/>
        <w:jc w:val="center"/>
        <w:tblLayout w:type="fixed"/>
        <w:tblLook w:firstColumn="1" w:firstRow="1" w:lastColumn="0" w:lastRow="0" w:noHBand="0" w:noVBand="1" w:val="04A0"/>
      </w:tblPr>
      <w:tblGrid>
        <w:gridCol w:w="9288"/>
      </w:tblGrid>
      <w:tr>
        <w:tc>
          <w:tcPr>
            <w:tcW w:type="dxa" w:w="9878"/>
            <w:shd w:fill="EAF2FF"/>
            <w:tcMar>
              <w:top w:w="130" w:type="dxa"/>
              <w:start w:w="160" w:type="dxa"/>
              <w:bottom w:w="130" w:type="dxa"/>
              <w:end w:w="160" w:type="dxa"/>
            </w:tcMar>
          </w:tcPr>
          <w:p>
            <w:pPr>
              <w:spacing w:after="40"/>
            </w:pPr>
            <w:r>
              <w:rPr>
                <w:b/>
                <w:color w:val="173B7A"/>
              </w:rPr>
              <w:t>Custom language labels</w:t>
            </w:r>
          </w:p>
          <w:p>
            <w:pPr>
              <w:spacing w:after="0"/>
            </w:pPr>
            <w:r>
              <w:t>Choosing Custom exposes editable invoice titles, date labels, table headings, payment labels, notes, and total labels. These overrides are saved only to the signed-in user’s profile.</w:t>
            </w:r>
          </w:p>
        </w:tc>
      </w:tr>
    </w:tbl>
    <w:tbl>
      <w:tblPr>
        <w:tblW w:type="auto" w:w="0"/>
        <w:jc w:val="center"/>
        <w:tblLayout w:type="fixed"/>
        <w:tblLook w:firstColumn="1" w:firstRow="1" w:lastColumn="0" w:lastRow="0" w:noHBand="0" w:noVBand="1" w:val="04A0"/>
      </w:tblPr>
      <w:tblGrid>
        <w:gridCol w:w="9288"/>
      </w:tblGrid>
      <w:tr>
        <w:tc>
          <w:tcPr>
            <w:tcW w:type="dxa" w:w="9878"/>
            <w:shd w:fill="EAF8F1"/>
            <w:tcMar>
              <w:top w:w="130" w:type="dxa"/>
              <w:start w:w="160" w:type="dxa"/>
              <w:bottom w:w="130" w:type="dxa"/>
              <w:end w:w="160" w:type="dxa"/>
            </w:tcMar>
          </w:tcPr>
          <w:p>
            <w:pPr>
              <w:spacing w:after="40"/>
            </w:pPr>
            <w:r>
              <w:rPr>
                <w:b/>
                <w:color w:val="173B7A"/>
              </w:rPr>
              <w:t>Responsive behavior</w:t>
            </w:r>
          </w:p>
          <w:p>
            <w:pPr>
              <w:spacing w:after="0"/>
            </w:pPr>
            <w:r>
              <w:t>The client list now uses compact cards on phones and the full comparison table from tablet width upward.</w:t>
            </w:r>
          </w:p>
        </w:tc>
      </w:tr>
    </w:tbl>
    <w:p>
      <w:pPr>
        <w:sectPr>
          <w:pgSz w:w="12240" w:h="15840"/>
          <w:pgMar w:top="720" w:right="1181" w:bottom="979" w:left="1181" w:header="720" w:footer="720" w:gutter="0"/>
          <w:cols w:space="720"/>
          <w:docGrid w:linePitch="360"/>
        </w:sectPr>
      </w:pPr>
    </w:p>
    <w:p>
      <w:pPr>
        <w:pStyle w:val="Title"/>
        <w:pBdr>
          <w:bottom w:val="single" w:sz="18" w:space="4" w:color="3478F6"/>
        </w:pBdr>
      </w:pPr>
      <w:r>
        <w:t>SECTION 3  Time Tracking</w:t>
      </w:r>
    </w:p>
    <w:p>
      <w:pPr>
        <w:pStyle w:val="Subtitle"/>
      </w:pPr>
      <w:r>
        <w:t>Capture work quickly, then correct details without losing the original structure</w:t>
      </w:r>
    </w:p>
    <w:p>
      <w:pPr>
        <w:pStyle w:val="Heading2"/>
        <w:keepNext/>
      </w:pPr>
      <w:r>
        <w:t>Start and stop a timer</w:t>
      </w:r>
    </w:p>
    <w:p>
      <w:pPr>
        <w:spacing w:after="40"/>
        <w:ind w:left="403" w:hanging="403"/>
      </w:pPr>
      <w:r>
        <w:rPr>
          <w:b/>
        </w:rPr>
        <w:t xml:space="preserve">1. </w:t>
      </w:r>
      <w:r>
        <w:t>Describe the task, choose a client and project, then select Start.</w:t>
      </w:r>
    </w:p>
    <w:p>
      <w:pPr>
        <w:spacing w:after="40"/>
        <w:ind w:left="403" w:hanging="403"/>
      </w:pPr>
      <w:r>
        <w:rPr>
          <w:b/>
        </w:rPr>
        <w:t xml:space="preserve">2. </w:t>
      </w:r>
      <w:r>
        <w:t>The active timer remains synchronized with the main tracker form.</w:t>
      </w:r>
    </w:p>
    <w:p>
      <w:pPr>
        <w:spacing w:after="40"/>
        <w:ind w:left="403" w:hanging="403"/>
      </w:pPr>
      <w:r>
        <w:rPr>
          <w:b/>
        </w:rPr>
        <w:t xml:space="preserve">3. </w:t>
      </w:r>
      <w:r>
        <w:t>Select Stop to save a dated time block. The new or moved entry is briefly highlighted.</w:t>
      </w:r>
    </w:p>
    <w:p>
      <w:pPr>
        <w:spacing w:after="40"/>
        <w:ind w:left="403" w:hanging="403"/>
      </w:pPr>
      <w:r>
        <w:rPr>
          <w:b/>
        </w:rPr>
        <w:t xml:space="preserve">4. </w:t>
      </w:r>
      <w:r>
        <w:t>Use the play icon on an existing entry to continue the same task and project.</w:t>
      </w:r>
    </w:p>
    <w:p>
      <w:pPr>
        <w:pStyle w:val="Heading2"/>
        <w:keepNext/>
      </w:pPr>
      <w:r>
        <w:t>Smart task suggestions</w:t>
      </w:r>
    </w:p>
    <w:p>
      <w:r>
        <w:t>After at least three typed characters, Tickd recommends matching work from the user’s own history. Each suggestion includes the prior description, project, client, and project color. Selecting it fills the tracker for confirmation.</w:t>
      </w:r>
    </w:p>
    <w:p>
      <w:pPr>
        <w:pStyle w:val="Heading2"/>
        <w:keepNext/>
      </w:pPr>
      <w:r>
        <w:t>Editing and grouping</w:t>
      </w:r>
    </w:p>
    <w:p>
      <w:pPr>
        <w:spacing w:after="40"/>
        <w:ind w:left="317" w:hanging="259"/>
      </w:pPr>
      <w:r>
        <w:rPr>
          <w:b/>
        </w:rPr>
        <w:t xml:space="preserve">• </w:t>
      </w:r>
      <w:r>
        <w:t>Blocks with the same description, project, and date are grouped into one task total.</w:t>
      </w:r>
    </w:p>
    <w:p>
      <w:pPr>
        <w:spacing w:after="40"/>
        <w:ind w:left="317" w:hanging="259"/>
      </w:pPr>
      <w:r>
        <w:rPr>
          <w:b/>
        </w:rPr>
        <w:t xml:space="preserve">• </w:t>
      </w:r>
      <w:r>
        <w:t>Expand a grouped entry to edit individual start/end times or move a specific block.</w:t>
      </w:r>
    </w:p>
    <w:p>
      <w:pPr>
        <w:spacing w:after="40"/>
        <w:ind w:left="317" w:hanging="259"/>
      </w:pPr>
      <w:r>
        <w:rPr>
          <w:b/>
        </w:rPr>
        <w:t xml:space="preserve">• </w:t>
      </w:r>
      <w:r>
        <w:t>Edit description, client, project, and duration. Matching edits may merge equivalent entries.</w:t>
      </w:r>
    </w:p>
    <w:p>
      <w:pPr>
        <w:spacing w:after="40"/>
        <w:ind w:left="317" w:hanging="259"/>
      </w:pPr>
      <w:r>
        <w:rPr>
          <w:b/>
        </w:rPr>
        <w:t xml:space="preserve">• </w:t>
      </w:r>
      <w:r>
        <w:t>On mobile, the compact editor updates grouped metadata and distributes an edited total duration proportionally across its blocks.</w:t>
      </w:r>
    </w:p>
    <w:p>
      <w:pPr>
        <w:spacing w:after="40"/>
        <w:ind w:left="317" w:hanging="259"/>
      </w:pPr>
      <w:r>
        <w:rPr>
          <w:b/>
        </w:rPr>
        <w:t xml:space="preserve">• </w:t>
      </w:r>
      <w:r>
        <w:t>Duplicate creates a copy on the same date; Delete always asks for confirmation.</w:t>
      </w:r>
    </w:p>
    <w:p>
      <w:pPr>
        <w:pStyle w:val="Heading2"/>
        <w:keepNext/>
      </w:pPr>
      <w:r>
        <w:t>Dates, notes, formats, and value</w:t>
      </w:r>
    </w:p>
    <w:p>
      <w:pPr>
        <w:spacing w:after="40"/>
        <w:ind w:left="317" w:hanging="259"/>
      </w:pPr>
      <w:r>
        <w:rPr>
          <w:b/>
        </w:rPr>
        <w:t xml:space="preserve">• </w:t>
      </w:r>
      <w:r>
        <w:t>The calendar moves a single block or the full grouped entry. Clock times are preserved, future dates are disabled, and the target date is the only selected date.</w:t>
      </w:r>
    </w:p>
    <w:p>
      <w:pPr>
        <w:spacing w:after="40"/>
        <w:ind w:left="317" w:hanging="259"/>
      </w:pPr>
      <w:r>
        <w:rPr>
          <w:b/>
        </w:rPr>
        <w:t xml:space="preserve">• </w:t>
      </w:r>
      <w:r>
        <w:t>Entry notes can be created, edited, and deleted from the row, then found centrally on the Notes page.</w:t>
      </w:r>
    </w:p>
    <w:p>
      <w:pPr>
        <w:spacing w:after="40"/>
        <w:ind w:left="317" w:hanging="259"/>
      </w:pPr>
      <w:r>
        <w:rPr>
          <w:b/>
        </w:rPr>
        <w:t xml:space="preserve">• </w:t>
      </w:r>
      <w:r>
        <w:t>Switch between decimal and HH:MM:SS display, group by date/project/client, and filter by a custom date range.</w:t>
      </w:r>
    </w:p>
    <w:p>
      <w:pPr>
        <w:spacing w:after="40"/>
        <w:ind w:left="317" w:hanging="259"/>
      </w:pPr>
      <w:r>
        <w:rPr>
          <w:b/>
        </w:rPr>
        <w:t xml:space="preserve">• </w:t>
      </w:r>
      <w:r>
        <w:t>Estimated value converts client currencies into the selected display currency using live rates when supported and saved user rates otherwise.</w:t>
      </w:r>
    </w:p>
    <w:p>
      <w:pPr>
        <w:sectPr>
          <w:pgSz w:w="12240" w:h="15840"/>
          <w:pgMar w:top="720" w:right="1181" w:bottom="979" w:left="1181" w:header="720" w:footer="720" w:gutter="0"/>
          <w:cols w:space="720"/>
          <w:docGrid w:linePitch="360"/>
        </w:sectPr>
      </w:pPr>
    </w:p>
    <w:p>
      <w:pPr>
        <w:pStyle w:val="Title"/>
        <w:pBdr>
          <w:bottom w:val="single" w:sz="18" w:space="4" w:color="3478F6"/>
        </w:pBdr>
      </w:pPr>
      <w:r>
        <w:t>SECTION 4  Dashboard</w:t>
      </w:r>
    </w:p>
    <w:p>
      <w:pPr>
        <w:pStyle w:val="Subtitle"/>
      </w:pPr>
      <w:r>
        <w:t>A configurable, all-in-one view of effort and estimated value</w:t>
      </w:r>
    </w:p>
    <w:p>
      <w:pPr>
        <w:pStyle w:val="Heading2"/>
        <w:keepNext/>
      </w:pPr>
      <w:r>
        <w:t>Date ranges</w:t>
      </w:r>
    </w:p>
    <w:p>
      <w:r>
        <w:t>Choose This week, Last 7 days, Last 30 days, Last 90 days, Last year, or Custom. The start/end calendar is shown only for Custom. The summary and every chart update to the same selected range.</w:t>
      </w:r>
    </w:p>
    <w:p>
      <w:pPr>
        <w:pStyle w:val="Heading2"/>
        <w:keepNext/>
      </w:pPr>
      <w:r>
        <w:t>Dashboard components</w:t>
      </w:r>
    </w:p>
    <w:tbl>
      <w:tblPr>
        <w:tblStyle w:val="TableGrid"/>
        <w:tblW w:type="auto" w:w="0"/>
        <w:jc w:val="center"/>
        <w:tblLayout w:type="fixed"/>
        <w:tblLook w:firstColumn="1" w:firstRow="1" w:lastColumn="0" w:lastRow="0" w:noHBand="0" w:noVBand="1" w:val="04A0"/>
      </w:tblPr>
      <w:tblGrid>
        <w:gridCol w:w="2592"/>
        <w:gridCol w:w="6696"/>
      </w:tblGrid>
      <w:tr>
        <w:trPr>
          <w:tblHeader w:val="true"/>
        </w:trPr>
        <w:tc>
          <w:tcPr>
            <w:tcW w:type="dxa" w:w="4939"/>
            <w:shd w:fill="173B7A"/>
            <w:tcMar>
              <w:top w:w="100" w:type="dxa"/>
              <w:start w:w="120" w:type="dxa"/>
              <w:bottom w:w="100" w:type="dxa"/>
              <w:end w:w="120" w:type="dxa"/>
            </w:tcMar>
            <w:vAlign w:val="center"/>
          </w:tcPr>
          <w:p>
            <w:r>
              <w:rPr>
                <w:b/>
                <w:color w:val="FFFFFF"/>
              </w:rPr>
              <w:t>Component</w:t>
            </w:r>
          </w:p>
        </w:tc>
        <w:tc>
          <w:tcPr>
            <w:tcW w:type="dxa" w:w="4939"/>
            <w:shd w:fill="173B7A"/>
            <w:tcMar>
              <w:top w:w="100" w:type="dxa"/>
              <w:start w:w="120" w:type="dxa"/>
              <w:bottom w:w="100" w:type="dxa"/>
              <w:end w:w="120" w:type="dxa"/>
            </w:tcMar>
            <w:vAlign w:val="center"/>
          </w:tcPr>
          <w:p>
            <w:r>
              <w:rPr>
                <w:b/>
                <w:color w:val="FFFFFF"/>
              </w:rPr>
              <w:t>What it explains</w:t>
            </w:r>
          </w:p>
        </w:tc>
      </w:tr>
      <w:tr>
        <w:tc>
          <w:tcPr>
            <w:tcW w:type="dxa" w:w="2592"/>
            <w:tcMar>
              <w:top w:w="100" w:type="dxa"/>
              <w:start w:w="120" w:type="dxa"/>
              <w:bottom w:w="100" w:type="dxa"/>
              <w:end w:w="120" w:type="dxa"/>
            </w:tcMar>
            <w:vAlign w:val="center"/>
          </w:tcPr>
          <w:p>
            <w:r>
              <w:t>Tracked Hours</w:t>
            </w:r>
          </w:p>
        </w:tc>
        <w:tc>
          <w:tcPr>
            <w:tcW w:type="dxa" w:w="6696"/>
            <w:tcMar>
              <w:top w:w="100" w:type="dxa"/>
              <w:start w:w="120" w:type="dxa"/>
              <w:bottom w:w="100" w:type="dxa"/>
              <w:end w:w="120" w:type="dxa"/>
            </w:tcMar>
            <w:vAlign w:val="center"/>
          </w:tcPr>
          <w:p>
            <w:r>
              <w:t>Total duration in the selected time format.</w:t>
            </w:r>
          </w:p>
        </w:tc>
      </w:tr>
      <w:tr>
        <w:tc>
          <w:tcPr>
            <w:tcW w:type="dxa" w:w="2592"/>
            <w:tcMar>
              <w:top w:w="100" w:type="dxa"/>
              <w:start w:w="120" w:type="dxa"/>
              <w:bottom w:w="100" w:type="dxa"/>
              <w:end w:w="120" w:type="dxa"/>
            </w:tcMar>
            <w:vAlign w:val="center"/>
            <w:shd w:fill="F6F8FB"/>
          </w:tcPr>
          <w:p>
            <w:r>
              <w:t>Active Days</w:t>
            </w:r>
          </w:p>
        </w:tc>
        <w:tc>
          <w:tcPr>
            <w:tcW w:type="dxa" w:w="6696"/>
            <w:tcMar>
              <w:top w:w="100" w:type="dxa"/>
              <w:start w:w="120" w:type="dxa"/>
              <w:bottom w:w="100" w:type="dxa"/>
              <w:end w:w="120" w:type="dxa"/>
            </w:tcMar>
            <w:vAlign w:val="center"/>
            <w:shd w:fill="F6F8FB"/>
          </w:tcPr>
          <w:p>
            <w:r>
              <w:t>Days containing work, plus average hours per day.</w:t>
            </w:r>
          </w:p>
        </w:tc>
      </w:tr>
      <w:tr>
        <w:tc>
          <w:tcPr>
            <w:tcW w:type="dxa" w:w="2592"/>
            <w:tcMar>
              <w:top w:w="100" w:type="dxa"/>
              <w:start w:w="120" w:type="dxa"/>
              <w:bottom w:w="100" w:type="dxa"/>
              <w:end w:w="120" w:type="dxa"/>
            </w:tcMar>
            <w:vAlign w:val="center"/>
          </w:tcPr>
          <w:p>
            <w:r>
              <w:t>Best Project / Client</w:t>
            </w:r>
          </w:p>
        </w:tc>
        <w:tc>
          <w:tcPr>
            <w:tcW w:type="dxa" w:w="6696"/>
            <w:tcMar>
              <w:top w:w="100" w:type="dxa"/>
              <w:start w:w="120" w:type="dxa"/>
              <w:bottom w:w="100" w:type="dxa"/>
              <w:end w:w="120" w:type="dxa"/>
            </w:tcMar>
            <w:vAlign w:val="center"/>
          </w:tcPr>
          <w:p>
            <w:r>
              <w:t>The project and client with the most tracked time.</w:t>
            </w:r>
          </w:p>
        </w:tc>
      </w:tr>
      <w:tr>
        <w:tc>
          <w:tcPr>
            <w:tcW w:type="dxa" w:w="2592"/>
            <w:tcMar>
              <w:top w:w="100" w:type="dxa"/>
              <w:start w:w="120" w:type="dxa"/>
              <w:bottom w:w="100" w:type="dxa"/>
              <w:end w:w="120" w:type="dxa"/>
            </w:tcMar>
            <w:vAlign w:val="center"/>
            <w:shd w:fill="F6F8FB"/>
          </w:tcPr>
          <w:p>
            <w:r>
              <w:t>Estimated Value</w:t>
            </w:r>
          </w:p>
        </w:tc>
        <w:tc>
          <w:tcPr>
            <w:tcW w:type="dxa" w:w="6696"/>
            <w:tcMar>
              <w:top w:w="100" w:type="dxa"/>
              <w:start w:w="120" w:type="dxa"/>
              <w:bottom w:w="100" w:type="dxa"/>
              <w:end w:w="120" w:type="dxa"/>
            </w:tcMar>
            <w:vAlign w:val="center"/>
            <w:shd w:fill="F6F8FB"/>
          </w:tcPr>
          <w:p>
            <w:r>
              <w:t>Converted value using project/client rates and the selected display currency.</w:t>
            </w:r>
          </w:p>
        </w:tc>
      </w:tr>
      <w:tr>
        <w:tc>
          <w:tcPr>
            <w:tcW w:type="dxa" w:w="2592"/>
            <w:tcMar>
              <w:top w:w="100" w:type="dxa"/>
              <w:start w:w="120" w:type="dxa"/>
              <w:bottom w:w="100" w:type="dxa"/>
              <w:end w:w="120" w:type="dxa"/>
            </w:tcMar>
            <w:vAlign w:val="center"/>
          </w:tcPr>
          <w:p>
            <w:r>
              <w:t>Daily Work Pattern</w:t>
            </w:r>
          </w:p>
        </w:tc>
        <w:tc>
          <w:tcPr>
            <w:tcW w:type="dxa" w:w="6696"/>
            <w:tcMar>
              <w:top w:w="100" w:type="dxa"/>
              <w:start w:w="120" w:type="dxa"/>
              <w:bottom w:w="100" w:type="dxa"/>
              <w:end w:w="120" w:type="dxa"/>
            </w:tcMar>
            <w:vAlign w:val="center"/>
          </w:tcPr>
          <w:p>
            <w:r>
              <w:t>Every calendar day in range, including zero-hour days.</w:t>
            </w:r>
          </w:p>
        </w:tc>
      </w:tr>
      <w:tr>
        <w:tc>
          <w:tcPr>
            <w:tcW w:type="dxa" w:w="2592"/>
            <w:tcMar>
              <w:top w:w="100" w:type="dxa"/>
              <w:start w:w="120" w:type="dxa"/>
              <w:bottom w:w="100" w:type="dxa"/>
              <w:end w:w="120" w:type="dxa"/>
            </w:tcMar>
            <w:vAlign w:val="center"/>
            <w:shd w:fill="F6F8FB"/>
          </w:tcPr>
          <w:p>
            <w:r>
              <w:t>Time by Client / Project</w:t>
            </w:r>
          </w:p>
        </w:tc>
        <w:tc>
          <w:tcPr>
            <w:tcW w:type="dxa" w:w="6696"/>
            <w:tcMar>
              <w:top w:w="100" w:type="dxa"/>
              <w:start w:w="120" w:type="dxa"/>
              <w:bottom w:w="100" w:type="dxa"/>
              <w:end w:w="120" w:type="dxa"/>
            </w:tcMar>
            <w:vAlign w:val="center"/>
            <w:shd w:fill="F6F8FB"/>
          </w:tcPr>
          <w:p>
            <w:r>
              <w:t>Relative contribution of each client and project.</w:t>
            </w:r>
          </w:p>
        </w:tc>
      </w:tr>
      <w:tr>
        <w:tc>
          <w:tcPr>
            <w:tcW w:type="dxa" w:w="2592"/>
            <w:tcMar>
              <w:top w:w="100" w:type="dxa"/>
              <w:start w:w="120" w:type="dxa"/>
              <w:bottom w:w="100" w:type="dxa"/>
              <w:end w:w="120" w:type="dxa"/>
            </w:tcMar>
            <w:vAlign w:val="center"/>
          </w:tcPr>
          <w:p>
            <w:r>
              <w:t>Detailed Overviews</w:t>
            </w:r>
          </w:p>
        </w:tc>
        <w:tc>
          <w:tcPr>
            <w:tcW w:type="dxa" w:w="6696"/>
            <w:tcMar>
              <w:top w:w="100" w:type="dxa"/>
              <w:start w:w="120" w:type="dxa"/>
              <w:bottom w:w="100" w:type="dxa"/>
              <w:end w:w="120" w:type="dxa"/>
            </w:tcMar>
            <w:vAlign w:val="center"/>
          </w:tcPr>
          <w:p>
            <w:r>
              <w:t>Hours, value, entries, percentage share, and client/project relationships.</w:t>
            </w:r>
          </w:p>
        </w:tc>
      </w:tr>
    </w:tbl>
    <w:p>
      <w:pPr>
        <w:pStyle w:val="Heading2"/>
        <w:keepNext/>
      </w:pPr>
      <w:r>
        <w:t>Chart density</w:t>
      </w:r>
    </w:p>
    <w:p>
      <w:r>
        <w:t>The weekly chart uses broad columns across the full panel. Longer ranges condense the columns to reduce horizontal scrolling while retaining day-level detail.</w:t>
      </w:r>
    </w:p>
    <w:p>
      <w:pPr>
        <w:pStyle w:val="Heading2"/>
        <w:keepNext/>
      </w:pPr>
      <w:r>
        <w:t>Currency behavior</w:t>
      </w:r>
    </w:p>
    <w:p>
      <w:r>
        <w:t>The selector opens beyond the value card instead of being clipped. Supported currencies use the live exchange-rate endpoint. Unsupported or user-created currencies request a user-specific USD comparison rate; they can later be edited or removed from the selector.</w:t>
      </w:r>
    </w:p>
    <w:tbl>
      <w:tblPr>
        <w:tblW w:type="auto" w:w="0"/>
        <w:jc w:val="center"/>
        <w:tblLayout w:type="fixed"/>
        <w:tblLook w:firstColumn="1" w:firstRow="1" w:lastColumn="0" w:lastRow="0" w:noHBand="0" w:noVBand="1" w:val="04A0"/>
      </w:tblPr>
      <w:tblGrid>
        <w:gridCol w:w="9288"/>
      </w:tblGrid>
      <w:tr>
        <w:tc>
          <w:tcPr>
            <w:tcW w:type="dxa" w:w="9878"/>
            <w:shd w:fill="EAF8F1"/>
            <w:tcMar>
              <w:top w:w="130" w:type="dxa"/>
              <w:start w:w="160" w:type="dxa"/>
              <w:bottom w:w="130" w:type="dxa"/>
              <w:end w:w="160" w:type="dxa"/>
            </w:tcMar>
          </w:tcPr>
          <w:p>
            <w:pPr>
              <w:spacing w:after="40"/>
            </w:pPr>
            <w:r>
              <w:rPr>
                <w:b/>
                <w:color w:val="173B7A"/>
              </w:rPr>
              <w:t>Verified</w:t>
            </w:r>
          </w:p>
          <w:p>
            <w:pPr>
              <w:spacing w:after="0"/>
            </w:pPr>
            <w:r>
              <w:t>Weekly, annual, and custom range behavior; day coverage; client/project totals; currency selector placement; and GBP conversion were exercised in-browser.</w:t>
            </w:r>
          </w:p>
        </w:tc>
      </w:tr>
    </w:tbl>
    <w:p>
      <w:pPr>
        <w:sectPr>
          <w:pgSz w:w="12240" w:h="15840"/>
          <w:pgMar w:top="720" w:right="1181" w:bottom="979" w:left="1181" w:header="720" w:footer="720" w:gutter="0"/>
          <w:cols w:space="720"/>
          <w:docGrid w:linePitch="360"/>
        </w:sectPr>
      </w:pPr>
    </w:p>
    <w:p>
      <w:pPr>
        <w:pStyle w:val="Title"/>
        <w:pBdr>
          <w:bottom w:val="single" w:sz="18" w:space="4" w:color="3478F6"/>
        </w:pBdr>
      </w:pPr>
      <w:r>
        <w:t>SECTION 5  Reports</w:t>
      </w:r>
    </w:p>
    <w:p>
      <w:pPr>
        <w:pStyle w:val="Subtitle"/>
      </w:pPr>
      <w:r>
        <w:t>Turn tracked work into an editable client-facing summary</w:t>
      </w:r>
    </w:p>
    <w:p>
      <w:pPr>
        <w:pStyle w:val="Heading2"/>
        <w:keepNext/>
      </w:pPr>
      <w:r>
        <w:t>Generate a report</w:t>
      </w:r>
    </w:p>
    <w:p>
      <w:pPr>
        <w:spacing w:after="40"/>
        <w:ind w:left="403" w:hanging="403"/>
      </w:pPr>
      <w:r>
        <w:rPr>
          <w:b/>
        </w:rPr>
        <w:t xml:space="preserve">1. </w:t>
      </w:r>
      <w:r>
        <w:t>Choose a client, then optionally narrow to one project.</w:t>
      </w:r>
    </w:p>
    <w:p>
      <w:pPr>
        <w:spacing w:after="40"/>
        <w:ind w:left="403" w:hanging="403"/>
      </w:pPr>
      <w:r>
        <w:rPr>
          <w:b/>
        </w:rPr>
        <w:t xml:space="preserve">2. </w:t>
      </w:r>
      <w:r>
        <w:t>Set the inclusive start and end dates and select Apply Filters.</w:t>
      </w:r>
    </w:p>
    <w:p>
      <w:pPr>
        <w:spacing w:after="40"/>
        <w:ind w:left="403" w:hanging="403"/>
      </w:pPr>
      <w:r>
        <w:rPr>
          <w:b/>
        </w:rPr>
        <w:t xml:space="preserve">3. </w:t>
      </w:r>
      <w:r>
        <w:t>Choose decimal or clock-style hours and optional weekly grouping.</w:t>
      </w:r>
    </w:p>
    <w:p>
      <w:pPr>
        <w:spacing w:after="40"/>
        <w:ind w:left="403" w:hanging="403"/>
      </w:pPr>
      <w:r>
        <w:rPr>
          <w:b/>
        </w:rPr>
        <w:t xml:space="preserve">4. </w:t>
      </w:r>
      <w:r>
        <w:t>Review hours, rate, amount, currency, and totals before exporting or invoicing.</w:t>
      </w:r>
    </w:p>
    <w:p>
      <w:pPr>
        <w:pStyle w:val="Heading2"/>
        <w:keepNext/>
      </w:pPr>
      <w:r>
        <w:t>Time adjustments</w:t>
      </w:r>
    </w:p>
    <w:tbl>
      <w:tblPr>
        <w:tblStyle w:val="TableGrid"/>
        <w:tblW w:type="auto" w:w="0"/>
        <w:jc w:val="center"/>
        <w:tblLayout w:type="fixed"/>
        <w:tblLook w:firstColumn="1" w:firstRow="1" w:lastColumn="0" w:lastRow="0" w:noHBand="0" w:noVBand="1" w:val="04A0"/>
      </w:tblPr>
      <w:tblGrid>
        <w:gridCol w:w="2880"/>
        <w:gridCol w:w="6408"/>
      </w:tblGrid>
      <w:tr>
        <w:trPr>
          <w:tblHeader w:val="true"/>
        </w:trPr>
        <w:tc>
          <w:tcPr>
            <w:tcW w:type="dxa" w:w="4939"/>
            <w:shd w:fill="173B7A"/>
            <w:tcMar>
              <w:top w:w="100" w:type="dxa"/>
              <w:start w:w="120" w:type="dxa"/>
              <w:bottom w:w="100" w:type="dxa"/>
              <w:end w:w="120" w:type="dxa"/>
            </w:tcMar>
            <w:vAlign w:val="center"/>
          </w:tcPr>
          <w:p>
            <w:r>
              <w:rPr>
                <w:b/>
                <w:color w:val="FFFFFF"/>
              </w:rPr>
              <w:t>Adjustment</w:t>
            </w:r>
          </w:p>
        </w:tc>
        <w:tc>
          <w:tcPr>
            <w:tcW w:type="dxa" w:w="4939"/>
            <w:shd w:fill="173B7A"/>
            <w:tcMar>
              <w:top w:w="100" w:type="dxa"/>
              <w:start w:w="120" w:type="dxa"/>
              <w:bottom w:w="100" w:type="dxa"/>
              <w:end w:w="120" w:type="dxa"/>
            </w:tcMar>
            <w:vAlign w:val="center"/>
          </w:tcPr>
          <w:p>
            <w:r>
              <w:rPr>
                <w:b/>
                <w:color w:val="FFFFFF"/>
              </w:rPr>
              <w:t>Behavior</w:t>
            </w:r>
          </w:p>
        </w:tc>
      </w:tr>
      <w:tr>
        <w:tc>
          <w:tcPr>
            <w:tcW w:type="dxa" w:w="2880"/>
            <w:tcMar>
              <w:top w:w="100" w:type="dxa"/>
              <w:start w:w="120" w:type="dxa"/>
              <w:bottom w:w="100" w:type="dxa"/>
              <w:end w:w="120" w:type="dxa"/>
            </w:tcMar>
            <w:vAlign w:val="center"/>
          </w:tcPr>
          <w:p>
            <w:r>
              <w:t>Percentage increase</w:t>
            </w:r>
          </w:p>
        </w:tc>
        <w:tc>
          <w:tcPr>
            <w:tcW w:type="dxa" w:w="6408"/>
            <w:tcMar>
              <w:top w:w="100" w:type="dxa"/>
              <w:start w:w="120" w:type="dxa"/>
              <w:bottom w:w="100" w:type="dxa"/>
              <w:end w:w="120" w:type="dxa"/>
            </w:tcMar>
            <w:vAlign w:val="center"/>
          </w:tcPr>
          <w:p>
            <w:r>
              <w:t>Applies immediately to hours and amount across the report.</w:t>
            </w:r>
          </w:p>
        </w:tc>
      </w:tr>
      <w:tr>
        <w:tc>
          <w:tcPr>
            <w:tcW w:type="dxa" w:w="2880"/>
            <w:tcMar>
              <w:top w:w="100" w:type="dxa"/>
              <w:start w:w="120" w:type="dxa"/>
              <w:bottom w:w="100" w:type="dxa"/>
              <w:end w:w="120" w:type="dxa"/>
            </w:tcMar>
            <w:vAlign w:val="center"/>
            <w:shd w:fill="F6F8FB"/>
          </w:tcPr>
          <w:p>
            <w:r>
              <w:t>Round up to next tenth</w:t>
            </w:r>
          </w:p>
        </w:tc>
        <w:tc>
          <w:tcPr>
            <w:tcW w:type="dxa" w:w="6408"/>
            <w:tcMar>
              <w:top w:w="100" w:type="dxa"/>
              <w:start w:w="120" w:type="dxa"/>
              <w:bottom w:w="100" w:type="dxa"/>
              <w:end w:w="120" w:type="dxa"/>
            </w:tcMar>
            <w:vAlign w:val="center"/>
            <w:shd w:fill="F6F8FB"/>
          </w:tcPr>
          <w:p>
            <w:r>
              <w:t>Always rounds hours upward: 0.64 becomes 0.7.</w:t>
            </w:r>
          </w:p>
        </w:tc>
      </w:tr>
      <w:tr>
        <w:tc>
          <w:tcPr>
            <w:tcW w:type="dxa" w:w="2880"/>
            <w:tcMar>
              <w:top w:w="100" w:type="dxa"/>
              <w:start w:w="120" w:type="dxa"/>
              <w:bottom w:w="100" w:type="dxa"/>
              <w:end w:w="120" w:type="dxa"/>
            </w:tcMar>
            <w:vAlign w:val="center"/>
          </w:tcPr>
          <w:p>
            <w:r>
              <w:t>Combined adjustments</w:t>
            </w:r>
          </w:p>
        </w:tc>
        <w:tc>
          <w:tcPr>
            <w:tcW w:type="dxa" w:w="6408"/>
            <w:tcMar>
              <w:top w:w="100" w:type="dxa"/>
              <w:start w:w="120" w:type="dxa"/>
              <w:bottom w:w="100" w:type="dxa"/>
              <w:end w:w="120" w:type="dxa"/>
            </w:tcMar>
            <w:vAlign w:val="center"/>
          </w:tcPr>
          <w:p>
            <w:r>
              <w:t>The adjusted hours remain the source used by both report export and invoice generation.</w:t>
            </w:r>
          </w:p>
        </w:tc>
      </w:tr>
    </w:tbl>
    <w:p>
      <w:pPr>
        <w:pStyle w:val="Heading2"/>
        <w:keepNext/>
      </w:pPr>
      <w:r>
        <w:t>Edit Report</w:t>
      </w:r>
    </w:p>
    <w:p>
      <w:r>
        <w:t>The Edit Report mode makes each row’s description, project, hours, and rate editable. Amounts recalculate immediately. Leaving edit mode keeps the revised report state for export or invoice generation without changing the original time entries.</w:t>
      </w:r>
    </w:p>
    <w:p>
      <w:pPr>
        <w:pStyle w:val="Heading2"/>
        <w:keepNext/>
      </w:pPr>
      <w:r>
        <w:t>Export Report</w:t>
      </w:r>
    </w:p>
    <w:p>
      <w:pPr>
        <w:spacing w:after="40"/>
        <w:ind w:left="317" w:hanging="259"/>
      </w:pPr>
      <w:r>
        <w:rPr>
          <w:b/>
        </w:rPr>
        <w:t xml:space="preserve">• </w:t>
      </w:r>
      <w:r>
        <w:t>Exports a dedicated report PDF rather than an invoice.</w:t>
      </w:r>
    </w:p>
    <w:p>
      <w:pPr>
        <w:spacing w:after="40"/>
        <w:ind w:left="317" w:hanging="259"/>
      </w:pPr>
      <w:r>
        <w:rPr>
          <w:b/>
        </w:rPr>
        <w:t xml:space="preserve">• </w:t>
      </w:r>
      <w:r>
        <w:t>Uses the selected client/project currency, not the account’s unrelated default.</w:t>
      </w:r>
    </w:p>
    <w:p>
      <w:pPr>
        <w:spacing w:after="40"/>
        <w:ind w:left="317" w:hanging="259"/>
      </w:pPr>
      <w:r>
        <w:rPr>
          <w:b/>
        </w:rPr>
        <w:t xml:space="preserve">• </w:t>
      </w:r>
      <w:r>
        <w:t>Includes both Hours and Amount columns for weekly group rows and detail rows.</w:t>
      </w:r>
    </w:p>
    <w:p>
      <w:pPr>
        <w:spacing w:after="40"/>
        <w:ind w:left="317" w:hanging="259"/>
      </w:pPr>
      <w:r>
        <w:rPr>
          <w:b/>
        </w:rPr>
        <w:t xml:space="preserve">• </w:t>
      </w:r>
      <w:r>
        <w:t>Weekly grouping follows Monday-start calendar weeks and displays the covered dates.</w:t>
      </w:r>
    </w:p>
    <w:tbl>
      <w:tblPr>
        <w:tblW w:type="auto" w:w="0"/>
        <w:jc w:val="center"/>
        <w:tblLayout w:type="fixed"/>
        <w:tblLook w:firstColumn="1" w:firstRow="1" w:lastColumn="0" w:lastRow="0" w:noHBand="0" w:noVBand="1" w:val="04A0"/>
      </w:tblPr>
      <w:tblGrid>
        <w:gridCol w:w="9288"/>
      </w:tblGrid>
      <w:tr>
        <w:tc>
          <w:tcPr>
            <w:tcW w:type="dxa" w:w="9878"/>
            <w:shd w:fill="EAF2FF"/>
            <w:tcMar>
              <w:top w:w="130" w:type="dxa"/>
              <w:start w:w="160" w:type="dxa"/>
              <w:bottom w:w="130" w:type="dxa"/>
              <w:end w:w="160" w:type="dxa"/>
            </w:tcMar>
          </w:tcPr>
          <w:p>
            <w:pPr>
              <w:spacing w:after="40"/>
            </w:pPr>
            <w:r>
              <w:rPr>
                <w:b/>
                <w:color w:val="173B7A"/>
              </w:rPr>
              <w:t>Report versus invoice</w:t>
            </w:r>
          </w:p>
          <w:p>
            <w:pPr>
              <w:spacing w:after="0"/>
            </w:pPr>
            <w:r>
              <w:t>Keep both. A report is a work summary that supports review and approval; an invoice is a numbered payment request with due date, payment details, notes, status, and accounting lifecycle.</w:t>
            </w:r>
          </w:p>
        </w:tc>
      </w:tr>
    </w:tbl>
    <w:p>
      <w:pPr>
        <w:sectPr>
          <w:pgSz w:w="12240" w:h="15840"/>
          <w:pgMar w:top="720" w:right="1181" w:bottom="979" w:left="1181" w:header="720" w:footer="720" w:gutter="0"/>
          <w:cols w:space="720"/>
          <w:docGrid w:linePitch="360"/>
        </w:sectPr>
      </w:pPr>
    </w:p>
    <w:p>
      <w:pPr>
        <w:pStyle w:val="Title"/>
        <w:pBdr>
          <w:bottom w:val="single" w:sz="18" w:space="4" w:color="3478F6"/>
        </w:pBdr>
      </w:pPr>
      <w:r>
        <w:t>SECTION 6  Invoices</w:t>
      </w:r>
    </w:p>
    <w:p>
      <w:pPr>
        <w:pStyle w:val="Subtitle"/>
      </w:pPr>
      <w:r>
        <w:t>Generate, customize, save, and export a consistent payment request</w:t>
      </w:r>
    </w:p>
    <w:p>
      <w:pPr>
        <w:pStyle w:val="Heading2"/>
        <w:keepNext/>
      </w:pPr>
      <w:r>
        <w:t>Generate from a report</w:t>
      </w:r>
    </w:p>
    <w:p>
      <w:r>
        <w:t>Generate Invoice transfers the currently visible report rows, including edited descriptions, projects, adjusted hours, rates, currency, and weekly grouping. Equivalent time blocks are combined rather than repeated.</w:t>
      </w:r>
    </w:p>
    <w:tbl>
      <w:tblPr>
        <w:tblStyle w:val="TableGrid"/>
        <w:tblW w:type="auto" w:w="0"/>
        <w:jc w:val="center"/>
        <w:tblLayout w:type="fixed"/>
        <w:tblLook w:firstColumn="1" w:firstRow="1" w:lastColumn="0" w:lastRow="0" w:noHBand="0" w:noVBand="1" w:val="04A0"/>
      </w:tblPr>
      <w:tblGrid>
        <w:gridCol w:w="2736"/>
        <w:gridCol w:w="6552"/>
      </w:tblGrid>
      <w:tr>
        <w:trPr>
          <w:tblHeader w:val="true"/>
        </w:trPr>
        <w:tc>
          <w:tcPr>
            <w:tcW w:type="dxa" w:w="4939"/>
            <w:shd w:fill="173B7A"/>
            <w:tcMar>
              <w:top w:w="100" w:type="dxa"/>
              <w:start w:w="120" w:type="dxa"/>
              <w:bottom w:w="100" w:type="dxa"/>
              <w:end w:w="120" w:type="dxa"/>
            </w:tcMar>
            <w:vAlign w:val="center"/>
          </w:tcPr>
          <w:p>
            <w:r>
              <w:rPr>
                <w:b/>
                <w:color w:val="FFFFFF"/>
              </w:rPr>
              <w:t>Grouping choice</w:t>
            </w:r>
          </w:p>
        </w:tc>
        <w:tc>
          <w:tcPr>
            <w:tcW w:type="dxa" w:w="4939"/>
            <w:shd w:fill="173B7A"/>
            <w:tcMar>
              <w:top w:w="100" w:type="dxa"/>
              <w:start w:w="120" w:type="dxa"/>
              <w:bottom w:w="100" w:type="dxa"/>
              <w:end w:w="120" w:type="dxa"/>
            </w:tcMar>
            <w:vAlign w:val="center"/>
          </w:tcPr>
          <w:p>
            <w:r>
              <w:rPr>
                <w:b/>
                <w:color w:val="FFFFFF"/>
              </w:rPr>
              <w:t>Invoice result</w:t>
            </w:r>
          </w:p>
        </w:tc>
      </w:tr>
      <w:tr>
        <w:tc>
          <w:tcPr>
            <w:tcW w:type="dxa" w:w="2736"/>
            <w:tcMar>
              <w:top w:w="100" w:type="dxa"/>
              <w:start w:w="120" w:type="dxa"/>
              <w:bottom w:w="100" w:type="dxa"/>
              <w:end w:w="120" w:type="dxa"/>
            </w:tcMar>
            <w:vAlign w:val="center"/>
          </w:tcPr>
          <w:p>
            <w:r>
              <w:t>Group by weeks on</w:t>
            </w:r>
          </w:p>
        </w:tc>
        <w:tc>
          <w:tcPr>
            <w:tcW w:type="dxa" w:w="6552"/>
            <w:tcMar>
              <w:top w:w="100" w:type="dxa"/>
              <w:start w:w="120" w:type="dxa"/>
              <w:bottom w:w="100" w:type="dxa"/>
              <w:end w:w="120" w:type="dxa"/>
            </w:tcMar>
            <w:vAlign w:val="center"/>
          </w:tcPr>
          <w:p>
            <w:r>
              <w:t>Equivalent items combine within each Monday-start week and remain separated by week.</w:t>
            </w:r>
          </w:p>
        </w:tc>
      </w:tr>
      <w:tr>
        <w:tc>
          <w:tcPr>
            <w:tcW w:type="dxa" w:w="2736"/>
            <w:tcMar>
              <w:top w:w="100" w:type="dxa"/>
              <w:start w:w="120" w:type="dxa"/>
              <w:bottom w:w="100" w:type="dxa"/>
              <w:end w:w="120" w:type="dxa"/>
            </w:tcMar>
            <w:vAlign w:val="center"/>
            <w:shd w:fill="F6F8FB"/>
          </w:tcPr>
          <w:p>
            <w:r>
              <w:t>Group by weeks off</w:t>
            </w:r>
          </w:p>
        </w:tc>
        <w:tc>
          <w:tcPr>
            <w:tcW w:type="dxa" w:w="6552"/>
            <w:tcMar>
              <w:top w:w="100" w:type="dxa"/>
              <w:start w:w="120" w:type="dxa"/>
              <w:bottom w:w="100" w:type="dxa"/>
              <w:end w:w="120" w:type="dxa"/>
            </w:tcMar>
            <w:vAlign w:val="center"/>
            <w:shd w:fill="F6F8FB"/>
          </w:tcPr>
          <w:p>
            <w:r>
              <w:t>Equivalent items combine across the full selected report range.</w:t>
            </w:r>
          </w:p>
        </w:tc>
      </w:tr>
    </w:tbl>
    <w:p>
      <w:pPr>
        <w:pStyle w:val="Heading2"/>
        <w:keepNext/>
      </w:pPr>
      <w:r>
        <w:t>Invoice editor</w:t>
      </w:r>
    </w:p>
    <w:p>
      <w:pPr>
        <w:spacing w:after="40"/>
        <w:ind w:left="317" w:hanging="259"/>
      </w:pPr>
      <w:r>
        <w:rPr>
          <w:b/>
        </w:rPr>
        <w:t xml:space="preserve">• </w:t>
      </w:r>
      <w:r>
        <w:t>Edit line descriptions, hours, rates, and amounts; totals recalculate automatically.</w:t>
      </w:r>
    </w:p>
    <w:p>
      <w:pPr>
        <w:spacing w:after="40"/>
        <w:ind w:left="317" w:hanging="259"/>
      </w:pPr>
      <w:r>
        <w:rPr>
          <w:b/>
        </w:rPr>
        <w:t xml:space="preserve">• </w:t>
      </w:r>
      <w:r>
        <w:t>Toggle project names, notes, payment details, columns, dates, due date, tax, and layout options.</w:t>
      </w:r>
    </w:p>
    <w:p>
      <w:pPr>
        <w:spacing w:after="40"/>
        <w:ind w:left="317" w:hanging="259"/>
      </w:pPr>
      <w:r>
        <w:rPr>
          <w:b/>
        </w:rPr>
        <w:t xml:space="preserve">• </w:t>
      </w:r>
      <w:r>
        <w:t>When notes are enabled, edit the displayed notes text directly.</w:t>
      </w:r>
    </w:p>
    <w:p>
      <w:pPr>
        <w:spacing w:after="40"/>
        <w:ind w:left="317" w:hanging="259"/>
      </w:pPr>
      <w:r>
        <w:rPr>
          <w:b/>
        </w:rPr>
        <w:t xml:space="preserve">• </w:t>
      </w:r>
      <w:r>
        <w:t>Payment Details are visually prominent; Notes sit beneath or beside them according to the selected template.</w:t>
      </w:r>
    </w:p>
    <w:p>
      <w:pPr>
        <w:spacing w:after="40"/>
        <w:ind w:left="317" w:hanging="259"/>
      </w:pPr>
      <w:r>
        <w:rPr>
          <w:b/>
        </w:rPr>
        <w:t xml:space="preserve">• </w:t>
      </w:r>
      <w:r>
        <w:t>The custom footer stays within the invoice’s safe content width and does not cross a contrasting color panel.</w:t>
      </w:r>
    </w:p>
    <w:p>
      <w:pPr>
        <w:spacing w:after="40"/>
        <w:ind w:left="317" w:hanging="259"/>
      </w:pPr>
      <w:r>
        <w:rPr>
          <w:b/>
        </w:rPr>
        <w:t xml:space="preserve">• </w:t>
      </w:r>
      <w:r>
        <w:t>Edit invoice settings reopens customization with the generated invoice still previewed.</w:t>
      </w:r>
    </w:p>
    <w:p>
      <w:pPr>
        <w:pStyle w:val="Heading2"/>
        <w:keepNext/>
      </w:pPr>
      <w:r>
        <w:t>Numbering and lifecycle</w:t>
      </w:r>
    </w:p>
    <w:p>
      <w:r>
        <w:t>The invoice number format supports prefixes/suffixes around the sequential number, and the preview matches the generated invoice. Merely previewing no longer consumes a number; the counter increments only after a successful save.</w:t>
      </w:r>
    </w:p>
    <w:p>
      <w:pPr>
        <w:spacing w:after="40"/>
        <w:ind w:left="317" w:hanging="259"/>
      </w:pPr>
      <w:r>
        <w:rPr>
          <w:b/>
        </w:rPr>
        <w:t xml:space="preserve">• </w:t>
      </w:r>
      <w:r>
        <w:t>Save an invoice as Draft, then update status to Sent, Paid, or back to Draft as appropriate.</w:t>
      </w:r>
    </w:p>
    <w:p>
      <w:pPr>
        <w:spacing w:after="40"/>
        <w:ind w:left="317" w:hanging="259"/>
      </w:pPr>
      <w:r>
        <w:rPr>
          <w:b/>
        </w:rPr>
        <w:t xml:space="preserve">• </w:t>
      </w:r>
      <w:r>
        <w:t>The invoice list summarizes outstanding and paid values by currency rather than incorrectly assuming USD.</w:t>
      </w:r>
    </w:p>
    <w:p>
      <w:pPr>
        <w:spacing w:after="40"/>
        <w:ind w:left="317" w:hanging="259"/>
      </w:pPr>
      <w:r>
        <w:rPr>
          <w:b/>
        </w:rPr>
        <w:t xml:space="preserve">• </w:t>
      </w:r>
      <w:r>
        <w:t>Saved invoice export merges the client’s invoice profile and includes payment details, totals, notes, and footer.</w:t>
      </w:r>
    </w:p>
    <w:p>
      <w:pPr>
        <w:sectPr>
          <w:pgSz w:w="12240" w:h="15840"/>
          <w:pgMar w:top="720" w:right="1181" w:bottom="979" w:left="1181" w:header="720" w:footer="720" w:gutter="0"/>
          <w:cols w:space="720"/>
          <w:docGrid w:linePitch="360"/>
        </w:sectPr>
      </w:pPr>
    </w:p>
    <w:p>
      <w:pPr>
        <w:pStyle w:val="Title"/>
        <w:pBdr>
          <w:bottom w:val="single" w:sz="18" w:space="4" w:color="3478F6"/>
        </w:pBdr>
      </w:pPr>
      <w:r>
        <w:t>SECTION 7  Creative Panel &amp; Notes</w:t>
      </w:r>
    </w:p>
    <w:p>
      <w:pPr>
        <w:pStyle w:val="Subtitle"/>
      </w:pPr>
      <w:r>
        <w:t>Optional focus tools that remain connected to the working day</w:t>
      </w:r>
    </w:p>
    <w:p>
      <w:pPr>
        <w:pStyle w:val="Heading2"/>
        <w:keepNext/>
      </w:pPr>
      <w:r>
        <w:t>Music</w:t>
      </w:r>
    </w:p>
    <w:p>
      <w:r>
        <w:t>The Soundtracks area contains Deep Work, Creative Flow, and Reset playlists. Audio files added to the matching private library folders appear automatically; an image with the same base filename becomes the thumbnail. Users see only the playlist experience, never internal paths or upload instructions.</w:t>
      </w:r>
    </w:p>
    <w:p>
      <w:pPr>
        <w:pStyle w:val="Heading2"/>
        <w:keepNext/>
      </w:pPr>
      <w:r>
        <w:t>Creative notes</w:t>
      </w:r>
    </w:p>
    <w:p>
      <w:pPr>
        <w:spacing w:after="40"/>
        <w:ind w:left="317" w:hanging="259"/>
      </w:pPr>
      <w:r>
        <w:rPr>
          <w:b/>
        </w:rPr>
        <w:t xml:space="preserve">• </w:t>
      </w:r>
      <w:r>
        <w:t>Create titled notes with content, category, tags, and optional pinning.</w:t>
      </w:r>
    </w:p>
    <w:p>
      <w:pPr>
        <w:spacing w:after="40"/>
        <w:ind w:left="317" w:hanging="259"/>
      </w:pPr>
      <w:r>
        <w:rPr>
          <w:b/>
        </w:rPr>
        <w:t xml:space="preserve">• </w:t>
      </w:r>
      <w:r>
        <w:t>Search the note library, edit existing notes, and delete with the dedicated controls.</w:t>
      </w:r>
    </w:p>
    <w:p>
      <w:pPr>
        <w:spacing w:after="40"/>
        <w:ind w:left="317" w:hanging="259"/>
      </w:pPr>
      <w:r>
        <w:rPr>
          <w:b/>
        </w:rPr>
        <w:t xml:space="preserve">• </w:t>
      </w:r>
      <w:r>
        <w:t>All reads and writes are scoped to the authenticated user; cross-user update/delete attempts are rejected.</w:t>
      </w:r>
    </w:p>
    <w:p>
      <w:pPr>
        <w:pStyle w:val="Heading2"/>
        <w:keepNext/>
      </w:pPr>
      <w:r>
        <w:t>Inspiration</w:t>
      </w:r>
    </w:p>
    <w:p>
      <w:r>
        <w:t>Refreshable quote, prompt, and color-palette cards provide a lightweight change of pace. Palette swatches are keyboard-accessible controls with descriptive names.</w:t>
      </w:r>
    </w:p>
    <w:p>
      <w:pPr>
        <w:pStyle w:val="Heading2"/>
        <w:keepNext/>
      </w:pPr>
      <w:r>
        <w:t>Weekly goals</w:t>
      </w:r>
    </w:p>
    <w:p>
      <w:r>
        <w:t>Create, prioritize, complete, edit, and delete goals. The panel shows only goals belonging to the current Monday-start week, with completed/total progress.</w:t>
      </w:r>
    </w:p>
    <w:p>
      <w:pPr>
        <w:pStyle w:val="Heading2"/>
        <w:keepNext/>
      </w:pPr>
      <w:r>
        <w:t>Wellness</w:t>
      </w:r>
    </w:p>
    <w:p>
      <w:r>
        <w:t>Breathing presets provide a guided visual cycle with Start, Pause, and Reset. The section is intentionally contained and quiet so it supports a break without taking over the work surface.</w:t>
      </w:r>
    </w:p>
    <w:p>
      <w:pPr>
        <w:pStyle w:val="Heading2"/>
        <w:keepNext/>
      </w:pPr>
      <w:r>
        <w:t>Time-entry Notes page</w:t>
      </w:r>
    </w:p>
    <w:p>
      <w:r>
        <w:t>The main Notes page is the searchable index of notes attached to tracked entries. It is separate from creative notes: entry notes document client work; creative notes capture ideas and personal working context.</w:t>
      </w:r>
    </w:p>
    <w:tbl>
      <w:tblPr>
        <w:tblW w:type="auto" w:w="0"/>
        <w:jc w:val="center"/>
        <w:tblLayout w:type="fixed"/>
        <w:tblLook w:firstColumn="1" w:firstRow="1" w:lastColumn="0" w:lastRow="0" w:noHBand="0" w:noVBand="1" w:val="04A0"/>
      </w:tblPr>
      <w:tblGrid>
        <w:gridCol w:w="9288"/>
      </w:tblGrid>
      <w:tr>
        <w:tc>
          <w:tcPr>
            <w:tcW w:type="dxa" w:w="9878"/>
            <w:shd w:fill="EAF8F1"/>
            <w:tcMar>
              <w:top w:w="130" w:type="dxa"/>
              <w:start w:w="160" w:type="dxa"/>
              <w:bottom w:w="130" w:type="dxa"/>
              <w:end w:w="160" w:type="dxa"/>
            </w:tcMar>
          </w:tcPr>
          <w:p>
            <w:pPr>
              <w:spacing w:after="40"/>
            </w:pPr>
            <w:r>
              <w:rPr>
                <w:b/>
                <w:color w:val="173B7A"/>
              </w:rPr>
              <w:t>Verified</w:t>
            </w:r>
          </w:p>
          <w:p>
            <w:pPr>
              <w:spacing w:after="0"/>
            </w:pPr>
            <w:r>
              <w:t>Creative note and weekly-goal create/edit/complete/delete journeys were tested and the temporary records were removed afterward.</w:t>
            </w:r>
          </w:p>
        </w:tc>
      </w:tr>
    </w:tbl>
    <w:p>
      <w:pPr>
        <w:sectPr>
          <w:pgSz w:w="12240" w:h="15840"/>
          <w:pgMar w:top="720" w:right="1181" w:bottom="979" w:left="1181" w:header="720" w:footer="720" w:gutter="0"/>
          <w:cols w:space="720"/>
          <w:docGrid w:linePitch="360"/>
        </w:sectPr>
      </w:pPr>
    </w:p>
    <w:p>
      <w:pPr>
        <w:pStyle w:val="Title"/>
        <w:pBdr>
          <w:bottom w:val="single" w:sz="18" w:space="4" w:color="3478F6"/>
        </w:pBdr>
      </w:pPr>
      <w:r>
        <w:t>SECTION 8  Settings, Account &amp; Admin</w:t>
      </w:r>
    </w:p>
    <w:p>
      <w:pPr>
        <w:pStyle w:val="Subtitle"/>
      </w:pPr>
      <w:r>
        <w:t>Preferences, identity, language, and private operational controls</w:t>
      </w:r>
    </w:p>
    <w:p>
      <w:pPr>
        <w:pStyle w:val="Heading2"/>
        <w:keepNext/>
      </w:pPr>
      <w:r>
        <w:t>Settings</w:t>
      </w:r>
    </w:p>
    <w:tbl>
      <w:tblPr>
        <w:tblStyle w:val="TableGrid"/>
        <w:tblW w:type="auto" w:w="0"/>
        <w:jc w:val="center"/>
        <w:tblLayout w:type="fixed"/>
        <w:tblLook w:firstColumn="1" w:firstRow="1" w:lastColumn="0" w:lastRow="0" w:noHBand="0" w:noVBand="1" w:val="04A0"/>
      </w:tblPr>
      <w:tblGrid>
        <w:gridCol w:w="2304"/>
        <w:gridCol w:w="6984"/>
      </w:tblGrid>
      <w:tr>
        <w:trPr>
          <w:tblHeader w:val="true"/>
        </w:trPr>
        <w:tc>
          <w:tcPr>
            <w:tcW w:type="dxa" w:w="4939"/>
            <w:shd w:fill="173B7A"/>
            <w:tcMar>
              <w:top w:w="100" w:type="dxa"/>
              <w:start w:w="120" w:type="dxa"/>
              <w:bottom w:w="100" w:type="dxa"/>
              <w:end w:w="120" w:type="dxa"/>
            </w:tcMar>
            <w:vAlign w:val="center"/>
          </w:tcPr>
          <w:p>
            <w:r>
              <w:rPr>
                <w:b/>
                <w:color w:val="FFFFFF"/>
              </w:rPr>
              <w:t>Area</w:t>
            </w:r>
          </w:p>
        </w:tc>
        <w:tc>
          <w:tcPr>
            <w:tcW w:type="dxa" w:w="4939"/>
            <w:shd w:fill="173B7A"/>
            <w:tcMar>
              <w:top w:w="100" w:type="dxa"/>
              <w:start w:w="120" w:type="dxa"/>
              <w:bottom w:w="100" w:type="dxa"/>
              <w:end w:w="120" w:type="dxa"/>
            </w:tcMar>
            <w:vAlign w:val="center"/>
          </w:tcPr>
          <w:p>
            <w:r>
              <w:rPr>
                <w:b/>
                <w:color w:val="FFFFFF"/>
              </w:rPr>
              <w:t>Controls</w:t>
            </w:r>
          </w:p>
        </w:tc>
      </w:tr>
      <w:tr>
        <w:tc>
          <w:tcPr>
            <w:tcW w:type="dxa" w:w="2304"/>
            <w:tcMar>
              <w:top w:w="100" w:type="dxa"/>
              <w:start w:w="120" w:type="dxa"/>
              <w:bottom w:w="100" w:type="dxa"/>
              <w:end w:w="120" w:type="dxa"/>
            </w:tcMar>
            <w:vAlign w:val="center"/>
          </w:tcPr>
          <w:p>
            <w:r>
              <w:t>Business</w:t>
            </w:r>
          </w:p>
        </w:tc>
        <w:tc>
          <w:tcPr>
            <w:tcW w:type="dxa" w:w="6984"/>
            <w:tcMar>
              <w:top w:w="100" w:type="dxa"/>
              <w:start w:w="120" w:type="dxa"/>
              <w:bottom w:w="100" w:type="dxa"/>
              <w:end w:w="120" w:type="dxa"/>
            </w:tcMar>
            <w:vAlign w:val="center"/>
          </w:tcPr>
          <w:p>
            <w:r>
              <w:t>Business name, email, address, location, phone, and tax ID used on invoices.</w:t>
            </w:r>
          </w:p>
        </w:tc>
      </w:tr>
      <w:tr>
        <w:tc>
          <w:tcPr>
            <w:tcW w:type="dxa" w:w="2304"/>
            <w:tcMar>
              <w:top w:w="100" w:type="dxa"/>
              <w:start w:w="120" w:type="dxa"/>
              <w:bottom w:w="100" w:type="dxa"/>
              <w:end w:w="120" w:type="dxa"/>
            </w:tcMar>
            <w:vAlign w:val="center"/>
            <w:shd w:fill="F6F8FB"/>
          </w:tcPr>
          <w:p>
            <w:r>
              <w:t>Invoice template</w:t>
            </w:r>
          </w:p>
        </w:tc>
        <w:tc>
          <w:tcPr>
            <w:tcW w:type="dxa" w:w="6984"/>
            <w:tcMar>
              <w:top w:w="100" w:type="dxa"/>
              <w:start w:w="120" w:type="dxa"/>
              <w:bottom w:w="100" w:type="dxa"/>
              <w:end w:w="120" w:type="dxa"/>
            </w:tcMar>
            <w:vAlign w:val="center"/>
            <w:shd w:fill="F6F8FB"/>
          </w:tcPr>
          <w:p>
            <w:r>
              <w:t>Template, colors, logo, layout, table columns, project names, dates, tax, payment details, notes, and footer.</w:t>
            </w:r>
          </w:p>
        </w:tc>
      </w:tr>
      <w:tr>
        <w:tc>
          <w:tcPr>
            <w:tcW w:type="dxa" w:w="2304"/>
            <w:tcMar>
              <w:top w:w="100" w:type="dxa"/>
              <w:start w:w="120" w:type="dxa"/>
              <w:bottom w:w="100" w:type="dxa"/>
              <w:end w:w="120" w:type="dxa"/>
            </w:tcMar>
            <w:vAlign w:val="center"/>
          </w:tcPr>
          <w:p>
            <w:r>
              <w:t>Language</w:t>
            </w:r>
          </w:p>
        </w:tc>
        <w:tc>
          <w:tcPr>
            <w:tcW w:type="dxa" w:w="6984"/>
            <w:tcMar>
              <w:top w:w="100" w:type="dxa"/>
              <w:start w:w="120" w:type="dxa"/>
              <w:bottom w:w="100" w:type="dxa"/>
              <w:end w:w="120" w:type="dxa"/>
            </w:tcMar>
            <w:vAlign w:val="center"/>
          </w:tcPr>
          <w:p>
            <w:r>
              <w:t>Built-in language selection plus user-specific Custom label overrides.</w:t>
            </w:r>
          </w:p>
        </w:tc>
      </w:tr>
      <w:tr>
        <w:tc>
          <w:tcPr>
            <w:tcW w:type="dxa" w:w="2304"/>
            <w:tcMar>
              <w:top w:w="100" w:type="dxa"/>
              <w:start w:w="120" w:type="dxa"/>
              <w:bottom w:w="100" w:type="dxa"/>
              <w:end w:w="120" w:type="dxa"/>
            </w:tcMar>
            <w:vAlign w:val="center"/>
            <w:shd w:fill="F6F8FB"/>
          </w:tcPr>
          <w:p>
            <w:r>
              <w:t>Numbering</w:t>
            </w:r>
          </w:p>
        </w:tc>
        <w:tc>
          <w:tcPr>
            <w:tcW w:type="dxa" w:w="6984"/>
            <w:tcMar>
              <w:top w:w="100" w:type="dxa"/>
              <w:start w:w="120" w:type="dxa"/>
              <w:bottom w:w="100" w:type="dxa"/>
              <w:end w:w="120" w:type="dxa"/>
            </w:tcMar>
            <w:vAlign w:val="center"/>
            <w:shd w:fill="F6F8FB"/>
          </w:tcPr>
          <w:p>
            <w:r>
              <w:t>Prefix/suffix formatting and the next sequential invoice number.</w:t>
            </w:r>
          </w:p>
        </w:tc>
      </w:tr>
      <w:tr>
        <w:tc>
          <w:tcPr>
            <w:tcW w:type="dxa" w:w="2304"/>
            <w:tcMar>
              <w:top w:w="100" w:type="dxa"/>
              <w:start w:w="120" w:type="dxa"/>
              <w:bottom w:w="100" w:type="dxa"/>
              <w:end w:w="120" w:type="dxa"/>
            </w:tcMar>
            <w:vAlign w:val="center"/>
          </w:tcPr>
          <w:p>
            <w:r>
              <w:t>Defaults</w:t>
            </w:r>
          </w:p>
        </w:tc>
        <w:tc>
          <w:tcPr>
            <w:tcW w:type="dxa" w:w="6984"/>
            <w:tcMar>
              <w:top w:w="100" w:type="dxa"/>
              <w:start w:w="120" w:type="dxa"/>
              <w:bottom w:w="100" w:type="dxa"/>
              <w:end w:w="120" w:type="dxa"/>
            </w:tcMar>
            <w:vAlign w:val="center"/>
          </w:tcPr>
          <w:p>
            <w:r>
              <w:t>Time format, currency, tax behavior, due-date display, and default notes text.</w:t>
            </w:r>
          </w:p>
        </w:tc>
      </w:tr>
    </w:tbl>
    <w:p>
      <w:pPr>
        <w:pStyle w:val="Heading2"/>
        <w:keepNext/>
      </w:pPr>
      <w:r>
        <w:t>Account</w:t>
      </w:r>
    </w:p>
    <w:p>
      <w:r>
        <w:t>Update profile details, profile image, and password. The unfinished Sessions placeholder was removed so the production-facing account page contains only working controls.</w:t>
      </w:r>
    </w:p>
    <w:p>
      <w:pPr>
        <w:pStyle w:val="Heading2"/>
        <w:keepNext/>
      </w:pPr>
      <w:r>
        <w:t>Admin Recovery Center</w:t>
      </w:r>
    </w:p>
    <w:p>
      <w:pPr>
        <w:spacing w:after="40"/>
        <w:ind w:left="317" w:hanging="259"/>
      </w:pPr>
      <w:r>
        <w:rPr>
          <w:b/>
        </w:rPr>
        <w:t xml:space="preserve">• </w:t>
      </w:r>
      <w:r>
        <w:t>Available only to authorized admin emails; additional admin emails can be assigned.</w:t>
      </w:r>
    </w:p>
    <w:p>
      <w:pPr>
        <w:spacing w:after="40"/>
        <w:ind w:left="317" w:hanging="259"/>
      </w:pPr>
      <w:r>
        <w:rPr>
          <w:b/>
        </w:rPr>
        <w:t xml:space="preserve">• </w:t>
      </w:r>
      <w:r>
        <w:t>Lists user identity, status, role, and record counts without displaying private project, note, or time-entry content.</w:t>
      </w:r>
    </w:p>
    <w:p>
      <w:pPr>
        <w:spacing w:after="40"/>
        <w:ind w:left="317" w:hanging="259"/>
      </w:pPr>
      <w:r>
        <w:rPr>
          <w:b/>
        </w:rPr>
        <w:t xml:space="preserve">• </w:t>
      </w:r>
      <w:r>
        <w:t>Supports role changes, force logout, freeze, and reactivation.</w:t>
      </w:r>
    </w:p>
    <w:tbl>
      <w:tblPr>
        <w:tblW w:type="auto" w:w="0"/>
        <w:jc w:val="center"/>
        <w:tblLayout w:type="fixed"/>
        <w:tblLook w:firstColumn="1" w:firstRow="1" w:lastColumn="0" w:lastRow="0" w:noHBand="0" w:noVBand="1" w:val="04A0"/>
      </w:tblPr>
      <w:tblGrid>
        <w:gridCol w:w="9288"/>
      </w:tblGrid>
      <w:tr>
        <w:tc>
          <w:tcPr>
            <w:tcW w:type="dxa" w:w="9878"/>
            <w:shd w:fill="FFF4DC"/>
            <w:tcMar>
              <w:top w:w="130" w:type="dxa"/>
              <w:start w:w="160" w:type="dxa"/>
              <w:bottom w:w="130" w:type="dxa"/>
              <w:end w:w="160" w:type="dxa"/>
            </w:tcMar>
          </w:tcPr>
          <w:p>
            <w:pPr>
              <w:spacing w:after="40"/>
            </w:pPr>
            <w:r>
              <w:rPr>
                <w:b/>
                <w:color w:val="173B7A"/>
              </w:rPr>
              <w:t>Operational limitation</w:t>
            </w:r>
          </w:p>
          <w:p>
            <w:pPr>
              <w:spacing w:after="0"/>
            </w:pPr>
            <w:r>
              <w:t>One-click backup snapshots and restoration are displayed as Not configured. This is not a working recovery mechanism yet and must be implemented with encrypted, tested database backups before launch.</w:t>
            </w:r>
          </w:p>
        </w:tc>
      </w:tr>
    </w:tbl>
    <w:p>
      <w:pPr>
        <w:sectPr>
          <w:pgSz w:w="12240" w:h="15840"/>
          <w:pgMar w:top="720" w:right="1181" w:bottom="979" w:left="1181" w:header="720" w:footer="720" w:gutter="0"/>
          <w:cols w:space="720"/>
          <w:docGrid w:linePitch="360"/>
        </w:sectPr>
      </w:pPr>
    </w:p>
    <w:p>
      <w:pPr>
        <w:pStyle w:val="Title"/>
        <w:pBdr>
          <w:bottom w:val="single" w:sz="18" w:space="4" w:color="3478F6"/>
        </w:pBdr>
      </w:pPr>
      <w:r>
        <w:t>SECTION 9  Support Q&amp;A</w:t>
      </w:r>
    </w:p>
    <w:p>
      <w:pPr>
        <w:pStyle w:val="Subtitle"/>
      </w:pPr>
      <w:r>
        <w:t>Ready-to-adapt answers for a help center or in-app assistant</w:t>
      </w:r>
    </w:p>
    <w:p>
      <w:pPr>
        <w:pStyle w:val="Heading3"/>
        <w:keepNext/>
      </w:pPr>
      <w:r>
        <w:t>Why can’t I start the timer?</w:t>
      </w:r>
    </w:p>
    <w:p>
      <w:r>
        <w:t>Enter a description and choose the required client/project context. Start remains disabled until the entry is valid.</w:t>
      </w:r>
    </w:p>
    <w:p>
      <w:pPr>
        <w:pStyle w:val="Heading3"/>
        <w:keepNext/>
      </w:pPr>
      <w:r>
        <w:t>How do suggestions work?</w:t>
      </w:r>
    </w:p>
    <w:p>
      <w:r>
        <w:t>Type at least three characters. Tickd searches only your prior entries and offers matching task, project, client, and project color combinations.</w:t>
      </w:r>
    </w:p>
    <w:p>
      <w:pPr>
        <w:pStyle w:val="Heading3"/>
        <w:keepNext/>
      </w:pPr>
      <w:r>
        <w:t>Why did two entries become one?</w:t>
      </w:r>
    </w:p>
    <w:p>
      <w:r>
        <w:t>Entries with the same description, project, and date are displayed as one grouped task with separate time blocks.</w:t>
      </w:r>
    </w:p>
    <w:p>
      <w:pPr>
        <w:pStyle w:val="Heading3"/>
        <w:keepNext/>
      </w:pPr>
      <w:r>
        <w:t>Can I move only one time block?</w:t>
      </w:r>
    </w:p>
    <w:p>
      <w:r>
        <w:t>Yes. Expand the grouped entry and use the calendar beside that block. Future dates cannot be selected.</w:t>
      </w:r>
    </w:p>
    <w:p>
      <w:pPr>
        <w:pStyle w:val="Heading3"/>
        <w:keepNext/>
      </w:pPr>
      <w:r>
        <w:t>Does moving a block change its time?</w:t>
      </w:r>
    </w:p>
    <w:p>
      <w:r>
        <w:t>No. The calendar date changes while the block’s start and end clock times are preserved.</w:t>
      </w:r>
    </w:p>
    <w:p>
      <w:pPr>
        <w:pStyle w:val="Heading3"/>
        <w:keepNext/>
      </w:pPr>
      <w:r>
        <w:t>Where are notes saved?</w:t>
      </w:r>
    </w:p>
    <w:p>
      <w:r>
        <w:t>Notes opened from a time entry stay attached to that entry and appear on the main Notes page. Creative-panel notes are a separate personal idea library.</w:t>
      </w:r>
    </w:p>
    <w:p>
      <w:pPr>
        <w:pStyle w:val="Heading3"/>
        <w:keepNext/>
      </w:pPr>
      <w:r>
        <w:t>Why is a currency rate requested?</w:t>
      </w:r>
    </w:p>
    <w:p>
      <w:r>
        <w:t>The live provider does not support that currency, or it is custom. Enter its value relative to USD; Tickd saves the rate only to your profile.</w:t>
      </w:r>
    </w:p>
    <w:p>
      <w:pPr>
        <w:pStyle w:val="Heading3"/>
        <w:keepNext/>
      </w:pPr>
      <w:r>
        <w:t>Can I remove my custom currency?</w:t>
      </w:r>
    </w:p>
    <w:p>
      <w:r>
        <w:t>Yes. Open the currency menu and use the edit control shown beside user-created or manually rated currencies.</w:t>
      </w:r>
    </w:p>
    <w:p>
      <w:pPr>
        <w:sectPr>
          <w:pgSz w:w="12240" w:h="15840"/>
          <w:pgMar w:top="720" w:right="1181" w:bottom="979" w:left="1181" w:header="720" w:footer="720" w:gutter="0"/>
          <w:cols w:space="720"/>
          <w:docGrid w:linePitch="360"/>
        </w:sectPr>
      </w:pPr>
    </w:p>
    <w:p>
      <w:pPr>
        <w:pStyle w:val="Title"/>
        <w:pBdr>
          <w:bottom w:val="single" w:sz="18" w:space="4" w:color="3478F6"/>
        </w:pBdr>
      </w:pPr>
      <w:r>
        <w:t>SECTION 10  Billing Q&amp;A</w:t>
      </w:r>
    </w:p>
    <w:p>
      <w:pPr>
        <w:pStyle w:val="Subtitle"/>
      </w:pPr>
      <w:r>
        <w:t>Reports, adjustments, currencies, invoices, and customization</w:t>
      </w:r>
    </w:p>
    <w:p>
      <w:pPr>
        <w:pStyle w:val="Heading3"/>
        <w:keepNext/>
      </w:pPr>
      <w:r>
        <w:t>Why do I need both reports and invoices?</w:t>
      </w:r>
    </w:p>
    <w:p>
      <w:r>
        <w:t>Reports explain completed work and support review. Invoices are numbered payment requests with due date, payment details, status, and accounting totals.</w:t>
      </w:r>
    </w:p>
    <w:p>
      <w:pPr>
        <w:pStyle w:val="Heading3"/>
        <w:keepNext/>
      </w:pPr>
      <w:r>
        <w:t>Does editing a report change tracked time?</w:t>
      </w:r>
    </w:p>
    <w:p>
      <w:r>
        <w:t>No. Report edits are presentation/billing adjustments for the current report and generated invoice; source time entries remain unchanged.</w:t>
      </w:r>
    </w:p>
    <w:p>
      <w:pPr>
        <w:pStyle w:val="Heading3"/>
        <w:keepNext/>
      </w:pPr>
      <w:r>
        <w:t>How does upward tenth rounding work?</w:t>
      </w:r>
    </w:p>
    <w:p>
      <w:r>
        <w:t>Each applicable duration rounds up to the next tenth of an hour. For example, 0.64 becomes 0.7 rather than 0.6.</w:t>
      </w:r>
    </w:p>
    <w:p>
      <w:pPr>
        <w:pStyle w:val="Heading3"/>
        <w:keepNext/>
      </w:pPr>
      <w:r>
        <w:t>Which currency is used?</w:t>
      </w:r>
    </w:p>
    <w:p>
      <w:r>
        <w:t>The report and invoice use the selected client/project currency. Dashboard display currency can be changed independently for analysis.</w:t>
      </w:r>
    </w:p>
    <w:p>
      <w:pPr>
        <w:pStyle w:val="Heading3"/>
        <w:keepNext/>
      </w:pPr>
      <w:r>
        <w:t>How are repeated invoice items handled?</w:t>
      </w:r>
    </w:p>
    <w:p>
      <w:r>
        <w:t>Equivalent blocks are combined. With weekly grouping, they combine within each week; without it, they combine across the full report range.</w:t>
      </w:r>
    </w:p>
    <w:p>
      <w:pPr>
        <w:pStyle w:val="Heading3"/>
        <w:keepNext/>
      </w:pPr>
      <w:r>
        <w:t>Can a client have a different invoice language?</w:t>
      </w:r>
    </w:p>
    <w:p>
      <w:r>
        <w:t>Yes. Enable a client invoice profile and choose a built-in language or Custom labels. That profile overrides global defaults only for that client.</w:t>
      </w:r>
    </w:p>
    <w:p>
      <w:pPr>
        <w:pStyle w:val="Heading3"/>
        <w:keepNext/>
      </w:pPr>
      <w:r>
        <w:t>Why does the preview show a prefix?</w:t>
      </w:r>
    </w:p>
    <w:p>
      <w:r>
        <w:t>The prefix is part of the configured invoice-number format. The same formatted number is used on the generated and saved invoice.</w:t>
      </w:r>
    </w:p>
    <w:p>
      <w:pPr>
        <w:pStyle w:val="Heading3"/>
        <w:keepNext/>
      </w:pPr>
      <w:r>
        <w:t>Does opening a preview consume an invoice number?</w:t>
      </w:r>
    </w:p>
    <w:p>
      <w:r>
        <w:t>No. The sequential number advances only after an invoice is successfully created.</w:t>
      </w:r>
    </w:p>
    <w:p>
      <w:pPr>
        <w:pStyle w:val="Heading3"/>
        <w:keepNext/>
      </w:pPr>
      <w:r>
        <w:t>Can I hide project names or notes?</w:t>
      </w:r>
    </w:p>
    <w:p>
      <w:r>
        <w:t>Yes. Both are independent invoice settings. Notes can also be edited when enabled.</w:t>
      </w:r>
    </w:p>
    <w:p>
      <w:pPr>
        <w:pStyle w:val="Heading3"/>
        <w:keepNext/>
      </w:pPr>
      <w:r>
        <w:t>Where do I change a generated invoice?</w:t>
      </w:r>
    </w:p>
    <w:p>
      <w:r>
        <w:t>Use Edit invoice settings to return to customization while keeping that invoice preview and its line items available.</w:t>
      </w:r>
    </w:p>
    <w:p>
      <w:pPr>
        <w:sectPr>
          <w:pgSz w:w="12240" w:h="15840"/>
          <w:pgMar w:top="720" w:right="1181" w:bottom="979" w:left="1181" w:header="720" w:footer="720" w:gutter="0"/>
          <w:cols w:space="720"/>
          <w:docGrid w:linePitch="360"/>
        </w:sectPr>
      </w:pPr>
    </w:p>
    <w:p>
      <w:pPr>
        <w:pStyle w:val="Title"/>
        <w:pBdr>
          <w:bottom w:val="single" w:sz="18" w:space="4" w:color="3478F6"/>
        </w:pBdr>
      </w:pPr>
      <w:r>
        <w:t>SECTION 11  Browser Audit Record</w:t>
      </w:r>
    </w:p>
    <w:p>
      <w:pPr>
        <w:pStyle w:val="Subtitle"/>
      </w:pPr>
      <w:r>
        <w:t>What was exercised and what changed during the client-readiness pass</w:t>
      </w:r>
    </w:p>
    <w:p>
      <w:pPr>
        <w:pStyle w:val="Heading2"/>
        <w:keepNext/>
      </w:pPr>
      <w:r>
        <w:t>Verified journeys</w:t>
      </w:r>
    </w:p>
    <w:tbl>
      <w:tblPr>
        <w:tblStyle w:val="TableGrid"/>
        <w:tblW w:type="auto" w:w="0"/>
        <w:jc w:val="center"/>
        <w:tblLayout w:type="fixed"/>
        <w:tblLook w:firstColumn="1" w:firstRow="1" w:lastColumn="0" w:lastRow="0" w:noHBand="0" w:noVBand="1" w:val="04A0"/>
      </w:tblPr>
      <w:tblGrid>
        <w:gridCol w:w="2232"/>
        <w:gridCol w:w="7056"/>
      </w:tblGrid>
      <w:tr>
        <w:trPr>
          <w:tblHeader w:val="true"/>
        </w:trPr>
        <w:tc>
          <w:tcPr>
            <w:tcW w:type="dxa" w:w="4939"/>
            <w:shd w:fill="173B7A"/>
            <w:tcMar>
              <w:top w:w="100" w:type="dxa"/>
              <w:start w:w="120" w:type="dxa"/>
              <w:bottom w:w="100" w:type="dxa"/>
              <w:end w:w="120" w:type="dxa"/>
            </w:tcMar>
            <w:vAlign w:val="center"/>
          </w:tcPr>
          <w:p>
            <w:r>
              <w:rPr>
                <w:b/>
                <w:color w:val="FFFFFF"/>
              </w:rPr>
              <w:t>Area</w:t>
            </w:r>
          </w:p>
        </w:tc>
        <w:tc>
          <w:tcPr>
            <w:tcW w:type="dxa" w:w="4939"/>
            <w:shd w:fill="173B7A"/>
            <w:tcMar>
              <w:top w:w="100" w:type="dxa"/>
              <w:start w:w="120" w:type="dxa"/>
              <w:bottom w:w="100" w:type="dxa"/>
              <w:end w:w="120" w:type="dxa"/>
            </w:tcMar>
            <w:vAlign w:val="center"/>
          </w:tcPr>
          <w:p>
            <w:r>
              <w:rPr>
                <w:b/>
                <w:color w:val="FFFFFF"/>
              </w:rPr>
              <w:t>Browser coverage</w:t>
            </w:r>
          </w:p>
        </w:tc>
      </w:tr>
      <w:tr>
        <w:tc>
          <w:tcPr>
            <w:tcW w:type="dxa" w:w="2232"/>
            <w:tcMar>
              <w:top w:w="100" w:type="dxa"/>
              <w:start w:w="120" w:type="dxa"/>
              <w:bottom w:w="100" w:type="dxa"/>
              <w:end w:w="120" w:type="dxa"/>
            </w:tcMar>
            <w:vAlign w:val="center"/>
          </w:tcPr>
          <w:p>
            <w:r>
              <w:t>Authentication</w:t>
            </w:r>
          </w:p>
        </w:tc>
        <w:tc>
          <w:tcPr>
            <w:tcW w:type="dxa" w:w="7056"/>
            <w:tcMar>
              <w:top w:w="100" w:type="dxa"/>
              <w:start w:w="120" w:type="dxa"/>
              <w:bottom w:w="100" w:type="dxa"/>
              <w:end w:w="120" w:type="dxa"/>
            </w:tcMar>
            <w:vAlign w:val="center"/>
          </w:tcPr>
          <w:p>
            <w:r>
              <w:t>Login success/failure, protected navigation, account access.</w:t>
            </w:r>
          </w:p>
        </w:tc>
      </w:tr>
      <w:tr>
        <w:tc>
          <w:tcPr>
            <w:tcW w:type="dxa" w:w="2232"/>
            <w:tcMar>
              <w:top w:w="100" w:type="dxa"/>
              <w:start w:w="120" w:type="dxa"/>
              <w:bottom w:w="100" w:type="dxa"/>
              <w:end w:w="120" w:type="dxa"/>
            </w:tcMar>
            <w:vAlign w:val="center"/>
            <w:shd w:fill="F6F8FB"/>
          </w:tcPr>
          <w:p>
            <w:r>
              <w:t>Clients / Projects</w:t>
            </w:r>
          </w:p>
        </w:tc>
        <w:tc>
          <w:tcPr>
            <w:tcW w:type="dxa" w:w="7056"/>
            <w:tcMar>
              <w:top w:w="100" w:type="dxa"/>
              <w:start w:w="120" w:type="dxa"/>
              <w:bottom w:w="100" w:type="dxa"/>
              <w:end w:w="120" w:type="dxa"/>
            </w:tcMar>
            <w:vAlign w:val="center"/>
            <w:shd w:fill="F6F8FB"/>
          </w:tcPr>
          <w:p>
            <w:r>
              <w:t>Validation, create, edit, cancel, delete dialogs, currencies, colors, invoice profile preview.</w:t>
            </w:r>
          </w:p>
        </w:tc>
      </w:tr>
      <w:tr>
        <w:tc>
          <w:tcPr>
            <w:tcW w:type="dxa" w:w="2232"/>
            <w:tcMar>
              <w:top w:w="100" w:type="dxa"/>
              <w:start w:w="120" w:type="dxa"/>
              <w:bottom w:w="100" w:type="dxa"/>
              <w:end w:w="120" w:type="dxa"/>
            </w:tcMar>
            <w:vAlign w:val="center"/>
          </w:tcPr>
          <w:p>
            <w:r>
              <w:t>Tracking</w:t>
            </w:r>
          </w:p>
        </w:tc>
        <w:tc>
          <w:tcPr>
            <w:tcW w:type="dxa" w:w="7056"/>
            <w:tcMar>
              <w:top w:w="100" w:type="dxa"/>
              <w:start w:w="120" w:type="dxa"/>
              <w:bottom w:w="100" w:type="dxa"/>
              <w:end w:w="120" w:type="dxa"/>
            </w:tcMar>
            <w:vAlign w:val="center"/>
          </w:tcPr>
          <w:p>
            <w:r>
              <w:t>Timer, suggestions, grouped blocks, metadata/duration edits, notes, date movement, filters, mobile editor.</w:t>
            </w:r>
          </w:p>
        </w:tc>
      </w:tr>
      <w:tr>
        <w:tc>
          <w:tcPr>
            <w:tcW w:type="dxa" w:w="2232"/>
            <w:tcMar>
              <w:top w:w="100" w:type="dxa"/>
              <w:start w:w="120" w:type="dxa"/>
              <w:bottom w:w="100" w:type="dxa"/>
              <w:end w:w="120" w:type="dxa"/>
            </w:tcMar>
            <w:vAlign w:val="center"/>
            <w:shd w:fill="F6F8FB"/>
          </w:tcPr>
          <w:p>
            <w:r>
              <w:t>Dashboard</w:t>
            </w:r>
          </w:p>
        </w:tc>
        <w:tc>
          <w:tcPr>
            <w:tcW w:type="dxa" w:w="7056"/>
            <w:tcMar>
              <w:top w:w="100" w:type="dxa"/>
              <w:start w:w="120" w:type="dxa"/>
              <w:bottom w:w="100" w:type="dxa"/>
              <w:end w:w="120" w:type="dxa"/>
            </w:tcMar>
            <w:vAlign w:val="center"/>
            <w:shd w:fill="F6F8FB"/>
          </w:tcPr>
          <w:p>
            <w:r>
              <w:t>Preset/custom ranges, all-day weekly chart, summaries, breakdowns, live/custom currencies.</w:t>
            </w:r>
          </w:p>
        </w:tc>
      </w:tr>
      <w:tr>
        <w:tc>
          <w:tcPr>
            <w:tcW w:type="dxa" w:w="2232"/>
            <w:tcMar>
              <w:top w:w="100" w:type="dxa"/>
              <w:start w:w="120" w:type="dxa"/>
              <w:bottom w:w="100" w:type="dxa"/>
              <w:end w:w="120" w:type="dxa"/>
            </w:tcMar>
            <w:vAlign w:val="center"/>
          </w:tcPr>
          <w:p>
            <w:r>
              <w:t>Reports</w:t>
            </w:r>
          </w:p>
        </w:tc>
        <w:tc>
          <w:tcPr>
            <w:tcW w:type="dxa" w:w="7056"/>
            <w:tcMar>
              <w:top w:w="100" w:type="dxa"/>
              <w:start w:w="120" w:type="dxa"/>
              <w:bottom w:w="100" w:type="dxa"/>
              <w:end w:w="120" w:type="dxa"/>
            </w:tcMar>
            <w:vAlign w:val="center"/>
          </w:tcPr>
          <w:p>
            <w:r>
              <w:t>Filters, adjustments, upward rounding, row edits, weekly grouping, GBP PDF export.</w:t>
            </w:r>
          </w:p>
        </w:tc>
      </w:tr>
      <w:tr>
        <w:tc>
          <w:tcPr>
            <w:tcW w:type="dxa" w:w="2232"/>
            <w:tcMar>
              <w:top w:w="100" w:type="dxa"/>
              <w:start w:w="120" w:type="dxa"/>
              <w:bottom w:w="100" w:type="dxa"/>
              <w:end w:w="120" w:type="dxa"/>
            </w:tcMar>
            <w:vAlign w:val="center"/>
            <w:shd w:fill="F6F8FB"/>
          </w:tcPr>
          <w:p>
            <w:r>
              <w:t>Invoices</w:t>
            </w:r>
          </w:p>
        </w:tc>
        <w:tc>
          <w:tcPr>
            <w:tcW w:type="dxa" w:w="7056"/>
            <w:tcMar>
              <w:top w:w="100" w:type="dxa"/>
              <w:start w:w="120" w:type="dxa"/>
              <w:bottom w:w="100" w:type="dxa"/>
              <w:end w:w="120" w:type="dxa"/>
            </w:tcMar>
            <w:vAlign w:val="center"/>
            <w:shd w:fill="F6F8FB"/>
          </w:tcPr>
          <w:p>
            <w:r>
              <w:t>Generation, grouping, editor toggles, numbering, save/status, summary currencies, PDF export.</w:t>
            </w:r>
          </w:p>
        </w:tc>
      </w:tr>
      <w:tr>
        <w:tc>
          <w:tcPr>
            <w:tcW w:type="dxa" w:w="2232"/>
            <w:tcMar>
              <w:top w:w="100" w:type="dxa"/>
              <w:start w:w="120" w:type="dxa"/>
              <w:bottom w:w="100" w:type="dxa"/>
              <w:end w:w="120" w:type="dxa"/>
            </w:tcMar>
            <w:vAlign w:val="center"/>
          </w:tcPr>
          <w:p>
            <w:r>
              <w:t>Creative tools</w:t>
            </w:r>
          </w:p>
        </w:tc>
        <w:tc>
          <w:tcPr>
            <w:tcW w:type="dxa" w:w="7056"/>
            <w:tcMar>
              <w:top w:w="100" w:type="dxa"/>
              <w:start w:w="120" w:type="dxa"/>
              <w:bottom w:w="100" w:type="dxa"/>
              <w:end w:w="120" w:type="dxa"/>
            </w:tcMar>
            <w:vAlign w:val="center"/>
          </w:tcPr>
          <w:p>
            <w:r>
              <w:t>Music empty states, notes, inspiration, current-week goals, breathing controls.</w:t>
            </w:r>
          </w:p>
        </w:tc>
      </w:tr>
      <w:tr>
        <w:tc>
          <w:tcPr>
            <w:tcW w:type="dxa" w:w="2232"/>
            <w:tcMar>
              <w:top w:w="100" w:type="dxa"/>
              <w:start w:w="120" w:type="dxa"/>
              <w:bottom w:w="100" w:type="dxa"/>
              <w:end w:w="120" w:type="dxa"/>
            </w:tcMar>
            <w:vAlign w:val="center"/>
            <w:shd w:fill="F6F8FB"/>
          </w:tcPr>
          <w:p>
            <w:r>
              <w:t>Settings / Admin</w:t>
            </w:r>
          </w:p>
        </w:tc>
        <w:tc>
          <w:tcPr>
            <w:tcW w:type="dxa" w:w="7056"/>
            <w:tcMar>
              <w:top w:w="100" w:type="dxa"/>
              <w:start w:w="120" w:type="dxa"/>
              <w:bottom w:w="100" w:type="dxa"/>
              <w:end w:w="120" w:type="dxa"/>
            </w:tcMar>
            <w:vAlign w:val="center"/>
            <w:shd w:fill="F6F8FB"/>
          </w:tcPr>
          <w:p>
            <w:r>
              <w:t>Business and invoice tabs, custom labels, account controls, admin roles/status/recovery surface.</w:t>
            </w:r>
          </w:p>
        </w:tc>
      </w:tr>
    </w:tbl>
    <w:p>
      <w:pPr>
        <w:pStyle w:val="Heading2"/>
        <w:keepNext/>
      </w:pPr>
      <w:r>
        <w:t>High-impact fixes completed</w:t>
      </w:r>
    </w:p>
    <w:p>
      <w:pPr>
        <w:spacing w:after="40"/>
        <w:ind w:left="317" w:hanging="259"/>
      </w:pPr>
      <w:r>
        <w:rPr>
          <w:b/>
        </w:rPr>
        <w:t xml:space="preserve">• </w:t>
      </w:r>
      <w:r>
        <w:t>Correct report/invoice currency propagation, hours columns, weekly grouping, and repeated-item consolidation.</w:t>
      </w:r>
    </w:p>
    <w:p>
      <w:pPr>
        <w:spacing w:after="40"/>
        <w:ind w:left="317" w:hanging="259"/>
      </w:pPr>
      <w:r>
        <w:rPr>
          <w:b/>
        </w:rPr>
        <w:t xml:space="preserve">• </w:t>
      </w:r>
      <w:r>
        <w:t>Invoice editor state, notes/payment layout, client-specific templates/languages, consistent formatted numbering, and much smaller PDFs.</w:t>
      </w:r>
    </w:p>
    <w:p>
      <w:pPr>
        <w:spacing w:after="40"/>
        <w:ind w:left="317" w:hanging="259"/>
      </w:pPr>
      <w:r>
        <w:rPr>
          <w:b/>
        </w:rPr>
        <w:t xml:space="preserve">• </w:t>
      </w:r>
      <w:r>
        <w:t>Responsive timer controls, working mobile edit/duplicate/notes/date actions, and a phone-friendly client list.</w:t>
      </w:r>
    </w:p>
    <w:p>
      <w:pPr>
        <w:spacing w:after="40"/>
        <w:ind w:left="317" w:hanging="259"/>
      </w:pPr>
      <w:r>
        <w:rPr>
          <w:b/>
        </w:rPr>
        <w:t xml:space="preserve">• </w:t>
      </w:r>
      <w:r>
        <w:t>Live/custom currency management, removal support, and duplicate currency-label cleanup.</w:t>
      </w:r>
    </w:p>
    <w:p>
      <w:pPr>
        <w:spacing w:after="40"/>
        <w:ind w:left="317" w:hanging="259"/>
      </w:pPr>
      <w:r>
        <w:rPr>
          <w:b/>
        </w:rPr>
        <w:t xml:space="preserve">• </w:t>
      </w:r>
      <w:r>
        <w:t>Current-week goal filtering, accessible icon labels, account placeholder removal, and authenticated ownership checks for creative data.</w:t>
      </w:r>
    </w:p>
    <w:p>
      <w:pPr>
        <w:sectPr>
          <w:pgSz w:w="12240" w:h="15840"/>
          <w:pgMar w:top="720" w:right="1181" w:bottom="979" w:left="1181" w:header="720" w:footer="720" w:gutter="0"/>
          <w:cols w:space="720"/>
          <w:docGrid w:linePitch="360"/>
        </w:sectPr>
      </w:pPr>
    </w:p>
    <w:p>
      <w:pPr>
        <w:pStyle w:val="Title"/>
        <w:pBdr>
          <w:bottom w:val="single" w:sz="18" w:space="4" w:color="3478F6"/>
        </w:pBdr>
      </w:pPr>
      <w:r>
        <w:t>SECTION 12  Launch Readiness</w:t>
      </w:r>
    </w:p>
    <w:p>
      <w:pPr>
        <w:pStyle w:val="Subtitle"/>
      </w:pPr>
      <w:r>
        <w:t>Remaining work is operational and engineering hardening, not hidden from the audit</w:t>
      </w:r>
    </w:p>
    <w:tbl>
      <w:tblPr>
        <w:tblW w:type="auto" w:w="0"/>
        <w:jc w:val="center"/>
        <w:tblLayout w:type="fixed"/>
        <w:tblLook w:firstColumn="1" w:firstRow="1" w:lastColumn="0" w:lastRow="0" w:noHBand="0" w:noVBand="1" w:val="04A0"/>
      </w:tblPr>
      <w:tblGrid>
        <w:gridCol w:w="9288"/>
      </w:tblGrid>
      <w:tr>
        <w:tc>
          <w:tcPr>
            <w:tcW w:type="dxa" w:w="9878"/>
            <w:shd w:fill="EAF8F1"/>
            <w:tcMar>
              <w:top w:w="130" w:type="dxa"/>
              <w:start w:w="160" w:type="dxa"/>
              <w:bottom w:w="130" w:type="dxa"/>
              <w:end w:w="160" w:type="dxa"/>
            </w:tcMar>
          </w:tcPr>
          <w:p>
            <w:pPr>
              <w:spacing w:after="40"/>
            </w:pPr>
            <w:r>
              <w:rPr>
                <w:b/>
                <w:color w:val="173B7A"/>
              </w:rPr>
              <w:t>Production build</w:t>
            </w:r>
          </w:p>
          <w:p>
            <w:pPr>
              <w:spacing w:after="0"/>
            </w:pPr>
            <w:r>
              <w:t>The optimized Vite/Express production build completes successfully.</w:t>
            </w:r>
          </w:p>
        </w:tc>
      </w:tr>
    </w:tbl>
    <w:tbl>
      <w:tblPr>
        <w:tblW w:type="auto" w:w="0"/>
        <w:jc w:val="center"/>
        <w:tblLayout w:type="fixed"/>
        <w:tblLook w:firstColumn="1" w:firstRow="1" w:lastColumn="0" w:lastRow="0" w:noHBand="0" w:noVBand="1" w:val="04A0"/>
      </w:tblPr>
      <w:tblGrid>
        <w:gridCol w:w="9288"/>
      </w:tblGrid>
      <w:tr>
        <w:tc>
          <w:tcPr>
            <w:tcW w:type="dxa" w:w="9878"/>
            <w:shd w:fill="FFF4DC"/>
            <w:tcMar>
              <w:top w:w="130" w:type="dxa"/>
              <w:start w:w="160" w:type="dxa"/>
              <w:bottom w:w="130" w:type="dxa"/>
              <w:end w:w="160" w:type="dxa"/>
            </w:tcMar>
          </w:tcPr>
          <w:p>
            <w:pPr>
              <w:spacing w:after="40"/>
            </w:pPr>
            <w:r>
              <w:rPr>
                <w:b/>
                <w:color w:val="173B7A"/>
              </w:rPr>
              <w:t>TypeScript debt</w:t>
            </w:r>
          </w:p>
          <w:p>
            <w:pPr>
              <w:spacing w:after="0"/>
            </w:pPr>
            <w:r>
              <w:t>The strict type check still fails in legacy or unused music code, older auth/profile controllers, project form generics, invoice components, and storage types. This should be brought to zero before a public release.</w:t>
            </w:r>
          </w:p>
        </w:tc>
      </w:tr>
    </w:tbl>
    <w:tbl>
      <w:tblPr>
        <w:tblW w:type="auto" w:w="0"/>
        <w:jc w:val="center"/>
        <w:tblLayout w:type="fixed"/>
        <w:tblLook w:firstColumn="1" w:firstRow="1" w:lastColumn="0" w:lastRow="0" w:noHBand="0" w:noVBand="1" w:val="04A0"/>
      </w:tblPr>
      <w:tblGrid>
        <w:gridCol w:w="9288"/>
      </w:tblGrid>
      <w:tr>
        <w:tc>
          <w:tcPr>
            <w:tcW w:type="dxa" w:w="9878"/>
            <w:shd w:fill="FFF4DC"/>
            <w:tcMar>
              <w:top w:w="130" w:type="dxa"/>
              <w:start w:w="160" w:type="dxa"/>
              <w:bottom w:w="130" w:type="dxa"/>
              <w:end w:w="160" w:type="dxa"/>
            </w:tcMar>
          </w:tcPr>
          <w:p>
            <w:pPr>
              <w:spacing w:after="40"/>
            </w:pPr>
            <w:r>
              <w:rPr>
                <w:b/>
                <w:color w:val="173B7A"/>
              </w:rPr>
              <w:t>Bundle size</w:t>
            </w:r>
          </w:p>
          <w:p>
            <w:pPr>
              <w:spacing w:after="0"/>
            </w:pPr>
            <w:r>
              <w:t>The main JavaScript bundle is approximately 1.96 MB minified (about 552 KB gzip). Route-level code splitting is recommended before larger-scale traffic.</w:t>
            </w:r>
          </w:p>
        </w:tc>
      </w:tr>
    </w:tbl>
    <w:tbl>
      <w:tblPr>
        <w:tblW w:type="auto" w:w="0"/>
        <w:jc w:val="center"/>
        <w:tblLayout w:type="fixed"/>
        <w:tblLook w:firstColumn="1" w:firstRow="1" w:lastColumn="0" w:lastRow="0" w:noHBand="0" w:noVBand="1" w:val="04A0"/>
      </w:tblPr>
      <w:tblGrid>
        <w:gridCol w:w="9288"/>
      </w:tblGrid>
      <w:tr>
        <w:tc>
          <w:tcPr>
            <w:tcW w:type="dxa" w:w="9878"/>
            <w:shd w:fill="FDECEC"/>
            <w:tcMar>
              <w:top w:w="130" w:type="dxa"/>
              <w:start w:w="160" w:type="dxa"/>
              <w:bottom w:w="130" w:type="dxa"/>
              <w:end w:w="160" w:type="dxa"/>
            </w:tcMar>
          </w:tcPr>
          <w:p>
            <w:pPr>
              <w:spacing w:after="40"/>
            </w:pPr>
            <w:r>
              <w:rPr>
                <w:b/>
                <w:color w:val="173B7A"/>
              </w:rPr>
              <w:t>Backups</w:t>
            </w:r>
          </w:p>
          <w:p>
            <w:pPr>
              <w:spacing w:after="0"/>
            </w:pPr>
            <w:r>
              <w:t>Automated encrypted snapshots, retention, restore testing, and the one-click admin restore workflow are not configured.</w:t>
            </w:r>
          </w:p>
        </w:tc>
      </w:tr>
    </w:tbl>
    <w:tbl>
      <w:tblPr>
        <w:tblW w:type="auto" w:w="0"/>
        <w:jc w:val="center"/>
        <w:tblLayout w:type="fixed"/>
        <w:tblLook w:firstColumn="1" w:firstRow="1" w:lastColumn="0" w:lastRow="0" w:noHBand="0" w:noVBand="1" w:val="04A0"/>
      </w:tblPr>
      <w:tblGrid>
        <w:gridCol w:w="9288"/>
      </w:tblGrid>
      <w:tr>
        <w:tc>
          <w:tcPr>
            <w:tcW w:type="dxa" w:w="9878"/>
            <w:shd w:fill="FFF4DC"/>
            <w:tcMar>
              <w:top w:w="130" w:type="dxa"/>
              <w:start w:w="160" w:type="dxa"/>
              <w:bottom w:w="130" w:type="dxa"/>
              <w:end w:w="160" w:type="dxa"/>
            </w:tcMar>
          </w:tcPr>
          <w:p>
            <w:pPr>
              <w:spacing w:after="40"/>
            </w:pPr>
            <w:r>
              <w:rPr>
                <w:b/>
                <w:color w:val="173B7A"/>
              </w:rPr>
              <w:t>Email delivery</w:t>
            </w:r>
          </w:p>
          <w:p>
            <w:pPr>
              <w:spacing w:after="0"/>
            </w:pPr>
            <w:r>
              <w:t>Transactional email configuration and real-provider delivery were not exercised in this browser audit. Verify domain authentication, templates, rate limits, bounce handling, and password-reset delivery in staging.</w:t>
            </w:r>
          </w:p>
        </w:tc>
      </w:tr>
    </w:tbl>
    <w:p>
      <w:pPr>
        <w:pStyle w:val="Heading2"/>
        <w:keepNext/>
      </w:pPr>
      <w:r>
        <w:t>Recommended release sequence</w:t>
      </w:r>
    </w:p>
    <w:p>
      <w:pPr>
        <w:spacing w:after="40"/>
        <w:ind w:left="403" w:hanging="403"/>
      </w:pPr>
      <w:r>
        <w:rPr>
          <w:b/>
        </w:rPr>
        <w:t xml:space="preserve">1. </w:t>
      </w:r>
      <w:r>
        <w:t>Eliminate all TypeScript errors and remove or repair unused legacy components.</w:t>
      </w:r>
    </w:p>
    <w:p>
      <w:pPr>
        <w:spacing w:after="40"/>
        <w:ind w:left="403" w:hanging="403"/>
      </w:pPr>
      <w:r>
        <w:rPr>
          <w:b/>
        </w:rPr>
        <w:t xml:space="preserve">2. </w:t>
      </w:r>
      <w:r>
        <w:t>Implement automated database backups and rehearse full and per-user restoration.</w:t>
      </w:r>
    </w:p>
    <w:p>
      <w:pPr>
        <w:spacing w:after="40"/>
        <w:ind w:left="403" w:hanging="403"/>
      </w:pPr>
      <w:r>
        <w:rPr>
          <w:b/>
        </w:rPr>
        <w:t xml:space="preserve">3. </w:t>
      </w:r>
      <w:r>
        <w:t>Run email authentication/delivery tests with the production sending domain.</w:t>
      </w:r>
    </w:p>
    <w:p>
      <w:pPr>
        <w:spacing w:after="40"/>
        <w:ind w:left="403" w:hanging="403"/>
      </w:pPr>
      <w:r>
        <w:rPr>
          <w:b/>
        </w:rPr>
        <w:t xml:space="preserve">4. </w:t>
      </w:r>
      <w:r>
        <w:t>Add automated API ownership tests and Playwright smoke tests for the audited critical paths.</w:t>
      </w:r>
    </w:p>
    <w:p>
      <w:pPr>
        <w:spacing w:after="40"/>
        <w:ind w:left="403" w:hanging="403"/>
      </w:pPr>
      <w:r>
        <w:rPr>
          <w:b/>
        </w:rPr>
        <w:t xml:space="preserve">5. </w:t>
      </w:r>
      <w:r>
        <w:t>Split large frontend routes and PDF/editor dependencies into lazy-loaded chunks.</w:t>
      </w:r>
    </w:p>
    <w:p>
      <w:pPr>
        <w:spacing w:after="40"/>
        <w:ind w:left="403" w:hanging="403"/>
      </w:pPr>
      <w:r>
        <w:rPr>
          <w:b/>
        </w:rPr>
        <w:t xml:space="preserve">6. </w:t>
      </w:r>
      <w:r>
        <w:t>Perform staging deployment, security review, accessibility scan, and multi-browser acceptance testing.</w:t>
      </w:r>
    </w:p>
    <w:tbl>
      <w:tblPr>
        <w:tblW w:type="auto" w:w="0"/>
        <w:jc w:val="center"/>
        <w:tblLayout w:type="fixed"/>
        <w:tblLook w:firstColumn="1" w:firstRow="1" w:lastColumn="0" w:lastRow="0" w:noHBand="0" w:noVBand="1" w:val="04A0"/>
      </w:tblPr>
      <w:tblGrid>
        <w:gridCol w:w="9288"/>
      </w:tblGrid>
      <w:tr>
        <w:tc>
          <w:tcPr>
            <w:tcW w:type="dxa" w:w="9878"/>
            <w:shd w:fill="EAF2FF"/>
            <w:tcMar>
              <w:top w:w="130" w:type="dxa"/>
              <w:start w:w="160" w:type="dxa"/>
              <w:bottom w:w="130" w:type="dxa"/>
              <w:end w:w="160" w:type="dxa"/>
            </w:tcMar>
          </w:tcPr>
          <w:p>
            <w:pPr>
              <w:spacing w:after="40"/>
            </w:pPr>
            <w:r>
              <w:rPr>
                <w:b/>
                <w:color w:val="173B7A"/>
              </w:rPr>
              <w:t>Audit-data hygiene</w:t>
            </w:r>
          </w:p>
          <w:p>
            <w:pPr>
              <w:spacing w:after="0"/>
            </w:pPr>
            <w:r>
              <w:t>All clients, projects, time entries, notes, goals, and invoices created solely for this audit were removed after verification. Existing user data was left in place.</w:t>
            </w:r>
          </w:p>
        </w:tc>
      </w:tr>
    </w:tbl>
    <w:sectPr w:rsidR="00FC693F" w:rsidRPr="0006063C" w:rsidSect="00034616">
      <w:pgSz w:w="12240" w:h="15840"/>
      <w:pgMar w:top="720"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579"/>
        <w:sz w:val="16"/>
      </w:rPr>
      <w:t xml:space="preserve">Tickd  |  Audited 25 July 2026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73B7A"/>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72033"/>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173B7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560"/>
      <w:contextualSpacing/>
    </w:pPr>
    <w:rPr>
      <w:rFonts w:asciiTheme="majorHAnsi" w:eastAsiaTheme="majorEastAsia" w:hAnsiTheme="majorHAnsi" w:cstheme="majorBidi" w:ascii="Calibri" w:hAnsi="Calibri"/>
      <w:b/>
      <w:color w:val="17203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596579"/>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19"/>
    </w:rPr>
  </w:style>
  <w:style w:type="paragraph" w:styleId="ListBullet2">
    <w:name w:val="List Bullet 2"/>
    <w:basedOn w:val="Normal"/>
    <w:uiPriority w:val="99"/>
    <w:unhideWhenUsed/>
    <w:rsid w:val="00326F90"/>
    <w:pPr>
      <w:numPr>
        <w:numId w:val="2"/>
      </w:numPr>
      <w:spacing w:after="40"/>
      <w:contextualSpacing/>
    </w:pPr>
    <w:rPr>
      <w:rFonts w:ascii="Calibri" w:hAnsi="Calibri"/>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libri" w:hAnsi="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Tickd Product Guide &amp; QA Source</dc:title>
  <dc:subject>Feature guide, support Q&amp;A source, and browser audit record</dc:subject>
  <dc:creator>Tickd / Codex</dc:creator>
  <cp:keywords>Tickd, time tracking, reports, invoices, help, QA</cp:keywords>
  <dc:description>generated by python-docx</dc:description>
  <cp:lastModifiedBy/>
  <cp:revision>1</cp:revision>
  <dcterms:created xsi:type="dcterms:W3CDTF">2013-12-23T23:15:00Z</dcterms:created>
  <dcterms:modified xsi:type="dcterms:W3CDTF">2013-12-23T23:15:00Z</dcterms:modified>
  <cp:category/>
</cp:coreProperties>
</file>