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000000"/>
          <w:sz w:val="52"/>
        </w:rPr>
        <w:t>Treasury &amp; Commodity Counterparty Intelligence</w:t>
      </w:r>
    </w:p>
    <w:p>
      <w:pPr>
        <w:jc w:val="center"/>
      </w:pPr>
      <w:r>
        <w:rPr>
          <w:rFonts w:ascii="Aptos" w:hAnsi="Aptos"/>
          <w:color w:val="86BC25"/>
          <w:sz w:val="26"/>
        </w:rPr>
        <w:t>Technical Architecture &amp; Code Functionality — Google Cloud Serverless Platform</w:t>
      </w:r>
    </w:p>
    <w:p>
      <w:pPr>
        <w:jc w:val="center"/>
      </w:pPr>
      <w:r>
        <w:rPr>
          <w:i/>
        </w:rPr>
        <w:t>Deloitte · Counterparty Risk Assessment Platform</w:t>
      </w:r>
    </w:p>
    <w:p/>
    <w:p>
      <w:pPr>
        <w:pStyle w:val="Heading1"/>
      </w:pPr>
      <w:r>
        <w:rPr>
          <w:rFonts w:ascii="Aptos" w:hAnsi="Aptos"/>
          <w:color w:val="000000"/>
        </w:rPr>
        <w:t>1. Executive Overview</w:t>
      </w:r>
    </w:p>
    <w:p>
      <w:r>
        <w:rPr>
          <w:b w:val="0"/>
          <w:i w:val="0"/>
        </w:rPr>
        <w:t>The platform is an event-driven, serverless application on Google Cloud Platform (GCP) that ingests counterparty financial statements, stores structured data in BigQuery, and applies a set of specialist large-language-model (LLM) agents to produce market, credit, liquidity, and cashflow risk assessments. The user interacts through a single-page web dashboard hosted on Cloud Run, which serves both the UI and the JSON APIs. All LLM calls use Google Gemini as the primary engine with Anthropic Claude as an automatic fallback, and live external context is fetched from Tavily web search, Yahoo Finance, and SEC EDGAR.</w:t>
      </w:r>
    </w:p>
    <w:p>
      <w:pPr>
        <w:pStyle w:val="Heading1"/>
      </w:pPr>
      <w:r>
        <w:rPr>
          <w:rFonts w:ascii="Aptos" w:hAnsi="Aptos"/>
          <w:color w:val="000000"/>
        </w:rPr>
        <w:t>2. Google Cloud Setup</w:t>
      </w:r>
    </w:p>
    <w:p>
      <w:pPr>
        <w:pStyle w:val="Heading2"/>
      </w:pPr>
      <w:r>
        <w:rPr>
          <w:rFonts w:ascii="Aptos" w:hAnsi="Aptos"/>
          <w:color w:val="86BC25"/>
        </w:rPr>
        <w:t>2.1 Core Services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Role in the Platform</w:t>
            </w:r>
          </w:p>
        </w:tc>
      </w:tr>
      <w:tr>
        <w:tc>
          <w:tcPr>
            <w:tcW w:type="dxa" w:w="4320"/>
          </w:tcPr>
          <w:p>
            <w:r>
              <w:t>Cloud Run</w:t>
            </w:r>
          </w:p>
        </w:tc>
        <w:tc>
          <w:tcPr>
            <w:tcW w:type="dxa" w:w="4320"/>
          </w:tcPr>
          <w:p>
            <w:r>
              <w:t>Hosts two containers: 'treasury-ingestor' (background ingestion) and 'treasury-dashboard' (web UI + APIs). Deployed privately (no unauthenticated access).</w:t>
            </w:r>
          </w:p>
        </w:tc>
      </w:tr>
      <w:tr>
        <w:tc>
          <w:tcPr>
            <w:tcW w:type="dxa" w:w="4320"/>
          </w:tcPr>
          <w:p>
            <w:r>
              <w:t>BigQuery</w:t>
            </w:r>
          </w:p>
        </w:tc>
        <w:tc>
          <w:tcPr>
            <w:tcW w:type="dxa" w:w="4320"/>
          </w:tcPr>
          <w:p>
            <w:r>
              <w:t>Analytical store. Dataset 'treasury_analytics' holds counterparties, agent_memos, and deposits tables.</w:t>
            </w:r>
          </w:p>
        </w:tc>
      </w:tr>
      <w:tr>
        <w:tc>
          <w:tcPr>
            <w:tcW w:type="dxa" w:w="4320"/>
          </w:tcPr>
          <w:p>
            <w:r>
              <w:t>Cloud Storage</w:t>
            </w:r>
          </w:p>
        </w:tc>
        <w:tc>
          <w:tcPr>
            <w:tcW w:type="dxa" w:w="4320"/>
          </w:tcPr>
          <w:p>
            <w:r>
              <w:t>Landing bucket for uploaded financial documents; emits object-create notifications.</w:t>
            </w:r>
          </w:p>
        </w:tc>
      </w:tr>
      <w:tr>
        <w:tc>
          <w:tcPr>
            <w:tcW w:type="dxa" w:w="4320"/>
          </w:tcPr>
          <w:p>
            <w:r>
              <w:t>Pub/Sub</w:t>
            </w:r>
          </w:p>
        </w:tc>
        <w:tc>
          <w:tcPr>
            <w:tcW w:type="dxa" w:w="4320"/>
          </w:tcPr>
          <w:p>
            <w:r>
              <w:t>Topic 'treasury-financials' receives GCS notifications and push-delivers them to the ingestor '/ingest' endpoint.</w:t>
            </w:r>
          </w:p>
        </w:tc>
      </w:tr>
      <w:tr>
        <w:tc>
          <w:tcPr>
            <w:tcW w:type="dxa" w:w="4320"/>
          </w:tcPr>
          <w:p>
            <w:r>
              <w:t>Artifact Registry</w:t>
            </w:r>
          </w:p>
        </w:tc>
        <w:tc>
          <w:tcPr>
            <w:tcW w:type="dxa" w:w="4320"/>
          </w:tcPr>
          <w:p>
            <w:r>
              <w:t>Stores the Docker images ('treasury-repo') built by Cloud Build.</w:t>
            </w:r>
          </w:p>
        </w:tc>
      </w:tr>
      <w:tr>
        <w:tc>
          <w:tcPr>
            <w:tcW w:type="dxa" w:w="4320"/>
          </w:tcPr>
          <w:p>
            <w:r>
              <w:t>Cloud Build</w:t>
            </w:r>
          </w:p>
        </w:tc>
        <w:tc>
          <w:tcPr>
            <w:tcW w:type="dxa" w:w="4320"/>
          </w:tcPr>
          <w:p>
            <w:r>
              <w:t>Builds and pushes container images from source.</w:t>
            </w:r>
          </w:p>
        </w:tc>
      </w:tr>
      <w:tr>
        <w:tc>
          <w:tcPr>
            <w:tcW w:type="dxa" w:w="4320"/>
          </w:tcPr>
          <w:p>
            <w:r>
              <w:t>HTTPS Load Balancer + IAP</w:t>
            </w:r>
          </w:p>
        </w:tc>
        <w:tc>
          <w:tcPr>
            <w:tcW w:type="dxa" w:w="4320"/>
          </w:tcPr>
          <w:p>
            <w:r>
              <w:t>Global external load balancer with a serverless NEG and Identity-Aware Proxy for corporate SSO access control.</w:t>
            </w:r>
          </w:p>
        </w:tc>
      </w:tr>
    </w:tbl>
    <w:p/>
    <w:p>
      <w:pPr>
        <w:pStyle w:val="Heading2"/>
      </w:pPr>
      <w:r>
        <w:rPr>
          <w:rFonts w:ascii="Aptos" w:hAnsi="Aptos"/>
          <w:color w:val="86BC25"/>
        </w:rPr>
        <w:t>2.2 Event-Driven Ingestion Pipeline</w:t>
      </w:r>
    </w:p>
    <w:p>
      <w:pPr>
        <w:pStyle w:val="ListNumber"/>
      </w:pPr>
      <w:r>
        <w:t>A user (or batch job) uploads a CSV/XLSX financial statement to the Cloud Storage bucket.</w:t>
      </w:r>
    </w:p>
    <w:p>
      <w:pPr>
        <w:pStyle w:val="ListNumber"/>
      </w:pPr>
      <w:r>
        <w:t>Cloud Storage emits an object-finalize notification to the Pub/Sub topic 'treasury-financials'.</w:t>
      </w:r>
    </w:p>
    <w:p>
      <w:pPr>
        <w:pStyle w:val="ListNumber"/>
      </w:pPr>
      <w:r>
        <w:t>Pub/Sub push-delivers the message (with an OIDC token) to the ingestor service '/ingest' endpoint.</w:t>
      </w:r>
    </w:p>
    <w:p>
      <w:pPr>
        <w:pStyle w:val="ListNumber"/>
      </w:pPr>
      <w:r>
        <w:t>The ingestor downloads the blob, parses it with the OCR/parsing module, and streams normalized rows into the BigQuery 'counterparties' table.</w:t>
      </w:r>
    </w:p>
    <w:p>
      <w:pPr>
        <w:pStyle w:val="ListNumber"/>
      </w:pPr>
      <w:r>
        <w:t>The dashboard reads from BigQuery to render KPIs, tables, and to ground the LLM agents.</w:t>
      </w:r>
    </w:p>
    <w:p>
      <w:pPr>
        <w:pStyle w:val="Heading2"/>
      </w:pPr>
      <w:r>
        <w:rPr>
          <w:rFonts w:ascii="Aptos" w:hAnsi="Aptos"/>
          <w:color w:val="86BC25"/>
        </w:rPr>
        <w:t>2.3 Security &amp; Configuration</w:t>
      </w:r>
    </w:p>
    <w:p>
      <w:pPr>
        <w:pStyle w:val="ListBullet"/>
      </w:pPr>
      <w:r>
        <w:t>Authentication: Cloud Run services run privately; public access is mediated by the HTTPS Load Balancer with Identity-Aware Proxy (IAP). The app also verifies the X-Goog-IAP-JWT-Assertion header.</w:t>
      </w:r>
    </w:p>
    <w:p>
      <w:pPr>
        <w:pStyle w:val="ListBullet"/>
      </w:pPr>
      <w:r>
        <w:t>Secrets: API keys are injected as Cloud Run environment variables — GEMINI_API_KEY, ANTHROPIC_API_KEY, TAVILY_API_KEY — plus BUCKET and BQ_DATASET. They are never committed to source control (.env is git-ignored).</w:t>
      </w:r>
    </w:p>
    <w:p>
      <w:pPr>
        <w:pStyle w:val="ListBullet"/>
      </w:pPr>
      <w:r>
        <w:t>Least privilege: a dedicated invoker service account allows Pub/Sub to call the private Cloud Run ingestion endpoint.</w:t>
      </w:r>
    </w:p>
    <w:p>
      <w:pPr>
        <w:pStyle w:val="Heading1"/>
      </w:pPr>
      <w:r>
        <w:rPr>
          <w:rFonts w:ascii="Aptos" w:hAnsi="Aptos"/>
          <w:color w:val="000000"/>
        </w:rPr>
        <w:t>3. Application &amp; Code Functionality</w:t>
      </w:r>
    </w:p>
    <w:p>
      <w:pPr>
        <w:pStyle w:val="Heading2"/>
      </w:pPr>
      <w:r>
        <w:rPr>
          <w:rFonts w:ascii="Aptos" w:hAnsi="Aptos"/>
          <w:color w:val="86BC25"/>
        </w:rPr>
        <w:t>3.1 Module Map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Responsibility</w:t>
            </w:r>
          </w:p>
        </w:tc>
      </w:tr>
      <w:tr>
        <w:tc>
          <w:tcPr>
            <w:tcW w:type="dxa" w:w="4320"/>
          </w:tcPr>
          <w:p>
            <w:r>
              <w:t>dashboard.py</w:t>
            </w:r>
          </w:p>
        </w:tc>
        <w:tc>
          <w:tcPr>
            <w:tcW w:type="dxa" w:w="4320"/>
          </w:tcPr>
          <w:p>
            <w:r>
              <w:t>Flask app: serves dashboard.html and all JSON APIs (counterparties, stats, upload, chat, agent endpoints, liquidity-model, memos, Pub/Sub ingest).</w:t>
            </w:r>
          </w:p>
        </w:tc>
      </w:tr>
      <w:tr>
        <w:tc>
          <w:tcPr>
            <w:tcW w:type="dxa" w:w="4320"/>
          </w:tcPr>
          <w:p>
            <w:r>
              <w:t>agent_base.py</w:t>
            </w:r>
          </w:p>
        </w:tc>
        <w:tc>
          <w:tcPr>
            <w:tcW w:type="dxa" w:w="4320"/>
          </w:tcPr>
          <w:p>
            <w:r>
              <w:t>Shared LLM layer: call_llm (Gemini primary, Claude fallback) with reasoning trace logging; web_search (Tavily); standardized reporting helpers; BigQuery memo persistence.</w:t>
            </w:r>
          </w:p>
        </w:tc>
      </w:tr>
      <w:tr>
        <w:tc>
          <w:tcPr>
            <w:tcW w:type="dxa" w:w="4320"/>
          </w:tcPr>
          <w:p>
            <w:r>
              <w:t>market_agent.py</w:t>
            </w:r>
          </w:p>
        </w:tc>
        <w:tc>
          <w:tcPr>
            <w:tcW w:type="dxa" w:w="4320"/>
          </w:tcPr>
          <w:p>
            <w:r>
              <w:t>Market Risk Agent — commodity price sensitivity, ownership/IR, recommended notional exposure.</w:t>
            </w:r>
          </w:p>
        </w:tc>
      </w:tr>
      <w:tr>
        <w:tc>
          <w:tcPr>
            <w:tcW w:type="dxa" w:w="4320"/>
          </w:tcPr>
          <w:p>
            <w:r>
              <w:t>credit_agent.py</w:t>
            </w:r>
          </w:p>
        </w:tc>
        <w:tc>
          <w:tcPr>
            <w:tcW w:type="dxa" w:w="4320"/>
          </w:tcPr>
          <w:p>
            <w:r>
              <w:t>Credit Risk Agent — creditworthiness, leverage, credit limit and payment terms.</w:t>
            </w:r>
          </w:p>
        </w:tc>
      </w:tr>
      <w:tr>
        <w:tc>
          <w:tcPr>
            <w:tcW w:type="dxa" w:w="4320"/>
          </w:tcPr>
          <w:p>
            <w:r>
              <w:t>liquidity_agent.py</w:t>
            </w:r>
          </w:p>
        </w:tc>
        <w:tc>
          <w:tcPr>
            <w:tcW w:type="dxa" w:w="4320"/>
          </w:tcPr>
          <w:p>
            <w:r>
              <w:t>Liquidity &amp; Settlement Agent — settlement capability on T+5 to T+10 terms.</w:t>
            </w:r>
          </w:p>
        </w:tc>
      </w:tr>
      <w:tr>
        <w:tc>
          <w:tcPr>
            <w:tcW w:type="dxa" w:w="4320"/>
          </w:tcPr>
          <w:p>
            <w:r>
              <w:t>liquidity_model_agent.py</w:t>
            </w:r>
          </w:p>
        </w:tc>
        <w:tc>
          <w:tcPr>
            <w:tcW w:type="dxa" w:w="4320"/>
          </w:tcPr>
          <w:p>
            <w:r>
              <w:t>Liquidity Modelling Agent — 3-week (21-day) cashflow projection from uploaded operational files.</w:t>
            </w:r>
          </w:p>
        </w:tc>
      </w:tr>
      <w:tr>
        <w:tc>
          <w:tcPr>
            <w:tcW w:type="dxa" w:w="4320"/>
          </w:tcPr>
          <w:p>
            <w:r>
              <w:t>bigquery_helper.py</w:t>
            </w:r>
          </w:p>
        </w:tc>
        <w:tc>
          <w:tcPr>
            <w:tcW w:type="dxa" w:w="4320"/>
          </w:tcPr>
          <w:p>
            <w:r>
              <w:t>All BigQuery reads/writes and LLM context assembly.</w:t>
            </w:r>
          </w:p>
        </w:tc>
      </w:tr>
      <w:tr>
        <w:tc>
          <w:tcPr>
            <w:tcW w:type="dxa" w:w="4320"/>
          </w:tcPr>
          <w:p>
            <w:r>
              <w:t>market_data_helper.py</w:t>
            </w:r>
          </w:p>
        </w:tc>
        <w:tc>
          <w:tcPr>
            <w:tcW w:type="dxa" w:w="4320"/>
          </w:tcPr>
          <w:p>
            <w:r>
              <w:t>Live market context: Yahoo Finance quotes/ownership and SEC EDGAR filings presence.</w:t>
            </w:r>
          </w:p>
        </w:tc>
      </w:tr>
      <w:tr>
        <w:tc>
          <w:tcPr>
            <w:tcW w:type="dxa" w:w="4320"/>
          </w:tcPr>
          <w:p>
            <w:r>
              <w:t>risk_scorer.py</w:t>
            </w:r>
          </w:p>
        </w:tc>
        <w:tc>
          <w:tcPr>
            <w:tcW w:type="dxa" w:w="4320"/>
          </w:tcPr>
          <w:p>
            <w:r>
              <w:t>Deterministic 0–100 quantitative risk score used alongside the LLM narrative.</w:t>
            </w:r>
          </w:p>
        </w:tc>
      </w:tr>
      <w:tr>
        <w:tc>
          <w:tcPr>
            <w:tcW w:type="dxa" w:w="4320"/>
          </w:tcPr>
          <w:p>
            <w:r>
              <w:t>ocr_simulator.py / claude_ocr_enhance.py</w:t>
            </w:r>
          </w:p>
        </w:tc>
        <w:tc>
          <w:tcPr>
            <w:tcW w:type="dxa" w:w="4320"/>
          </w:tcPr>
          <w:p>
            <w:r>
              <w:t>Financial document parsing with a Claude vision fallback.</w:t>
            </w:r>
          </w:p>
        </w:tc>
      </w:tr>
    </w:tbl>
    <w:p/>
    <w:p>
      <w:pPr>
        <w:pStyle w:val="Heading2"/>
      </w:pPr>
      <w:r>
        <w:rPr>
          <w:rFonts w:ascii="Aptos" w:hAnsi="Aptos"/>
          <w:color w:val="86BC25"/>
        </w:rPr>
        <w:t>3.2 LLM Orchestration &amp; Fallback</w:t>
      </w:r>
    </w:p>
    <w:p>
      <w:r>
        <w:rPr>
          <w:b w:val="0"/>
          <w:i w:val="0"/>
        </w:rPr>
        <w:t>Every LLM interaction flows through call_llm() in agent_base.py. It first attempts Google Gemini; if Gemini is unavailable or errors, it automatically falls back to Anthropic Claude. The function logs a preview of each prompt and the resulting reasoning output, giving full traceability of how the models reason about each counterparty. A trace_label parameter tags each call (MARKET, CREDIT, LIQUIDITY, LIQ_MODEL) so the logs are easy to follow.</w:t>
      </w:r>
    </w:p>
    <w:p>
      <w:pPr>
        <w:pStyle w:val="Heading2"/>
      </w:pPr>
      <w:r>
        <w:rPr>
          <w:rFonts w:ascii="Aptos" w:hAnsi="Aptos"/>
          <w:color w:val="86BC25"/>
        </w:rPr>
        <w:t>3.3 Standardized, Actionable Reporting</w:t>
      </w:r>
    </w:p>
    <w:p>
      <w:r>
        <w:rPr>
          <w:b w:val="0"/>
          <w:i w:val="0"/>
        </w:rPr>
        <w:t>To keep output consistent and decision-ready, all agents share a STANDARD_REPORT_INSTRUCTION and a summarize_to_sentences() safety net. Each memo is constrained to a maximum of six concise, quantitative sentences ending in an actionable conclusion on exposure or credit capacity. Each agent also returns a structured verdict (risk level plus an exposure / credit limit / settlement-terms field) and a deterministic risk score, which are persisted to the agent_memos table for audit.</w:t>
      </w:r>
    </w:p>
    <w:p>
      <w:pPr>
        <w:pStyle w:val="Heading2"/>
      </w:pPr>
      <w:r>
        <w:rPr>
          <w:rFonts w:ascii="Aptos" w:hAnsi="Aptos"/>
          <w:color w:val="86BC25"/>
        </w:rPr>
        <w:t>3.4 Risk Agents</w:t>
      </w:r>
    </w:p>
    <w:p>
      <w:pPr>
        <w:pStyle w:val="ListBullet"/>
      </w:pPr>
      <w:r>
        <w:t>Market Risk Agent: assesses revenue quality, commodity price sensitivity, ownership structure and investor relations, and recommends a maximum notional trading exposure.</w:t>
      </w:r>
    </w:p>
    <w:p>
      <w:pPr>
        <w:pStyle w:val="ListBullet"/>
      </w:pPr>
      <w:r>
        <w:t>Credit Risk Agent: evaluates credit rating, leverage and debt serviceability, then recommends an unsecured credit limit and payment terms.</w:t>
      </w:r>
    </w:p>
    <w:p>
      <w:pPr>
        <w:pStyle w:val="ListBullet"/>
      </w:pPr>
      <w:r>
        <w:t>Liquidity &amp; Settlement Agent: judges short-term solvency and settlement reliability on standard LNG terms, recommending a settlement structure.</w:t>
      </w:r>
    </w:p>
    <w:p>
      <w:pPr>
        <w:pStyle w:val="ListBullet"/>
      </w:pPr>
      <w:r>
        <w:t>Orchestrator: runs the three agents in parallel, computes a weighted aggregate risk (market 40%, credit 35%, liquidity 25%), and synthesizes an executive recommendation (approve / approve with conditions / decline).</w:t>
      </w:r>
    </w:p>
    <w:p>
      <w:pPr>
        <w:pStyle w:val="Heading2"/>
      </w:pPr>
      <w:r>
        <w:rPr>
          <w:rFonts w:ascii="Aptos" w:hAnsi="Aptos"/>
          <w:color w:val="86BC25"/>
        </w:rPr>
        <w:t>3.5 Market Data Assistant (Chat)</w:t>
      </w:r>
    </w:p>
    <w:p>
      <w:r>
        <w:rPr>
          <w:b w:val="0"/>
          <w:i w:val="0"/>
        </w:rPr>
        <w:t>The Market Data Assistant endpoint (/api/chat) grounds the LLM in three layers: internal BigQuery data (financial snapshots, deposits, prior agent memos), live market and ownership context (Yahoo Finance and SEC EDGAR), and live Tavily web search focused on ownership and investor relations. Responses follow the same six-sentence standardized format.</w:t>
      </w:r>
    </w:p>
    <w:p>
      <w:pPr>
        <w:pStyle w:val="Heading2"/>
      </w:pPr>
      <w:r>
        <w:rPr>
          <w:rFonts w:ascii="Aptos" w:hAnsi="Aptos"/>
          <w:color w:val="86BC25"/>
        </w:rPr>
        <w:t>3.6 Liquidity Modelling Agent (3-Week Cashflow)</w:t>
      </w:r>
    </w:p>
    <w:p>
      <w:r>
        <w:rPr>
          <w:b w:val="0"/>
          <w:i w:val="0"/>
        </w:rPr>
        <w:t>The Liquidity Modelling Agent accepts one or more operational files — account receivables, payables, taxes, maturity of financial swaps, and margin requirements — and projects the next 21 days of cashflow. A deterministic engine parses each file (flexible, case-insensitive column mapping), classifies every line as an inflow or outflow, and computes a daily running balance plus a three-week summary and a net-by-category breakdown. The LLM is used only for a concise treasury commentary that flags funding gaps and recommends an action. Optionally it also pulls deposits on file from BigQuery as additional inflows. The dashboard renders the result as KPIs, an inline SVG chart (daily balance line with net-flow bars), and tabular output.</w:t>
      </w:r>
    </w:p>
    <w:p>
      <w:pPr>
        <w:pStyle w:val="Heading1"/>
      </w:pPr>
      <w:r>
        <w:rPr>
          <w:rFonts w:ascii="Aptos" w:hAnsi="Aptos"/>
          <w:color w:val="000000"/>
        </w:rPr>
        <w:t>4. API Endpoints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Method &amp; Path</w:t>
            </w:r>
          </w:p>
        </w:tc>
        <w:tc>
          <w:tcPr>
            <w:tcW w:type="dxa" w:w="4320"/>
          </w:tcPr>
          <w:p>
            <w:r>
              <w:rPr>
                <w:b/>
              </w:rPr>
              <w:t>Description</w:t>
            </w:r>
          </w:p>
        </w:tc>
      </w:tr>
      <w:tr>
        <w:tc>
          <w:tcPr>
            <w:tcW w:type="dxa" w:w="4320"/>
          </w:tcPr>
          <w:p>
            <w:r>
              <w:t>GET /</w:t>
            </w:r>
          </w:p>
        </w:tc>
        <w:tc>
          <w:tcPr>
            <w:tcW w:type="dxa" w:w="4320"/>
          </w:tcPr>
          <w:p>
            <w:r>
              <w:t>Serves the dashboard single-page UI.</w:t>
            </w:r>
          </w:p>
        </w:tc>
      </w:tr>
      <w:tr>
        <w:tc>
          <w:tcPr>
            <w:tcW w:type="dxa" w:w="4320"/>
          </w:tcPr>
          <w:p>
            <w:r>
              <w:t>GET /api/counterparties</w:t>
            </w:r>
          </w:p>
        </w:tc>
        <w:tc>
          <w:tcPr>
            <w:tcW w:type="dxa" w:w="4320"/>
          </w:tcPr>
          <w:p>
            <w:r>
              <w:t>Counterparty records (optional search/sector filters).</w:t>
            </w:r>
          </w:p>
        </w:tc>
      </w:tr>
      <w:tr>
        <w:tc>
          <w:tcPr>
            <w:tcW w:type="dxa" w:w="4320"/>
          </w:tcPr>
          <w:p>
            <w:r>
              <w:t>GET /api/stats</w:t>
            </w:r>
          </w:p>
        </w:tc>
        <w:tc>
          <w:tcPr>
            <w:tcW w:type="dxa" w:w="4320"/>
          </w:tcPr>
          <w:p>
            <w:r>
              <w:t>Portfolio KPI summary.</w:t>
            </w:r>
          </w:p>
        </w:tc>
      </w:tr>
      <w:tr>
        <w:tc>
          <w:tcPr>
            <w:tcW w:type="dxa" w:w="4320"/>
          </w:tcPr>
          <w:p>
            <w:r>
              <w:t>POST /api/upload</w:t>
            </w:r>
          </w:p>
        </w:tc>
        <w:tc>
          <w:tcPr>
            <w:tcW w:type="dxa" w:w="4320"/>
          </w:tcPr>
          <w:p>
            <w:r>
              <w:t>Local file ingestion into BigQuery.</w:t>
            </w:r>
          </w:p>
        </w:tc>
      </w:tr>
      <w:tr>
        <w:tc>
          <w:tcPr>
            <w:tcW w:type="dxa" w:w="4320"/>
          </w:tcPr>
          <w:p>
            <w:r>
              <w:t>POST /api/chat</w:t>
            </w:r>
          </w:p>
        </w:tc>
        <w:tc>
          <w:tcPr>
            <w:tcW w:type="dxa" w:w="4320"/>
          </w:tcPr>
          <w:p>
            <w:r>
              <w:t>Market Data Assistant Q&amp;A (BigQuery + market + web grounded).</w:t>
            </w:r>
          </w:p>
        </w:tc>
      </w:tr>
      <w:tr>
        <w:tc>
          <w:tcPr>
            <w:tcW w:type="dxa" w:w="4320"/>
          </w:tcPr>
          <w:p>
            <w:r>
              <w:t>POST /api/agent/market|credit|liquidity</w:t>
            </w:r>
          </w:p>
        </w:tc>
        <w:tc>
          <w:tcPr>
            <w:tcW w:type="dxa" w:w="4320"/>
          </w:tcPr>
          <w:p>
            <w:r>
              <w:t>Run an individual specialist risk agent.</w:t>
            </w:r>
          </w:p>
        </w:tc>
      </w:tr>
      <w:tr>
        <w:tc>
          <w:tcPr>
            <w:tcW w:type="dxa" w:w="4320"/>
          </w:tcPr>
          <w:p>
            <w:r>
              <w:t>POST /api/agent/orchestrate</w:t>
            </w:r>
          </w:p>
        </w:tc>
        <w:tc>
          <w:tcPr>
            <w:tcW w:type="dxa" w:w="4320"/>
          </w:tcPr>
          <w:p>
            <w:r>
              <w:t>Run all three agents and synthesize an executive summary.</w:t>
            </w:r>
          </w:p>
        </w:tc>
      </w:tr>
      <w:tr>
        <w:tc>
          <w:tcPr>
            <w:tcW w:type="dxa" w:w="4320"/>
          </w:tcPr>
          <w:p>
            <w:r>
              <w:t>POST /api/liquidity-model</w:t>
            </w:r>
          </w:p>
        </w:tc>
        <w:tc>
          <w:tcPr>
            <w:tcW w:type="dxa" w:w="4320"/>
          </w:tcPr>
          <w:p>
            <w:r>
              <w:t>3-week cashflow projection from uploaded operational file(s).</w:t>
            </w:r>
          </w:p>
        </w:tc>
      </w:tr>
      <w:tr>
        <w:tc>
          <w:tcPr>
            <w:tcW w:type="dxa" w:w="4320"/>
          </w:tcPr>
          <w:p>
            <w:r>
              <w:t>GET /api/memos</w:t>
            </w:r>
          </w:p>
        </w:tc>
        <w:tc>
          <w:tcPr>
            <w:tcW w:type="dxa" w:w="4320"/>
          </w:tcPr>
          <w:p>
            <w:r>
              <w:t>Retrieve stored agent assessments.</w:t>
            </w:r>
          </w:p>
        </w:tc>
      </w:tr>
      <w:tr>
        <w:tc>
          <w:tcPr>
            <w:tcW w:type="dxa" w:w="4320"/>
          </w:tcPr>
          <w:p>
            <w:r>
              <w:t>POST /ingest</w:t>
            </w:r>
          </w:p>
        </w:tc>
        <w:tc>
          <w:tcPr>
            <w:tcW w:type="dxa" w:w="4320"/>
          </w:tcPr>
          <w:p>
            <w:r>
              <w:t>Pub/Sub push handler for background ingestion.</w:t>
            </w:r>
          </w:p>
        </w:tc>
      </w:tr>
    </w:tbl>
    <w:p/>
    <w:p>
      <w:pPr>
        <w:pStyle w:val="Heading1"/>
      </w:pPr>
      <w:r>
        <w:rPr>
          <w:rFonts w:ascii="Aptos" w:hAnsi="Aptos"/>
          <w:color w:val="000000"/>
        </w:rPr>
        <w:t>5. BigQuery Data Model</w:t>
      </w:r>
    </w:p>
    <w:p>
      <w:pPr>
        <w:pStyle w:val="Heading2"/>
      </w:pPr>
      <w:r>
        <w:rPr>
          <w:rFonts w:ascii="Aptos" w:hAnsi="Aptos"/>
          <w:color w:val="86BC25"/>
        </w:rPr>
        <w:t>5.1 counterparties</w:t>
      </w:r>
    </w:p>
    <w:p>
      <w:r>
        <w:rPr>
          <w:b w:val="0"/>
          <w:i w:val="0"/>
        </w:rPr>
        <w:t>Financial snapshots per counterparty: company_name, country, sector, credit_rating, period_year, revenue_usd_m, ebitda_usd_m, ebitda_margin_pct, net_income_usd_m, total_assets_usd_m, total_debt_usd_m, debt_to_equity, current_ratio, document_name, upload_date.</w:t>
      </w:r>
    </w:p>
    <w:p>
      <w:pPr>
        <w:pStyle w:val="Heading2"/>
      </w:pPr>
      <w:r>
        <w:rPr>
          <w:rFonts w:ascii="Aptos" w:hAnsi="Aptos"/>
          <w:color w:val="86BC25"/>
        </w:rPr>
        <w:t>5.2 agent_memos</w:t>
      </w:r>
    </w:p>
    <w:p>
      <w:r>
        <w:rPr>
          <w:b w:val="0"/>
          <w:i w:val="0"/>
        </w:rPr>
        <w:t>Agent outputs: id, counterparty_name, agent_type, risk_level, memo, exposure_proposal, created_at, plus extended JSON fields (credit_limit, payment_terms, settlement_terms, risk_score, risk_score_breakdown).</w:t>
      </w:r>
    </w:p>
    <w:p>
      <w:pPr>
        <w:pStyle w:val="Heading2"/>
      </w:pPr>
      <w:r>
        <w:rPr>
          <w:rFonts w:ascii="Aptos" w:hAnsi="Aptos"/>
          <w:color w:val="86BC25"/>
        </w:rPr>
        <w:t>5.3 deposits</w:t>
      </w:r>
    </w:p>
    <w:p>
      <w:r>
        <w:rPr>
          <w:b w:val="0"/>
          <w:i w:val="0"/>
        </w:rPr>
        <w:t>Deposit records used for liquidity context and as inflows in the cashflow model.</w:t>
      </w:r>
    </w:p>
    <w:p>
      <w:pPr>
        <w:pStyle w:val="Heading1"/>
      </w:pPr>
      <w:r>
        <w:rPr>
          <w:rFonts w:ascii="Aptos" w:hAnsi="Aptos"/>
          <w:color w:val="000000"/>
        </w:rPr>
        <w:t>6. Deployment Summary</w:t>
      </w:r>
    </w:p>
    <w:p>
      <w:pPr>
        <w:pStyle w:val="ListNumber"/>
      </w:pPr>
      <w:r>
        <w:t>Enable required APIs (Cloud Run, Artifact Registry, Cloud Build, Compute, IAP).</w:t>
      </w:r>
    </w:p>
    <w:p>
      <w:pPr>
        <w:pStyle w:val="ListNumber"/>
      </w:pPr>
      <w:r>
        <w:t>Create the BigQuery dataset and tables (idempotent).</w:t>
      </w:r>
    </w:p>
    <w:p>
      <w:pPr>
        <w:pStyle w:val="ListNumber"/>
      </w:pPr>
      <w:r>
        <w:t>Create the Cloud Storage bucket, Pub/Sub topic, and GCS notification.</w:t>
      </w:r>
    </w:p>
    <w:p>
      <w:pPr>
        <w:pStyle w:val="ListNumber"/>
      </w:pPr>
      <w:r>
        <w:t>Build the container image with Cloud Build and push to Artifact Registry.</w:t>
      </w:r>
    </w:p>
    <w:p>
      <w:pPr>
        <w:pStyle w:val="ListNumber"/>
      </w:pPr>
      <w:r>
        <w:t>Deploy 'treasury-ingestor' and 'treasury-dashboard' to Cloud Run (private).</w:t>
      </w:r>
    </w:p>
    <w:p>
      <w:pPr>
        <w:pStyle w:val="ListNumber"/>
      </w:pPr>
      <w:r>
        <w:t>Provision the HTTPS Load Balancer, serverless NEG, and enable IAP for corporate access.</w:t>
      </w:r>
    </w:p>
    <w:p>
      <w:pPr>
        <w:pStyle w:val="ListNumber"/>
      </w:pPr>
      <w:r>
        <w:t>Point the Pub/Sub push subscription at the ingestion endpoint using the invoker service account.</w:t>
      </w:r>
    </w:p>
    <w:p/>
    <w:p>
      <w:pPr>
        <w:jc w:val="center"/>
      </w:pPr>
      <w:r>
        <w:rPr>
          <w:i/>
          <w:color w:val="4B5563"/>
        </w:rPr>
        <w:t>Deloitte · Treasury &amp; Commodity Platform · Powered by Google Cloud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