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7gskg1owb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01 · The Run (spine)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Working values marked [WORKING] are calibration inputs, not locks. Everything else in this chapter is a decision other chapters must not contradict.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sofi6damxf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Length and slice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run: 24 game months soft cap [WORKING 730 days]; ends earlier when an ending fires.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slice: Bootstrap → into Traction, ~60–90 real minutes [WORKING]; the demo must contain at least one turn of every pressure loop (see §5) so it cannot be won by coasting.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eg17v4hs56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Phases and transitions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Bootstrap → Traction: product shipped + first paying customers (B2B: first accounts; B2C: paid tier live with paying users).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Traction → Series A Hunt: the investor-appetite signal turns AÇIK = MRR bar + sustained growth + brand, and a closing window (rival/market) exists. The number is never shown; the signal is.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Phases are one-way. Each phase re-tightens runway (§5).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t6ubrqqbfg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Endings (v1)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series_a_close (victory, venture shape)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profitable_bootstrap (victory, calm-company shape; visibly smaller in scale and narrative than Series A)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bankruptcy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running_on_fumes (soft cap reached without a win; "İlgi Söndü" [WORKING title])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for v1: acquisition (no infrastructure kept; remove from reachable set and from copy).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LOCKED-VISIBLE: IPO, Series B (Tier 2; shown, not reachable).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gao788qv5k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Funding ladder — REVISED 2026-08-20: seed round IS in; see chapter 09, which supersedes this section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starts with personal savings [WORKING; calibration may raise it].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Frank = the single pre-Series-A cheque: fires once the player has shipped and reached an MRR threshold [WORKING $2,500; cheque size [WORKING $25K, may be raised by calibration]; equity [WORKING 4%]]. Purpose: runway to hire and run at Series A. Accepted by a played decision; refusal is locked (hard mode).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Frank's money + growing revenue the player runs at Series A. No intermediate seed ceremony, no seed investor character.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two paths (venture / bootstrap) therefore diverge by PLAY, not by a funding card: a player who keeps burn inside revenue and never opens the window ends profitable_bootstrap; a player who spends ahead of revenue to open the window ends series_a_close or running_on_fumes. Both must be winnable; both must be readable (Finance tells you which curve you are on).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o32eixpj7t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Pressure law per phase (what re-tightens runway)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Bootstrap: founder time (sell vs build vs hire) + cash (living costs + first salaries before revenue).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Traction: costs that scale with customers (serving/inference, support load, coverage hires) + rival share in the segment.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A Hunt: spending ahead of revenue to hit the bar + the window closing (rival funding / market move) + term-sheet stakes.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Law: in no phase may a competent policy reach "cash rises, no decisions left". If it can, the phase is under-pressured and must be fixed before content.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maeg7e90t3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Difficulty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 = Normal only; competent player wins ~65% [WORKING].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Normal is calibrated: Easy and Hard derived by modifiers only (starting cash, tolerance bands, rival aggression, cost curves); Hard is locked-visible until then.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lldgg2p7r5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Markets and product types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markets in v1: B2B and B2C, because they play differently (accounts/contracts vs audience/word-of-mouth) and the demo must show both flavours.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subtypes: 2 B2B + 2 B2C in v1; others locked-visible "Coming Soon". Depth comes from feature lists per subtype, not from subtype count (subtype = mostly a name/skin; features = the decisions).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markets must be able to reach both endings (series_a_close and profitable_bootstrap). A market that cannot is a calibration failure, not a design choice.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icrb91ww7y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Origins and subgenres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 v1: Self-Made only; Heir and Corporate Refugee locked-visible.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Subgenres: AI and SaaS; Social locked-visible.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kanlwjqzpw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Non-negotiables carried from the constitution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economic outcome comes from a played decision moment.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choices are visible, never hidden.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 canonical, EN literary; no dashes in copy.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density: one panel answers one question; hover for detail.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arvah6i0tm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Open items for later chapters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demo cut point inside Traction (chapter 13/14).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Finance shows "which curve am I on" (chapter 8).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"window closing" reads from (chapter 10).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