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j740uv37c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GDD v2 — 10 · Rivals &amp; World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DIRECTOR-APPROVED 2026-08-20 (Erdem), with the note that implementation needs a deeper session before it is spec'd. [WORKING] = calibration input.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uwxhjwljr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rivals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3–4 named companies (existing RivalRegistry, real trademarks removed). Each carries: product quality, brand strength, money, and one personality — aggressive pricer / fast copier / heavy incumbent. They are characters, not curves: they appear in the news, in accounts' mouths, and in events with names.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yfazya7by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Rivals touch revenue (the core change)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segment (chapter 04 §1) has share: ours vs. each rival's.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moves with price, product-axis fit, brand, version age and rival moves. Neglect a segment and share drifts to a named rival; the loss is visible in the Sales tab, attributed to a company the player knows.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is zero-sum within a segment in v1 (simple; a rival's crisis is our opportunity).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8xtyic7vy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Rival moves = a small deck, not an AI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~6 cards, at most one move per month, telegraphed before it lands: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Yatırım aldı (their quality ceiling rises)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Fiyat kırdı (price pressure in a segment)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Özellik çıkardı (their fit in a segment improves)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Kahraman müşterimizi çaldı (a named account leaves)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Çalışanımıza teklif verdi (HR event, chapter 07 §7)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Kriz yaşadı (their share flows to us)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move has an authored event face and a readable consequence. No hidden simulation.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846k2d9wd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window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rival accelerates in our segment, the run gains urgency: waiting to grow costs share. This affects </w:t>
      </w:r>
      <w:r w:rsidDel="00000000" w:rsidR="00000000" w:rsidRPr="00000000">
        <w:rPr>
          <w:b w:val="1"/>
          <w:bCs w:val="1"/>
          <w:rtl w:val="0"/>
        </w:rPr>
        <w:t xml:space="preserve">urgency</w:t>
      </w:r>
      <w:r w:rsidDel="00000000" w:rsidR="00000000" w:rsidRPr="00000000">
        <w:rPr>
          <w:rtl w:val="0"/>
        </w:rPr>
        <w:t xml:space="preserve">, not the investor door (the door is MRR only, chapter 08 §5). It is what makes "raise now vs. grow slowly" a felt choice rather than a spreadsheet one.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lqu74pb4l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World / news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news ticker carries rival moves and world colour.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events (sector waves, funding climate) are </w:t>
      </w:r>
      <w:r w:rsidDel="00000000" w:rsidR="00000000" w:rsidRPr="00000000">
        <w:rPr>
          <w:b w:val="1"/>
          <w:bCs w:val="1"/>
          <w:rtl w:val="0"/>
        </w:rPr>
        <w:t xml:space="preserve">colour only in v1</w:t>
      </w:r>
      <w:r w:rsidDel="00000000" w:rsidR="00000000" w:rsidRPr="00000000">
        <w:rPr>
          <w:rtl w:val="0"/>
        </w:rPr>
        <w:t xml:space="preserve">, no mechanical effect. Climate as a mechanic is EA.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2p35ay0fb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Surfaces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tab: share column per segment.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Rival list lives </w:t>
      </w:r>
      <w:r w:rsidDel="00000000" w:rsidR="00000000" w:rsidRPr="00000000">
        <w:rPr>
          <w:b w:val="1"/>
          <w:bCs w:val="1"/>
          <w:rtl w:val="0"/>
        </w:rPr>
        <w:t xml:space="preserve">under the Sales tab</w:t>
      </w:r>
      <w:r w:rsidDel="00000000" w:rsidR="00000000" w:rsidRPr="00000000">
        <w:rPr>
          <w:rtl w:val="0"/>
        </w:rPr>
        <w:t xml:space="preserve"> (no new tab).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ticker: moves and world lines.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Events: each move is an event card.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el8kc0smq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Links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(04): share, hero-account theft, price pressure · Product (03): version age vs rival releases · HR (07): poaching · Funding (09): urgency, and "a rival just raised" as a beat · Events (11): the move deck is authored content · Endings (13): share collapse contributes to brand_collapse (EA).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a80agjn9p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Open (needs its own session before implementation)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share formula and how zero-sum interacts with segment regeneration.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probabilities, telegraph length, and how rival money is modelled.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rivals can be acquired/acquire us in v1 (default: no; acquisition ending is cut).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rival state is visible vs. inferred.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