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e55oulrcf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GDD v2 — 11 · Events &amp; Narrative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DIRECTOR-APPROVED 2026-08-20 (Erdem). [WORKING] = calibration input.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cxhz3q71e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Structure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Nine arcs × 4–6 nodes plus a small texture pool. Arcs are bound to systems, not to a calendar: Y1 first customer / promise · Y2 loss and churn · Y3 team life · Y4 hiring · Y5 Frank · Y6 investors · Y7 product health · Y8 rivals · Y9 crisis.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uq0wkexwf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Volume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v1 minimum ~40 nodes</w:t>
      </w:r>
      <w:r w:rsidDel="00000000" w:rsidR="00000000" w:rsidRPr="00000000">
        <w:rPr>
          <w:rtl w:val="0"/>
        </w:rPr>
        <w:t xml:space="preserve"> excluding Frank's arc: roughly 4 per customer situation, 4–5 on the team side, several investor nodes, several rival nodes, plus crisis and product-health nodes. Customer-side events may repeat with different accounts (slots), which is what keeps the count workable.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 must grow this substantially: this is a narrative game and events are what break monotony. EA plan: fixed categories with a target node count per category, added in batches.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ct471agtn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Vocabulary law (permanent)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event may only use effects the engine knows. An effect that does not exist is written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[VOCAB?]</w:t>
      </w:r>
      <w:r w:rsidDel="00000000" w:rsidR="00000000" w:rsidRPr="00000000">
        <w:rPr>
          <w:rtl w:val="0"/>
        </w:rPr>
        <w:t xml:space="preserve"> in the draft and the node is </w:t>
      </w:r>
      <w:r w:rsidDel="00000000" w:rsidR="00000000" w:rsidRPr="00000000">
        <w:rPr>
          <w:b w:val="1"/>
          <w:bCs w:val="1"/>
          <w:rtl w:val="0"/>
        </w:rPr>
        <w:t xml:space="preserve">not wired</w:t>
      </w:r>
      <w:r w:rsidDel="00000000" w:rsidR="00000000" w:rsidRPr="00000000">
        <w:rPr>
          <w:rtl w:val="0"/>
        </w:rPr>
        <w:t xml:space="preserve"> until the effect ships. Same for conditions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[COND?]</w:t>
      </w:r>
      <w:r w:rsidDel="00000000" w:rsidR="00000000" w:rsidRPr="00000000">
        <w:rPr>
          <w:rtl w:val="0"/>
        </w:rPr>
        <w:t xml:space="preserve">). No event invents a mechanic in its text.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v3wqdwlwz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Cost law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option costs a real resource and has a visible reader (a chip and a place in the UI where the consequence appears). An option with no cost is only valid if it is explicitly a "beat" (single-option scene). No free upside.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aith82nnq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Triggers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hook to system edges — churn, phase change, incident, raise demand, rival move, version ship, coverage red, promise broken — not to random calendar rolls. Ambient texture events: at most one per day, and they never carry economic weight.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2xku91yvc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Memory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Nodes write flags; later nodes read them (arc memory).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memory is separate and lives in the account (chapter 04 §3).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history becomes readable (today it is written and never read), so events can refer to what happened.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5192f6a19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Voice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 canonical (Edgü cut: observation, no verdict, last sentence shortest), EN native and not a translation.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Frank: short, big-brother, verdicts only in his mouth, at most three sentences per node.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Banned: prop and stage-business description, similes, aphorisms beyond sealed ones, UI instructions, tab names, dashes.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sealed reference texts remain the standard every node is judged against.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fklnugn4l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Locked-visible choices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 the player cannot take yet are shown locked with a reason line. Never hidden.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06ynbz525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Links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arc names the systems it reads and writes; an arc with no system link is texture and must be marked as such. Sales, HR, Product, Ops, Funding, Rivals all expose the edges listed in §5.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mr1ic3sx1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Open decisions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 → node-count targets for EA.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texture nodes ship in v1.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repeated customer events use named slots ({account}) in v1 or fixed names.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