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f4vd2hewx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GDD v2 — 14 · Scope (v1 / EA / Full)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DIRECTOR-APPROVED 2026-08-20 (Erdem). [WORKING] = calibration input.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be10sjrkx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Demo / v1 cut point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demo runs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Bootstrap → Traction → Series A</w:t>
      </w:r>
      <w:r w:rsidDel="00000000" w:rsidR="00000000" w:rsidRPr="00000000">
        <w:rPr>
          <w:rtl w:val="0"/>
        </w:rPr>
        <w:t xml:space="preserve">. It ends when the Series A decision resolves: signing closes the run with the victory ending. </w:t>
      </w:r>
      <w:r w:rsidDel="00000000" w:rsidR="00000000" w:rsidRPr="00000000">
        <w:rPr>
          <w:b w:val="1"/>
          <w:bCs w:val="1"/>
          <w:rtl w:val="0"/>
        </w:rPr>
        <w:t xml:space="preserve">Seed is an intermediate step, not the cut point</w:t>
      </w:r>
      <w:r w:rsidDel="00000000" w:rsidR="00000000" w:rsidRPr="00000000">
        <w:rPr>
          <w:rtl w:val="0"/>
        </w:rPr>
        <w:t xml:space="preserve"> (chapter 09). Target session: 60–90 minutes.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zin0zfvnk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 the demo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markets: B2B and B2C.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B2B + 2 B2C subtypes; depth comes from the feature list per subtype (3 per axis, one research-locked per axis).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Self-Made origin only.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40–60 event nodes</w:t>
      </w:r>
      <w:r w:rsidDel="00000000" w:rsidR="00000000" w:rsidRPr="00000000">
        <w:rPr>
          <w:rtl w:val="0"/>
        </w:rPr>
        <w:t xml:space="preserve"> [WORKING]. Event text is written by the director's side, not by agents; the engine's job is to wire authored events correctly (vocabulary law, chapter 11 §3).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full pressure set at shallow depth: serving cost, support load, coverage threshold, tech debt, at least one rival move, at least one incident, the infra provider/capacity choice, the founder assignment lock.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Funding ladder: savings → Frank → seed (term sheet) → Series A (term sheet).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Endings: series_a_close, profitable_bootstrap (gated on facing the Series A decision), bankruptcy, running_on_fumes, vc_rejection_cascade.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Difficulty: Normal + Hard.</w:t>
      </w:r>
      <w:r w:rsidDel="00000000" w:rsidR="00000000" w:rsidRPr="00000000">
        <w:rPr>
          <w:rtl w:val="0"/>
        </w:rPr>
        <w:t xml:space="preserve"> Hard ships in the demo as modifiers over the calibrated Normal.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x3uecal46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Locked-visible in the demo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Pazarlama tab · Ar-Ge tab · other origins (Heir, Corporate Refugee) · Social subgenre · IPO · Series B · second product · additional subtypes.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5gbkj9sa1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Early Access adds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system (Brief #5 shelved for this) · Ops depth (incident variety, compliance gate, delegation: Pazarlama/Operasyon Müdürü) · rival depth · event volume ×3 with per-category targets · taxes · meta progression / replay unlocks · remaining subtypes and origins.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lvl33sifu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Full release adds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IPO · Series B · macro economy · diplomacy-style layer · extra origins.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nv9k79zvf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Cut / never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acquisition ending (no infrastructure; revisit only if EA needs it)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trademarks as rivals or products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multi-city world map — and the game does not insist on Istanbul in copy; the startup could be anywhere, the flavour stays without a location system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faces for employees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qjpthcqa7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Portrait policy (revised 2026-08-20)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Employees: no faces.</w:t>
      </w:r>
      <w:r w:rsidDel="00000000" w:rsidR="00000000" w:rsidRPr="00000000">
        <w:rPr>
          <w:rtl w:val="0"/>
        </w:rPr>
        <w:t xml:space="preserve"> Initials + colour, as today.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VCs and customer-side characters: portraits exist and may grow in number</w:t>
      </w:r>
      <w:r w:rsidDel="00000000" w:rsidR="00000000" w:rsidRPr="00000000">
        <w:rPr>
          <w:rtl w:val="0"/>
        </w:rPr>
        <w:t xml:space="preserve"> (produced in-house); this is already shipped and is not a risk area.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Frank has a portrait.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modal grammar is uniform:</w:t>
      </w:r>
      <w:r w:rsidDel="00000000" w:rsidR="00000000" w:rsidRPr="00000000">
        <w:rPr>
          <w:rtl w:val="0"/>
        </w:rPr>
        <w:t xml:space="preserve"> every event card shows a small circular avatar of its source — initials for employees (e.g. "MA" for Mert Aksoy), the portrait for Frank and for portrait-carrying characters.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large dedicated Frank modal is retired.</w:t>
      </w:r>
      <w:r w:rsidDel="00000000" w:rsidR="00000000" w:rsidRPr="00000000">
        <w:rPr>
          <w:rtl w:val="0"/>
        </w:rPr>
        <w:t xml:space="preserve"> Frank speaks through the same event card as everyone else; consistency of the modal is the rule.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y670nvmot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Open decisions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demo event count inside the 40–60 band.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Hard mode ships tuned or as a rough modifier pass in the demo build.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two B2B and two B2C subtypes (selection criteria in Brief #2: mechanical contrast, one high-COGS AI product, one low-COGS B2B tool).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