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C7CF" w14:textId="4AFEF8A4" w:rsidR="002274D1" w:rsidRDefault="0012009B" w:rsidP="0012009B">
      <w:pPr>
        <w:pStyle w:val="Heading2"/>
      </w:pPr>
      <w:r>
        <w:t>Thermal Analysis</w:t>
      </w:r>
    </w:p>
    <w:p w14:paraId="2B859E8E" w14:textId="3E053094" w:rsidR="0012009B" w:rsidRDefault="0012009B" w:rsidP="0012009B">
      <w:r>
        <w:t xml:space="preserve">In this part thermal analysis of the main switching devices, two paralleled MOSFETs and the output diode, are discussed. For all switching </w:t>
      </w:r>
      <w:r w:rsidR="00901554">
        <w:t>devices OZDAS</w:t>
      </w:r>
      <w:r w:rsidRPr="0012009B">
        <w:t>0003EPL25</w:t>
      </w:r>
      <w:r>
        <w:t xml:space="preserve"> aluminum heatsink given in Figure </w:t>
      </w:r>
      <w:r w:rsidR="00901554">
        <w:t>… is used.</w:t>
      </w:r>
    </w:p>
    <w:p w14:paraId="3C40BDD6" w14:textId="77777777" w:rsidR="00901554" w:rsidRDefault="00901554" w:rsidP="00901554">
      <w:pPr>
        <w:keepNext/>
        <w:jc w:val="center"/>
      </w:pPr>
      <w:r>
        <w:rPr>
          <w:noProof/>
        </w:rPr>
        <w:drawing>
          <wp:inline distT="0" distB="0" distL="0" distR="0" wp14:anchorId="17DC7A3A" wp14:editId="3D2BD3AB">
            <wp:extent cx="3169460" cy="1742428"/>
            <wp:effectExtent l="0" t="0" r="0" b="0"/>
            <wp:docPr id="198457099" name="Picture 1" descr="A black metal piece with size and measurem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099" name="Picture 1" descr="A black metal piece with size and measureme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3" t="20718" r="513" b="24307"/>
                    <a:stretch/>
                  </pic:blipFill>
                  <pic:spPr bwMode="auto">
                    <a:xfrm>
                      <a:off x="0" y="0"/>
                      <a:ext cx="3182396" cy="1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C031E" w14:textId="49E10E8F" w:rsidR="00901554" w:rsidRDefault="00901554" w:rsidP="00901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6873">
        <w:rPr>
          <w:noProof/>
        </w:rPr>
        <w:t>1</w:t>
      </w:r>
      <w:r>
        <w:fldChar w:fldCharType="end"/>
      </w:r>
      <w:r>
        <w:t xml:space="preserve"> </w:t>
      </w:r>
      <w:r>
        <w:t>OZDAS</w:t>
      </w:r>
      <w:r w:rsidRPr="0012009B">
        <w:t>0003EPL25</w:t>
      </w:r>
      <w:r>
        <w:t xml:space="preserve"> </w:t>
      </w:r>
      <w:r>
        <w:t>A</w:t>
      </w:r>
      <w:r>
        <w:t xml:space="preserve">luminum </w:t>
      </w:r>
      <w:r>
        <w:t>H</w:t>
      </w:r>
      <w:r>
        <w:t>eatsink</w:t>
      </w:r>
    </w:p>
    <w:p w14:paraId="215A7F29" w14:textId="2939259E" w:rsidR="00901554" w:rsidRDefault="00901554" w:rsidP="00901554">
      <w:r>
        <w:t>All main switching devices show the same thermal lumped parameter circuit behavior given in Figure …</w:t>
      </w:r>
    </w:p>
    <w:p w14:paraId="071C2393" w14:textId="77777777" w:rsidR="00901554" w:rsidRDefault="00901554" w:rsidP="00901554">
      <w:pPr>
        <w:keepNext/>
        <w:jc w:val="center"/>
      </w:pPr>
      <w:r w:rsidRPr="00901554">
        <w:drawing>
          <wp:inline distT="0" distB="0" distL="0" distR="0" wp14:anchorId="7F2C7E06" wp14:editId="12EA7534">
            <wp:extent cx="4857877" cy="1860794"/>
            <wp:effectExtent l="0" t="0" r="0" b="6350"/>
            <wp:docPr id="89967643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6434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156" cy="1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D157" w14:textId="7124D065" w:rsidR="0016002B" w:rsidRDefault="00901554" w:rsidP="0016002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6873">
        <w:rPr>
          <w:noProof/>
        </w:rPr>
        <w:t>2</w:t>
      </w:r>
      <w:r>
        <w:fldChar w:fldCharType="end"/>
      </w:r>
      <w:r>
        <w:t xml:space="preserve"> Thermal Lumped Parameter Circuit</w:t>
      </w:r>
    </w:p>
    <w:p w14:paraId="2A38BE48" w14:textId="0AB94B85" w:rsidR="0016002B" w:rsidRDefault="0016002B" w:rsidP="0016002B">
      <w:r>
        <w:t>The junction temperature of the semiconductor devices can be written as follows:</w:t>
      </w:r>
    </w:p>
    <w:p w14:paraId="7A81A085" w14:textId="4281264E" w:rsidR="0016002B" w:rsidRPr="0016002B" w:rsidRDefault="0016002B" w:rsidP="0016002B">
      <w:pPr>
        <w:rPr>
          <w:rFonts w:eastAsia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junction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=T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ambient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+P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 xml:space="preserve">loss 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(R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JC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CH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+R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HA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6D8E7AF7" w14:textId="3FFEAED4" w:rsidR="0016002B" w:rsidRDefault="0016002B" w:rsidP="0016002B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Thermal resistance from heatsink to ambient temperature is 7.5 </w:t>
      </w:r>
      <w:r>
        <w:rPr>
          <w:rFonts w:eastAsiaTheme="minorEastAsia" w:cs="Times New Roman"/>
          <w:sz w:val="21"/>
          <w:szCs w:val="21"/>
        </w:rPr>
        <w:t>°</w:t>
      </w:r>
      <w:r>
        <w:rPr>
          <w:rFonts w:eastAsiaTheme="minorEastAsia"/>
          <w:sz w:val="21"/>
          <w:szCs w:val="21"/>
        </w:rPr>
        <w:t xml:space="preserve">C/W for </w:t>
      </w:r>
      <w:r>
        <w:t>OZDAS</w:t>
      </w:r>
      <w:r w:rsidRPr="0012009B">
        <w:t>0003EPL25</w:t>
      </w:r>
      <w:r>
        <w:t xml:space="preserve"> aluminum heatsink</w:t>
      </w:r>
      <w:r>
        <w:t xml:space="preserve">. The ambient temperature is taken as 30 </w:t>
      </w:r>
      <w:r>
        <w:rPr>
          <w:rFonts w:eastAsiaTheme="minorEastAsia" w:cs="Times New Roman"/>
          <w:sz w:val="21"/>
          <w:szCs w:val="21"/>
        </w:rPr>
        <w:t>°</w:t>
      </w:r>
      <w:r>
        <w:rPr>
          <w:rFonts w:eastAsiaTheme="minorEastAsia"/>
          <w:sz w:val="21"/>
          <w:szCs w:val="21"/>
        </w:rPr>
        <w:t>C</w:t>
      </w:r>
      <w:r>
        <w:rPr>
          <w:rFonts w:eastAsiaTheme="minorEastAsia"/>
          <w:sz w:val="21"/>
          <w:szCs w:val="21"/>
        </w:rPr>
        <w:t xml:space="preserve"> since the demo is conducted in summer. Junction to case and case to heatsink thermal resistances, maximum power loss</w:t>
      </w:r>
      <w:r w:rsidR="006575D1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>on the semiconductor devices</w:t>
      </w:r>
      <w:r w:rsidR="006575D1">
        <w:rPr>
          <w:rFonts w:eastAsiaTheme="minorEastAsia"/>
          <w:sz w:val="21"/>
          <w:szCs w:val="21"/>
        </w:rPr>
        <w:t xml:space="preserve"> </w:t>
      </w:r>
      <w:r w:rsidR="006575D1">
        <w:rPr>
          <w:rFonts w:eastAsiaTheme="minorEastAsia"/>
          <w:sz w:val="21"/>
          <w:szCs w:val="21"/>
        </w:rPr>
        <w:t>observed in the simulation</w:t>
      </w:r>
      <w:r>
        <w:rPr>
          <w:rFonts w:eastAsiaTheme="minorEastAsia"/>
          <w:sz w:val="21"/>
          <w:szCs w:val="21"/>
        </w:rPr>
        <w:t xml:space="preserve"> and settling junction temperature according to the formula given above are tabulated in Table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863"/>
        <w:gridCol w:w="1864"/>
        <w:gridCol w:w="1687"/>
        <w:gridCol w:w="1687"/>
      </w:tblGrid>
      <w:tr w:rsidR="0016002B" w14:paraId="5A8540BA" w14:textId="14ADB8A9" w:rsidTr="0016002B">
        <w:tc>
          <w:tcPr>
            <w:tcW w:w="1961" w:type="dxa"/>
          </w:tcPr>
          <w:p w14:paraId="39A58FD1" w14:textId="7AF3F91D" w:rsidR="0016002B" w:rsidRPr="006575D1" w:rsidRDefault="0016002B" w:rsidP="0016002B">
            <w:pPr>
              <w:jc w:val="center"/>
              <w:rPr>
                <w:b/>
                <w:bCs/>
              </w:rPr>
            </w:pPr>
            <w:r w:rsidRPr="006575D1">
              <w:rPr>
                <w:b/>
                <w:bCs/>
              </w:rPr>
              <w:t>Switching Device</w:t>
            </w:r>
          </w:p>
        </w:tc>
        <w:tc>
          <w:tcPr>
            <w:tcW w:w="1863" w:type="dxa"/>
          </w:tcPr>
          <w:p w14:paraId="1F8B1135" w14:textId="14CC0CD0" w:rsidR="0016002B" w:rsidRPr="006575D1" w:rsidRDefault="0016002B" w:rsidP="0016002B">
            <w:pPr>
              <w:jc w:val="center"/>
              <w:rPr>
                <w:b/>
                <w:bCs/>
              </w:rPr>
            </w:pPr>
            <w:r w:rsidRPr="006575D1">
              <w:rPr>
                <w:b/>
                <w:bCs/>
              </w:rPr>
              <w:t>R</w:t>
            </w:r>
            <w:r w:rsidRPr="006575D1">
              <w:rPr>
                <w:b/>
                <w:bCs/>
                <w:vertAlign w:val="subscript"/>
              </w:rPr>
              <w:t>JC</w:t>
            </w:r>
            <w:r w:rsidRPr="006575D1">
              <w:rPr>
                <w:b/>
                <w:bCs/>
              </w:rPr>
              <w:t xml:space="preserve"> (</w:t>
            </w:r>
            <w:r w:rsidRPr="006575D1">
              <w:rPr>
                <w:rFonts w:eastAsiaTheme="minorEastAsia" w:cs="Times New Roman"/>
                <w:b/>
                <w:bCs/>
                <w:sz w:val="21"/>
                <w:szCs w:val="21"/>
              </w:rPr>
              <w:t>°</w:t>
            </w:r>
            <w:r w:rsidRPr="006575D1">
              <w:rPr>
                <w:rFonts w:eastAsiaTheme="minorEastAsia"/>
                <w:b/>
                <w:bCs/>
                <w:sz w:val="21"/>
                <w:szCs w:val="21"/>
              </w:rPr>
              <w:t>C/W</w:t>
            </w:r>
            <w:r w:rsidRPr="006575D1">
              <w:rPr>
                <w:rFonts w:eastAsiaTheme="minorEastAsia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864" w:type="dxa"/>
          </w:tcPr>
          <w:p w14:paraId="351FCE49" w14:textId="4AC57862" w:rsidR="0016002B" w:rsidRPr="006575D1" w:rsidRDefault="0016002B" w:rsidP="0016002B">
            <w:pPr>
              <w:jc w:val="center"/>
              <w:rPr>
                <w:b/>
                <w:bCs/>
              </w:rPr>
            </w:pPr>
            <w:r w:rsidRPr="006575D1">
              <w:rPr>
                <w:b/>
                <w:bCs/>
              </w:rPr>
              <w:t>R</w:t>
            </w:r>
            <w:r w:rsidRPr="006575D1">
              <w:rPr>
                <w:b/>
                <w:bCs/>
                <w:vertAlign w:val="subscript"/>
              </w:rPr>
              <w:t>JC</w:t>
            </w:r>
            <w:r w:rsidRPr="006575D1">
              <w:rPr>
                <w:b/>
                <w:bCs/>
              </w:rPr>
              <w:t xml:space="preserve"> (</w:t>
            </w:r>
            <w:r w:rsidRPr="006575D1">
              <w:rPr>
                <w:rFonts w:eastAsiaTheme="minorEastAsia" w:cs="Times New Roman"/>
                <w:b/>
                <w:bCs/>
                <w:sz w:val="21"/>
                <w:szCs w:val="21"/>
              </w:rPr>
              <w:t>°</w:t>
            </w:r>
            <w:r w:rsidRPr="006575D1">
              <w:rPr>
                <w:rFonts w:eastAsiaTheme="minorEastAsia"/>
                <w:b/>
                <w:bCs/>
                <w:sz w:val="21"/>
                <w:szCs w:val="21"/>
              </w:rPr>
              <w:t>C/W)</w:t>
            </w:r>
          </w:p>
        </w:tc>
        <w:tc>
          <w:tcPr>
            <w:tcW w:w="1687" w:type="dxa"/>
          </w:tcPr>
          <w:p w14:paraId="20398A8F" w14:textId="3C4153D9" w:rsidR="0016002B" w:rsidRPr="006575D1" w:rsidRDefault="0016002B" w:rsidP="0016002B">
            <w:pPr>
              <w:jc w:val="center"/>
              <w:rPr>
                <w:b/>
                <w:bCs/>
              </w:rPr>
            </w:pPr>
            <w:r w:rsidRPr="006575D1">
              <w:rPr>
                <w:b/>
                <w:bCs/>
              </w:rPr>
              <w:t>P</w:t>
            </w:r>
            <w:r w:rsidRPr="006575D1">
              <w:rPr>
                <w:b/>
                <w:bCs/>
                <w:vertAlign w:val="subscript"/>
              </w:rPr>
              <w:t>loss</w:t>
            </w:r>
            <w:r w:rsidRPr="006575D1">
              <w:rPr>
                <w:b/>
                <w:bCs/>
              </w:rPr>
              <w:t xml:space="preserve"> (W)</w:t>
            </w:r>
          </w:p>
        </w:tc>
        <w:tc>
          <w:tcPr>
            <w:tcW w:w="1687" w:type="dxa"/>
          </w:tcPr>
          <w:p w14:paraId="6791DE7E" w14:textId="16A941BE" w:rsidR="0016002B" w:rsidRPr="006575D1" w:rsidRDefault="0016002B" w:rsidP="0016002B">
            <w:pPr>
              <w:jc w:val="center"/>
              <w:rPr>
                <w:b/>
                <w:bCs/>
              </w:rPr>
            </w:pPr>
            <w:r w:rsidRPr="006575D1">
              <w:rPr>
                <w:b/>
                <w:bCs/>
              </w:rPr>
              <w:t>T</w:t>
            </w:r>
            <w:r w:rsidRPr="006575D1">
              <w:rPr>
                <w:b/>
                <w:bCs/>
                <w:vertAlign w:val="subscript"/>
              </w:rPr>
              <w:t>J</w:t>
            </w:r>
            <w:r w:rsidRPr="006575D1">
              <w:rPr>
                <w:b/>
                <w:bCs/>
              </w:rPr>
              <w:t xml:space="preserve"> (</w:t>
            </w:r>
            <w:r w:rsidRPr="006575D1">
              <w:rPr>
                <w:rFonts w:eastAsiaTheme="minorEastAsia" w:cs="Times New Roman"/>
                <w:b/>
                <w:bCs/>
                <w:sz w:val="21"/>
                <w:szCs w:val="21"/>
              </w:rPr>
              <w:t>°</w:t>
            </w:r>
            <w:r w:rsidRPr="006575D1">
              <w:rPr>
                <w:rFonts w:eastAsiaTheme="minorEastAsia"/>
                <w:b/>
                <w:bCs/>
                <w:sz w:val="21"/>
                <w:szCs w:val="21"/>
              </w:rPr>
              <w:t>C</w:t>
            </w:r>
            <w:r w:rsidRPr="006575D1">
              <w:rPr>
                <w:rFonts w:eastAsiaTheme="minorEastAsia"/>
                <w:b/>
                <w:bCs/>
                <w:sz w:val="21"/>
                <w:szCs w:val="21"/>
              </w:rPr>
              <w:t>)</w:t>
            </w:r>
          </w:p>
        </w:tc>
      </w:tr>
      <w:tr w:rsidR="0016002B" w14:paraId="5AF4045B" w14:textId="62118354" w:rsidTr="0016002B">
        <w:tc>
          <w:tcPr>
            <w:tcW w:w="1961" w:type="dxa"/>
          </w:tcPr>
          <w:p w14:paraId="451102ED" w14:textId="33F00ED5" w:rsidR="0016002B" w:rsidRDefault="006575D1" w:rsidP="0016002B">
            <w:pPr>
              <w:jc w:val="center"/>
            </w:pPr>
            <w:r>
              <w:t>MOSFET</w:t>
            </w:r>
          </w:p>
        </w:tc>
        <w:tc>
          <w:tcPr>
            <w:tcW w:w="1863" w:type="dxa"/>
          </w:tcPr>
          <w:p w14:paraId="38AA1265" w14:textId="41E643B2" w:rsidR="0016002B" w:rsidRDefault="006575D1" w:rsidP="0016002B">
            <w:pPr>
              <w:jc w:val="center"/>
            </w:pPr>
            <w:r>
              <w:t>1.05</w:t>
            </w:r>
          </w:p>
        </w:tc>
        <w:tc>
          <w:tcPr>
            <w:tcW w:w="1864" w:type="dxa"/>
          </w:tcPr>
          <w:p w14:paraId="6F906D6D" w14:textId="26CF9919" w:rsidR="0016002B" w:rsidRDefault="006575D1" w:rsidP="0016002B">
            <w:pPr>
              <w:jc w:val="center"/>
            </w:pPr>
            <w:r>
              <w:t>0.5</w:t>
            </w:r>
          </w:p>
        </w:tc>
        <w:tc>
          <w:tcPr>
            <w:tcW w:w="1687" w:type="dxa"/>
          </w:tcPr>
          <w:p w14:paraId="12C2EC68" w14:textId="4EC9A259" w:rsidR="0016002B" w:rsidRDefault="006575D1" w:rsidP="0016002B">
            <w:pPr>
              <w:jc w:val="center"/>
            </w:pPr>
            <w:r>
              <w:t>1.52</w:t>
            </w:r>
          </w:p>
        </w:tc>
        <w:tc>
          <w:tcPr>
            <w:tcW w:w="1687" w:type="dxa"/>
          </w:tcPr>
          <w:p w14:paraId="54E81B82" w14:textId="6F3EF908" w:rsidR="0016002B" w:rsidRDefault="006575D1" w:rsidP="0016002B">
            <w:pPr>
              <w:jc w:val="center"/>
            </w:pPr>
            <w:r>
              <w:t>44</w:t>
            </w:r>
          </w:p>
        </w:tc>
      </w:tr>
      <w:tr w:rsidR="0016002B" w14:paraId="3532283B" w14:textId="67743CF1" w:rsidTr="0016002B">
        <w:tc>
          <w:tcPr>
            <w:tcW w:w="1961" w:type="dxa"/>
          </w:tcPr>
          <w:p w14:paraId="5E580833" w14:textId="1DE22CFD" w:rsidR="0016002B" w:rsidRDefault="006575D1" w:rsidP="0016002B">
            <w:pPr>
              <w:jc w:val="center"/>
            </w:pPr>
            <w:r>
              <w:t>DIODE</w:t>
            </w:r>
          </w:p>
        </w:tc>
        <w:tc>
          <w:tcPr>
            <w:tcW w:w="1863" w:type="dxa"/>
          </w:tcPr>
          <w:p w14:paraId="723F7101" w14:textId="4C58B211" w:rsidR="0016002B" w:rsidRDefault="006575D1" w:rsidP="0016002B">
            <w:pPr>
              <w:jc w:val="center"/>
            </w:pPr>
            <w:r>
              <w:t>1.7</w:t>
            </w:r>
          </w:p>
        </w:tc>
        <w:tc>
          <w:tcPr>
            <w:tcW w:w="1864" w:type="dxa"/>
          </w:tcPr>
          <w:p w14:paraId="06DF2376" w14:textId="2B6AA8AB" w:rsidR="0016002B" w:rsidRDefault="006575D1" w:rsidP="0016002B">
            <w:pPr>
              <w:jc w:val="center"/>
            </w:pPr>
            <w:r>
              <w:t>0.5</w:t>
            </w:r>
          </w:p>
        </w:tc>
        <w:tc>
          <w:tcPr>
            <w:tcW w:w="1687" w:type="dxa"/>
          </w:tcPr>
          <w:p w14:paraId="39600F27" w14:textId="3EBD7EB3" w:rsidR="0016002B" w:rsidRDefault="006575D1" w:rsidP="0016002B">
            <w:pPr>
              <w:jc w:val="center"/>
            </w:pPr>
            <w:r>
              <w:t>3.13</w:t>
            </w:r>
          </w:p>
        </w:tc>
        <w:tc>
          <w:tcPr>
            <w:tcW w:w="1687" w:type="dxa"/>
          </w:tcPr>
          <w:p w14:paraId="7152C6E9" w14:textId="08381174" w:rsidR="0016002B" w:rsidRDefault="006575D1" w:rsidP="006575D1">
            <w:pPr>
              <w:keepNext/>
              <w:jc w:val="center"/>
            </w:pPr>
            <w:r>
              <w:t>61</w:t>
            </w:r>
          </w:p>
        </w:tc>
      </w:tr>
    </w:tbl>
    <w:p w14:paraId="1BE0BBA7" w14:textId="582FDEAA" w:rsidR="0016002B" w:rsidRDefault="006575D1" w:rsidP="006575D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Thermal Analysis According to Simulations</w:t>
      </w:r>
    </w:p>
    <w:p w14:paraId="2E04EC9B" w14:textId="1EB95D16" w:rsidR="006575D1" w:rsidRDefault="006575D1" w:rsidP="006575D1">
      <w:pPr>
        <w:rPr>
          <w:rFonts w:eastAsiaTheme="minorEastAsia"/>
          <w:sz w:val="21"/>
          <w:szCs w:val="21"/>
        </w:rPr>
      </w:pPr>
      <w:r>
        <w:lastRenderedPageBreak/>
        <w:t xml:space="preserve">Although these results do not require any type of cooling system, in real testing MOSFET temperature is observed to exceed 100 </w:t>
      </w:r>
      <w:r>
        <w:rPr>
          <w:rFonts w:eastAsiaTheme="minorEastAsia" w:cs="Times New Roman"/>
          <w:sz w:val="21"/>
          <w:szCs w:val="21"/>
        </w:rPr>
        <w:t>°</w:t>
      </w:r>
      <w:r>
        <w:rPr>
          <w:rFonts w:eastAsiaTheme="minorEastAsia"/>
          <w:sz w:val="21"/>
          <w:szCs w:val="21"/>
        </w:rPr>
        <w:t>C</w:t>
      </w:r>
      <w:r>
        <w:rPr>
          <w:rFonts w:eastAsiaTheme="minorEastAsia"/>
          <w:sz w:val="21"/>
          <w:szCs w:val="21"/>
        </w:rPr>
        <w:t xml:space="preserve">. Next, oscilloscope probes are utilized to measure </w:t>
      </w:r>
      <w:r w:rsidR="00995833">
        <w:rPr>
          <w:rFonts w:eastAsiaTheme="minorEastAsia"/>
          <w:sz w:val="21"/>
          <w:szCs w:val="21"/>
        </w:rPr>
        <w:t>switch current and voltage. The power loss on the MOSFET measured</w:t>
      </w:r>
      <w:r w:rsidR="00730A04">
        <w:rPr>
          <w:rFonts w:eastAsiaTheme="minorEastAsia"/>
          <w:sz w:val="21"/>
          <w:szCs w:val="21"/>
        </w:rPr>
        <w:t xml:space="preserve"> as 7.5 Watts</w:t>
      </w:r>
      <w:r w:rsidR="00995833">
        <w:rPr>
          <w:rFonts w:eastAsiaTheme="minorEastAsia"/>
          <w:sz w:val="21"/>
          <w:szCs w:val="21"/>
        </w:rPr>
        <w:t xml:space="preserve"> by the MATH and mean functions of the oscilloscopes</w:t>
      </w:r>
      <w:r w:rsidR="00730A04">
        <w:rPr>
          <w:rFonts w:eastAsiaTheme="minorEastAsia"/>
          <w:sz w:val="21"/>
          <w:szCs w:val="21"/>
        </w:rPr>
        <w:t xml:space="preserve"> as mentioned in Test Results Section</w:t>
      </w:r>
      <w:r w:rsidR="00995833">
        <w:rPr>
          <w:rFonts w:eastAsiaTheme="minorEastAsia"/>
          <w:sz w:val="21"/>
          <w:szCs w:val="21"/>
        </w:rPr>
        <w:t>.</w:t>
      </w:r>
      <w:r w:rsidR="00730A04">
        <w:rPr>
          <w:rFonts w:eastAsiaTheme="minorEastAsia"/>
          <w:sz w:val="21"/>
          <w:szCs w:val="21"/>
        </w:rPr>
        <w:t xml:space="preserve"> According to this measurement and lumped parameter approach MOSFET junction temperature is calculated as 96 </w:t>
      </w:r>
      <w:r w:rsidR="00730A04">
        <w:rPr>
          <w:rFonts w:eastAsiaTheme="minorEastAsia" w:cs="Times New Roman"/>
          <w:sz w:val="21"/>
          <w:szCs w:val="21"/>
        </w:rPr>
        <w:t>°</w:t>
      </w:r>
      <w:r w:rsidR="00730A04">
        <w:rPr>
          <w:rFonts w:eastAsiaTheme="minorEastAsia"/>
          <w:sz w:val="21"/>
          <w:szCs w:val="21"/>
        </w:rPr>
        <w:t>C</w:t>
      </w:r>
      <w:r w:rsidR="00730A04">
        <w:rPr>
          <w:rFonts w:eastAsiaTheme="minorEastAsia"/>
          <w:sz w:val="21"/>
          <w:szCs w:val="21"/>
        </w:rPr>
        <w:t xml:space="preserve"> which is unacceptable. Therefore, a fan is used to cool down the switching devices. </w:t>
      </w:r>
      <w:r w:rsidR="00B66873">
        <w:rPr>
          <w:rFonts w:eastAsiaTheme="minorEastAsia"/>
          <w:sz w:val="21"/>
          <w:szCs w:val="21"/>
        </w:rPr>
        <w:t xml:space="preserve">In the last design MOSFET operates at 63.6 </w:t>
      </w:r>
      <w:r w:rsidR="00B66873">
        <w:rPr>
          <w:rFonts w:eastAsiaTheme="minorEastAsia" w:cs="Times New Roman"/>
          <w:sz w:val="21"/>
          <w:szCs w:val="21"/>
        </w:rPr>
        <w:t>°</w:t>
      </w:r>
      <w:r w:rsidR="00B66873">
        <w:rPr>
          <w:rFonts w:eastAsiaTheme="minorEastAsia"/>
          <w:sz w:val="21"/>
          <w:szCs w:val="21"/>
        </w:rPr>
        <w:t>C</w:t>
      </w:r>
      <w:r w:rsidR="00B66873">
        <w:rPr>
          <w:rFonts w:eastAsiaTheme="minorEastAsia"/>
          <w:sz w:val="21"/>
          <w:szCs w:val="21"/>
        </w:rPr>
        <w:t xml:space="preserve"> which is shown in Figure …</w:t>
      </w:r>
    </w:p>
    <w:p w14:paraId="06B198BE" w14:textId="77777777" w:rsidR="00B66873" w:rsidRDefault="00B66873" w:rsidP="00B66873">
      <w:pPr>
        <w:keepNext/>
        <w:jc w:val="center"/>
      </w:pPr>
      <w:r>
        <w:rPr>
          <w:noProof/>
        </w:rPr>
        <w:drawing>
          <wp:inline distT="0" distB="0" distL="0" distR="0" wp14:anchorId="407E779C" wp14:editId="1C8A58F5">
            <wp:extent cx="3568971" cy="2701290"/>
            <wp:effectExtent l="0" t="0" r="0" b="3810"/>
            <wp:docPr id="164588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9" t="19268" r="21249" b="18178"/>
                    <a:stretch/>
                  </pic:blipFill>
                  <pic:spPr bwMode="auto">
                    <a:xfrm>
                      <a:off x="0" y="0"/>
                      <a:ext cx="3570283" cy="270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988F" w14:textId="3FFB08B8" w:rsidR="00B66873" w:rsidRPr="006575D1" w:rsidRDefault="00B66873" w:rsidP="00B6687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Thermal Photograph of the Converter</w:t>
      </w:r>
    </w:p>
    <w:sectPr w:rsidR="00B66873" w:rsidRPr="0065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D6"/>
    <w:rsid w:val="00115657"/>
    <w:rsid w:val="0012009B"/>
    <w:rsid w:val="0016002B"/>
    <w:rsid w:val="001622D6"/>
    <w:rsid w:val="002274D1"/>
    <w:rsid w:val="002668D6"/>
    <w:rsid w:val="00300D71"/>
    <w:rsid w:val="005F6014"/>
    <w:rsid w:val="006575D1"/>
    <w:rsid w:val="006C7C4A"/>
    <w:rsid w:val="00730A04"/>
    <w:rsid w:val="00856169"/>
    <w:rsid w:val="00901554"/>
    <w:rsid w:val="00995833"/>
    <w:rsid w:val="00B66873"/>
    <w:rsid w:val="00CE4A19"/>
    <w:rsid w:val="00E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3832"/>
  <w15:chartTrackingRefBased/>
  <w15:docId w15:val="{D66D51FC-B996-4F38-8985-ADE28DFE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before="24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D6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D71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65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D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D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C4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4A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0D7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5657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D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D6"/>
    <w:rPr>
      <w:rFonts w:eastAsiaTheme="majorEastAsia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D6"/>
    <w:rPr>
      <w:rFonts w:eastAsiaTheme="majorEastAsia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D6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D6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D6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D6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62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D6"/>
    <w:rPr>
      <w:rFonts w:ascii="Times New Roman" w:hAnsi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62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D6"/>
    <w:rPr>
      <w:rFonts w:ascii="Times New Roman" w:hAnsi="Times New Roman"/>
      <w:i/>
      <w:iCs/>
      <w:color w:val="2F5496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622D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155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002B"/>
    <w:rPr>
      <w:color w:val="666666"/>
    </w:rPr>
  </w:style>
  <w:style w:type="table" w:styleId="TableGrid">
    <w:name w:val="Table Grid"/>
    <w:basedOn w:val="TableNormal"/>
    <w:uiPriority w:val="39"/>
    <w:rsid w:val="001600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atay toka</dc:creator>
  <cp:keywords/>
  <dc:description/>
  <cp:lastModifiedBy>atay toka</cp:lastModifiedBy>
  <cp:revision>4</cp:revision>
  <dcterms:created xsi:type="dcterms:W3CDTF">2024-06-13T20:41:00Z</dcterms:created>
  <dcterms:modified xsi:type="dcterms:W3CDTF">2024-06-13T21:50:00Z</dcterms:modified>
</cp:coreProperties>
</file>