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PERSONAL REFLECTION &amp; FEEDBACK FORM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BIL 476 / BIL 573 — Data Mining Course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TOBB University of Economics and Technology — Spring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form is submitted as a SEPARATE PDF alongside the main report.</w:t>
      </w:r>
    </w:p>
    <w:p>
      <w:pPr>
        <w:pBdr>
          <w:bottom w:val="single" w:color="CCCCCC" w:sz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Name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Erdem Baran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ID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211101034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 Basket Analysis on Online Retail Data: A Comparative Study of Apriori and FP-Growth Algorithms with Multi-Measure Rule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Chosen Topic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Topic 1 — Market Basket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27/03/2026</w:t>
            </w:r>
          </w:p>
        </w:tc>
      </w:tr>
    </w:tbl>
    <w:p>
      <w:pPr>
        <w:pBdr>
          <w:bottom w:val="single" w:color="CCCCCC" w:sz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WHAT DID YOU LEARN?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3 data mining concepts learned or reinforced: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Association rule mining fundamentals — understanding the difference between support, confidence, and lift, and how each metric captures a different aspect of rule interestingness. Applying these measures to real transaction data made the theoretical definitions concrete.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Algorithm efficiency and scalability — through direct comparison of Apriori and FP-Growth across multiple support thresholds, I gained a clear understanding of how candidate generation becomes a computational bottleneck at low support values, and why tree-based approaches like FP-Growth overcome this limitation.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Null-invariant interestingness measures — I learned why confidence and lift can be misleading in sparse datasets, and how Kulczynski and cosine measures address the null-invariance problem by ignoring transactions where neither item appears.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Practical skills developed: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data preprocessing with pandas (handling missing values, filtering, type conversion), association rule mining with mlxtend (Apriori and FP-Growth implementations), data visualization with matplotlib and seaborn, IEEE-format academic report writing with LaTeX on Overleaf, and version control with Git/GitHub.</w:t>
      </w:r>
    </w:p>
    <w:p>
      <w:pPr>
        <w:pBdr>
          <w:bottom w:val="single" w:color="CCCCCC" w:sz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CHALLENGES FACED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Challenge 1: Large dataset size — the raw xlsx file (541,909 rows) took considerable time to load and process in memory.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addressed: Focused analysis on UK transactions only (91.4% of data), which reduced the transaction matrix to a manageable size while preserving analytical validity. Resolved: Yes.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Challenge 2: High sparsity of the transaction matrix (99.5%) — at low minimum support thresholds, Apriori became extremely slow (141 seconds at 1% support).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addressed: Used FP-Growth as the primary algorithm for rule mining and kept the main analysis at 2% support. Conducted scalability comparison to document and explain the difference. Resolved: Yes.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Challenge 3: Missing CustomerID (24.93%) — a large proportion of transactions had no customer identifier, requiring a decision on how to handle them.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addressed: Removed rows with missing CustomerID since they could not be attributed to a basket owner. This choice was documented and justified in the report's preprocessing section. Resolved: Yes.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difficult concept: Understanding the null-invariance problem and why measures like lift can produce misleading results for asymmetric item frequencies.</w:t>
      </w:r>
    </w:p>
    <w:p>
      <w:pPr>
        <w:pBdr>
          <w:bottom w:val="single" w:color="CCCCCC" w:sz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TOOLS &amp; AI USAGE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language: </w:t>
      </w:r>
      <w:r>
        <w:rPr>
          <w:rFonts w:ascii="Arial" w:cs="Arial" w:eastAsia="Arial" w:hAnsi="Arial"/>
          <w:sz w:val="22"/>
          <w:szCs w:val="22"/>
        </w:rPr>
        <w:t xml:space="preserve">Python 3.10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libraries: </w:t>
      </w:r>
      <w:r>
        <w:rPr>
          <w:rFonts w:ascii="Arial" w:cs="Arial" w:eastAsia="Arial" w:hAnsi="Arial"/>
          <w:sz w:val="22"/>
          <w:szCs w:val="22"/>
        </w:rPr>
        <w:t xml:space="preserve">pandas, numpy, mlxtend, matplotlib, seaborn, scipy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writing tool: </w:t>
      </w:r>
      <w:r>
        <w:rPr>
          <w:rFonts w:ascii="Arial" w:cs="Arial" w:eastAsia="Arial" w:hAnsi="Arial"/>
          <w:sz w:val="22"/>
          <w:szCs w:val="22"/>
        </w:rPr>
        <w:t xml:space="preserve">LaTeX (Overleaf)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tool usage: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Yes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 used: Claude (Anthropic)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Understanding concepts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Debugging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Code generation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Report writing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LaTeX help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Approximate % of code that was AI-assisted: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0%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1-25%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26-50%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51-75%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76-100%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Approximate % of report text that was AI-assisted: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0%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1-25%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26-50%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51-75%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76-100%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 method: All AI-generated code was executed and outputs were manually reviewed for correctness. Statistical results (support, confidence, lift values) were cross-checked against the raw data. Report text was reviewed, revised and written primarily in my own words, with AI used only for structural suggestions and LaTeX formatting help.</w:t>
      </w:r>
    </w:p>
    <w:p>
      <w:pPr>
        <w:pBdr>
          <w:bottom w:val="single" w:color="CCCCCC" w:sz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REFLECTION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Most interesting or surprising finding: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near-zero correlation between support and lift (r = -0.014) was the most surprising result. I expected high-support rules to also have high lift, but the data showed that the most interesting co-purchasing patterns (such as the Regency Teacup set with lift = 24.12) actually had relatively low support values. This highlights that filtering rules by support alone would eliminate the most meaningful associations.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I could start over, I would: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a lower minimum support threshold (0.5-1%) from the start using FP-Growth, to discover a richer set of rules including rarer but potentially more actionable patterns. I would also explore multi-level association rules using product category hierarchies to find patterns at different levels of abstraction.</w:t>
      </w:r>
    </w:p>
    <w:p>
      <w:pPr>
        <w:pBdr>
          <w:bottom w:val="single" w:color="CCCCCC" w:sz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COURSE FEEDBACK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difficulty: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Too Easy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Appropriate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Too Hard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duration: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Too Short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Appropriate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Too Long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Instructions clarity: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☑ Clear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Somewhat Unclear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Unclear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Most useful course topics for this project: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Association rule mining (Apriori, FP-Growth), interestingness measures (support, confidence, lift, Kulczynski, cosine), and the discussion of the null-invariance problem. The data preprocessing lectures were also directly applicable.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Suggestions for future students: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Starting with a smaller dataset or higher support threshold for initial exploration helps understand the algorithms before scaling up. The mlxtend library documentation is comprehensive and recommended as a first reference.</w:t>
      </w:r>
    </w:p>
    <w:p>
      <w:pPr>
        <w:pBdr>
          <w:bottom w:val="single" w:color="CCCCCC" w:sz="1"/>
        </w:pBdr>
        <w:spacing w:after="120" w:before="12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ACADEMIC INTEGRITY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 declare that: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This project is entirely my own individual work.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All sources and tools are properly cited in the report.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Results are genuine and have not been fabricated.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AI tool usage has been honestly reported above.</w:t>
      </w:r>
    </w:p>
    <w:p>
      <w:pPr>
        <w:spacing w:after="60" w:before="300"/>
      </w:pPr>
      <w:r>
        <w:rPr>
          <w:rFonts w:ascii="Arial" w:cs="Arial" w:eastAsia="Arial" w:hAnsi="Arial"/>
          <w:sz w:val="22"/>
          <w:szCs w:val="22"/>
        </w:rPr>
        <w:t xml:space="preserve">Signature: Erdem Baran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Date: 27/03/2026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2026-03-31T15:00:50.663Z</dcterms:created>
  <dcterms:modified xsi:type="dcterms:W3CDTF">2026-03-31T15:00:50.664Z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