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Visibility (tüm kelimeler)</w:t>
            </w:r>
          </w:p>
        </w:tc>
        <w:tc>
          <w:tcPr>
            <w:tcW w:type="dxa" w:w="1814"/>
          </w:tcPr>
          <w:p>
            <w:pPr>
              <w:spacing w:after="20"/>
              <w:jc w:val="center"/>
            </w:pPr>
            <w:r/>
            <w:r>
              <w:rPr>
                <w:color w:val="10332F"/>
                <w:sz w:val="17"/>
              </w:rPr>
              <w:t>54.4</w:t>
            </w:r>
          </w:p>
        </w:tc>
        <w:tc>
          <w:tcPr>
            <w:tcW w:type="dxa" w:w="3969"/>
          </w:tcPr>
          <w:p>
            <w:pPr>
              <w:spacing w:after="20"/>
            </w:pPr>
            <w:r/>
            <w:r>
              <w:rPr>
                <w:color w:val="10332F"/>
                <w:sz w:val="17"/>
              </w:rPr>
              <w:t>599 takip kelimesi · mobil · -2.7</w:t>
            </w:r>
          </w:p>
        </w:tc>
      </w:tr>
      <w:tr>
        <w:tc>
          <w:tcPr>
            <w:tcW w:type="dxa" w:w="4082"/>
          </w:tcPr>
          <w:p>
            <w:pPr>
              <w:spacing w:after="20"/>
            </w:pPr>
            <w:r/>
            <w:r>
              <w:rPr>
                <w:color w:val="10332F"/>
                <w:sz w:val="17"/>
              </w:rPr>
              <w:t>Organic Share of Clicks</w:t>
            </w:r>
          </w:p>
        </w:tc>
        <w:tc>
          <w:tcPr>
            <w:tcW w:type="dxa" w:w="1814"/>
          </w:tcPr>
          <w:p>
            <w:pPr>
              <w:spacing w:after="20"/>
              <w:jc w:val="center"/>
            </w:pPr>
            <w:r/>
            <w:r>
              <w:rPr>
                <w:color w:val="10332F"/>
                <w:sz w:val="17"/>
              </w:rPr>
              <w:t>%8.7</w:t>
            </w:r>
          </w:p>
        </w:tc>
        <w:tc>
          <w:tcPr>
            <w:tcW w:type="dxa" w:w="3969"/>
          </w:tcPr>
          <w:p>
            <w:pPr>
              <w:spacing w:after="20"/>
            </w:pPr>
            <w:r/>
            <w:r>
              <w:rPr>
                <w:color w:val="10332F"/>
                <w:sz w:val="17"/>
              </w:rPr>
              <w:t>843 domain içinde 4. sıra · -0.22</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%26.9</w:t>
            </w:r>
          </w:p>
        </w:tc>
        <w:tc>
          <w:tcPr>
            <w:tcW w:type="dxa" w:w="3969"/>
          </w:tcPr>
          <w:p>
            <w:pPr>
              <w:spacing w:after="20"/>
            </w:pPr>
            <w:r/>
            <w:r>
              <w:rPr>
                <w:color w:val="10332F"/>
                <w:sz w:val="17"/>
              </w:rPr>
              <w:t>Kategoride 1. sıra · 159 anılma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Clicks </w:t>
      </w:r>
      <w:r>
        <w:rPr>
          <w:b/>
          <w:color w:val="10332F"/>
          <w:sz w:val="19"/>
        </w:rPr>
        <w:t>%8.7</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bir adet 404 bulunuyor: bağlantı adresine boşluk karakteri ve ikinci bir adres yapışmış (/makyaj-firca-seti/). Taramadaki 337 adet 405 yanıtı site hatası değil, hız sınırlamasıdır; örneklenen 16 adres normal istekte 200 döndü.</w:t>
            </w:r>
          </w:p>
        </w:tc>
        <w:tc>
          <w:tcPr>
            <w:tcW w:type="dxa" w:w="1134"/>
          </w:tcPr>
          <w:p>
            <w:pPr>
              <w:spacing w:after="20"/>
              <w:jc w:val="center"/>
            </w:pPr>
            <w:r/>
            <w:r>
              <w:rPr>
                <w:color w:val="10332F"/>
                <w:sz w:val="17"/>
              </w:rPr>
              <w:t>Screaming Frog · Doğrudan kontrol</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değerlendirilen 1.279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1.279 / 1.279 sayfada self-referencing canonical mevcut (%100).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site geneli taramasında kategori URL'lerinin tamamı 200 yanıtı veriyor ve canonical'lar güncel adresi işaret ediyor. Site içindeki 22 yönlendirmenin tamamı beklenen türden: www ve sonda eğik çizgi normalizasyonu, kategori birleştirmeleri (/far-paleti-ve-goz-fari/ → /goz-fari/, /kadin-parfum/ → /parfum/, /nemlendiricili-fondoten/ → /fondoten/) ve ürün adresi güncellemeleri.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Site geneli taramada 178 parametreli adres bulundu (%7.8); tamamı pagination (?page=) adresi, filtre veya sıralama parametresi oluşmuyor.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Pagination taşıyan 192 listeleme sayfasının tamamında sonraki sayfa adresi anchor etiketi içinde değil. JavaScript render'lı taramada bu adreslere yine de ulaşıldı: 54 pagination sayfası 200 yanıtıyla tarandı, ?page=11'e kadar erişildi.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İncelenen sayfalar arasında 95 sayfa CLS eşiğinin üzerindedir.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görsellerin %99.9'unda (21.766 / 21.798) width ve height tanımı bulunmuyor. CLS'in doğrudan ana sebebi.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Site geneli taramada sayfaların %78.4'ü 1 saniyenin altında yanıt veriyor; medyan 0.87 sn, 90. persentil 1.10 sn.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 sayfada ikinci title etiketi var (%2.6) ve 33'ünün tamamında ikinci title &lt;head&gt; dışında, gövde içinde yer alıyor. Tamamı set ürün şablonunda; ikinci başlık ürün adının gövdedeki kırpılmış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 sayfada H1 yok (%3.7) ve tamamı indekslenebilir. Kapsamda anasayfa, "çok satanlar" ve koleksiyon listelemeleri (/latte-koleksiyonu/, /hande-ercelin-favorileri/), /zodiac-burcuna-gore-oje/ ve pagination sayfaları bulunuyor.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82 sayfada birden fazla H1 var (%6.4); 80'i ürün sayfası. İkinci H1 çoğunlukla aynı ürün adının marka önekli veya uzatılmış varyantı ("Flormar" önekiyle tekrar).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 geneli taramada duplicate title 842 sayfa (%65.8), duplicate H1 831 sayfa (%65.0).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JavaScript render'lı taramada meta description yalnızca 17 sayfada eksik (%1.3); tamamı kampanya, koleksiyon ve üyelik sayfası, ürün şablonunda eksik yok. Ahrefs'in render'sız taramasındaki 884 sayfalık eksik kaydı, açıklamanın render sonrası oluşmasından kaynaklanıyor.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Site geneli taramada 4.722 görselde alt attribute hiç tanımlı değil (%21.7); ayrıca 10 görselde attribute var, içi boş.</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gövdesi boyutu</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21 sayfanın HTML belgesi 2 MB'ın üzerinde. Bu sayfalarda Googlebot'un indirme sınırını aşan bölüm taranmadan kalabilir.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Dış bağlantı güvenlik etiketi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1.279 sayfada yeni sekmede açılan dış bağlantılarda rel="noopener" tanımı bulunmuyor (%56.1). Ayrıca 1.271 sayfada kaynak dosyaları protokolsüz (// ile başlayan) adresle çağrılıyor.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Spider modunda ve JavaScript rendering açık çalışmıştır. 33.173 adres karşılanmış, bunların 2.280'i site içi, 30.893'ü site dışıdır (ağırlıkla CDN üzerindeki görseller). Site içi adreslerin 636'sı robots.txt ile engelli, 1.639'u HTML; HTML adreslerin 1.279'u 200 yanıtı vermiş ve indekslenebilir olarak değerlendirilmiştir. 337 adres, yoğun paralel taramaya karşı uygulanan hız sınırı nedeniyle 405 dönmüştür; örneklenen 16 adres normal istekte 200 yanıtı vermiştir. Yüzdeler 1.279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13 Ağu 2026 tarihinde ilettiği güncel kategori URL listesindeki 113 adresin canlı durumu. Her adres tek tek çağrılmış; HTTP yanıtı, yönlendirme hedefi ve canonical etiketi kaydedilmiştir. Ayrıca sitemap dosyaları ve site navigasyonuyla karşılaştırılmıştır.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Yönlendirmesiz 200 yanıtı veren</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113</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r>
        <w:tc>
          <w:tcPr>
            <w:tcW w:type="dxa" w:w="4535"/>
          </w:tcPr>
          <w:p>
            <w:pPr>
              <w:spacing w:after="20"/>
            </w:pPr>
            <w:r/>
            <w:r>
              <w:rPr>
                <w:color w:val="10332F"/>
                <w:sz w:val="17"/>
              </w:rPr>
              <w:t>Sitemap kapsamı dışında kalan</w:t>
            </w:r>
          </w:p>
        </w:tc>
        <w:tc>
          <w:tcPr>
            <w:tcW w:type="dxa" w:w="2268"/>
          </w:tcPr>
          <w:p>
            <w:pPr>
              <w:spacing w:after="20"/>
              <w:jc w:val="center"/>
            </w:pPr>
            <w:r/>
            <w:r>
              <w:rPr>
                <w:color w:val="10332F"/>
                <w:sz w:val="17"/>
              </w:rPr>
              <w:t>0</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113</w:t>
      </w:r>
      <w:r>
        <w:rPr>
          <w:b w:val="0"/>
          <w:color w:val="10332F"/>
          <w:sz w:val="19"/>
        </w:rPr>
        <w:t xml:space="preserve"> adresin tamamı yönlendirmesiz </w:t>
      </w:r>
      <w:r>
        <w:rPr>
          <w:b/>
          <w:color w:val="10332F"/>
          <w:sz w:val="19"/>
        </w:rPr>
        <w:t>200</w:t>
      </w:r>
      <w:r>
        <w:rPr>
          <w:b w:val="0"/>
          <w:color w:val="10332F"/>
          <w:sz w:val="19"/>
        </w:rPr>
        <w:t xml:space="preserve"> yanıtı vermekte ve tamamında canonical etiketi kendi adresini işaret etmektedir. </w:t>
      </w:r>
      <w:r>
        <w:rPr>
          <w:b/>
          <w:color w:val="10332F"/>
          <w:sz w:val="19"/>
        </w:rPr>
        <w:t>Eski bir sürüme dönen adres bulunmamaktadır.</w:t>
      </w:r>
      <w:r>
        <w:rPr>
          <w:b w:val="0"/>
          <w:color w:val="10332F"/>
          <w:sz w:val="19"/>
        </w:rPr>
        <w:t xml:space="preserve"> Adreslerin tamamı kategori sitemap'inde yer almakta; sitemap listeden yalnızca bir adres fazla taşımaktadır (/1000-tl-alti-makyaj-setleri/).</w:t>
      </w:r>
    </w:p>
    <w:p>
      <w:pPr>
        <w:spacing w:before="120" w:after="160"/>
        <w:ind w:left="198"/>
      </w:pPr>
      <w:r>
        <w:rPr>
          <w:b/>
          <w:color w:val="E85F36"/>
          <w:sz w:val="20"/>
        </w:rPr>
        <w:t xml:space="preserve">➔  </w:t>
      </w:r>
      <w:r>
        <w:rPr>
          <w:b w:val="0"/>
          <w:color w:val="10332F"/>
          <w:sz w:val="19"/>
        </w:rPr>
        <w:t xml:space="preserve">Site navigasyonundan erişilen </w:t>
      </w:r>
      <w:r>
        <w:rPr>
          <w:b/>
          <w:color w:val="10332F"/>
          <w:sz w:val="19"/>
        </w:rPr>
        <w:t>121</w:t>
      </w:r>
      <w:r>
        <w:rPr>
          <w:b w:val="0"/>
          <w:color w:val="10332F"/>
          <w:sz w:val="19"/>
        </w:rPr>
        <w:t xml:space="preserve"> adresin tamamı dört sitemap dosyasından birinde bulunmaktadır (kategoriler, flatpages, ürünler, özel sayfalar; toplam 1.688 adres). Navigasyonda olup sitemap dışında kalan sayfa bulunmamaktadır.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Sıralamalar 11 Ağu 2026, karşılaştırma 12 Tem 2026 · Pozitif değer sıralama iyileşmesini gösterir · Mobil sıralamalar 100., masaüstü sıralamalar 20. sıraya kadar takip edilmektedir; "-" işareti bu derinlik içinde konum oluşmadığını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381"/>
            <w:shd w:val="clear" w:fill="434343"/>
          </w:tcPr>
          <w:p>
            <w:pPr>
              <w:jc w:val="center"/>
            </w:pPr>
            <w:r/>
            <w:r>
              <w:rPr>
                <w:b/>
                <w:color w:val="FFFFFF"/>
                <w:sz w:val="16"/>
              </w:rPr>
              <w:t>Domain</w:t>
            </w:r>
          </w:p>
        </w:tc>
        <w:tc>
          <w:tcPr>
            <w:tcW w:type="dxa" w:w="1361"/>
            <w:shd w:val="clear" w:fill="434343"/>
          </w:tcPr>
          <w:p>
            <w:pPr>
              <w:jc w:val="center"/>
            </w:pPr>
            <w:r/>
            <w:r>
              <w:rPr>
                <w:b/>
                <w:color w:val="FFFFFF"/>
                <w:sz w:val="16"/>
              </w:rPr>
              <w:t>Nitelik</w:t>
            </w:r>
          </w:p>
        </w:tc>
        <w:tc>
          <w:tcPr>
            <w:tcW w:type="dxa" w:w="1644"/>
            <w:shd w:val="clear" w:fill="434343"/>
          </w:tcPr>
          <w:p>
            <w:pPr>
              <w:jc w:val="center"/>
            </w:pPr>
            <w:r/>
            <w:r>
              <w:rPr>
                <w:b/>
                <w:color w:val="FFFFFF"/>
                <w:sz w:val="16"/>
              </w:rPr>
              <w:t>Share of Clicks 12 Tem</w:t>
            </w:r>
          </w:p>
        </w:tc>
        <w:tc>
          <w:tcPr>
            <w:tcW w:type="dxa" w:w="1361"/>
            <w:shd w:val="clear" w:fill="434343"/>
          </w:tcPr>
          <w:p>
            <w:pPr>
              <w:jc w:val="center"/>
            </w:pPr>
            <w:r/>
            <w:r>
              <w:rPr>
                <w:b/>
                <w:color w:val="FFFFFF"/>
                <w:sz w:val="16"/>
              </w:rPr>
              <w:t>11 Ağu</w:t>
            </w:r>
          </w:p>
        </w:tc>
        <w:tc>
          <w:tcPr>
            <w:tcW w:type="dxa" w:w="1247"/>
            <w:shd w:val="clear" w:fill="434343"/>
          </w:tcPr>
          <w:p>
            <w:pPr>
              <w:jc w:val="center"/>
            </w:pPr>
            <w:r/>
            <w:r>
              <w:rPr>
                <w:b/>
                <w:color w:val="FFFFFF"/>
                <w:sz w:val="16"/>
              </w:rPr>
              <w:t>Değişim</w:t>
            </w:r>
          </w:p>
        </w:tc>
        <w:tc>
          <w:tcPr>
            <w:tcW w:type="dxa" w:w="1361"/>
            <w:shd w:val="clear" w:fill="434343"/>
          </w:tcPr>
          <w:p>
            <w:pPr>
              <w:jc w:val="center"/>
            </w:pPr>
            <w:r/>
            <w:r>
              <w:rPr>
                <w:b/>
                <w:color w:val="FFFFFF"/>
                <w:sz w:val="16"/>
              </w:rPr>
              <w:t>Visibility 11 Ağu</w:t>
            </w:r>
          </w:p>
        </w:tc>
      </w:tr>
      <w:tr>
        <w:tc>
          <w:tcPr>
            <w:tcW w:type="dxa" w:w="2381"/>
          </w:tcPr>
          <w:p>
            <w:pPr>
              <w:spacing w:after="20"/>
            </w:pPr>
            <w:r/>
            <w:r>
              <w:rPr>
                <w:color w:val="10332F"/>
                <w:sz w:val="17"/>
              </w:rPr>
              <w:t>gratis.com</w:t>
            </w:r>
          </w:p>
        </w:tc>
        <w:tc>
          <w:tcPr>
            <w:tcW w:type="dxa" w:w="1361"/>
          </w:tcPr>
          <w:p>
            <w:pPr>
              <w:spacing w:after="20"/>
            </w:pPr>
            <w:r/>
            <w:r>
              <w:rPr>
                <w:color w:val="10332F"/>
                <w:sz w:val="17"/>
              </w:rPr>
              <w:t>Rakip</w:t>
            </w:r>
          </w:p>
        </w:tc>
        <w:tc>
          <w:tcPr>
            <w:tcW w:type="dxa" w:w="1644"/>
          </w:tcPr>
          <w:p>
            <w:pPr>
              <w:spacing w:after="20"/>
              <w:jc w:val="center"/>
            </w:pPr>
            <w:r/>
            <w:r>
              <w:rPr>
                <w:color w:val="10332F"/>
                <w:sz w:val="17"/>
              </w:rPr>
              <w:t>%15.89</w:t>
            </w:r>
          </w:p>
        </w:tc>
        <w:tc>
          <w:tcPr>
            <w:tcW w:type="dxa" w:w="1361"/>
          </w:tcPr>
          <w:p>
            <w:pPr>
              <w:spacing w:after="20"/>
              <w:jc w:val="center"/>
            </w:pPr>
            <w:r/>
            <w:r>
              <w:rPr>
                <w:color w:val="10332F"/>
                <w:sz w:val="17"/>
              </w:rPr>
              <w:t>%15.88</w:t>
            </w:r>
          </w:p>
        </w:tc>
        <w:tc>
          <w:tcPr>
            <w:tcW w:type="dxa" w:w="1247"/>
          </w:tcPr>
          <w:p>
            <w:pPr>
              <w:spacing w:after="20"/>
              <w:jc w:val="center"/>
            </w:pPr>
            <w:r/>
            <w:r>
              <w:rPr>
                <w:b/>
                <w:color w:val="D32F2F"/>
                <w:sz w:val="17"/>
              </w:rPr>
              <w:t>-0.01</w:t>
            </w:r>
          </w:p>
        </w:tc>
        <w:tc>
          <w:tcPr>
            <w:tcW w:type="dxa" w:w="1361"/>
          </w:tcPr>
          <w:p>
            <w:pPr>
              <w:spacing w:after="20"/>
              <w:jc w:val="center"/>
            </w:pPr>
            <w:r/>
            <w:r>
              <w:rPr>
                <w:color w:val="10332F"/>
                <w:sz w:val="17"/>
              </w:rPr>
              <w:t>65.7</w:t>
            </w:r>
          </w:p>
        </w:tc>
      </w:tr>
      <w:tr>
        <w:tc>
          <w:tcPr>
            <w:tcW w:type="dxa" w:w="2381"/>
          </w:tcPr>
          <w:p>
            <w:pPr>
              <w:spacing w:after="20"/>
            </w:pPr>
            <w:r/>
            <w:r>
              <w:rPr>
                <w:color w:val="10332F"/>
                <w:sz w:val="17"/>
              </w:rPr>
              <w:t>trendyol.com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%12.69</w:t>
            </w:r>
          </w:p>
        </w:tc>
        <w:tc>
          <w:tcPr>
            <w:tcW w:type="dxa" w:w="1361"/>
          </w:tcPr>
          <w:p>
            <w:pPr>
              <w:spacing w:after="20"/>
              <w:jc w:val="center"/>
            </w:pPr>
            <w:r/>
            <w:r>
              <w:rPr>
                <w:color w:val="10332F"/>
                <w:sz w:val="17"/>
              </w:rPr>
              <w:t>%15.3</w:t>
            </w:r>
          </w:p>
        </w:tc>
        <w:tc>
          <w:tcPr>
            <w:tcW w:type="dxa" w:w="1247"/>
          </w:tcPr>
          <w:p>
            <w:pPr>
              <w:spacing w:after="20"/>
              <w:jc w:val="center"/>
            </w:pPr>
            <w:r/>
            <w:r>
              <w:rPr>
                <w:b/>
                <w:color w:val="2E7D32"/>
                <w:sz w:val="17"/>
              </w:rPr>
              <w:t>+2.61</w:t>
            </w:r>
          </w:p>
        </w:tc>
        <w:tc>
          <w:tcPr>
            <w:tcW w:type="dxa" w:w="1361"/>
          </w:tcPr>
          <w:p>
            <w:pPr>
              <w:spacing w:after="20"/>
              <w:jc w:val="center"/>
            </w:pPr>
            <w:r/>
            <w:r>
              <w:rPr>
                <w:color w:val="10332F"/>
                <w:sz w:val="17"/>
              </w:rPr>
              <w:t>77.3</w:t>
            </w:r>
          </w:p>
        </w:tc>
      </w:tr>
      <w:tr>
        <w:tc>
          <w:tcPr>
            <w:tcW w:type="dxa" w:w="2381"/>
          </w:tcPr>
          <w:p>
            <w:pPr>
              <w:spacing w:after="20"/>
            </w:pPr>
            <w:r/>
            <w:r>
              <w:rPr>
                <w:color w:val="10332F"/>
                <w:sz w:val="17"/>
              </w:rPr>
              <w:t>watsons.com.tr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%10.48</w:t>
            </w:r>
          </w:p>
        </w:tc>
        <w:tc>
          <w:tcPr>
            <w:tcW w:type="dxa" w:w="1361"/>
          </w:tcPr>
          <w:p>
            <w:pPr>
              <w:spacing w:after="20"/>
              <w:jc w:val="center"/>
            </w:pPr>
            <w:r/>
            <w:r>
              <w:rPr>
                <w:color w:val="10332F"/>
                <w:sz w:val="17"/>
              </w:rPr>
              <w:t>%10.15</w:t>
            </w:r>
          </w:p>
        </w:tc>
        <w:tc>
          <w:tcPr>
            <w:tcW w:type="dxa" w:w="1247"/>
          </w:tcPr>
          <w:p>
            <w:pPr>
              <w:spacing w:after="20"/>
              <w:jc w:val="center"/>
            </w:pPr>
            <w:r/>
            <w:r>
              <w:rPr>
                <w:b/>
                <w:color w:val="D32F2F"/>
                <w:sz w:val="17"/>
              </w:rPr>
              <w:t>-0.33</w:t>
            </w:r>
          </w:p>
        </w:tc>
        <w:tc>
          <w:tcPr>
            <w:tcW w:type="dxa" w:w="1361"/>
          </w:tcPr>
          <w:p>
            <w:pPr>
              <w:spacing w:after="20"/>
              <w:jc w:val="center"/>
            </w:pPr>
            <w:r/>
            <w:r>
              <w:rPr>
                <w:color w:val="10332F"/>
                <w:sz w:val="17"/>
              </w:rPr>
              <w:t>66.4</w:t>
            </w:r>
          </w:p>
        </w:tc>
      </w:tr>
      <w:tr>
        <w:tc>
          <w:tcPr>
            <w:tcW w:type="dxa" w:w="2381"/>
          </w:tcPr>
          <w:p>
            <w:pPr>
              <w:spacing w:after="20"/>
            </w:pPr>
            <w:r/>
            <w:r>
              <w:rPr>
                <w:color w:val="10332F"/>
                <w:sz w:val="17"/>
              </w:rPr>
              <w:t>flormar.com.tr</w:t>
            </w:r>
          </w:p>
        </w:tc>
        <w:tc>
          <w:tcPr>
            <w:tcW w:type="dxa" w:w="1361"/>
          </w:tcPr>
          <w:p>
            <w:pPr>
              <w:spacing w:after="20"/>
            </w:pPr>
            <w:r/>
            <w:r>
              <w:rPr>
                <w:color w:val="10332F"/>
                <w:sz w:val="17"/>
              </w:rPr>
              <w:t>Flormar</w:t>
            </w:r>
          </w:p>
        </w:tc>
        <w:tc>
          <w:tcPr>
            <w:tcW w:type="dxa" w:w="1644"/>
          </w:tcPr>
          <w:p>
            <w:pPr>
              <w:spacing w:after="20"/>
              <w:jc w:val="center"/>
            </w:pPr>
            <w:r/>
            <w:r>
              <w:rPr>
                <w:color w:val="10332F"/>
                <w:sz w:val="17"/>
              </w:rPr>
              <w:t>%8.93</w:t>
            </w:r>
          </w:p>
        </w:tc>
        <w:tc>
          <w:tcPr>
            <w:tcW w:type="dxa" w:w="1361"/>
          </w:tcPr>
          <w:p>
            <w:pPr>
              <w:spacing w:after="20"/>
              <w:jc w:val="center"/>
            </w:pPr>
            <w:r/>
            <w:r>
              <w:rPr>
                <w:color w:val="10332F"/>
                <w:sz w:val="17"/>
              </w:rPr>
              <w:t>%8.71</w:t>
            </w:r>
          </w:p>
        </w:tc>
        <w:tc>
          <w:tcPr>
            <w:tcW w:type="dxa" w:w="1247"/>
          </w:tcPr>
          <w:p>
            <w:pPr>
              <w:spacing w:after="20"/>
              <w:jc w:val="center"/>
            </w:pPr>
            <w:r/>
            <w:r>
              <w:rPr>
                <w:b/>
                <w:color w:val="D32F2F"/>
                <w:sz w:val="17"/>
              </w:rPr>
              <w:t>-0.22</w:t>
            </w:r>
          </w:p>
        </w:tc>
        <w:tc>
          <w:tcPr>
            <w:tcW w:type="dxa" w:w="1361"/>
          </w:tcPr>
          <w:p>
            <w:pPr>
              <w:spacing w:after="20"/>
              <w:jc w:val="center"/>
            </w:pPr>
            <w:r/>
            <w:r>
              <w:rPr>
                <w:color w:val="10332F"/>
                <w:sz w:val="17"/>
              </w:rPr>
              <w:t>54.4</w:t>
            </w:r>
          </w:p>
        </w:tc>
      </w:tr>
      <w:tr>
        <w:tc>
          <w:tcPr>
            <w:tcW w:type="dxa" w:w="2381"/>
          </w:tcPr>
          <w:p>
            <w:pPr>
              <w:spacing w:after="20"/>
            </w:pPr>
            <w:r/>
            <w:r>
              <w:rPr>
                <w:color w:val="10332F"/>
                <w:sz w:val="17"/>
              </w:rPr>
              <w:t>sephora.com.tr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%6.77</w:t>
            </w:r>
          </w:p>
        </w:tc>
        <w:tc>
          <w:tcPr>
            <w:tcW w:type="dxa" w:w="1361"/>
          </w:tcPr>
          <w:p>
            <w:pPr>
              <w:spacing w:after="20"/>
              <w:jc w:val="center"/>
            </w:pPr>
            <w:r/>
            <w:r>
              <w:rPr>
                <w:color w:val="10332F"/>
                <w:sz w:val="17"/>
              </w:rPr>
              <w:t>%5.87</w:t>
            </w:r>
          </w:p>
        </w:tc>
        <w:tc>
          <w:tcPr>
            <w:tcW w:type="dxa" w:w="1247"/>
          </w:tcPr>
          <w:p>
            <w:pPr>
              <w:spacing w:after="20"/>
              <w:jc w:val="center"/>
            </w:pPr>
            <w:r/>
            <w:r>
              <w:rPr>
                <w:b/>
                <w:color w:val="D32F2F"/>
                <w:sz w:val="17"/>
              </w:rPr>
              <w:t>-0.9</w:t>
            </w:r>
          </w:p>
        </w:tc>
        <w:tc>
          <w:tcPr>
            <w:tcW w:type="dxa" w:w="1361"/>
          </w:tcPr>
          <w:p>
            <w:pPr>
              <w:spacing w:after="20"/>
              <w:jc w:val="center"/>
            </w:pPr>
            <w:r/>
            <w:r>
              <w:rPr>
                <w:color w:val="10332F"/>
                <w:sz w:val="17"/>
              </w:rPr>
              <w:t>38.3</w:t>
            </w:r>
          </w:p>
        </w:tc>
      </w:tr>
      <w:tr>
        <w:tc>
          <w:tcPr>
            <w:tcW w:type="dxa" w:w="2381"/>
          </w:tcPr>
          <w:p>
            <w:pPr>
              <w:spacing w:after="20"/>
            </w:pPr>
            <w:r/>
            <w:r>
              <w:rPr>
                <w:color w:val="10332F"/>
                <w:sz w:val="17"/>
              </w:rPr>
              <w:t>shop.goldenrose.com.tr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w:t>
            </w:r>
          </w:p>
        </w:tc>
        <w:tc>
          <w:tcPr>
            <w:tcW w:type="dxa" w:w="1361"/>
          </w:tcPr>
          <w:p>
            <w:pPr>
              <w:spacing w:after="20"/>
              <w:jc w:val="center"/>
            </w:pPr>
            <w:r/>
            <w:r>
              <w:rPr>
                <w:color w:val="10332F"/>
                <w:sz w:val="17"/>
              </w:rPr>
              <w:t>%1.32</w:t>
            </w:r>
          </w:p>
        </w:tc>
        <w:tc>
          <w:tcPr>
            <w:tcW w:type="dxa" w:w="1247"/>
          </w:tcPr>
          <w:p>
            <w:pPr>
              <w:spacing w:after="20"/>
              <w:jc w:val="center"/>
            </w:pPr>
            <w:r/>
            <w:r>
              <w:rPr>
                <w:color w:val="10332F"/>
                <w:sz w:val="17"/>
              </w:rPr>
              <w:t>-</w:t>
            </w:r>
          </w:p>
        </w:tc>
        <w:tc>
          <w:tcPr>
            <w:tcW w:type="dxa" w:w="1361"/>
          </w:tcPr>
          <w:p>
            <w:pPr>
              <w:spacing w:after="20"/>
              <w:jc w:val="center"/>
            </w:pPr>
            <w:r/>
            <w:r>
              <w:rPr>
                <w:color w:val="10332F"/>
                <w:sz w:val="17"/>
              </w:rPr>
              <w:t>24.2</w:t>
            </w:r>
          </w:p>
        </w:tc>
      </w:tr>
      <w:tr>
        <w:tc>
          <w:tcPr>
            <w:tcW w:type="dxa" w:w="2381"/>
          </w:tcPr>
          <w:p>
            <w:pPr>
              <w:spacing w:after="20"/>
            </w:pPr>
            <w:r/>
            <w:r>
              <w:rPr>
                <w:color w:val="10332F"/>
                <w:sz w:val="17"/>
              </w:rPr>
              <w:t>kikomilano.com.tr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%1.85</w:t>
            </w:r>
          </w:p>
        </w:tc>
        <w:tc>
          <w:tcPr>
            <w:tcW w:type="dxa" w:w="1361"/>
          </w:tcPr>
          <w:p>
            <w:pPr>
              <w:spacing w:after="20"/>
              <w:jc w:val="center"/>
            </w:pPr>
            <w:r/>
            <w:r>
              <w:rPr>
                <w:color w:val="10332F"/>
                <w:sz w:val="17"/>
              </w:rPr>
              <w:t>%1.54</w:t>
            </w:r>
          </w:p>
        </w:tc>
        <w:tc>
          <w:tcPr>
            <w:tcW w:type="dxa" w:w="1247"/>
          </w:tcPr>
          <w:p>
            <w:pPr>
              <w:spacing w:after="20"/>
              <w:jc w:val="center"/>
            </w:pPr>
            <w:r/>
            <w:r>
              <w:rPr>
                <w:b/>
                <w:color w:val="D32F2F"/>
                <w:sz w:val="17"/>
              </w:rPr>
              <w:t>-0.31</w:t>
            </w:r>
          </w:p>
        </w:tc>
        <w:tc>
          <w:tcPr>
            <w:tcW w:type="dxa" w:w="1361"/>
          </w:tcPr>
          <w:p>
            <w:pPr>
              <w:spacing w:after="20"/>
              <w:jc w:val="center"/>
            </w:pPr>
            <w:r/>
            <w:r>
              <w:rPr>
                <w:color w:val="10332F"/>
                <w:sz w:val="17"/>
              </w:rPr>
              <w:t>22.3</w:t>
            </w:r>
          </w:p>
        </w:tc>
      </w:tr>
      <w:tr>
        <w:tc>
          <w:tcPr>
            <w:tcW w:type="dxa" w:w="2381"/>
          </w:tcPr>
          <w:p>
            <w:pPr>
              <w:spacing w:after="20"/>
            </w:pPr>
            <w:r/>
            <w:r>
              <w:rPr>
                <w:color w:val="10332F"/>
                <w:sz w:val="17"/>
              </w:rPr>
              <w:t>hepsiburada.com</w:t>
            </w:r>
          </w:p>
        </w:tc>
        <w:tc>
          <w:tcPr>
            <w:tcW w:type="dxa" w:w="1361"/>
          </w:tcPr>
          <w:p>
            <w:pPr>
              <w:spacing w:after="20"/>
            </w:pPr>
            <w:r/>
            <w:r>
              <w:rPr>
                <w:color w:val="10332F"/>
                <w:sz w:val="17"/>
              </w:rPr>
              <w:t>Pazaryeri</w:t>
            </w:r>
          </w:p>
        </w:tc>
        <w:tc>
          <w:tcPr>
            <w:tcW w:type="dxa" w:w="1644"/>
          </w:tcPr>
          <w:p>
            <w:pPr>
              <w:spacing w:after="20"/>
              <w:jc w:val="center"/>
            </w:pPr>
            <w:r/>
            <w:r>
              <w:rPr>
                <w:color w:val="10332F"/>
                <w:sz w:val="17"/>
              </w:rPr>
              <w:t>%2.35</w:t>
            </w:r>
          </w:p>
        </w:tc>
        <w:tc>
          <w:tcPr>
            <w:tcW w:type="dxa" w:w="1361"/>
          </w:tcPr>
          <w:p>
            <w:pPr>
              <w:spacing w:after="20"/>
              <w:jc w:val="center"/>
            </w:pPr>
            <w:r/>
            <w:r>
              <w:rPr>
                <w:color w:val="10332F"/>
                <w:sz w:val="17"/>
              </w:rPr>
              <w:t>%1.98</w:t>
            </w:r>
          </w:p>
        </w:tc>
        <w:tc>
          <w:tcPr>
            <w:tcW w:type="dxa" w:w="1247"/>
          </w:tcPr>
          <w:p>
            <w:pPr>
              <w:spacing w:after="20"/>
              <w:jc w:val="center"/>
            </w:pPr>
            <w:r/>
            <w:r>
              <w:rPr>
                <w:b/>
                <w:color w:val="D32F2F"/>
                <w:sz w:val="17"/>
              </w:rPr>
              <w:t>-0.37</w:t>
            </w:r>
          </w:p>
        </w:tc>
        <w:tc>
          <w:tcPr>
            <w:tcW w:type="dxa" w:w="1361"/>
          </w:tcPr>
          <w:p>
            <w:pPr>
              <w:spacing w:after="20"/>
              <w:jc w:val="center"/>
            </w:pPr>
            <w:r/>
            <w:r>
              <w:rPr>
                <w:color w:val="10332F"/>
                <w:sz w:val="17"/>
              </w:rPr>
              <w:t>20.3</w:t>
            </w:r>
          </w:p>
        </w:tc>
      </w:tr>
      <w:tr>
        <w:tc>
          <w:tcPr>
            <w:tcW w:type="dxa" w:w="2381"/>
          </w:tcPr>
          <w:p>
            <w:pPr>
              <w:spacing w:after="20"/>
            </w:pPr>
            <w:r/>
            <w:r>
              <w:rPr>
                <w:color w:val="10332F"/>
                <w:sz w:val="17"/>
              </w:rPr>
              <w:t>yvesrocher.com.tr</w:t>
            </w:r>
          </w:p>
        </w:tc>
        <w:tc>
          <w:tcPr>
            <w:tcW w:type="dxa" w:w="1361"/>
          </w:tcPr>
          <w:p>
            <w:pPr>
              <w:spacing w:after="20"/>
            </w:pPr>
            <w:r/>
            <w:r>
              <w:rPr>
                <w:color w:val="10332F"/>
                <w:sz w:val="17"/>
              </w:rPr>
              <w:t>Rakip</w:t>
            </w:r>
          </w:p>
        </w:tc>
        <w:tc>
          <w:tcPr>
            <w:tcW w:type="dxa" w:w="1644"/>
          </w:tcPr>
          <w:p>
            <w:pPr>
              <w:spacing w:after="20"/>
              <w:jc w:val="center"/>
            </w:pPr>
            <w:r/>
            <w:r>
              <w:rPr>
                <w:color w:val="10332F"/>
                <w:sz w:val="17"/>
              </w:rPr>
              <w:t>%1.89</w:t>
            </w:r>
          </w:p>
        </w:tc>
        <w:tc>
          <w:tcPr>
            <w:tcW w:type="dxa" w:w="1361"/>
          </w:tcPr>
          <w:p>
            <w:pPr>
              <w:spacing w:after="20"/>
              <w:jc w:val="center"/>
            </w:pPr>
            <w:r/>
            <w:r>
              <w:rPr>
                <w:color w:val="10332F"/>
                <w:sz w:val="17"/>
              </w:rPr>
              <w:t>%1.41</w:t>
            </w:r>
          </w:p>
        </w:tc>
        <w:tc>
          <w:tcPr>
            <w:tcW w:type="dxa" w:w="1247"/>
          </w:tcPr>
          <w:p>
            <w:pPr>
              <w:spacing w:after="20"/>
              <w:jc w:val="center"/>
            </w:pPr>
            <w:r/>
            <w:r>
              <w:rPr>
                <w:b/>
                <w:color w:val="D32F2F"/>
                <w:sz w:val="17"/>
              </w:rPr>
              <w:t>-0.48</w:t>
            </w:r>
          </w:p>
        </w:tc>
        <w:tc>
          <w:tcPr>
            <w:tcW w:type="dxa" w:w="1361"/>
          </w:tcPr>
          <w:p>
            <w:pPr>
              <w:spacing w:after="20"/>
              <w:jc w:val="center"/>
            </w:pPr>
            <w:r/>
            <w:r>
              <w:rPr>
                <w:color w:val="10332F"/>
                <w:sz w:val="17"/>
              </w:rPr>
              <w:t>17.4</w:t>
            </w:r>
          </w:p>
        </w:tc>
      </w:tr>
    </w:tbl>
    <w:p>
      <w:pPr>
        <w:spacing w:before="0" w:after="180"/>
      </w:pPr>
      <w:r>
        <w:rPr>
          <w:b w:val="0"/>
          <w:color w:val="7C8B88"/>
          <w:sz w:val="16"/>
        </w:rPr>
        <w:t>Kaynak: SEOmonitor · mobil · 599 takip kelimesi · Share of Clicks tahmini organik tıklama payıdır, Visibility domainin kendi görünürlük skorudur</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+2.61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w:t>
            </w:r>
          </w:p>
        </w:tc>
        <w:tc>
          <w:tcPr>
            <w:tcW w:type="dxa" w:w="1304"/>
          </w:tcPr>
          <w:p>
            <w:pPr>
              <w:spacing w:after="20"/>
              <w:jc w:val="center"/>
            </w:pPr>
            <w:r/>
            <w:r>
              <w:rPr>
                <w:color w:val="10332F"/>
                <w:sz w:val="17"/>
              </w:rPr>
              <w:t>-</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%26.9 · 1. sıra</w:t>
            </w:r>
          </w:p>
        </w:tc>
        <w:tc>
          <w:tcPr>
            <w:tcW w:type="dxa" w:w="2835"/>
          </w:tcPr>
          <w:p>
            <w:pPr>
              <w:spacing w:after="20"/>
            </w:pPr>
            <w:r/>
            <w:r>
              <w:rPr>
                <w:color w:val="10332F"/>
                <w:sz w:val="17"/>
              </w:rPr>
              <w:t>Maybelline %21.7 · Golden Rose %18.1 · NYX %13.7 · Watsons %10.3</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ChatGPT ve Gemini · 100 aktif prompt</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ve görünüm metrikleri</w:t>
      </w:r>
    </w:p>
    <w:tbl>
      <w:tblPr>
        <w:tblStyle w:val="TableGrid"/>
        <w:tblW w:type="auto" w:w="0"/>
        <w:jc w:val="center"/>
        <w:tblLook w:firstColumn="1" w:firstRow="1" w:lastColumn="0" w:lastRow="0" w:noHBand="0" w:noVBand="1" w:val="04A0"/>
      </w:tblPr>
      <w:tblGrid>
        <w:gridCol w:w="1457"/>
        <w:gridCol w:w="1457"/>
        <w:gridCol w:w="1457"/>
        <w:gridCol w:w="1457"/>
        <w:gridCol w:w="1457"/>
        <w:gridCol w:w="1457"/>
        <w:gridCol w:w="1457"/>
      </w:tblGrid>
      <w:tr>
        <w:tc>
          <w:tcPr>
            <w:tcW w:type="dxa" w:w="2268"/>
            <w:shd w:val="clear" w:fill="434343"/>
          </w:tcPr>
          <w:p>
            <w:pPr>
              <w:jc w:val="center"/>
            </w:pPr>
            <w:r/>
            <w:r>
              <w:rPr>
                <w:b/>
                <w:color w:val="FFFFFF"/>
                <w:sz w:val="16"/>
              </w:rPr>
              <w:t>Domain</w:t>
            </w:r>
          </w:p>
        </w:tc>
        <w:tc>
          <w:tcPr>
            <w:tcW w:type="dxa" w:w="1304"/>
            <w:shd w:val="clear" w:fill="434343"/>
          </w:tcPr>
          <w:p>
            <w:pPr>
              <w:jc w:val="center"/>
            </w:pPr>
            <w:r/>
            <w:r>
              <w:rPr>
                <w:b/>
                <w:color w:val="FFFFFF"/>
                <w:sz w:val="16"/>
              </w:rPr>
              <w:t>SoV 12 Tem</w:t>
            </w:r>
          </w:p>
        </w:tc>
        <w:tc>
          <w:tcPr>
            <w:tcW w:type="dxa" w:w="1304"/>
            <w:shd w:val="clear" w:fill="434343"/>
          </w:tcPr>
          <w:p>
            <w:pPr>
              <w:jc w:val="center"/>
            </w:pPr>
            <w:r/>
            <w:r>
              <w:rPr>
                <w:b/>
                <w:color w:val="FFFFFF"/>
                <w:sz w:val="16"/>
              </w:rPr>
              <w:t>SoV 11 Ağu</w:t>
            </w:r>
          </w:p>
        </w:tc>
        <w:tc>
          <w:tcPr>
            <w:tcW w:type="dxa" w:w="1247"/>
            <w:shd w:val="clear" w:fill="434343"/>
          </w:tcPr>
          <w:p>
            <w:pPr>
              <w:jc w:val="center"/>
            </w:pPr>
            <w:r/>
            <w:r>
              <w:rPr>
                <w:b/>
                <w:color w:val="FFFFFF"/>
                <w:sz w:val="16"/>
              </w:rPr>
              <w:t>Değişim</w:t>
            </w:r>
          </w:p>
        </w:tc>
        <w:tc>
          <w:tcPr>
            <w:tcW w:type="dxa" w:w="1474"/>
            <w:shd w:val="clear" w:fill="434343"/>
          </w:tcPr>
          <w:p>
            <w:pPr>
              <w:jc w:val="center"/>
            </w:pPr>
            <w:r/>
            <w:r>
              <w:rPr>
                <w:b/>
                <w:color w:val="FFFFFF"/>
                <w:sz w:val="16"/>
              </w:rPr>
              <w:t>Marka anılması</w:t>
            </w:r>
          </w:p>
        </w:tc>
        <w:tc>
          <w:tcPr>
            <w:tcW w:type="dxa" w:w="1247"/>
            <w:shd w:val="clear" w:fill="434343"/>
          </w:tcPr>
          <w:p>
            <w:pPr>
              <w:jc w:val="center"/>
            </w:pPr>
            <w:r/>
            <w:r>
              <w:rPr>
                <w:b/>
                <w:color w:val="FFFFFF"/>
                <w:sz w:val="16"/>
              </w:rPr>
              <w:t>Marka atfı</w:t>
            </w:r>
          </w:p>
        </w:tc>
        <w:tc>
          <w:tcPr>
            <w:tcW w:type="dxa" w:w="1077"/>
            <w:shd w:val="clear" w:fill="434343"/>
          </w:tcPr>
          <w:p>
            <w:pPr>
              <w:jc w:val="center"/>
            </w:pPr>
            <w:r/>
            <w:r>
              <w:rPr>
                <w:b/>
                <w:color w:val="FFFFFF"/>
                <w:sz w:val="16"/>
              </w:rPr>
              <w:t>Site atfı</w:t>
            </w:r>
          </w:p>
        </w:tc>
      </w:tr>
      <w:tr>
        <w:tc>
          <w:tcPr>
            <w:tcW w:type="dxa" w:w="2268"/>
          </w:tcPr>
          <w:p>
            <w:pPr>
              <w:spacing w:after="20"/>
            </w:pPr>
            <w:r/>
            <w:r>
              <w:rPr>
                <w:color w:val="10332F"/>
                <w:sz w:val="17"/>
              </w:rPr>
              <w:t>trendyol.com</w:t>
            </w:r>
          </w:p>
        </w:tc>
        <w:tc>
          <w:tcPr>
            <w:tcW w:type="dxa" w:w="1304"/>
          </w:tcPr>
          <w:p>
            <w:pPr>
              <w:spacing w:after="20"/>
              <w:jc w:val="center"/>
            </w:pPr>
            <w:r/>
            <w:r>
              <w:rPr>
                <w:color w:val="10332F"/>
                <w:sz w:val="17"/>
              </w:rPr>
              <w:t>%27.97</w:t>
            </w:r>
          </w:p>
        </w:tc>
        <w:tc>
          <w:tcPr>
            <w:tcW w:type="dxa" w:w="1304"/>
          </w:tcPr>
          <w:p>
            <w:pPr>
              <w:spacing w:after="20"/>
              <w:jc w:val="center"/>
            </w:pPr>
            <w:r/>
            <w:r>
              <w:rPr>
                <w:color w:val="10332F"/>
                <w:sz w:val="17"/>
              </w:rPr>
              <w:t>%27.02</w:t>
            </w:r>
          </w:p>
        </w:tc>
        <w:tc>
          <w:tcPr>
            <w:tcW w:type="dxa" w:w="1247"/>
          </w:tcPr>
          <w:p>
            <w:pPr>
              <w:spacing w:after="20"/>
              <w:jc w:val="center"/>
            </w:pPr>
            <w:r/>
            <w:r>
              <w:rPr>
                <w:b/>
                <w:color w:val="D32F2F"/>
                <w:sz w:val="17"/>
              </w:rPr>
              <w:t>-0.95</w:t>
            </w:r>
          </w:p>
        </w:tc>
        <w:tc>
          <w:tcPr>
            <w:tcW w:type="dxa" w:w="1474"/>
          </w:tcPr>
          <w:p>
            <w:pPr>
              <w:spacing w:after="20"/>
              <w:jc w:val="center"/>
            </w:pPr>
            <w:r/>
            <w:r>
              <w:rPr>
                <w:color w:val="10332F"/>
                <w:sz w:val="17"/>
              </w:rPr>
              <w:t>15</w:t>
            </w:r>
          </w:p>
        </w:tc>
        <w:tc>
          <w:tcPr>
            <w:tcW w:type="dxa" w:w="1247"/>
          </w:tcPr>
          <w:p>
            <w:pPr>
              <w:spacing w:after="20"/>
              <w:jc w:val="center"/>
            </w:pPr>
            <w:r/>
            <w:r>
              <w:rPr>
                <w:color w:val="10332F"/>
                <w:sz w:val="17"/>
              </w:rPr>
              <w:t>59</w:t>
            </w:r>
          </w:p>
        </w:tc>
        <w:tc>
          <w:tcPr>
            <w:tcW w:type="dxa" w:w="1077"/>
          </w:tcPr>
          <w:p>
            <w:pPr>
              <w:spacing w:after="20"/>
              <w:jc w:val="center"/>
            </w:pPr>
            <w:r/>
            <w:r>
              <w:rPr>
                <w:color w:val="10332F"/>
                <w:sz w:val="17"/>
              </w:rPr>
              <w:t>33</w:t>
            </w:r>
          </w:p>
        </w:tc>
      </w:tr>
      <w:tr>
        <w:tc>
          <w:tcPr>
            <w:tcW w:type="dxa" w:w="2268"/>
          </w:tcPr>
          <w:p>
            <w:pPr>
              <w:spacing w:after="20"/>
            </w:pPr>
            <w:r/>
            <w:r>
              <w:rPr>
                <w:color w:val="10332F"/>
                <w:sz w:val="17"/>
              </w:rPr>
              <w:t>watsons.com.tr</w:t>
            </w:r>
          </w:p>
        </w:tc>
        <w:tc>
          <w:tcPr>
            <w:tcW w:type="dxa" w:w="1304"/>
          </w:tcPr>
          <w:p>
            <w:pPr>
              <w:spacing w:after="20"/>
              <w:jc w:val="center"/>
            </w:pPr>
            <w:r/>
            <w:r>
              <w:rPr>
                <w:color w:val="10332F"/>
                <w:sz w:val="17"/>
              </w:rPr>
              <w:t>%23.19</w:t>
            </w:r>
          </w:p>
        </w:tc>
        <w:tc>
          <w:tcPr>
            <w:tcW w:type="dxa" w:w="1304"/>
          </w:tcPr>
          <w:p>
            <w:pPr>
              <w:spacing w:after="20"/>
              <w:jc w:val="center"/>
            </w:pPr>
            <w:r/>
            <w:r>
              <w:rPr>
                <w:color w:val="10332F"/>
                <w:sz w:val="17"/>
              </w:rPr>
              <w:t>%21.62</w:t>
            </w:r>
          </w:p>
        </w:tc>
        <w:tc>
          <w:tcPr>
            <w:tcW w:type="dxa" w:w="1247"/>
          </w:tcPr>
          <w:p>
            <w:pPr>
              <w:spacing w:after="20"/>
              <w:jc w:val="center"/>
            </w:pPr>
            <w:r/>
            <w:r>
              <w:rPr>
                <w:b/>
                <w:color w:val="D32F2F"/>
                <w:sz w:val="17"/>
              </w:rPr>
              <w:t>-1.57</w:t>
            </w:r>
          </w:p>
        </w:tc>
        <w:tc>
          <w:tcPr>
            <w:tcW w:type="dxa" w:w="1474"/>
          </w:tcPr>
          <w:p>
            <w:pPr>
              <w:spacing w:after="20"/>
              <w:jc w:val="center"/>
            </w:pPr>
            <w:r/>
            <w:r>
              <w:rPr>
                <w:color w:val="10332F"/>
                <w:sz w:val="17"/>
              </w:rPr>
              <w:t>22</w:t>
            </w:r>
          </w:p>
        </w:tc>
        <w:tc>
          <w:tcPr>
            <w:tcW w:type="dxa" w:w="1247"/>
          </w:tcPr>
          <w:p>
            <w:pPr>
              <w:spacing w:after="20"/>
              <w:jc w:val="center"/>
            </w:pPr>
            <w:r/>
            <w:r>
              <w:rPr>
                <w:color w:val="10332F"/>
                <w:sz w:val="17"/>
              </w:rPr>
              <w:t>29</w:t>
            </w:r>
          </w:p>
        </w:tc>
        <w:tc>
          <w:tcPr>
            <w:tcW w:type="dxa" w:w="1077"/>
          </w:tcPr>
          <w:p>
            <w:pPr>
              <w:spacing w:after="20"/>
              <w:jc w:val="center"/>
            </w:pPr>
            <w:r/>
            <w:r>
              <w:rPr>
                <w:color w:val="10332F"/>
                <w:sz w:val="17"/>
              </w:rPr>
              <w:t>18</w:t>
            </w:r>
          </w:p>
        </w:tc>
      </w:tr>
      <w:tr>
        <w:tc>
          <w:tcPr>
            <w:tcW w:type="dxa" w:w="2268"/>
          </w:tcPr>
          <w:p>
            <w:pPr>
              <w:spacing w:after="20"/>
            </w:pPr>
            <w:r/>
            <w:r>
              <w:rPr>
                <w:color w:val="10332F"/>
                <w:sz w:val="17"/>
              </w:rPr>
              <w:t>sephora.com.tr</w:t>
            </w:r>
          </w:p>
        </w:tc>
        <w:tc>
          <w:tcPr>
            <w:tcW w:type="dxa" w:w="1304"/>
          </w:tcPr>
          <w:p>
            <w:pPr>
              <w:spacing w:after="20"/>
              <w:jc w:val="center"/>
            </w:pPr>
            <w:r/>
            <w:r>
              <w:rPr>
                <w:color w:val="10332F"/>
                <w:sz w:val="17"/>
              </w:rPr>
              <w:t>%10.43</w:t>
            </w:r>
          </w:p>
        </w:tc>
        <w:tc>
          <w:tcPr>
            <w:tcW w:type="dxa" w:w="1304"/>
          </w:tcPr>
          <w:p>
            <w:pPr>
              <w:spacing w:after="20"/>
              <w:jc w:val="center"/>
            </w:pPr>
            <w:r/>
            <w:r>
              <w:rPr>
                <w:color w:val="10332F"/>
                <w:sz w:val="17"/>
              </w:rPr>
              <w:t>%18.52</w:t>
            </w:r>
          </w:p>
        </w:tc>
        <w:tc>
          <w:tcPr>
            <w:tcW w:type="dxa" w:w="1247"/>
          </w:tcPr>
          <w:p>
            <w:pPr>
              <w:spacing w:after="20"/>
              <w:jc w:val="center"/>
            </w:pPr>
            <w:r/>
            <w:r>
              <w:rPr>
                <w:b/>
                <w:color w:val="2E7D32"/>
                <w:sz w:val="17"/>
              </w:rPr>
              <w:t>+8.09</w:t>
            </w:r>
          </w:p>
        </w:tc>
        <w:tc>
          <w:tcPr>
            <w:tcW w:type="dxa" w:w="1474"/>
          </w:tcPr>
          <w:p>
            <w:pPr>
              <w:spacing w:after="20"/>
              <w:jc w:val="center"/>
            </w:pPr>
            <w:r/>
            <w:r>
              <w:rPr>
                <w:color w:val="10332F"/>
                <w:sz w:val="17"/>
              </w:rPr>
              <w:t>12</w:t>
            </w:r>
          </w:p>
        </w:tc>
        <w:tc>
          <w:tcPr>
            <w:tcW w:type="dxa" w:w="1247"/>
          </w:tcPr>
          <w:p>
            <w:pPr>
              <w:spacing w:after="20"/>
              <w:jc w:val="center"/>
            </w:pPr>
            <w:r/>
            <w:r>
              <w:rPr>
                <w:color w:val="10332F"/>
                <w:sz w:val="17"/>
              </w:rPr>
              <w:t>17</w:t>
            </w:r>
          </w:p>
        </w:tc>
        <w:tc>
          <w:tcPr>
            <w:tcW w:type="dxa" w:w="1077"/>
          </w:tcPr>
          <w:p>
            <w:pPr>
              <w:spacing w:after="20"/>
              <w:jc w:val="center"/>
            </w:pPr>
            <w:r/>
            <w:r>
              <w:rPr>
                <w:color w:val="10332F"/>
                <w:sz w:val="17"/>
              </w:rPr>
              <w:t>6</w:t>
            </w:r>
          </w:p>
        </w:tc>
      </w:tr>
      <w:tr>
        <w:tc>
          <w:tcPr>
            <w:tcW w:type="dxa" w:w="2268"/>
          </w:tcPr>
          <w:p>
            <w:pPr>
              <w:spacing w:after="20"/>
            </w:pPr>
            <w:r/>
            <w:r>
              <w:rPr>
                <w:color w:val="10332F"/>
                <w:sz w:val="17"/>
              </w:rPr>
              <w:t>eveshop.com.tr</w:t>
            </w:r>
          </w:p>
        </w:tc>
        <w:tc>
          <w:tcPr>
            <w:tcW w:type="dxa" w:w="1304"/>
          </w:tcPr>
          <w:p>
            <w:pPr>
              <w:spacing w:after="20"/>
              <w:jc w:val="center"/>
            </w:pPr>
            <w:r/>
            <w:r>
              <w:rPr>
                <w:color w:val="10332F"/>
                <w:sz w:val="17"/>
              </w:rPr>
              <w:t>%2.39</w:t>
            </w:r>
          </w:p>
        </w:tc>
        <w:tc>
          <w:tcPr>
            <w:tcW w:type="dxa" w:w="1304"/>
          </w:tcPr>
          <w:p>
            <w:pPr>
              <w:spacing w:after="20"/>
              <w:jc w:val="center"/>
            </w:pPr>
            <w:r/>
            <w:r>
              <w:rPr>
                <w:color w:val="10332F"/>
                <w:sz w:val="17"/>
              </w:rPr>
              <w:t>%11.01</w:t>
            </w:r>
          </w:p>
        </w:tc>
        <w:tc>
          <w:tcPr>
            <w:tcW w:type="dxa" w:w="1247"/>
          </w:tcPr>
          <w:p>
            <w:pPr>
              <w:spacing w:after="20"/>
              <w:jc w:val="center"/>
            </w:pPr>
            <w:r/>
            <w:r>
              <w:rPr>
                <w:b/>
                <w:color w:val="2E7D32"/>
                <w:sz w:val="17"/>
              </w:rPr>
              <w:t>+8.62</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8</w:t>
            </w:r>
          </w:p>
        </w:tc>
        <w:tc>
          <w:tcPr>
            <w:tcW w:type="dxa" w:w="1077"/>
          </w:tcPr>
          <w:p>
            <w:pPr>
              <w:spacing w:after="20"/>
              <w:jc w:val="center"/>
            </w:pPr>
            <w:r/>
            <w:r>
              <w:rPr>
                <w:color w:val="10332F"/>
                <w:sz w:val="17"/>
              </w:rPr>
              <w:t>3</w:t>
            </w:r>
          </w:p>
        </w:tc>
      </w:tr>
      <w:tr>
        <w:tc>
          <w:tcPr>
            <w:tcW w:type="dxa" w:w="2268"/>
          </w:tcPr>
          <w:p>
            <w:pPr>
              <w:spacing w:after="20"/>
            </w:pPr>
            <w:r/>
            <w:r>
              <w:rPr>
                <w:color w:val="10332F"/>
                <w:sz w:val="17"/>
              </w:rPr>
              <w:t>flormar.com.tr</w:t>
            </w:r>
          </w:p>
        </w:tc>
        <w:tc>
          <w:tcPr>
            <w:tcW w:type="dxa" w:w="1304"/>
          </w:tcPr>
          <w:p>
            <w:pPr>
              <w:spacing w:after="20"/>
              <w:jc w:val="center"/>
            </w:pPr>
            <w:r/>
            <w:r>
              <w:rPr>
                <w:color w:val="10332F"/>
                <w:sz w:val="17"/>
              </w:rPr>
              <w:t>%11.37</w:t>
            </w:r>
          </w:p>
        </w:tc>
        <w:tc>
          <w:tcPr>
            <w:tcW w:type="dxa" w:w="1304"/>
          </w:tcPr>
          <w:p>
            <w:pPr>
              <w:spacing w:after="20"/>
              <w:jc w:val="center"/>
            </w:pPr>
            <w:r/>
            <w:r>
              <w:rPr>
                <w:color w:val="10332F"/>
                <w:sz w:val="17"/>
              </w:rPr>
              <w:t>%9.75</w:t>
            </w:r>
          </w:p>
        </w:tc>
        <w:tc>
          <w:tcPr>
            <w:tcW w:type="dxa" w:w="1247"/>
          </w:tcPr>
          <w:p>
            <w:pPr>
              <w:spacing w:after="20"/>
              <w:jc w:val="center"/>
            </w:pPr>
            <w:r/>
            <w:r>
              <w:rPr>
                <w:b/>
                <w:color w:val="D32F2F"/>
                <w:sz w:val="17"/>
              </w:rPr>
              <w:t>-1.62</w:t>
            </w:r>
          </w:p>
        </w:tc>
        <w:tc>
          <w:tcPr>
            <w:tcW w:type="dxa" w:w="1474"/>
          </w:tcPr>
          <w:p>
            <w:pPr>
              <w:spacing w:after="20"/>
              <w:jc w:val="center"/>
            </w:pPr>
            <w:r/>
            <w:r>
              <w:rPr>
                <w:color w:val="10332F"/>
                <w:sz w:val="17"/>
              </w:rPr>
              <w:t>124</w:t>
            </w:r>
          </w:p>
        </w:tc>
        <w:tc>
          <w:tcPr>
            <w:tcW w:type="dxa" w:w="1247"/>
          </w:tcPr>
          <w:p>
            <w:pPr>
              <w:spacing w:after="20"/>
              <w:jc w:val="center"/>
            </w:pPr>
            <w:r/>
            <w:r>
              <w:rPr>
                <w:color w:val="10332F"/>
                <w:sz w:val="17"/>
              </w:rPr>
              <w:t>42</w:t>
            </w:r>
          </w:p>
        </w:tc>
        <w:tc>
          <w:tcPr>
            <w:tcW w:type="dxa" w:w="1077"/>
          </w:tcPr>
          <w:p>
            <w:pPr>
              <w:spacing w:after="20"/>
              <w:jc w:val="center"/>
            </w:pPr>
            <w:r/>
            <w:r>
              <w:rPr>
                <w:color w:val="10332F"/>
                <w:sz w:val="17"/>
              </w:rPr>
              <w:t>17</w:t>
            </w:r>
          </w:p>
        </w:tc>
      </w:tr>
      <w:tr>
        <w:tc>
          <w:tcPr>
            <w:tcW w:type="dxa" w:w="2268"/>
          </w:tcPr>
          <w:p>
            <w:pPr>
              <w:spacing w:after="20"/>
            </w:pPr>
            <w:r/>
            <w:r>
              <w:rPr>
                <w:color w:val="10332F"/>
                <w:sz w:val="17"/>
              </w:rPr>
              <w:t>gratis.com</w:t>
            </w:r>
          </w:p>
        </w:tc>
        <w:tc>
          <w:tcPr>
            <w:tcW w:type="dxa" w:w="1304"/>
          </w:tcPr>
          <w:p>
            <w:pPr>
              <w:spacing w:after="20"/>
              <w:jc w:val="center"/>
            </w:pPr>
            <w:r/>
            <w:r>
              <w:rPr>
                <w:color w:val="10332F"/>
                <w:sz w:val="17"/>
              </w:rPr>
              <w:t>%20.49</w:t>
            </w:r>
          </w:p>
        </w:tc>
        <w:tc>
          <w:tcPr>
            <w:tcW w:type="dxa" w:w="1304"/>
          </w:tcPr>
          <w:p>
            <w:pPr>
              <w:spacing w:after="20"/>
              <w:jc w:val="center"/>
            </w:pPr>
            <w:r/>
            <w:r>
              <w:rPr>
                <w:color w:val="10332F"/>
                <w:sz w:val="17"/>
              </w:rPr>
              <w:t>%9.6</w:t>
            </w:r>
          </w:p>
        </w:tc>
        <w:tc>
          <w:tcPr>
            <w:tcW w:type="dxa" w:w="1247"/>
          </w:tcPr>
          <w:p>
            <w:pPr>
              <w:spacing w:after="20"/>
              <w:jc w:val="center"/>
            </w:pPr>
            <w:r/>
            <w:r>
              <w:rPr>
                <w:b/>
                <w:color w:val="D32F2F"/>
                <w:sz w:val="17"/>
              </w:rPr>
              <w:t>-10.89</w:t>
            </w:r>
          </w:p>
        </w:tc>
        <w:tc>
          <w:tcPr>
            <w:tcW w:type="dxa" w:w="1474"/>
          </w:tcPr>
          <w:p>
            <w:pPr>
              <w:spacing w:after="20"/>
              <w:jc w:val="center"/>
            </w:pPr>
            <w:r/>
            <w:r>
              <w:rPr>
                <w:color w:val="10332F"/>
                <w:sz w:val="17"/>
              </w:rPr>
              <w:t>0</w:t>
            </w:r>
          </w:p>
        </w:tc>
        <w:tc>
          <w:tcPr>
            <w:tcW w:type="dxa" w:w="1247"/>
          </w:tcPr>
          <w:p>
            <w:pPr>
              <w:spacing w:after="20"/>
              <w:jc w:val="center"/>
            </w:pPr>
            <w:r/>
            <w:r>
              <w:rPr>
                <w:color w:val="10332F"/>
                <w:sz w:val="17"/>
              </w:rPr>
              <w:t>33</w:t>
            </w:r>
          </w:p>
        </w:tc>
        <w:tc>
          <w:tcPr>
            <w:tcW w:type="dxa" w:w="1077"/>
          </w:tcPr>
          <w:p>
            <w:pPr>
              <w:spacing w:after="20"/>
              <w:jc w:val="center"/>
            </w:pPr>
            <w:r/>
            <w:r>
              <w:rPr>
                <w:color w:val="10332F"/>
                <w:sz w:val="17"/>
              </w:rPr>
              <w:t>19</w:t>
            </w:r>
          </w:p>
        </w:tc>
      </w:tr>
      <w:tr>
        <w:tc>
          <w:tcPr>
            <w:tcW w:type="dxa" w:w="2268"/>
          </w:tcPr>
          <w:p>
            <w:pPr>
              <w:spacing w:after="20"/>
            </w:pPr>
            <w:r/>
            <w:r>
              <w:rPr>
                <w:color w:val="10332F"/>
                <w:sz w:val="17"/>
              </w:rPr>
              <w:t>hepsiburada.com</w:t>
            </w:r>
          </w:p>
        </w:tc>
        <w:tc>
          <w:tcPr>
            <w:tcW w:type="dxa" w:w="1304"/>
          </w:tcPr>
          <w:p>
            <w:pPr>
              <w:spacing w:after="20"/>
              <w:jc w:val="center"/>
            </w:pPr>
            <w:r/>
            <w:r>
              <w:rPr>
                <w:color w:val="10332F"/>
                <w:sz w:val="17"/>
              </w:rPr>
              <w:t>%2.44</w:t>
            </w:r>
          </w:p>
        </w:tc>
        <w:tc>
          <w:tcPr>
            <w:tcW w:type="dxa" w:w="1304"/>
          </w:tcPr>
          <w:p>
            <w:pPr>
              <w:spacing w:after="20"/>
              <w:jc w:val="center"/>
            </w:pPr>
            <w:r/>
            <w:r>
              <w:rPr>
                <w:color w:val="10332F"/>
                <w:sz w:val="17"/>
              </w:rPr>
              <w:t>%2.19</w:t>
            </w:r>
          </w:p>
        </w:tc>
        <w:tc>
          <w:tcPr>
            <w:tcW w:type="dxa" w:w="1247"/>
          </w:tcPr>
          <w:p>
            <w:pPr>
              <w:spacing w:after="20"/>
              <w:jc w:val="center"/>
            </w:pPr>
            <w:r/>
            <w:r>
              <w:rPr>
                <w:b/>
                <w:color w:val="D32F2F"/>
                <w:sz w:val="17"/>
              </w:rPr>
              <w:t>-0.25</w:t>
            </w:r>
          </w:p>
        </w:tc>
        <w:tc>
          <w:tcPr>
            <w:tcW w:type="dxa" w:w="1474"/>
          </w:tcPr>
          <w:p>
            <w:pPr>
              <w:spacing w:after="20"/>
              <w:jc w:val="center"/>
            </w:pPr>
            <w:r/>
            <w:r>
              <w:rPr>
                <w:color w:val="10332F"/>
                <w:sz w:val="17"/>
              </w:rPr>
              <w:t>3</w:t>
            </w:r>
          </w:p>
        </w:tc>
        <w:tc>
          <w:tcPr>
            <w:tcW w:type="dxa" w:w="1247"/>
          </w:tcPr>
          <w:p>
            <w:pPr>
              <w:spacing w:after="20"/>
              <w:jc w:val="center"/>
            </w:pPr>
            <w:r/>
            <w:r>
              <w:rPr>
                <w:color w:val="10332F"/>
                <w:sz w:val="17"/>
              </w:rPr>
              <w:t>7</w:t>
            </w:r>
          </w:p>
        </w:tc>
        <w:tc>
          <w:tcPr>
            <w:tcW w:type="dxa" w:w="1077"/>
          </w:tcPr>
          <w:p>
            <w:pPr>
              <w:spacing w:after="20"/>
              <w:jc w:val="center"/>
            </w:pPr>
            <w:r/>
            <w:r>
              <w:rPr>
                <w:color w:val="10332F"/>
                <w:sz w:val="17"/>
              </w:rPr>
              <w:t>4</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Set ürün şablonunda gövde içinde kalan 33 ikinci title, listeleme ve kampanya şablonlarındaki 47 eksik H1, ürün sayfalarındaki 82 çift H1, iç bağlantı almayan 145 sayfa, sitemap dışında kalan 1.462 sayfa ve alt attribute taşımayan 4.722 görsel aynı şablon katmanında toplanmaktadır.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Spider modunda başlatıldı; JavaScript rendering açık. 33.173 adres karşılandı, 1.279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Clicks</w:t>
            </w:r>
          </w:p>
        </w:tc>
        <w:tc>
          <w:tcPr>
            <w:tcW w:type="dxa" w:w="6690"/>
          </w:tcPr>
          <w:p>
            <w:pPr>
              <w:spacing w:after="20"/>
            </w:pPr>
            <w:r/>
            <w:r>
              <w:rPr>
                <w:color w:val="10332F"/>
                <w:sz w:val="17"/>
              </w:rPr>
              <w:t>Takip edilen kelime setinde tahmini organik tıklamanın domainler arasındaki dağılım payı.</w:t>
            </w:r>
          </w:p>
        </w:tc>
      </w:tr>
      <w:tr>
        <w:tc>
          <w:tcPr>
            <w:tcW w:type="dxa" w:w="2268"/>
          </w:tcPr>
          <w:p>
            <w:pPr>
              <w:spacing w:after="20"/>
            </w:pPr>
            <w:r/>
            <w:r>
              <w:rPr>
                <w:color w:val="10332F"/>
                <w:sz w:val="17"/>
              </w:rPr>
              <w:t>Visibility</w:t>
            </w:r>
          </w:p>
        </w:tc>
        <w:tc>
          <w:tcPr>
            <w:tcW w:type="dxa" w:w="6690"/>
          </w:tcPr>
          <w:p>
            <w:pPr>
              <w:spacing w:after="20"/>
            </w:pPr>
            <w:r/>
            <w:r>
              <w:rPr>
                <w:color w:val="10332F"/>
                <w:sz w:val="17"/>
              </w:rPr>
              <w:t>Domainin takip edilen kelime setindeki görünürlük skoru; 0-100 aralığında.</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