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SEO &amp; GEO durumu</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Visibility (tüm kelimeler)</w:t>
            </w:r>
          </w:p>
        </w:tc>
        <w:tc>
          <w:tcPr>
            <w:tcW w:type="dxa" w:w="1814"/>
          </w:tcPr>
          <w:p>
            <w:pPr>
              <w:spacing w:after="20"/>
              <w:jc w:val="center"/>
            </w:pPr>
            <w:r/>
            <w:r>
              <w:rPr>
                <w:color w:val="10332F"/>
                <w:sz w:val="17"/>
              </w:rPr>
              <w:t>54.4</w:t>
            </w:r>
          </w:p>
        </w:tc>
        <w:tc>
          <w:tcPr>
            <w:tcW w:type="dxa" w:w="3969"/>
          </w:tcPr>
          <w:p>
            <w:pPr>
              <w:spacing w:after="20"/>
            </w:pPr>
            <w:r/>
            <w:r>
              <w:rPr>
                <w:color w:val="10332F"/>
                <w:sz w:val="17"/>
              </w:rPr>
              <w:t>599 takip kelimesi · mobil · -2.7</w:t>
            </w:r>
          </w:p>
        </w:tc>
      </w:tr>
      <w:tr>
        <w:tc>
          <w:tcPr>
            <w:tcW w:type="dxa" w:w="4082"/>
          </w:tcPr>
          <w:p>
            <w:pPr>
              <w:spacing w:after="20"/>
            </w:pPr>
            <w:r/>
            <w:r>
              <w:rPr>
                <w:color w:val="10332F"/>
                <w:sz w:val="17"/>
              </w:rPr>
              <w:t>Organic Share of Clicks</w:t>
            </w:r>
          </w:p>
        </w:tc>
        <w:tc>
          <w:tcPr>
            <w:tcW w:type="dxa" w:w="1814"/>
          </w:tcPr>
          <w:p>
            <w:pPr>
              <w:spacing w:after="20"/>
              <w:jc w:val="center"/>
            </w:pPr>
            <w:r/>
            <w:r>
              <w:rPr>
                <w:color w:val="10332F"/>
                <w:sz w:val="17"/>
              </w:rPr>
              <w:t>%8.7</w:t>
            </w:r>
          </w:p>
        </w:tc>
        <w:tc>
          <w:tcPr>
            <w:tcW w:type="dxa" w:w="3969"/>
          </w:tcPr>
          <w:p>
            <w:pPr>
              <w:spacing w:after="20"/>
            </w:pPr>
            <w:r/>
            <w:r>
              <w:rPr>
                <w:color w:val="10332F"/>
                <w:sz w:val="17"/>
              </w:rPr>
              <w:t>843 domain içinde 4. sıra · -0.22</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Site hızı skoru</w:t>
            </w:r>
          </w:p>
        </w:tc>
        <w:tc>
          <w:tcPr>
            <w:tcW w:type="dxa" w:w="1814"/>
          </w:tcPr>
          <w:p>
            <w:pPr>
              <w:spacing w:after="20"/>
              <w:jc w:val="center"/>
            </w:pPr>
            <w:r/>
            <w:r>
              <w:rPr>
                <w:color w:val="10332F"/>
                <w:sz w:val="17"/>
              </w:rPr>
              <w:t>Düşük</w:t>
            </w:r>
          </w:p>
        </w:tc>
        <w:tc>
          <w:tcPr>
            <w:tcW w:type="dxa" w:w="3969"/>
          </w:tcPr>
          <w:p>
            <w:pPr>
              <w:spacing w:after="20"/>
            </w:pPr>
            <w:r/>
            <w:r>
              <w:rPr>
                <w:color w:val="10332F"/>
                <w:sz w:val="17"/>
              </w:rPr>
              <w:t>CLS 0.36 eşik dışı · LCP, FCP,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%16.1</w:t>
            </w:r>
          </w:p>
        </w:tc>
        <w:tc>
          <w:tcPr>
            <w:tcW w:type="dxa" w:w="3969"/>
          </w:tcPr>
          <w:p>
            <w:pPr>
              <w:spacing w:after="20"/>
            </w:pPr>
            <w:r/>
            <w:r>
              <w:rPr>
                <w:color w:val="10332F"/>
                <w:sz w:val="17"/>
              </w:rPr>
              <w:t>Kategoride 3. sıra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Clicks </w:t>
      </w:r>
      <w:r>
        <w:rPr>
          <w:b/>
          <w:color w:val="10332F"/>
          <w:sz w:val="19"/>
        </w:rPr>
        <w:t>%8.7</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Sunucu hataları (5XX)</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 Ağu Ahrefs taramasında 13 sayfa 5XX yanıtı vermişti. 12 Ağu JavaScript render'lı taramada 5XX yanıtı görülmedi; 1.639 iç HTML adresinin tamamı 2XX, 3XX veya hız sınırlaması yanıtı taşıyor.</w:t>
            </w:r>
          </w:p>
        </w:tc>
        <w:tc>
          <w:tcPr>
            <w:tcW w:type="dxa" w:w="1134"/>
          </w:tcPr>
          <w:p>
            <w:pPr>
              <w:spacing w:after="20"/>
              <w:jc w:val="center"/>
            </w:pPr>
            <w:r/>
            <w:r>
              <w:rPr>
                <w:color w:val="10332F"/>
                <w:sz w:val="17"/>
              </w:rPr>
              <w:t>Ahrefs · Screaming Frog</w:t>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tek gerçek 404 bulunuyor: bağlantı adresine boşluk karakteri ve ikinci bir adres yapışmış (/makyaj-firca-seti/). Taramadaki 337 adet 405 yanıtı site hatası değil, hız sınırlamasıdır; örneklenen 16 adres normal istekte 200 döndü.</w:t>
            </w:r>
          </w:p>
        </w:tc>
        <w:tc>
          <w:tcPr>
            <w:tcW w:type="dxa" w:w="1134"/>
          </w:tcPr>
          <w:p>
            <w:pPr>
              <w:spacing w:after="20"/>
              <w:jc w:val="center"/>
            </w:pPr>
            <w:r/>
            <w:r>
              <w:rPr>
                <w:color w:val="10332F"/>
                <w:sz w:val="17"/>
              </w:rPr>
              <w:t>Screaming Frog · Doğrudan kontrol</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değerlendirilen 1.279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1.279 / 1.279 sayfada self-referencing canonical mevcut (%100).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site geneli taramasında kategori URL'lerinin tamamı 200 yanıtı veriyor ve canonical'lar güncel adresi işaret ediyor. Site içindeki 22 yönlendirmenin tamamı beklenen türden: www ve sonda eğik çizgi normalizasyonu, kategori birleştirmeleri (/far-paleti-ve-goz-fari/ → /goz-fari/, /kadin-parfum/ → /parfum/, /nemlendiricili-fondoten/ → /fondoten/) ve ürün adresi güncellemeleri.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Site geneli taramada 178 parametreli adres bulundu (%7.8); tamamı pagination (?page=) adresi, filtre veya sıralama parametresi oluşmuyor.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Pagination taşıyan 192 listeleme sayfasının tamamında sonraki sayfa adresi anchor etiketi içinde değil. JavaScript render'lı taramada bu adreslere yine de ulaşıldı: 54 pagination sayfası 200 yanıtıyla tarandı, ?page=11'e kadar erişildi.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95 sayfa CLS eşiğinin üzerinde.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görsellerin %99.9'unda (21.766 / 21.798) width ve height tanımı bulunmuyor. CLS'in doğrudan ana sebebi.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Site geneli taramada sayfaların %78.4'ü 1 saniyenin altında yanıt veriyor; medyan 0.87 sn, 90. persentil 1.10 sn.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 sayfada ikinci title etiketi var (%2.6) ve 33'ünün tamamında ikinci title &lt;head&gt; dışında, gövde içinde yer alıyor. Tamamı set ürün şablonunda; ikinci başlık ürün adının gövdedeki kırpılmış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 sayfada H1 yok (%3.7) ve tamamı indekslenebilir. Kapsamda anasayfa, "çok satanlar" ve koleksiyon listelemeleri (/latte-koleksiyonu/, /hande-ercelin-favorileri/), /zodiac-burcuna-gore-oje/ ve pagination sayfaları bulunuyor.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82 sayfada birden fazla H1 var (%6.4); 80'i ürün sayfası. İkinci H1 çoğunlukla aynı ürün adının marka önekli veya uzatılmış varyantı ("Flormar" önekiyle tekrar).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 geneli taramada duplicate title 842 sayfa (%65.8), duplicate H1 831 sayfa (%65.0).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meta description yalnızca 17 sayfada eksik (%1.3); tamamı kampanya, koleksiyon ve üyelik sayfası, ürün şablonunda eksik yok. Ahrefs'in render'sız taramasındaki 884 sayfalık eksik kaydı, açıklamanın render sonrası oluşmasından kaynaklanıyor.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4.722 görselde alt attribute hiç tanımlı değil (%21.7); ayrıca 10 görselde attribute var, içi boş.</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gövdesi boyutu</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21 sayfanın HTML belgesi 2 MB'ın üzerinde. Bu sayfalarda Googlebot'un indirme sınırını aşan bölüm taranmadan kalabilir.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Dış bağlantı güvenlik etiketi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1.279 sayfada yeni sekmede açılan dış bağlantılarda rel="noopener" tanımı bulunmuyor (%56.1). Ayrıca 1.271 sayfada kaynak dosyaları protokolsüz (// ile başlayan) adresle çağrılıyor.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Spider modunda ve JavaScript rendering açık çalışmıştır. 33.173 adres karşılanmış, bunların 2.280'i site içi, 30.893'ü site dışıdır (ağırlıkla CDN üzerindeki görseller). Site içi adreslerin 636'sı robots.txt ile engelli, 1.639'u HTML; HTML adreslerin 1.279'u 200 yanıtı vermiş ve indekslenebilir olarak değerlendirilmiştir. 337 adres, yoğun paralel taramaya karşı uygulanan hız sınırı nedeniyle 405 dönmüştür; örneklenen 16 adres normal istekte 200 yanıtı vermiştir. Yüzdeler 1.279 sayfalık küme üzerinden hesaplanmıştır. Ahrefs Site Audit taraması 3 Ağu 2026 tarihli olup 3.399 URL kapsar.</w:t>
      </w:r>
    </w:p>
    <w:p>
      <w:r>
        <w:br w:type="page"/>
      </w:r>
    </w:p>
    <w:p>
      <w:pPr>
        <w:spacing w:before="320" w:after="60"/>
      </w:pPr>
      <w:r>
        <w:rPr>
          <w:b/>
          <w:color w:val="10332F"/>
          <w:sz w:val="32"/>
        </w:rPr>
        <w:t>02 · Statik Kategori URL'leri</w:t>
      </w:r>
    </w:p>
    <w:p>
      <w:pPr>
        <w:spacing w:before="120" w:after="160"/>
      </w:pPr>
      <w:r>
        <w:rPr>
          <w:b/>
          <w:color w:val="E85F36"/>
          <w:sz w:val="17"/>
        </w:rPr>
        <w:t xml:space="preserve">Kaynak ve yöntem: </w:t>
      </w:r>
      <w:r>
        <w:rPr>
          <w:b w:val="0"/>
          <w:color w:val="7C8B88"/>
          <w:sz w:val="17"/>
        </w:rPr>
        <w:t>Flormar ekibinin 13 Ağu 2026 tarihinde ilettiği güncel kategori URL listesindeki 113 adresin canlı durumu. Her adres tek tek çağrılmış; HTTP yanıtı, yönlendirme hedefi ve canonical etiketi kaydedilmiştir. Ayrıca sitemap dosyaları ve site navigasyonuyla karşılaştırılmıştır.</w:t>
      </w:r>
    </w:p>
    <w:tbl>
      <w:tblPr>
        <w:tblStyle w:val="TableGrid"/>
        <w:tblW w:type="auto" w:w="0"/>
        <w:jc w:val="center"/>
        <w:tblLook w:firstColumn="1" w:firstRow="1" w:lastColumn="0" w:lastRow="0" w:noHBand="0" w:noVBand="1" w:val="04A0"/>
      </w:tblPr>
      <w:tblGrid>
        <w:gridCol w:w="5100"/>
        <w:gridCol w:w="5100"/>
      </w:tblGrid>
      <w:tr>
        <w:tc>
          <w:tcPr>
            <w:tcW w:type="dxa" w:w="4535"/>
            <w:shd w:val="clear" w:fill="434343"/>
          </w:tcPr>
          <w:p>
            <w:pPr>
              <w:jc w:val="center"/>
            </w:pPr>
            <w:r/>
            <w:r>
              <w:rPr>
                <w:b/>
                <w:color w:val="FFFFFF"/>
                <w:sz w:val="16"/>
              </w:rPr>
              <w:t>Ölçüm</w:t>
            </w:r>
          </w:p>
        </w:tc>
        <w:tc>
          <w:tcPr>
            <w:tcW w:type="dxa" w:w="2268"/>
            <w:shd w:val="clear" w:fill="434343"/>
          </w:tcPr>
          <w:p>
            <w:pPr>
              <w:jc w:val="center"/>
            </w:pPr>
            <w:r/>
            <w:r>
              <w:rPr>
                <w:b/>
                <w:color w:val="FFFFFF"/>
                <w:sz w:val="16"/>
              </w:rPr>
              <w:t>Sonuç</w:t>
            </w:r>
          </w:p>
        </w:tc>
      </w:tr>
      <w:tr>
        <w:tc>
          <w:tcPr>
            <w:tcW w:type="dxa" w:w="4535"/>
          </w:tcPr>
          <w:p>
            <w:pPr>
              <w:spacing w:after="20"/>
            </w:pPr>
            <w:r/>
            <w:r>
              <w:rPr>
                <w:color w:val="10332F"/>
                <w:sz w:val="17"/>
              </w:rPr>
              <w:t>Listedeki adres</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Yönlendirmesiz 200 yanıtı veren</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Self-referencing canonical</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Yönlendirilen adres</w:t>
            </w:r>
          </w:p>
        </w:tc>
        <w:tc>
          <w:tcPr>
            <w:tcW w:type="dxa" w:w="2268"/>
          </w:tcPr>
          <w:p>
            <w:pPr>
              <w:spacing w:after="20"/>
              <w:jc w:val="center"/>
            </w:pPr>
            <w:r/>
            <w:r>
              <w:rPr>
                <w:color w:val="10332F"/>
                <w:sz w:val="17"/>
              </w:rPr>
              <w:t>0</w:t>
            </w:r>
          </w:p>
        </w:tc>
      </w:tr>
      <w:tr>
        <w:tc>
          <w:tcPr>
            <w:tcW w:type="dxa" w:w="4535"/>
          </w:tcPr>
          <w:p>
            <w:pPr>
              <w:spacing w:after="20"/>
            </w:pPr>
            <w:r/>
            <w:r>
              <w:rPr>
                <w:color w:val="10332F"/>
                <w:sz w:val="17"/>
              </w:rPr>
              <w:t>Eski adrese dönen</w:t>
            </w:r>
          </w:p>
        </w:tc>
        <w:tc>
          <w:tcPr>
            <w:tcW w:type="dxa" w:w="2268"/>
          </w:tcPr>
          <w:p>
            <w:pPr>
              <w:spacing w:after="20"/>
              <w:jc w:val="center"/>
            </w:pPr>
            <w:r/>
            <w:r>
              <w:rPr>
                <w:color w:val="10332F"/>
                <w:sz w:val="17"/>
              </w:rPr>
              <w:t>0</w:t>
            </w:r>
          </w:p>
        </w:tc>
      </w:tr>
      <w:tr>
        <w:tc>
          <w:tcPr>
            <w:tcW w:type="dxa" w:w="4535"/>
          </w:tcPr>
          <w:p>
            <w:pPr>
              <w:spacing w:after="20"/>
            </w:pPr>
            <w:r/>
            <w:r>
              <w:rPr>
                <w:color w:val="10332F"/>
                <w:sz w:val="17"/>
              </w:rPr>
              <w:t>Sitemap kapsamı dışında kalan</w:t>
            </w:r>
          </w:p>
        </w:tc>
        <w:tc>
          <w:tcPr>
            <w:tcW w:type="dxa" w:w="2268"/>
          </w:tcPr>
          <w:p>
            <w:pPr>
              <w:spacing w:after="20"/>
              <w:jc w:val="center"/>
            </w:pPr>
            <w:r/>
            <w:r>
              <w:rPr>
                <w:color w:val="10332F"/>
                <w:sz w:val="17"/>
              </w:rPr>
              <w:t>0</w:t>
            </w:r>
          </w:p>
        </w:tc>
      </w:tr>
    </w:tbl>
    <w:p>
      <w:pPr>
        <w:spacing w:before="120" w:after="160"/>
        <w:ind w:left="198"/>
      </w:pPr>
      <w:r>
        <w:rPr>
          <w:b/>
          <w:color w:val="E85F36"/>
          <w:sz w:val="20"/>
        </w:rPr>
        <w:t xml:space="preserve">➔  </w:t>
      </w:r>
      <w:r>
        <w:rPr>
          <w:b w:val="0"/>
          <w:color w:val="10332F"/>
          <w:sz w:val="19"/>
        </w:rPr>
        <w:t xml:space="preserve">Listedeki </w:t>
      </w:r>
      <w:r>
        <w:rPr>
          <w:b/>
          <w:color w:val="10332F"/>
          <w:sz w:val="19"/>
        </w:rPr>
        <w:t>113</w:t>
      </w:r>
      <w:r>
        <w:rPr>
          <w:b w:val="0"/>
          <w:color w:val="10332F"/>
          <w:sz w:val="19"/>
        </w:rPr>
        <w:t xml:space="preserve"> adresin tamamı yönlendirmesiz </w:t>
      </w:r>
      <w:r>
        <w:rPr>
          <w:b/>
          <w:color w:val="10332F"/>
          <w:sz w:val="19"/>
        </w:rPr>
        <w:t>200</w:t>
      </w:r>
      <w:r>
        <w:rPr>
          <w:b w:val="0"/>
          <w:color w:val="10332F"/>
          <w:sz w:val="19"/>
        </w:rPr>
        <w:t xml:space="preserve"> yanıtı vermekte ve tamamında canonical etiketi kendi adresini işaret etmektedir. </w:t>
      </w:r>
      <w:r>
        <w:rPr>
          <w:b/>
          <w:color w:val="10332F"/>
          <w:sz w:val="19"/>
        </w:rPr>
        <w:t>Eski bir sürüme dönen adres bulunmamaktadır.</w:t>
      </w:r>
      <w:r>
        <w:rPr>
          <w:b w:val="0"/>
          <w:color w:val="10332F"/>
          <w:sz w:val="19"/>
        </w:rPr>
        <w:t xml:space="preserve"> Adreslerin tamamı kategori sitemap'inde yer almakta; sitemap listeden yalnızca bir adres fazla taşımaktadır (/1000-tl-alti-makyaj-setleri/).</w:t>
      </w:r>
    </w:p>
    <w:p>
      <w:pPr>
        <w:spacing w:before="120" w:after="160"/>
        <w:ind w:left="198"/>
      </w:pPr>
      <w:r>
        <w:rPr>
          <w:b/>
          <w:color w:val="E85F36"/>
          <w:sz w:val="20"/>
        </w:rPr>
        <w:t xml:space="preserve">➔  </w:t>
      </w:r>
      <w:r>
        <w:rPr>
          <w:b w:val="0"/>
          <w:color w:val="10332F"/>
          <w:sz w:val="19"/>
        </w:rPr>
        <w:t xml:space="preserve">Site navigasyonundan erişilen </w:t>
      </w:r>
      <w:r>
        <w:rPr>
          <w:b/>
          <w:color w:val="10332F"/>
          <w:sz w:val="19"/>
        </w:rPr>
        <w:t>121</w:t>
      </w:r>
      <w:r>
        <w:rPr>
          <w:b w:val="0"/>
          <w:color w:val="10332F"/>
          <w:sz w:val="19"/>
        </w:rPr>
        <w:t xml:space="preserve"> adresin tamamı dört sitemap dosyasından birinde bulunmaktadır (kategoriler, flatpages, ürünler, özel sayfalar; toplam 1.688 adres). Navigasyonda olup sitemap dışında kalan sayfa bulunmamaktadır.</w:t>
      </w:r>
    </w:p>
    <w:p>
      <w:pPr>
        <w:spacing w:before="120" w:after="160"/>
        <w:ind w:left="198"/>
      </w:pPr>
      <w:r>
        <w:rPr>
          <w:b/>
          <w:color w:val="E85F36"/>
          <w:sz w:val="20"/>
        </w:rPr>
        <w:t xml:space="preserve">➔  </w:t>
      </w:r>
      <w:r>
        <w:rPr>
          <w:b/>
          <w:color w:val="10332F"/>
          <w:sz w:val="19"/>
        </w:rPr>
        <w:t>Kapsam notu:</w:t>
      </w:r>
      <w:r>
        <w:rPr>
          <w:b w:val="0"/>
          <w:color w:val="10332F"/>
          <w:sz w:val="19"/>
        </w:rPr>
        <w:t xml:space="preserve"> Bu ölçüm tek bir zaman kesitini gösterir. Eskiye dönme tekrar eden bir davranışsa, tespiti için aynı listenin düzenli aralıklarla yeniden çağrılması gerekir; bu kontrol otomatikleştirilebilir.</w:t>
      </w:r>
    </w:p>
    <w:p>
      <w:r>
        <w:br w:type="page"/>
      </w:r>
    </w:p>
    <w:p>
      <w:pPr>
        <w:spacing w:before="320" w:after="60"/>
      </w:pPr>
      <w:r>
        <w:rPr>
          <w:b/>
          <w:color w:val="10332F"/>
          <w:sz w:val="32"/>
        </w:rPr>
        <w:t>03 · Sıralama: KPI Kelimeleri</w:t>
      </w:r>
    </w:p>
    <w:p>
      <w:pPr>
        <w:spacing w:before="240" w:after="60"/>
      </w:pPr>
      <w:r>
        <w:rPr>
          <w:b/>
          <w:color w:val="10332F"/>
          <w:sz w:val="23"/>
        </w:rPr>
        <w:t>KPI grupları</w:t>
      </w:r>
    </w:p>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Sıralamalar 11 Ağu 2026, karşılaştırma 12 Tem 2026 · Pozitif değer sıralama iyileşmesini gösterir · Mobil sıralamalar 100., masaüstü sıralamalar 20. sıraya kadar takip edilmektedir; "-" işareti bu derinlik içinde konum oluşmadığını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381"/>
            <w:shd w:val="clear" w:fill="434343"/>
          </w:tcPr>
          <w:p>
            <w:pPr>
              <w:jc w:val="center"/>
            </w:pPr>
            <w:r/>
            <w:r>
              <w:rPr>
                <w:b/>
                <w:color w:val="FFFFFF"/>
                <w:sz w:val="16"/>
              </w:rPr>
              <w:t>Domain</w:t>
            </w:r>
          </w:p>
        </w:tc>
        <w:tc>
          <w:tcPr>
            <w:tcW w:type="dxa" w:w="1361"/>
            <w:shd w:val="clear" w:fill="434343"/>
          </w:tcPr>
          <w:p>
            <w:pPr>
              <w:jc w:val="center"/>
            </w:pPr>
            <w:r/>
            <w:r>
              <w:rPr>
                <w:b/>
                <w:color w:val="FFFFFF"/>
                <w:sz w:val="16"/>
              </w:rPr>
              <w:t>Nitelik</w:t>
            </w:r>
          </w:p>
        </w:tc>
        <w:tc>
          <w:tcPr>
            <w:tcW w:type="dxa" w:w="1644"/>
            <w:shd w:val="clear" w:fill="434343"/>
          </w:tcPr>
          <w:p>
            <w:pPr>
              <w:jc w:val="center"/>
            </w:pPr>
            <w:r/>
            <w:r>
              <w:rPr>
                <w:b/>
                <w:color w:val="FFFFFF"/>
                <w:sz w:val="16"/>
              </w:rPr>
              <w:t>Share of Clicks 12 Tem</w:t>
            </w:r>
          </w:p>
        </w:tc>
        <w:tc>
          <w:tcPr>
            <w:tcW w:type="dxa" w:w="1361"/>
            <w:shd w:val="clear" w:fill="434343"/>
          </w:tcPr>
          <w:p>
            <w:pPr>
              <w:jc w:val="center"/>
            </w:pPr>
            <w:r/>
            <w:r>
              <w:rPr>
                <w:b/>
                <w:color w:val="FFFFFF"/>
                <w:sz w:val="16"/>
              </w:rPr>
              <w:t>11 Ağu</w:t>
            </w:r>
          </w:p>
        </w:tc>
        <w:tc>
          <w:tcPr>
            <w:tcW w:type="dxa" w:w="1247"/>
            <w:shd w:val="clear" w:fill="434343"/>
          </w:tcPr>
          <w:p>
            <w:pPr>
              <w:jc w:val="center"/>
            </w:pPr>
            <w:r/>
            <w:r>
              <w:rPr>
                <w:b/>
                <w:color w:val="FFFFFF"/>
                <w:sz w:val="16"/>
              </w:rPr>
              <w:t>Değişim</w:t>
            </w:r>
          </w:p>
        </w:tc>
        <w:tc>
          <w:tcPr>
            <w:tcW w:type="dxa" w:w="1361"/>
            <w:shd w:val="clear" w:fill="434343"/>
          </w:tcPr>
          <w:p>
            <w:pPr>
              <w:jc w:val="center"/>
            </w:pPr>
            <w:r/>
            <w:r>
              <w:rPr>
                <w:b/>
                <w:color w:val="FFFFFF"/>
                <w:sz w:val="16"/>
              </w:rPr>
              <w:t>Visibility 11 Ağu</w:t>
            </w:r>
          </w:p>
        </w:tc>
      </w:tr>
      <w:tr>
        <w:tc>
          <w:tcPr>
            <w:tcW w:type="dxa" w:w="2381"/>
          </w:tcPr>
          <w:p>
            <w:pPr>
              <w:spacing w:after="20"/>
            </w:pPr>
            <w:r/>
            <w:r>
              <w:rPr>
                <w:color w:val="10332F"/>
                <w:sz w:val="17"/>
              </w:rPr>
              <w:t>gratis.com</w:t>
            </w:r>
          </w:p>
        </w:tc>
        <w:tc>
          <w:tcPr>
            <w:tcW w:type="dxa" w:w="1361"/>
          </w:tcPr>
          <w:p>
            <w:pPr>
              <w:spacing w:after="20"/>
            </w:pPr>
            <w:r/>
            <w:r>
              <w:rPr>
                <w:color w:val="10332F"/>
                <w:sz w:val="17"/>
              </w:rPr>
              <w:t>Rakip</w:t>
            </w:r>
          </w:p>
        </w:tc>
        <w:tc>
          <w:tcPr>
            <w:tcW w:type="dxa" w:w="1644"/>
          </w:tcPr>
          <w:p>
            <w:pPr>
              <w:spacing w:after="20"/>
              <w:jc w:val="center"/>
            </w:pPr>
            <w:r/>
            <w:r>
              <w:rPr>
                <w:color w:val="10332F"/>
                <w:sz w:val="17"/>
              </w:rPr>
              <w:t>%15.89</w:t>
            </w:r>
          </w:p>
        </w:tc>
        <w:tc>
          <w:tcPr>
            <w:tcW w:type="dxa" w:w="1361"/>
          </w:tcPr>
          <w:p>
            <w:pPr>
              <w:spacing w:after="20"/>
              <w:jc w:val="center"/>
            </w:pPr>
            <w:r/>
            <w:r>
              <w:rPr>
                <w:color w:val="10332F"/>
                <w:sz w:val="17"/>
              </w:rPr>
              <w:t>%15.88</w:t>
            </w:r>
          </w:p>
        </w:tc>
        <w:tc>
          <w:tcPr>
            <w:tcW w:type="dxa" w:w="1247"/>
          </w:tcPr>
          <w:p>
            <w:pPr>
              <w:spacing w:after="20"/>
              <w:jc w:val="center"/>
            </w:pPr>
            <w:r/>
            <w:r>
              <w:rPr>
                <w:b/>
                <w:color w:val="D32F2F"/>
                <w:sz w:val="17"/>
              </w:rPr>
              <w:t>-0.01</w:t>
            </w:r>
          </w:p>
        </w:tc>
        <w:tc>
          <w:tcPr>
            <w:tcW w:type="dxa" w:w="1361"/>
          </w:tcPr>
          <w:p>
            <w:pPr>
              <w:spacing w:after="20"/>
              <w:jc w:val="center"/>
            </w:pPr>
            <w:r/>
            <w:r>
              <w:rPr>
                <w:color w:val="10332F"/>
                <w:sz w:val="17"/>
              </w:rPr>
              <w:t>65.7</w:t>
            </w:r>
          </w:p>
        </w:tc>
      </w:tr>
      <w:tr>
        <w:tc>
          <w:tcPr>
            <w:tcW w:type="dxa" w:w="2381"/>
          </w:tcPr>
          <w:p>
            <w:pPr>
              <w:spacing w:after="20"/>
            </w:pPr>
            <w:r/>
            <w:r>
              <w:rPr>
                <w:color w:val="10332F"/>
                <w:sz w:val="17"/>
              </w:rPr>
              <w:t>trendyol.com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%12.69</w:t>
            </w:r>
          </w:p>
        </w:tc>
        <w:tc>
          <w:tcPr>
            <w:tcW w:type="dxa" w:w="1361"/>
          </w:tcPr>
          <w:p>
            <w:pPr>
              <w:spacing w:after="20"/>
              <w:jc w:val="center"/>
            </w:pPr>
            <w:r/>
            <w:r>
              <w:rPr>
                <w:color w:val="10332F"/>
                <w:sz w:val="17"/>
              </w:rPr>
              <w:t>%15.3</w:t>
            </w:r>
          </w:p>
        </w:tc>
        <w:tc>
          <w:tcPr>
            <w:tcW w:type="dxa" w:w="1247"/>
          </w:tcPr>
          <w:p>
            <w:pPr>
              <w:spacing w:after="20"/>
              <w:jc w:val="center"/>
            </w:pPr>
            <w:r/>
            <w:r>
              <w:rPr>
                <w:b/>
                <w:color w:val="2E7D32"/>
                <w:sz w:val="17"/>
              </w:rPr>
              <w:t>+2.61</w:t>
            </w:r>
          </w:p>
        </w:tc>
        <w:tc>
          <w:tcPr>
            <w:tcW w:type="dxa" w:w="1361"/>
          </w:tcPr>
          <w:p>
            <w:pPr>
              <w:spacing w:after="20"/>
              <w:jc w:val="center"/>
            </w:pPr>
            <w:r/>
            <w:r>
              <w:rPr>
                <w:color w:val="10332F"/>
                <w:sz w:val="17"/>
              </w:rPr>
              <w:t>77.3</w:t>
            </w:r>
          </w:p>
        </w:tc>
      </w:tr>
      <w:tr>
        <w:tc>
          <w:tcPr>
            <w:tcW w:type="dxa" w:w="2381"/>
          </w:tcPr>
          <w:p>
            <w:pPr>
              <w:spacing w:after="20"/>
            </w:pPr>
            <w:r/>
            <w:r>
              <w:rPr>
                <w:color w:val="10332F"/>
                <w:sz w:val="17"/>
              </w:rPr>
              <w:t>watsons.com.tr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%10.48</w:t>
            </w:r>
          </w:p>
        </w:tc>
        <w:tc>
          <w:tcPr>
            <w:tcW w:type="dxa" w:w="1361"/>
          </w:tcPr>
          <w:p>
            <w:pPr>
              <w:spacing w:after="20"/>
              <w:jc w:val="center"/>
            </w:pPr>
            <w:r/>
            <w:r>
              <w:rPr>
                <w:color w:val="10332F"/>
                <w:sz w:val="17"/>
              </w:rPr>
              <w:t>%10.15</w:t>
            </w:r>
          </w:p>
        </w:tc>
        <w:tc>
          <w:tcPr>
            <w:tcW w:type="dxa" w:w="1247"/>
          </w:tcPr>
          <w:p>
            <w:pPr>
              <w:spacing w:after="20"/>
              <w:jc w:val="center"/>
            </w:pPr>
            <w:r/>
            <w:r>
              <w:rPr>
                <w:b/>
                <w:color w:val="D32F2F"/>
                <w:sz w:val="17"/>
              </w:rPr>
              <w:t>-0.33</w:t>
            </w:r>
          </w:p>
        </w:tc>
        <w:tc>
          <w:tcPr>
            <w:tcW w:type="dxa" w:w="1361"/>
          </w:tcPr>
          <w:p>
            <w:pPr>
              <w:spacing w:after="20"/>
              <w:jc w:val="center"/>
            </w:pPr>
            <w:r/>
            <w:r>
              <w:rPr>
                <w:color w:val="10332F"/>
                <w:sz w:val="17"/>
              </w:rPr>
              <w:t>66.4</w:t>
            </w:r>
          </w:p>
        </w:tc>
      </w:tr>
      <w:tr>
        <w:tc>
          <w:tcPr>
            <w:tcW w:type="dxa" w:w="2381"/>
          </w:tcPr>
          <w:p>
            <w:pPr>
              <w:spacing w:after="20"/>
            </w:pPr>
            <w:r/>
            <w:r>
              <w:rPr>
                <w:color w:val="10332F"/>
                <w:sz w:val="17"/>
              </w:rPr>
              <w:t>flormar.com.tr</w:t>
            </w:r>
          </w:p>
        </w:tc>
        <w:tc>
          <w:tcPr>
            <w:tcW w:type="dxa" w:w="1361"/>
          </w:tcPr>
          <w:p>
            <w:pPr>
              <w:spacing w:after="20"/>
            </w:pPr>
            <w:r/>
            <w:r>
              <w:rPr>
                <w:color w:val="10332F"/>
                <w:sz w:val="17"/>
              </w:rPr>
              <w:t>Flormar</w:t>
            </w:r>
          </w:p>
        </w:tc>
        <w:tc>
          <w:tcPr>
            <w:tcW w:type="dxa" w:w="1644"/>
          </w:tcPr>
          <w:p>
            <w:pPr>
              <w:spacing w:after="20"/>
              <w:jc w:val="center"/>
            </w:pPr>
            <w:r/>
            <w:r>
              <w:rPr>
                <w:color w:val="10332F"/>
                <w:sz w:val="17"/>
              </w:rPr>
              <w:t>%8.93</w:t>
            </w:r>
          </w:p>
        </w:tc>
        <w:tc>
          <w:tcPr>
            <w:tcW w:type="dxa" w:w="1361"/>
          </w:tcPr>
          <w:p>
            <w:pPr>
              <w:spacing w:after="20"/>
              <w:jc w:val="center"/>
            </w:pPr>
            <w:r/>
            <w:r>
              <w:rPr>
                <w:color w:val="10332F"/>
                <w:sz w:val="17"/>
              </w:rPr>
              <w:t>%8.71</w:t>
            </w:r>
          </w:p>
        </w:tc>
        <w:tc>
          <w:tcPr>
            <w:tcW w:type="dxa" w:w="1247"/>
          </w:tcPr>
          <w:p>
            <w:pPr>
              <w:spacing w:after="20"/>
              <w:jc w:val="center"/>
            </w:pPr>
            <w:r/>
            <w:r>
              <w:rPr>
                <w:b/>
                <w:color w:val="D32F2F"/>
                <w:sz w:val="17"/>
              </w:rPr>
              <w:t>-0.22</w:t>
            </w:r>
          </w:p>
        </w:tc>
        <w:tc>
          <w:tcPr>
            <w:tcW w:type="dxa" w:w="1361"/>
          </w:tcPr>
          <w:p>
            <w:pPr>
              <w:spacing w:after="20"/>
              <w:jc w:val="center"/>
            </w:pPr>
            <w:r/>
            <w:r>
              <w:rPr>
                <w:color w:val="10332F"/>
                <w:sz w:val="17"/>
              </w:rPr>
              <w:t>54.4</w:t>
            </w:r>
          </w:p>
        </w:tc>
      </w:tr>
      <w:tr>
        <w:tc>
          <w:tcPr>
            <w:tcW w:type="dxa" w:w="2381"/>
          </w:tcPr>
          <w:p>
            <w:pPr>
              <w:spacing w:after="20"/>
            </w:pPr>
            <w:r/>
            <w:r>
              <w:rPr>
                <w:color w:val="10332F"/>
                <w:sz w:val="17"/>
              </w:rPr>
              <w:t>sephora.com.tr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%6.77</w:t>
            </w:r>
          </w:p>
        </w:tc>
        <w:tc>
          <w:tcPr>
            <w:tcW w:type="dxa" w:w="1361"/>
          </w:tcPr>
          <w:p>
            <w:pPr>
              <w:spacing w:after="20"/>
              <w:jc w:val="center"/>
            </w:pPr>
            <w:r/>
            <w:r>
              <w:rPr>
                <w:color w:val="10332F"/>
                <w:sz w:val="17"/>
              </w:rPr>
              <w:t>%5.87</w:t>
            </w:r>
          </w:p>
        </w:tc>
        <w:tc>
          <w:tcPr>
            <w:tcW w:type="dxa" w:w="1247"/>
          </w:tcPr>
          <w:p>
            <w:pPr>
              <w:spacing w:after="20"/>
              <w:jc w:val="center"/>
            </w:pPr>
            <w:r/>
            <w:r>
              <w:rPr>
                <w:b/>
                <w:color w:val="D32F2F"/>
                <w:sz w:val="17"/>
              </w:rPr>
              <w:t>-0.9</w:t>
            </w:r>
          </w:p>
        </w:tc>
        <w:tc>
          <w:tcPr>
            <w:tcW w:type="dxa" w:w="1361"/>
          </w:tcPr>
          <w:p>
            <w:pPr>
              <w:spacing w:after="20"/>
              <w:jc w:val="center"/>
            </w:pPr>
            <w:r/>
            <w:r>
              <w:rPr>
                <w:color w:val="10332F"/>
                <w:sz w:val="17"/>
              </w:rPr>
              <w:t>38.3</w:t>
            </w:r>
          </w:p>
        </w:tc>
      </w:tr>
      <w:tr>
        <w:tc>
          <w:tcPr>
            <w:tcW w:type="dxa" w:w="2381"/>
          </w:tcPr>
          <w:p>
            <w:pPr>
              <w:spacing w:after="20"/>
            </w:pPr>
            <w:r/>
            <w:r>
              <w:rPr>
                <w:color w:val="10332F"/>
                <w:sz w:val="17"/>
              </w:rPr>
              <w:t>shop.goldenrose.com.tr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w:t>
            </w:r>
          </w:p>
        </w:tc>
        <w:tc>
          <w:tcPr>
            <w:tcW w:type="dxa" w:w="1361"/>
          </w:tcPr>
          <w:p>
            <w:pPr>
              <w:spacing w:after="20"/>
              <w:jc w:val="center"/>
            </w:pPr>
            <w:r/>
            <w:r>
              <w:rPr>
                <w:color w:val="10332F"/>
                <w:sz w:val="17"/>
              </w:rPr>
              <w:t>%1.32</w:t>
            </w:r>
          </w:p>
        </w:tc>
        <w:tc>
          <w:tcPr>
            <w:tcW w:type="dxa" w:w="1247"/>
          </w:tcPr>
          <w:p>
            <w:pPr>
              <w:spacing w:after="20"/>
              <w:jc w:val="center"/>
            </w:pPr>
            <w:r/>
            <w:r>
              <w:rPr>
                <w:color w:val="10332F"/>
                <w:sz w:val="17"/>
              </w:rPr>
              <w:t>-</w:t>
            </w:r>
          </w:p>
        </w:tc>
        <w:tc>
          <w:tcPr>
            <w:tcW w:type="dxa" w:w="1361"/>
          </w:tcPr>
          <w:p>
            <w:pPr>
              <w:spacing w:after="20"/>
              <w:jc w:val="center"/>
            </w:pPr>
            <w:r/>
            <w:r>
              <w:rPr>
                <w:color w:val="10332F"/>
                <w:sz w:val="17"/>
              </w:rPr>
              <w:t>24.2</w:t>
            </w:r>
          </w:p>
        </w:tc>
      </w:tr>
      <w:tr>
        <w:tc>
          <w:tcPr>
            <w:tcW w:type="dxa" w:w="2381"/>
          </w:tcPr>
          <w:p>
            <w:pPr>
              <w:spacing w:after="20"/>
            </w:pPr>
            <w:r/>
            <w:r>
              <w:rPr>
                <w:color w:val="10332F"/>
                <w:sz w:val="17"/>
              </w:rPr>
              <w:t>kikomilano.com.tr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%1.85</w:t>
            </w:r>
          </w:p>
        </w:tc>
        <w:tc>
          <w:tcPr>
            <w:tcW w:type="dxa" w:w="1361"/>
          </w:tcPr>
          <w:p>
            <w:pPr>
              <w:spacing w:after="20"/>
              <w:jc w:val="center"/>
            </w:pPr>
            <w:r/>
            <w:r>
              <w:rPr>
                <w:color w:val="10332F"/>
                <w:sz w:val="17"/>
              </w:rPr>
              <w:t>%1.54</w:t>
            </w:r>
          </w:p>
        </w:tc>
        <w:tc>
          <w:tcPr>
            <w:tcW w:type="dxa" w:w="1247"/>
          </w:tcPr>
          <w:p>
            <w:pPr>
              <w:spacing w:after="20"/>
              <w:jc w:val="center"/>
            </w:pPr>
            <w:r/>
            <w:r>
              <w:rPr>
                <w:b/>
                <w:color w:val="D32F2F"/>
                <w:sz w:val="17"/>
              </w:rPr>
              <w:t>-0.31</w:t>
            </w:r>
          </w:p>
        </w:tc>
        <w:tc>
          <w:tcPr>
            <w:tcW w:type="dxa" w:w="1361"/>
          </w:tcPr>
          <w:p>
            <w:pPr>
              <w:spacing w:after="20"/>
              <w:jc w:val="center"/>
            </w:pPr>
            <w:r/>
            <w:r>
              <w:rPr>
                <w:color w:val="10332F"/>
                <w:sz w:val="17"/>
              </w:rPr>
              <w:t>22.3</w:t>
            </w:r>
          </w:p>
        </w:tc>
      </w:tr>
      <w:tr>
        <w:tc>
          <w:tcPr>
            <w:tcW w:type="dxa" w:w="2381"/>
          </w:tcPr>
          <w:p>
            <w:pPr>
              <w:spacing w:after="20"/>
            </w:pPr>
            <w:r/>
            <w:r>
              <w:rPr>
                <w:color w:val="10332F"/>
                <w:sz w:val="17"/>
              </w:rPr>
              <w:t>hepsiburada.com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%2.35</w:t>
            </w:r>
          </w:p>
        </w:tc>
        <w:tc>
          <w:tcPr>
            <w:tcW w:type="dxa" w:w="1361"/>
          </w:tcPr>
          <w:p>
            <w:pPr>
              <w:spacing w:after="20"/>
              <w:jc w:val="center"/>
            </w:pPr>
            <w:r/>
            <w:r>
              <w:rPr>
                <w:color w:val="10332F"/>
                <w:sz w:val="17"/>
              </w:rPr>
              <w:t>%1.98</w:t>
            </w:r>
          </w:p>
        </w:tc>
        <w:tc>
          <w:tcPr>
            <w:tcW w:type="dxa" w:w="1247"/>
          </w:tcPr>
          <w:p>
            <w:pPr>
              <w:spacing w:after="20"/>
              <w:jc w:val="center"/>
            </w:pPr>
            <w:r/>
            <w:r>
              <w:rPr>
                <w:b/>
                <w:color w:val="D32F2F"/>
                <w:sz w:val="17"/>
              </w:rPr>
              <w:t>-0.37</w:t>
            </w:r>
          </w:p>
        </w:tc>
        <w:tc>
          <w:tcPr>
            <w:tcW w:type="dxa" w:w="1361"/>
          </w:tcPr>
          <w:p>
            <w:pPr>
              <w:spacing w:after="20"/>
              <w:jc w:val="center"/>
            </w:pPr>
            <w:r/>
            <w:r>
              <w:rPr>
                <w:color w:val="10332F"/>
                <w:sz w:val="17"/>
              </w:rPr>
              <w:t>20.3</w:t>
            </w:r>
          </w:p>
        </w:tc>
      </w:tr>
      <w:tr>
        <w:tc>
          <w:tcPr>
            <w:tcW w:type="dxa" w:w="2381"/>
          </w:tcPr>
          <w:p>
            <w:pPr>
              <w:spacing w:after="20"/>
            </w:pPr>
            <w:r/>
            <w:r>
              <w:rPr>
                <w:color w:val="10332F"/>
                <w:sz w:val="17"/>
              </w:rPr>
              <w:t>yvesrocher.com.tr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%1.89</w:t>
            </w:r>
          </w:p>
        </w:tc>
        <w:tc>
          <w:tcPr>
            <w:tcW w:type="dxa" w:w="1361"/>
          </w:tcPr>
          <w:p>
            <w:pPr>
              <w:spacing w:after="20"/>
              <w:jc w:val="center"/>
            </w:pPr>
            <w:r/>
            <w:r>
              <w:rPr>
                <w:color w:val="10332F"/>
                <w:sz w:val="17"/>
              </w:rPr>
              <w:t>%1.41</w:t>
            </w:r>
          </w:p>
        </w:tc>
        <w:tc>
          <w:tcPr>
            <w:tcW w:type="dxa" w:w="1247"/>
          </w:tcPr>
          <w:p>
            <w:pPr>
              <w:spacing w:after="20"/>
              <w:jc w:val="center"/>
            </w:pPr>
            <w:r/>
            <w:r>
              <w:rPr>
                <w:b/>
                <w:color w:val="D32F2F"/>
                <w:sz w:val="17"/>
              </w:rPr>
              <w:t>-0.48</w:t>
            </w:r>
          </w:p>
        </w:tc>
        <w:tc>
          <w:tcPr>
            <w:tcW w:type="dxa" w:w="1361"/>
          </w:tcPr>
          <w:p>
            <w:pPr>
              <w:spacing w:after="20"/>
              <w:jc w:val="center"/>
            </w:pPr>
            <w:r/>
            <w:r>
              <w:rPr>
                <w:color w:val="10332F"/>
                <w:sz w:val="17"/>
              </w:rPr>
              <w:t>17.4</w:t>
            </w:r>
          </w:p>
        </w:tc>
      </w:tr>
    </w:tbl>
    <w:p>
      <w:pPr>
        <w:spacing w:before="0" w:after="180"/>
      </w:pPr>
      <w:r>
        <w:rPr>
          <w:b w:val="0"/>
          <w:color w:val="7C8B88"/>
          <w:sz w:val="16"/>
        </w:rPr>
        <w:t>Kaynak: SEOmonitor · mobil · 599 takip kelimesi · Share of Clicks tahmini organik tıklama payıdır, Visibility domainin kendi görünürlük skorudur</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+2.61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04 ·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05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814"/>
            <w:shd w:val="clear" w:fill="434343"/>
          </w:tcPr>
          <w:p>
            <w:pPr>
              <w:jc w:val="center"/>
            </w:pPr>
            <w:r/>
            <w:r>
              <w:rPr>
                <w:b/>
                <w:color w:val="FFFFFF"/>
                <w:sz w:val="16"/>
              </w:rPr>
              <w:t>Ölçüm</w:t>
            </w:r>
          </w:p>
        </w:tc>
        <w:tc>
          <w:tcPr>
            <w:tcW w:type="dxa" w:w="1474"/>
            <w:shd w:val="clear" w:fill="434343"/>
          </w:tcPr>
          <w:p>
            <w:pPr>
              <w:jc w:val="center"/>
            </w:pPr>
            <w:r/>
            <w:r>
              <w:rPr>
                <w:b/>
                <w:color w:val="FFFFFF"/>
                <w:sz w:val="16"/>
              </w:rPr>
              <w:t>Flormar</w:t>
            </w:r>
          </w:p>
        </w:tc>
        <w:tc>
          <w:tcPr>
            <w:tcW w:type="dxa" w:w="2835"/>
            <w:shd w:val="clear" w:fill="434343"/>
          </w:tcPr>
          <w:p>
            <w:pPr>
              <w:jc w:val="center"/>
            </w:pPr>
            <w:r/>
            <w:r>
              <w:rPr>
                <w:b/>
                <w:color w:val="FFFFFF"/>
                <w:sz w:val="16"/>
              </w:rPr>
              <w:t>Kategori tablosu</w:t>
            </w:r>
          </w:p>
        </w:tc>
        <w:tc>
          <w:tcPr>
            <w:tcW w:type="dxa" w:w="1587"/>
            <w:shd w:val="clear" w:fill="434343"/>
          </w:tcPr>
          <w:p>
            <w:pPr>
              <w:jc w:val="center"/>
            </w:pPr>
            <w:r/>
            <w:r>
              <w:rPr>
                <w:b/>
                <w:color w:val="FFFFFF"/>
                <w:sz w:val="16"/>
              </w:rPr>
              <w:t>Kaynak</w:t>
            </w:r>
          </w:p>
        </w:tc>
        <w:tc>
          <w:tcPr>
            <w:tcW w:type="dxa" w:w="2154"/>
            <w:shd w:val="clear" w:fill="434343"/>
          </w:tcPr>
          <w:p>
            <w:pPr>
              <w:jc w:val="center"/>
            </w:pPr>
            <w:r/>
            <w:r>
              <w:rPr>
                <w:b/>
                <w:color w:val="FFFFFF"/>
                <w:sz w:val="16"/>
              </w:rPr>
              <w:t>Dönem ve kapsam</w:t>
            </w:r>
          </w:p>
        </w:tc>
      </w:tr>
      <w:tr>
        <w:tc>
          <w:tcPr>
            <w:tcW w:type="dxa" w:w="1814"/>
          </w:tcPr>
          <w:p>
            <w:pPr>
              <w:spacing w:after="20"/>
            </w:pPr>
            <w:r/>
            <w:r>
              <w:rPr>
                <w:color w:val="10332F"/>
                <w:sz w:val="17"/>
              </w:rPr>
              <w:t>AI yanıtlarında marka değinmesi</w:t>
            </w:r>
          </w:p>
        </w:tc>
        <w:tc>
          <w:tcPr>
            <w:tcW w:type="dxa" w:w="1474"/>
          </w:tcPr>
          <w:p>
            <w:pPr>
              <w:spacing w:after="20"/>
            </w:pPr>
            <w:r/>
            <w:r>
              <w:rPr>
                <w:color w:val="10332F"/>
                <w:sz w:val="17"/>
              </w:rPr>
              <w:t>211 değinme · 1. sıra</w:t>
            </w:r>
          </w:p>
        </w:tc>
        <w:tc>
          <w:tcPr>
            <w:tcW w:type="dxa" w:w="2835"/>
          </w:tcPr>
          <w:p>
            <w:pPr>
              <w:spacing w:after="20"/>
            </w:pPr>
            <w:r/>
            <w:r>
              <w:rPr>
                <w:color w:val="10332F"/>
                <w:sz w:val="17"/>
              </w:rPr>
              <w:t>Maybelline 187 · Golden Rose 124 · Watsons 108 · Trendyol 94 · NYX 80</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100 aktif prompt · 505 taranan yanıt</w:t>
            </w:r>
          </w:p>
        </w:tc>
      </w:tr>
      <w:tr>
        <w:tc>
          <w:tcPr>
            <w:tcW w:type="dxa" w:w="1814"/>
          </w:tcPr>
          <w:p>
            <w:pPr>
              <w:spacing w:after="20"/>
            </w:pPr>
            <w:r/>
            <w:r>
              <w:rPr>
                <w:color w:val="10332F"/>
                <w:sz w:val="17"/>
              </w:rPr>
              <w:t>AI Search Share of Voice</w:t>
            </w:r>
          </w:p>
        </w:tc>
        <w:tc>
          <w:tcPr>
            <w:tcW w:type="dxa" w:w="1474"/>
          </w:tcPr>
          <w:p>
            <w:pPr>
              <w:spacing w:after="20"/>
            </w:pPr>
            <w:r/>
            <w:r>
              <w:rPr>
                <w:color w:val="10332F"/>
                <w:sz w:val="17"/>
              </w:rPr>
              <w:t>%16.1 · 3. sıra</w:t>
            </w:r>
          </w:p>
        </w:tc>
        <w:tc>
          <w:tcPr>
            <w:tcW w:type="dxa" w:w="2835"/>
          </w:tcPr>
          <w:p>
            <w:pPr>
              <w:spacing w:after="20"/>
            </w:pPr>
            <w:r/>
            <w:r>
              <w:rPr>
                <w:color w:val="10332F"/>
                <w:sz w:val="17"/>
              </w:rPr>
              <w:t>watsons.com.tr %19.5 · trendyol.com %17.4 · sephora.com.tr %15.0 · rossmann.com.tr %11.6</w:t>
            </w:r>
          </w:p>
        </w:tc>
        <w:tc>
          <w:tcPr>
            <w:tcW w:type="dxa" w:w="1587"/>
          </w:tcPr>
          <w:p>
            <w:pPr>
              <w:spacing w:after="20"/>
            </w:pPr>
            <w:r/>
            <w:r>
              <w:rPr>
                <w:color w:val="10332F"/>
                <w:sz w:val="17"/>
              </w:rPr>
              <w:t>SEOmonitor AI Search</w:t>
            </w:r>
          </w:p>
        </w:tc>
        <w:tc>
          <w:tcPr>
            <w:tcW w:type="dxa" w:w="2154"/>
          </w:tcPr>
          <w:p>
            <w:pPr>
              <w:spacing w:after="20"/>
            </w:pPr>
            <w:r/>
            <w:r>
              <w:rPr>
                <w:color w:val="10332F"/>
                <w:sz w:val="17"/>
              </w:rPr>
              <w:t>11 Ağu 2026 · sağlayıcı: OpenAI · 599 takip kelimesi</w:t>
            </w:r>
          </w:p>
        </w:tc>
      </w:tr>
      <w:tr>
        <w:tc>
          <w:tcPr>
            <w:tcW w:type="dxa" w:w="1814"/>
          </w:tcPr>
          <w:p>
            <w:pPr>
              <w:spacing w:after="20"/>
            </w:pPr>
            <w:r/>
            <w:r>
              <w:rPr>
                <w:color w:val="10332F"/>
                <w:sz w:val="17"/>
              </w:rPr>
              <w:t>AI Overview Share of Voice</w:t>
            </w:r>
          </w:p>
        </w:tc>
        <w:tc>
          <w:tcPr>
            <w:tcW w:type="dxa" w:w="1474"/>
          </w:tcPr>
          <w:p>
            <w:pPr>
              <w:spacing w:after="20"/>
            </w:pPr>
            <w:r/>
            <w:r>
              <w:rPr>
                <w:color w:val="10332F"/>
                <w:sz w:val="17"/>
              </w:rPr>
              <w:t>%9.7 · 5. sıra</w:t>
            </w:r>
          </w:p>
        </w:tc>
        <w:tc>
          <w:tcPr>
            <w:tcW w:type="dxa" w:w="2835"/>
          </w:tcPr>
          <w:p>
            <w:pPr>
              <w:spacing w:after="20"/>
            </w:pPr>
            <w:r/>
            <w:r>
              <w:rPr>
                <w:color w:val="10332F"/>
                <w:sz w:val="17"/>
              </w:rPr>
              <w:t>trendyol.com %27.0 · watsons.com.tr %21.6 · sephora.com.tr %18.5 · eveshop.com.tr %11.0</w:t>
            </w:r>
          </w:p>
        </w:tc>
        <w:tc>
          <w:tcPr>
            <w:tcW w:type="dxa" w:w="1587"/>
          </w:tcPr>
          <w:p>
            <w:pPr>
              <w:spacing w:after="20"/>
            </w:pPr>
            <w:r/>
            <w:r>
              <w:rPr>
                <w:color w:val="10332F"/>
                <w:sz w:val="17"/>
              </w:rPr>
              <w:t>SEOmonitor AI Overview</w:t>
            </w:r>
          </w:p>
        </w:tc>
        <w:tc>
          <w:tcPr>
            <w:tcW w:type="dxa" w:w="2154"/>
          </w:tcPr>
          <w:p>
            <w:pPr>
              <w:spacing w:after="20"/>
            </w:pPr>
            <w:r/>
            <w:r>
              <w:rPr>
                <w:color w:val="10332F"/>
                <w:sz w:val="17"/>
              </w:rPr>
              <w:t>11 Ağu 2026 · 599 takip kelimesi</w:t>
            </w:r>
          </w:p>
        </w:tc>
      </w:tr>
      <w:tr>
        <w:tc>
          <w:tcPr>
            <w:tcW w:type="dxa" w:w="1814"/>
          </w:tcPr>
          <w:p>
            <w:pPr>
              <w:spacing w:after="20"/>
            </w:pPr>
            <w:r/>
            <w:r>
              <w:rPr>
                <w:color w:val="10332F"/>
                <w:sz w:val="17"/>
              </w:rPr>
              <w:t>Kaynak olarak atıf (citation)</w:t>
            </w:r>
          </w:p>
        </w:tc>
        <w:tc>
          <w:tcPr>
            <w:tcW w:type="dxa" w:w="1474"/>
          </w:tcPr>
          <w:p>
            <w:pPr>
              <w:spacing w:after="20"/>
            </w:pPr>
            <w:r/>
            <w:r>
              <w:rPr>
                <w:color w:val="10332F"/>
                <w:sz w:val="17"/>
              </w:rPr>
              <w:t>114 atıf · 6. sıra</w:t>
            </w:r>
          </w:p>
        </w:tc>
        <w:tc>
          <w:tcPr>
            <w:tcW w:type="dxa" w:w="2835"/>
          </w:tcPr>
          <w:p>
            <w:pPr>
              <w:spacing w:after="20"/>
            </w:pPr>
            <w:r/>
            <w:r>
              <w:rPr>
                <w:color w:val="10332F"/>
                <w:sz w:val="17"/>
              </w:rPr>
              <w:t>trendyol.com 359 · makyajtrendi.com 197 · watsons.com.tr 180 · instagram.com 178 · sephora.com.tr 117</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atıf verilen kaynak domainleri</w:t>
            </w:r>
          </w:p>
        </w:tc>
      </w:tr>
    </w:tbl>
    <w:p>
      <w:pPr>
        <w:spacing w:before="120" w:after="160"/>
        <w:ind w:left="198"/>
      </w:pPr>
      <w:r>
        <w:rPr>
          <w:b/>
          <w:color w:val="E85F36"/>
          <w:sz w:val="20"/>
        </w:rPr>
        <w:t xml:space="preserve">➔  </w:t>
      </w:r>
      <w:r>
        <w:rPr>
          <w:b w:val="0"/>
          <w:color w:val="10332F"/>
          <w:sz w:val="19"/>
        </w:rPr>
        <w:t xml:space="preserve">Marka </w:t>
      </w:r>
      <w:r>
        <w:rPr>
          <w:b/>
          <w:color w:val="10332F"/>
          <w:sz w:val="19"/>
        </w:rPr>
        <w:t>anılma</w:t>
      </w:r>
      <w:r>
        <w:rPr>
          <w:b w:val="0"/>
          <w:color w:val="10332F"/>
          <w:sz w:val="19"/>
        </w:rPr>
        <w:t xml:space="preserve"> tarafında kategoride önde yer alınmaktadır: AI yanıtlarında 211 değinme ile en yakın rakibin (Maybelline, 187) üzerindedir. </w:t>
      </w:r>
      <w:r>
        <w:rPr>
          <w:b/>
          <w:color w:val="10332F"/>
          <w:sz w:val="19"/>
        </w:rPr>
        <w:t>Kaynak gösterilme</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ve görünüm metrikleri</w:t>
      </w:r>
    </w:p>
    <w:tbl>
      <w:tblPr>
        <w:tblStyle w:val="TableGrid"/>
        <w:tblW w:type="auto" w:w="0"/>
        <w:jc w:val="center"/>
        <w:tblLook w:firstColumn="1" w:firstRow="1" w:lastColumn="0" w:lastRow="0" w:noHBand="0" w:noVBand="1" w:val="04A0"/>
      </w:tblPr>
      <w:tblGrid>
        <w:gridCol w:w="1457"/>
        <w:gridCol w:w="1457"/>
        <w:gridCol w:w="1457"/>
        <w:gridCol w:w="1457"/>
        <w:gridCol w:w="1457"/>
        <w:gridCol w:w="1457"/>
        <w:gridCol w:w="1457"/>
      </w:tblGrid>
      <w:tr>
        <w:tc>
          <w:tcPr>
            <w:tcW w:type="dxa" w:w="2268"/>
            <w:shd w:val="clear" w:fill="434343"/>
          </w:tcPr>
          <w:p>
            <w:pPr>
              <w:jc w:val="center"/>
            </w:pPr>
            <w:r/>
            <w:r>
              <w:rPr>
                <w:b/>
                <w:color w:val="FFFFFF"/>
                <w:sz w:val="16"/>
              </w:rPr>
              <w:t>Domain</w:t>
            </w:r>
          </w:p>
        </w:tc>
        <w:tc>
          <w:tcPr>
            <w:tcW w:type="dxa" w:w="1304"/>
            <w:shd w:val="clear" w:fill="434343"/>
          </w:tcPr>
          <w:p>
            <w:pPr>
              <w:jc w:val="center"/>
            </w:pPr>
            <w:r/>
            <w:r>
              <w:rPr>
                <w:b/>
                <w:color w:val="FFFFFF"/>
                <w:sz w:val="16"/>
              </w:rPr>
              <w:t>SoV 12 Tem</w:t>
            </w:r>
          </w:p>
        </w:tc>
        <w:tc>
          <w:tcPr>
            <w:tcW w:type="dxa" w:w="1304"/>
            <w:shd w:val="clear" w:fill="434343"/>
          </w:tcPr>
          <w:p>
            <w:pPr>
              <w:jc w:val="center"/>
            </w:pPr>
            <w:r/>
            <w:r>
              <w:rPr>
                <w:b/>
                <w:color w:val="FFFFFF"/>
                <w:sz w:val="16"/>
              </w:rPr>
              <w:t>SoV 11 Ağu</w:t>
            </w:r>
          </w:p>
        </w:tc>
        <w:tc>
          <w:tcPr>
            <w:tcW w:type="dxa" w:w="1247"/>
            <w:shd w:val="clear" w:fill="434343"/>
          </w:tcPr>
          <w:p>
            <w:pPr>
              <w:jc w:val="center"/>
            </w:pPr>
            <w:r/>
            <w:r>
              <w:rPr>
                <w:b/>
                <w:color w:val="FFFFFF"/>
                <w:sz w:val="16"/>
              </w:rPr>
              <w:t>Değişim</w:t>
            </w:r>
          </w:p>
        </w:tc>
        <w:tc>
          <w:tcPr>
            <w:tcW w:type="dxa" w:w="1474"/>
            <w:shd w:val="clear" w:fill="434343"/>
          </w:tcPr>
          <w:p>
            <w:pPr>
              <w:jc w:val="center"/>
            </w:pPr>
            <w:r/>
            <w:r>
              <w:rPr>
                <w:b/>
                <w:color w:val="FFFFFF"/>
                <w:sz w:val="16"/>
              </w:rPr>
              <w:t>Marka anılması</w:t>
            </w:r>
          </w:p>
        </w:tc>
        <w:tc>
          <w:tcPr>
            <w:tcW w:type="dxa" w:w="1247"/>
            <w:shd w:val="clear" w:fill="434343"/>
          </w:tcPr>
          <w:p>
            <w:pPr>
              <w:jc w:val="center"/>
            </w:pPr>
            <w:r/>
            <w:r>
              <w:rPr>
                <w:b/>
                <w:color w:val="FFFFFF"/>
                <w:sz w:val="16"/>
              </w:rPr>
              <w:t>Marka atfı</w:t>
            </w:r>
          </w:p>
        </w:tc>
        <w:tc>
          <w:tcPr>
            <w:tcW w:type="dxa" w:w="1077"/>
            <w:shd w:val="clear" w:fill="434343"/>
          </w:tcPr>
          <w:p>
            <w:pPr>
              <w:jc w:val="center"/>
            </w:pPr>
            <w:r/>
            <w:r>
              <w:rPr>
                <w:b/>
                <w:color w:val="FFFFFF"/>
                <w:sz w:val="16"/>
              </w:rPr>
              <w:t>Site atfı</w:t>
            </w:r>
          </w:p>
        </w:tc>
      </w:tr>
      <w:tr>
        <w:tc>
          <w:tcPr>
            <w:tcW w:type="dxa" w:w="2268"/>
          </w:tcPr>
          <w:p>
            <w:pPr>
              <w:spacing w:after="20"/>
            </w:pPr>
            <w:r/>
            <w:r>
              <w:rPr>
                <w:color w:val="10332F"/>
                <w:sz w:val="17"/>
              </w:rPr>
              <w:t>trendyol.com</w:t>
            </w:r>
          </w:p>
        </w:tc>
        <w:tc>
          <w:tcPr>
            <w:tcW w:type="dxa" w:w="1304"/>
          </w:tcPr>
          <w:p>
            <w:pPr>
              <w:spacing w:after="20"/>
              <w:jc w:val="center"/>
            </w:pPr>
            <w:r/>
            <w:r>
              <w:rPr>
                <w:color w:val="10332F"/>
                <w:sz w:val="17"/>
              </w:rPr>
              <w:t>%27.97</w:t>
            </w:r>
          </w:p>
        </w:tc>
        <w:tc>
          <w:tcPr>
            <w:tcW w:type="dxa" w:w="1304"/>
          </w:tcPr>
          <w:p>
            <w:pPr>
              <w:spacing w:after="20"/>
              <w:jc w:val="center"/>
            </w:pPr>
            <w:r/>
            <w:r>
              <w:rPr>
                <w:color w:val="10332F"/>
                <w:sz w:val="17"/>
              </w:rPr>
              <w:t>%27.02</w:t>
            </w:r>
          </w:p>
        </w:tc>
        <w:tc>
          <w:tcPr>
            <w:tcW w:type="dxa" w:w="1247"/>
          </w:tcPr>
          <w:p>
            <w:pPr>
              <w:spacing w:after="20"/>
              <w:jc w:val="center"/>
            </w:pPr>
            <w:r/>
            <w:r>
              <w:rPr>
                <w:b/>
                <w:color w:val="D32F2F"/>
                <w:sz w:val="17"/>
              </w:rPr>
              <w:t>-0.95</w:t>
            </w:r>
          </w:p>
        </w:tc>
        <w:tc>
          <w:tcPr>
            <w:tcW w:type="dxa" w:w="1474"/>
          </w:tcPr>
          <w:p>
            <w:pPr>
              <w:spacing w:after="20"/>
              <w:jc w:val="center"/>
            </w:pPr>
            <w:r/>
            <w:r>
              <w:rPr>
                <w:color w:val="10332F"/>
                <w:sz w:val="17"/>
              </w:rPr>
              <w:t>15</w:t>
            </w:r>
          </w:p>
        </w:tc>
        <w:tc>
          <w:tcPr>
            <w:tcW w:type="dxa" w:w="1247"/>
          </w:tcPr>
          <w:p>
            <w:pPr>
              <w:spacing w:after="20"/>
              <w:jc w:val="center"/>
            </w:pPr>
            <w:r/>
            <w:r>
              <w:rPr>
                <w:color w:val="10332F"/>
                <w:sz w:val="17"/>
              </w:rPr>
              <w:t>59</w:t>
            </w:r>
          </w:p>
        </w:tc>
        <w:tc>
          <w:tcPr>
            <w:tcW w:type="dxa" w:w="1077"/>
          </w:tcPr>
          <w:p>
            <w:pPr>
              <w:spacing w:after="20"/>
              <w:jc w:val="center"/>
            </w:pPr>
            <w:r/>
            <w:r>
              <w:rPr>
                <w:color w:val="10332F"/>
                <w:sz w:val="17"/>
              </w:rPr>
              <w:t>33</w:t>
            </w:r>
          </w:p>
        </w:tc>
      </w:tr>
      <w:tr>
        <w:tc>
          <w:tcPr>
            <w:tcW w:type="dxa" w:w="2268"/>
          </w:tcPr>
          <w:p>
            <w:pPr>
              <w:spacing w:after="20"/>
            </w:pPr>
            <w:r/>
            <w:r>
              <w:rPr>
                <w:color w:val="10332F"/>
                <w:sz w:val="17"/>
              </w:rPr>
              <w:t>watsons.com.tr</w:t>
            </w:r>
          </w:p>
        </w:tc>
        <w:tc>
          <w:tcPr>
            <w:tcW w:type="dxa" w:w="1304"/>
          </w:tcPr>
          <w:p>
            <w:pPr>
              <w:spacing w:after="20"/>
              <w:jc w:val="center"/>
            </w:pPr>
            <w:r/>
            <w:r>
              <w:rPr>
                <w:color w:val="10332F"/>
                <w:sz w:val="17"/>
              </w:rPr>
              <w:t>%23.19</w:t>
            </w:r>
          </w:p>
        </w:tc>
        <w:tc>
          <w:tcPr>
            <w:tcW w:type="dxa" w:w="1304"/>
          </w:tcPr>
          <w:p>
            <w:pPr>
              <w:spacing w:after="20"/>
              <w:jc w:val="center"/>
            </w:pPr>
            <w:r/>
            <w:r>
              <w:rPr>
                <w:color w:val="10332F"/>
                <w:sz w:val="17"/>
              </w:rPr>
              <w:t>%21.62</w:t>
            </w:r>
          </w:p>
        </w:tc>
        <w:tc>
          <w:tcPr>
            <w:tcW w:type="dxa" w:w="1247"/>
          </w:tcPr>
          <w:p>
            <w:pPr>
              <w:spacing w:after="20"/>
              <w:jc w:val="center"/>
            </w:pPr>
            <w:r/>
            <w:r>
              <w:rPr>
                <w:b/>
                <w:color w:val="D32F2F"/>
                <w:sz w:val="17"/>
              </w:rPr>
              <w:t>-1.57</w:t>
            </w:r>
          </w:p>
        </w:tc>
        <w:tc>
          <w:tcPr>
            <w:tcW w:type="dxa" w:w="1474"/>
          </w:tcPr>
          <w:p>
            <w:pPr>
              <w:spacing w:after="20"/>
              <w:jc w:val="center"/>
            </w:pPr>
            <w:r/>
            <w:r>
              <w:rPr>
                <w:color w:val="10332F"/>
                <w:sz w:val="17"/>
              </w:rPr>
              <w:t>22</w:t>
            </w:r>
          </w:p>
        </w:tc>
        <w:tc>
          <w:tcPr>
            <w:tcW w:type="dxa" w:w="1247"/>
          </w:tcPr>
          <w:p>
            <w:pPr>
              <w:spacing w:after="20"/>
              <w:jc w:val="center"/>
            </w:pPr>
            <w:r/>
            <w:r>
              <w:rPr>
                <w:color w:val="10332F"/>
                <w:sz w:val="17"/>
              </w:rPr>
              <w:t>29</w:t>
            </w:r>
          </w:p>
        </w:tc>
        <w:tc>
          <w:tcPr>
            <w:tcW w:type="dxa" w:w="1077"/>
          </w:tcPr>
          <w:p>
            <w:pPr>
              <w:spacing w:after="20"/>
              <w:jc w:val="center"/>
            </w:pPr>
            <w:r/>
            <w:r>
              <w:rPr>
                <w:color w:val="10332F"/>
                <w:sz w:val="17"/>
              </w:rPr>
              <w:t>18</w:t>
            </w:r>
          </w:p>
        </w:tc>
      </w:tr>
      <w:tr>
        <w:tc>
          <w:tcPr>
            <w:tcW w:type="dxa" w:w="2268"/>
          </w:tcPr>
          <w:p>
            <w:pPr>
              <w:spacing w:after="20"/>
            </w:pPr>
            <w:r/>
            <w:r>
              <w:rPr>
                <w:color w:val="10332F"/>
                <w:sz w:val="17"/>
              </w:rPr>
              <w:t>sephora.com.tr</w:t>
            </w:r>
          </w:p>
        </w:tc>
        <w:tc>
          <w:tcPr>
            <w:tcW w:type="dxa" w:w="1304"/>
          </w:tcPr>
          <w:p>
            <w:pPr>
              <w:spacing w:after="20"/>
              <w:jc w:val="center"/>
            </w:pPr>
            <w:r/>
            <w:r>
              <w:rPr>
                <w:color w:val="10332F"/>
                <w:sz w:val="17"/>
              </w:rPr>
              <w:t>%10.43</w:t>
            </w:r>
          </w:p>
        </w:tc>
        <w:tc>
          <w:tcPr>
            <w:tcW w:type="dxa" w:w="1304"/>
          </w:tcPr>
          <w:p>
            <w:pPr>
              <w:spacing w:after="20"/>
              <w:jc w:val="center"/>
            </w:pPr>
            <w:r/>
            <w:r>
              <w:rPr>
                <w:color w:val="10332F"/>
                <w:sz w:val="17"/>
              </w:rPr>
              <w:t>%18.52</w:t>
            </w:r>
          </w:p>
        </w:tc>
        <w:tc>
          <w:tcPr>
            <w:tcW w:type="dxa" w:w="1247"/>
          </w:tcPr>
          <w:p>
            <w:pPr>
              <w:spacing w:after="20"/>
              <w:jc w:val="center"/>
            </w:pPr>
            <w:r/>
            <w:r>
              <w:rPr>
                <w:b/>
                <w:color w:val="2E7D32"/>
                <w:sz w:val="17"/>
              </w:rPr>
              <w:t>+8.09</w:t>
            </w:r>
          </w:p>
        </w:tc>
        <w:tc>
          <w:tcPr>
            <w:tcW w:type="dxa" w:w="1474"/>
          </w:tcPr>
          <w:p>
            <w:pPr>
              <w:spacing w:after="20"/>
              <w:jc w:val="center"/>
            </w:pPr>
            <w:r/>
            <w:r>
              <w:rPr>
                <w:color w:val="10332F"/>
                <w:sz w:val="17"/>
              </w:rPr>
              <w:t>12</w:t>
            </w:r>
          </w:p>
        </w:tc>
        <w:tc>
          <w:tcPr>
            <w:tcW w:type="dxa" w:w="1247"/>
          </w:tcPr>
          <w:p>
            <w:pPr>
              <w:spacing w:after="20"/>
              <w:jc w:val="center"/>
            </w:pPr>
            <w:r/>
            <w:r>
              <w:rPr>
                <w:color w:val="10332F"/>
                <w:sz w:val="17"/>
              </w:rPr>
              <w:t>17</w:t>
            </w:r>
          </w:p>
        </w:tc>
        <w:tc>
          <w:tcPr>
            <w:tcW w:type="dxa" w:w="1077"/>
          </w:tcPr>
          <w:p>
            <w:pPr>
              <w:spacing w:after="20"/>
              <w:jc w:val="center"/>
            </w:pPr>
            <w:r/>
            <w:r>
              <w:rPr>
                <w:color w:val="10332F"/>
                <w:sz w:val="17"/>
              </w:rPr>
              <w:t>6</w:t>
            </w:r>
          </w:p>
        </w:tc>
      </w:tr>
      <w:tr>
        <w:tc>
          <w:tcPr>
            <w:tcW w:type="dxa" w:w="2268"/>
          </w:tcPr>
          <w:p>
            <w:pPr>
              <w:spacing w:after="20"/>
            </w:pPr>
            <w:r/>
            <w:r>
              <w:rPr>
                <w:color w:val="10332F"/>
                <w:sz w:val="17"/>
              </w:rPr>
              <w:t>eveshop.com.tr</w:t>
            </w:r>
          </w:p>
        </w:tc>
        <w:tc>
          <w:tcPr>
            <w:tcW w:type="dxa" w:w="1304"/>
          </w:tcPr>
          <w:p>
            <w:pPr>
              <w:spacing w:after="20"/>
              <w:jc w:val="center"/>
            </w:pPr>
            <w:r/>
            <w:r>
              <w:rPr>
                <w:color w:val="10332F"/>
                <w:sz w:val="17"/>
              </w:rPr>
              <w:t>%2.39</w:t>
            </w:r>
          </w:p>
        </w:tc>
        <w:tc>
          <w:tcPr>
            <w:tcW w:type="dxa" w:w="1304"/>
          </w:tcPr>
          <w:p>
            <w:pPr>
              <w:spacing w:after="20"/>
              <w:jc w:val="center"/>
            </w:pPr>
            <w:r/>
            <w:r>
              <w:rPr>
                <w:color w:val="10332F"/>
                <w:sz w:val="17"/>
              </w:rPr>
              <w:t>%11.01</w:t>
            </w:r>
          </w:p>
        </w:tc>
        <w:tc>
          <w:tcPr>
            <w:tcW w:type="dxa" w:w="1247"/>
          </w:tcPr>
          <w:p>
            <w:pPr>
              <w:spacing w:after="20"/>
              <w:jc w:val="center"/>
            </w:pPr>
            <w:r/>
            <w:r>
              <w:rPr>
                <w:b/>
                <w:color w:val="2E7D32"/>
                <w:sz w:val="17"/>
              </w:rPr>
              <w:t>+8.62</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8</w:t>
            </w:r>
          </w:p>
        </w:tc>
        <w:tc>
          <w:tcPr>
            <w:tcW w:type="dxa" w:w="1077"/>
          </w:tcPr>
          <w:p>
            <w:pPr>
              <w:spacing w:after="20"/>
              <w:jc w:val="center"/>
            </w:pPr>
            <w:r/>
            <w:r>
              <w:rPr>
                <w:color w:val="10332F"/>
                <w:sz w:val="17"/>
              </w:rPr>
              <w:t>3</w:t>
            </w:r>
          </w:p>
        </w:tc>
      </w:tr>
      <w:tr>
        <w:tc>
          <w:tcPr>
            <w:tcW w:type="dxa" w:w="2268"/>
          </w:tcPr>
          <w:p>
            <w:pPr>
              <w:spacing w:after="20"/>
            </w:pPr>
            <w:r/>
            <w:r>
              <w:rPr>
                <w:color w:val="10332F"/>
                <w:sz w:val="17"/>
              </w:rPr>
              <w:t>flormar.com.tr</w:t>
            </w:r>
          </w:p>
        </w:tc>
        <w:tc>
          <w:tcPr>
            <w:tcW w:type="dxa" w:w="1304"/>
          </w:tcPr>
          <w:p>
            <w:pPr>
              <w:spacing w:after="20"/>
              <w:jc w:val="center"/>
            </w:pPr>
            <w:r/>
            <w:r>
              <w:rPr>
                <w:color w:val="10332F"/>
                <w:sz w:val="17"/>
              </w:rPr>
              <w:t>%11.37</w:t>
            </w:r>
          </w:p>
        </w:tc>
        <w:tc>
          <w:tcPr>
            <w:tcW w:type="dxa" w:w="1304"/>
          </w:tcPr>
          <w:p>
            <w:pPr>
              <w:spacing w:after="20"/>
              <w:jc w:val="center"/>
            </w:pPr>
            <w:r/>
            <w:r>
              <w:rPr>
                <w:color w:val="10332F"/>
                <w:sz w:val="17"/>
              </w:rPr>
              <w:t>%9.75</w:t>
            </w:r>
          </w:p>
        </w:tc>
        <w:tc>
          <w:tcPr>
            <w:tcW w:type="dxa" w:w="1247"/>
          </w:tcPr>
          <w:p>
            <w:pPr>
              <w:spacing w:after="20"/>
              <w:jc w:val="center"/>
            </w:pPr>
            <w:r/>
            <w:r>
              <w:rPr>
                <w:b/>
                <w:color w:val="D32F2F"/>
                <w:sz w:val="17"/>
              </w:rPr>
              <w:t>-1.62</w:t>
            </w:r>
          </w:p>
        </w:tc>
        <w:tc>
          <w:tcPr>
            <w:tcW w:type="dxa" w:w="1474"/>
          </w:tcPr>
          <w:p>
            <w:pPr>
              <w:spacing w:after="20"/>
              <w:jc w:val="center"/>
            </w:pPr>
            <w:r/>
            <w:r>
              <w:rPr>
                <w:color w:val="10332F"/>
                <w:sz w:val="17"/>
              </w:rPr>
              <w:t>124</w:t>
            </w:r>
          </w:p>
        </w:tc>
        <w:tc>
          <w:tcPr>
            <w:tcW w:type="dxa" w:w="1247"/>
          </w:tcPr>
          <w:p>
            <w:pPr>
              <w:spacing w:after="20"/>
              <w:jc w:val="center"/>
            </w:pPr>
            <w:r/>
            <w:r>
              <w:rPr>
                <w:color w:val="10332F"/>
                <w:sz w:val="17"/>
              </w:rPr>
              <w:t>42</w:t>
            </w:r>
          </w:p>
        </w:tc>
        <w:tc>
          <w:tcPr>
            <w:tcW w:type="dxa" w:w="1077"/>
          </w:tcPr>
          <w:p>
            <w:pPr>
              <w:spacing w:after="20"/>
              <w:jc w:val="center"/>
            </w:pPr>
            <w:r/>
            <w:r>
              <w:rPr>
                <w:color w:val="10332F"/>
                <w:sz w:val="17"/>
              </w:rPr>
              <w:t>17</w:t>
            </w:r>
          </w:p>
        </w:tc>
      </w:tr>
      <w:tr>
        <w:tc>
          <w:tcPr>
            <w:tcW w:type="dxa" w:w="2268"/>
          </w:tcPr>
          <w:p>
            <w:pPr>
              <w:spacing w:after="20"/>
            </w:pPr>
            <w:r/>
            <w:r>
              <w:rPr>
                <w:color w:val="10332F"/>
                <w:sz w:val="17"/>
              </w:rPr>
              <w:t>gratis.com</w:t>
            </w:r>
          </w:p>
        </w:tc>
        <w:tc>
          <w:tcPr>
            <w:tcW w:type="dxa" w:w="1304"/>
          </w:tcPr>
          <w:p>
            <w:pPr>
              <w:spacing w:after="20"/>
              <w:jc w:val="center"/>
            </w:pPr>
            <w:r/>
            <w:r>
              <w:rPr>
                <w:color w:val="10332F"/>
                <w:sz w:val="17"/>
              </w:rPr>
              <w:t>%20.49</w:t>
            </w:r>
          </w:p>
        </w:tc>
        <w:tc>
          <w:tcPr>
            <w:tcW w:type="dxa" w:w="1304"/>
          </w:tcPr>
          <w:p>
            <w:pPr>
              <w:spacing w:after="20"/>
              <w:jc w:val="center"/>
            </w:pPr>
            <w:r/>
            <w:r>
              <w:rPr>
                <w:color w:val="10332F"/>
                <w:sz w:val="17"/>
              </w:rPr>
              <w:t>%9.6</w:t>
            </w:r>
          </w:p>
        </w:tc>
        <w:tc>
          <w:tcPr>
            <w:tcW w:type="dxa" w:w="1247"/>
          </w:tcPr>
          <w:p>
            <w:pPr>
              <w:spacing w:after="20"/>
              <w:jc w:val="center"/>
            </w:pPr>
            <w:r/>
            <w:r>
              <w:rPr>
                <w:b/>
                <w:color w:val="D32F2F"/>
                <w:sz w:val="17"/>
              </w:rPr>
              <w:t>-10.89</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33</w:t>
            </w:r>
          </w:p>
        </w:tc>
        <w:tc>
          <w:tcPr>
            <w:tcW w:type="dxa" w:w="1077"/>
          </w:tcPr>
          <w:p>
            <w:pPr>
              <w:spacing w:after="20"/>
              <w:jc w:val="center"/>
            </w:pPr>
            <w:r/>
            <w:r>
              <w:rPr>
                <w:color w:val="10332F"/>
                <w:sz w:val="17"/>
              </w:rPr>
              <w:t>19</w:t>
            </w:r>
          </w:p>
        </w:tc>
      </w:tr>
      <w:tr>
        <w:tc>
          <w:tcPr>
            <w:tcW w:type="dxa" w:w="2268"/>
          </w:tcPr>
          <w:p>
            <w:pPr>
              <w:spacing w:after="20"/>
            </w:pPr>
            <w:r/>
            <w:r>
              <w:rPr>
                <w:color w:val="10332F"/>
                <w:sz w:val="17"/>
              </w:rPr>
              <w:t>hepsiburada.com</w:t>
            </w:r>
          </w:p>
        </w:tc>
        <w:tc>
          <w:tcPr>
            <w:tcW w:type="dxa" w:w="1304"/>
          </w:tcPr>
          <w:p>
            <w:pPr>
              <w:spacing w:after="20"/>
              <w:jc w:val="center"/>
            </w:pPr>
            <w:r/>
            <w:r>
              <w:rPr>
                <w:color w:val="10332F"/>
                <w:sz w:val="17"/>
              </w:rPr>
              <w:t>%2.44</w:t>
            </w:r>
          </w:p>
        </w:tc>
        <w:tc>
          <w:tcPr>
            <w:tcW w:type="dxa" w:w="1304"/>
          </w:tcPr>
          <w:p>
            <w:pPr>
              <w:spacing w:after="20"/>
              <w:jc w:val="center"/>
            </w:pPr>
            <w:r/>
            <w:r>
              <w:rPr>
                <w:color w:val="10332F"/>
                <w:sz w:val="17"/>
              </w:rPr>
              <w:t>%2.19</w:t>
            </w:r>
          </w:p>
        </w:tc>
        <w:tc>
          <w:tcPr>
            <w:tcW w:type="dxa" w:w="1247"/>
          </w:tcPr>
          <w:p>
            <w:pPr>
              <w:spacing w:after="20"/>
              <w:jc w:val="center"/>
            </w:pPr>
            <w:r/>
            <w:r>
              <w:rPr>
                <w:b/>
                <w:color w:val="D32F2F"/>
                <w:sz w:val="17"/>
              </w:rPr>
              <w:t>-0.25</w:t>
            </w:r>
          </w:p>
        </w:tc>
        <w:tc>
          <w:tcPr>
            <w:tcW w:type="dxa" w:w="1474"/>
          </w:tcPr>
          <w:p>
            <w:pPr>
              <w:spacing w:after="20"/>
              <w:jc w:val="center"/>
            </w:pPr>
            <w:r/>
            <w:r>
              <w:rPr>
                <w:color w:val="10332F"/>
                <w:sz w:val="17"/>
              </w:rPr>
              <w:t>3</w:t>
            </w:r>
          </w:p>
        </w:tc>
        <w:tc>
          <w:tcPr>
            <w:tcW w:type="dxa" w:w="1247"/>
          </w:tcPr>
          <w:p>
            <w:pPr>
              <w:spacing w:after="20"/>
              <w:jc w:val="center"/>
            </w:pPr>
            <w:r/>
            <w:r>
              <w:rPr>
                <w:color w:val="10332F"/>
                <w:sz w:val="17"/>
              </w:rPr>
              <w:t>7</w:t>
            </w:r>
          </w:p>
        </w:tc>
        <w:tc>
          <w:tcPr>
            <w:tcW w:type="dxa" w:w="1077"/>
          </w:tcPr>
          <w:p>
            <w:pPr>
              <w:spacing w:after="20"/>
              <w:jc w:val="center"/>
            </w:pPr>
            <w:r/>
            <w:r>
              <w:rPr>
                <w:color w:val="10332F"/>
                <w:sz w:val="17"/>
              </w:rPr>
              <w:t>4</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041"/>
            <w:shd w:val="clear" w:fill="434343"/>
          </w:tcPr>
          <w:p>
            <w:pPr>
              <w:jc w:val="center"/>
            </w:pPr>
            <w:r/>
            <w:r>
              <w:rPr>
                <w:b/>
                <w:color w:val="FFFFFF"/>
                <w:sz w:val="16"/>
              </w:rPr>
              <w:t>Kategori</w:t>
            </w:r>
          </w:p>
        </w:tc>
        <w:tc>
          <w:tcPr>
            <w:tcW w:type="dxa" w:w="1531"/>
            <w:shd w:val="clear" w:fill="434343"/>
          </w:tcPr>
          <w:p>
            <w:pPr>
              <w:jc w:val="center"/>
            </w:pPr>
            <w:r/>
            <w:r>
              <w:rPr>
                <w:b/>
                <w:color w:val="FFFFFF"/>
                <w:sz w:val="16"/>
              </w:rPr>
              <w:t>AIO çıkan kelime</w:t>
            </w:r>
          </w:p>
        </w:tc>
        <w:tc>
          <w:tcPr>
            <w:tcW w:type="dxa" w:w="1644"/>
            <w:shd w:val="clear" w:fill="434343"/>
          </w:tcPr>
          <w:p>
            <w:pPr>
              <w:jc w:val="center"/>
            </w:pPr>
            <w:r/>
            <w:r>
              <w:rPr>
                <w:b/>
                <w:color w:val="FFFFFF"/>
                <w:sz w:val="16"/>
              </w:rPr>
              <w:t>Markanın göründüğü</w:t>
            </w:r>
          </w:p>
        </w:tc>
        <w:tc>
          <w:tcPr>
            <w:tcW w:type="dxa" w:w="1531"/>
            <w:shd w:val="clear" w:fill="434343"/>
          </w:tcPr>
          <w:p>
            <w:pPr>
              <w:jc w:val="center"/>
            </w:pPr>
            <w:r/>
            <w:r>
              <w:rPr>
                <w:b/>
                <w:color w:val="FFFFFF"/>
                <w:sz w:val="16"/>
              </w:rPr>
              <w:t>Mention visibility</w:t>
            </w:r>
          </w:p>
        </w:tc>
        <w:tc>
          <w:tcPr>
            <w:tcW w:type="dxa" w:w="1531"/>
            <w:shd w:val="clear" w:fill="434343"/>
          </w:tcPr>
          <w:p>
            <w:pPr>
              <w:jc w:val="center"/>
            </w:pPr>
            <w:r/>
            <w:r>
              <w:rPr>
                <w:b/>
                <w:color w:val="FFFFFF"/>
                <w:sz w:val="16"/>
              </w:rPr>
              <w:t>Citation visibility</w:t>
            </w:r>
          </w:p>
        </w:tc>
        <w:tc>
          <w:tcPr>
            <w:tcW w:type="dxa" w:w="1077"/>
            <w:shd w:val="clear" w:fill="434343"/>
          </w:tcPr>
          <w:p>
            <w:pPr>
              <w:jc w:val="center"/>
            </w:pPr>
            <w:r/>
            <w:r>
              <w:rPr>
                <w:b/>
                <w:color w:val="FFFFFF"/>
                <w:sz w:val="16"/>
              </w:rPr>
              <w:t>Ort. sıra</w:t>
            </w:r>
          </w:p>
        </w:tc>
      </w:tr>
      <w:tr>
        <w:tc>
          <w:tcPr>
            <w:tcW w:type="dxa" w:w="2041"/>
          </w:tcPr>
          <w:p>
            <w:pPr>
              <w:spacing w:after="20"/>
            </w:pPr>
            <w:r/>
            <w:r>
              <w:rPr>
                <w:color w:val="10332F"/>
                <w:sz w:val="17"/>
              </w:rPr>
              <w:t>Dudak Makyajı</w:t>
            </w:r>
          </w:p>
        </w:tc>
        <w:tc>
          <w:tcPr>
            <w:tcW w:type="dxa" w:w="1531"/>
          </w:tcPr>
          <w:p>
            <w:pPr>
              <w:spacing w:after="20"/>
              <w:jc w:val="center"/>
            </w:pPr>
            <w:r/>
            <w:r>
              <w:rPr>
                <w:color w:val="10332F"/>
                <w:sz w:val="17"/>
              </w:rPr>
              <w:t>23</w:t>
            </w:r>
          </w:p>
        </w:tc>
        <w:tc>
          <w:tcPr>
            <w:tcW w:type="dxa" w:w="1644"/>
          </w:tcPr>
          <w:p>
            <w:pPr>
              <w:spacing w:after="20"/>
              <w:jc w:val="center"/>
            </w:pPr>
            <w:r/>
            <w:r>
              <w:rPr>
                <w:color w:val="10332F"/>
                <w:sz w:val="17"/>
              </w:rPr>
              <w:t>9</w:t>
            </w:r>
          </w:p>
        </w:tc>
        <w:tc>
          <w:tcPr>
            <w:tcW w:type="dxa" w:w="1531"/>
          </w:tcPr>
          <w:p>
            <w:pPr>
              <w:spacing w:after="20"/>
              <w:jc w:val="center"/>
            </w:pPr>
            <w:r/>
            <w:r>
              <w:rPr>
                <w:color w:val="10332F"/>
                <w:sz w:val="17"/>
              </w:rPr>
              <w:t>%93.6</w:t>
            </w:r>
          </w:p>
        </w:tc>
        <w:tc>
          <w:tcPr>
            <w:tcW w:type="dxa" w:w="1531"/>
          </w:tcPr>
          <w:p>
            <w:pPr>
              <w:spacing w:after="20"/>
              <w:jc w:val="center"/>
            </w:pPr>
            <w:r/>
            <w:r>
              <w:rPr>
                <w:color w:val="10332F"/>
                <w:sz w:val="17"/>
              </w:rPr>
              <w:t>%86.7</w:t>
            </w:r>
          </w:p>
        </w:tc>
        <w:tc>
          <w:tcPr>
            <w:tcW w:type="dxa" w:w="1077"/>
          </w:tcPr>
          <w:p>
            <w:pPr>
              <w:spacing w:after="20"/>
              <w:jc w:val="center"/>
            </w:pPr>
            <w:r/>
            <w:r>
              <w:rPr>
                <w:color w:val="10332F"/>
                <w:sz w:val="17"/>
              </w:rPr>
              <w:t>2.5</w:t>
            </w:r>
          </w:p>
        </w:tc>
      </w:tr>
      <w:tr>
        <w:tc>
          <w:tcPr>
            <w:tcW w:type="dxa" w:w="2041"/>
          </w:tcPr>
          <w:p>
            <w:pPr>
              <w:spacing w:after="20"/>
            </w:pPr>
            <w:r/>
            <w:r>
              <w:rPr>
                <w:color w:val="10332F"/>
                <w:sz w:val="17"/>
              </w:rPr>
              <w:t>Tırnak Makyajı</w:t>
            </w:r>
          </w:p>
        </w:tc>
        <w:tc>
          <w:tcPr>
            <w:tcW w:type="dxa" w:w="1531"/>
          </w:tcPr>
          <w:p>
            <w:pPr>
              <w:spacing w:after="20"/>
              <w:jc w:val="center"/>
            </w:pPr>
            <w:r/>
            <w:r>
              <w:rPr>
                <w:color w:val="10332F"/>
                <w:sz w:val="17"/>
              </w:rPr>
              <w:t>25</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%43.9</w:t>
            </w:r>
          </w:p>
        </w:tc>
        <w:tc>
          <w:tcPr>
            <w:tcW w:type="dxa" w:w="1531"/>
          </w:tcPr>
          <w:p>
            <w:pPr>
              <w:spacing w:after="20"/>
              <w:jc w:val="center"/>
            </w:pPr>
            <w:r/>
            <w:r>
              <w:rPr>
                <w:color w:val="10332F"/>
                <w:sz w:val="17"/>
              </w:rPr>
              <w:t>%54.4</w:t>
            </w:r>
          </w:p>
        </w:tc>
        <w:tc>
          <w:tcPr>
            <w:tcW w:type="dxa" w:w="1077"/>
          </w:tcPr>
          <w:p>
            <w:pPr>
              <w:spacing w:after="20"/>
              <w:jc w:val="center"/>
            </w:pPr>
            <w:r/>
            <w:r>
              <w:rPr>
                <w:color w:val="10332F"/>
                <w:sz w:val="17"/>
              </w:rPr>
              <w:t>2.6</w:t>
            </w:r>
          </w:p>
        </w:tc>
      </w:tr>
      <w:tr>
        <w:tc>
          <w:tcPr>
            <w:tcW w:type="dxa" w:w="2041"/>
          </w:tcPr>
          <w:p>
            <w:pPr>
              <w:spacing w:after="20"/>
            </w:pPr>
            <w:r/>
            <w:r>
              <w:rPr>
                <w:color w:val="10332F"/>
                <w:sz w:val="17"/>
              </w:rPr>
              <w:t>Göz Makyajı</w:t>
            </w:r>
          </w:p>
        </w:tc>
        <w:tc>
          <w:tcPr>
            <w:tcW w:type="dxa" w:w="1531"/>
          </w:tcPr>
          <w:p>
            <w:pPr>
              <w:spacing w:after="20"/>
              <w:jc w:val="center"/>
            </w:pPr>
            <w:r/>
            <w:r>
              <w:rPr>
                <w:color w:val="10332F"/>
                <w:sz w:val="17"/>
              </w:rPr>
              <w:t>21</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%30.6</w:t>
            </w:r>
          </w:p>
        </w:tc>
        <w:tc>
          <w:tcPr>
            <w:tcW w:type="dxa" w:w="1531"/>
          </w:tcPr>
          <w:p>
            <w:pPr>
              <w:spacing w:after="20"/>
              <w:jc w:val="center"/>
            </w:pPr>
            <w:r/>
            <w:r>
              <w:rPr>
                <w:color w:val="10332F"/>
                <w:sz w:val="17"/>
              </w:rPr>
              <w:t>%3.4</w:t>
            </w:r>
          </w:p>
        </w:tc>
        <w:tc>
          <w:tcPr>
            <w:tcW w:type="dxa" w:w="1077"/>
          </w:tcPr>
          <w:p>
            <w:pPr>
              <w:spacing w:after="20"/>
              <w:jc w:val="center"/>
            </w:pPr>
            <w:r/>
            <w:r>
              <w:rPr>
                <w:color w:val="10332F"/>
                <w:sz w:val="17"/>
              </w:rPr>
              <w:t>4.5</w:t>
            </w:r>
          </w:p>
        </w:tc>
      </w:tr>
      <w:tr>
        <w:tc>
          <w:tcPr>
            <w:tcW w:type="dxa" w:w="2041"/>
          </w:tcPr>
          <w:p>
            <w:pPr>
              <w:spacing w:after="20"/>
            </w:pPr>
            <w:r/>
            <w:r>
              <w:rPr>
                <w:color w:val="10332F"/>
                <w:sz w:val="17"/>
              </w:rPr>
              <w:t>Yüz Makyajı</w:t>
            </w:r>
          </w:p>
        </w:tc>
        <w:tc>
          <w:tcPr>
            <w:tcW w:type="dxa" w:w="1531"/>
          </w:tcPr>
          <w:p>
            <w:pPr>
              <w:spacing w:after="20"/>
              <w:jc w:val="center"/>
            </w:pPr>
            <w:r/>
            <w:r>
              <w:rPr>
                <w:color w:val="10332F"/>
                <w:sz w:val="17"/>
              </w:rPr>
              <w:t>71</w:t>
            </w:r>
          </w:p>
        </w:tc>
        <w:tc>
          <w:tcPr>
            <w:tcW w:type="dxa" w:w="1644"/>
          </w:tcPr>
          <w:p>
            <w:pPr>
              <w:spacing w:after="20"/>
              <w:jc w:val="center"/>
            </w:pPr>
            <w:r/>
            <w:r>
              <w:rPr>
                <w:color w:val="10332F"/>
                <w:sz w:val="17"/>
              </w:rPr>
              <w:t>11</w:t>
            </w:r>
          </w:p>
        </w:tc>
        <w:tc>
          <w:tcPr>
            <w:tcW w:type="dxa" w:w="1531"/>
          </w:tcPr>
          <w:p>
            <w:pPr>
              <w:spacing w:after="20"/>
              <w:jc w:val="center"/>
            </w:pPr>
            <w:r/>
            <w:r>
              <w:rPr>
                <w:color w:val="10332F"/>
                <w:sz w:val="17"/>
              </w:rPr>
              <w:t>%10.0</w:t>
            </w:r>
          </w:p>
        </w:tc>
        <w:tc>
          <w:tcPr>
            <w:tcW w:type="dxa" w:w="1531"/>
          </w:tcPr>
          <w:p>
            <w:pPr>
              <w:spacing w:after="20"/>
              <w:jc w:val="center"/>
            </w:pPr>
            <w:r/>
            <w:r>
              <w:rPr>
                <w:color w:val="10332F"/>
                <w:sz w:val="17"/>
              </w:rPr>
              <w:t>%2.4</w:t>
            </w:r>
          </w:p>
        </w:tc>
        <w:tc>
          <w:tcPr>
            <w:tcW w:type="dxa" w:w="1077"/>
          </w:tcPr>
          <w:p>
            <w:pPr>
              <w:spacing w:after="20"/>
              <w:jc w:val="center"/>
            </w:pPr>
            <w:r/>
            <w:r>
              <w:rPr>
                <w:color w:val="10332F"/>
                <w:sz w:val="17"/>
              </w:rPr>
              <w:t>3.4</w:t>
            </w:r>
          </w:p>
        </w:tc>
      </w:tr>
      <w:tr>
        <w:tc>
          <w:tcPr>
            <w:tcW w:type="dxa" w:w="2041"/>
          </w:tcPr>
          <w:p>
            <w:pPr>
              <w:spacing w:after="20"/>
            </w:pPr>
            <w:r/>
            <w:r>
              <w:rPr>
                <w:color w:val="10332F"/>
                <w:sz w:val="17"/>
              </w:rPr>
              <w:t>BB ve CC Krem</w:t>
            </w:r>
          </w:p>
        </w:tc>
        <w:tc>
          <w:tcPr>
            <w:tcW w:type="dxa" w:w="1531"/>
          </w:tcPr>
          <w:p>
            <w:pPr>
              <w:spacing w:after="20"/>
              <w:jc w:val="center"/>
            </w:pPr>
            <w:r/>
            <w:r>
              <w:rPr>
                <w:color w:val="10332F"/>
                <w:sz w:val="17"/>
              </w:rPr>
              <w:t>10</w:t>
            </w:r>
          </w:p>
        </w:tc>
        <w:tc>
          <w:tcPr>
            <w:tcW w:type="dxa" w:w="1644"/>
          </w:tcPr>
          <w:p>
            <w:pPr>
              <w:spacing w:after="20"/>
              <w:jc w:val="center"/>
            </w:pPr>
            <w:r/>
            <w:r>
              <w:rPr>
                <w:color w:val="10332F"/>
                <w:sz w:val="17"/>
              </w:rPr>
              <w:t>0</w:t>
            </w:r>
          </w:p>
        </w:tc>
        <w:tc>
          <w:tcPr>
            <w:tcW w:type="dxa" w:w="1531"/>
          </w:tcPr>
          <w:p>
            <w:pPr>
              <w:spacing w:after="20"/>
              <w:jc w:val="center"/>
            </w:pPr>
            <w:r/>
            <w:r>
              <w:rPr>
                <w:color w:val="10332F"/>
                <w:sz w:val="17"/>
              </w:rPr>
              <w:t>%0.0</w:t>
            </w:r>
          </w:p>
        </w:tc>
        <w:tc>
          <w:tcPr>
            <w:tcW w:type="dxa" w:w="1531"/>
          </w:tcPr>
          <w:p>
            <w:pPr>
              <w:spacing w:after="20"/>
              <w:jc w:val="center"/>
            </w:pPr>
            <w:r/>
            <w:r>
              <w:rPr>
                <w:color w:val="10332F"/>
                <w:sz w:val="17"/>
              </w:rPr>
              <w:t>%0.0</w:t>
            </w:r>
          </w:p>
        </w:tc>
        <w:tc>
          <w:tcPr>
            <w:tcW w:type="dxa" w:w="1077"/>
          </w:tcPr>
          <w:p>
            <w:pPr>
              <w:spacing w:after="20"/>
              <w:jc w:val="center"/>
            </w:pPr>
            <w:r/>
            <w:r>
              <w:rPr>
                <w:color w:val="10332F"/>
                <w:sz w:val="17"/>
              </w:rPr>
              <w:t>-</w:t>
            </w:r>
          </w:p>
        </w:tc>
      </w:tr>
      <w:tr>
        <w:tc>
          <w:tcPr>
            <w:tcW w:type="dxa" w:w="2041"/>
          </w:tcPr>
          <w:p>
            <w:pPr>
              <w:spacing w:after="20"/>
            </w:pPr>
            <w:r/>
            <w:r>
              <w:rPr>
                <w:color w:val="10332F"/>
                <w:sz w:val="17"/>
              </w:rPr>
              <w:t>Tüm kelimeler</w:t>
            </w:r>
          </w:p>
        </w:tc>
        <w:tc>
          <w:tcPr>
            <w:tcW w:type="dxa" w:w="1531"/>
          </w:tcPr>
          <w:p>
            <w:pPr>
              <w:spacing w:after="20"/>
              <w:jc w:val="center"/>
            </w:pPr>
            <w:r/>
            <w:r>
              <w:rPr>
                <w:color w:val="10332F"/>
                <w:sz w:val="17"/>
              </w:rPr>
              <w:t>175</w:t>
            </w:r>
          </w:p>
        </w:tc>
        <w:tc>
          <w:tcPr>
            <w:tcW w:type="dxa" w:w="1644"/>
          </w:tcPr>
          <w:p>
            <w:pPr>
              <w:spacing w:after="20"/>
              <w:jc w:val="center"/>
            </w:pPr>
            <w:r/>
            <w:r>
              <w:rPr>
                <w:color w:val="10332F"/>
                <w:sz w:val="17"/>
              </w:rPr>
              <w:t>42</w:t>
            </w:r>
          </w:p>
        </w:tc>
        <w:tc>
          <w:tcPr>
            <w:tcW w:type="dxa" w:w="1531"/>
          </w:tcPr>
          <w:p>
            <w:pPr>
              <w:spacing w:after="20"/>
              <w:jc w:val="center"/>
            </w:pPr>
            <w:r/>
            <w:r>
              <w:rPr>
                <w:color w:val="10332F"/>
                <w:sz w:val="17"/>
              </w:rPr>
              <w:t>%29.1</w:t>
            </w:r>
          </w:p>
        </w:tc>
        <w:tc>
          <w:tcPr>
            <w:tcW w:type="dxa" w:w="1531"/>
          </w:tcPr>
          <w:p>
            <w:pPr>
              <w:spacing w:after="20"/>
              <w:jc w:val="center"/>
            </w:pPr>
            <w:r/>
            <w:r>
              <w:rPr>
                <w:color w:val="10332F"/>
                <w:sz w:val="17"/>
              </w:rPr>
              <w:t>%21.9</w:t>
            </w:r>
          </w:p>
        </w:tc>
        <w:tc>
          <w:tcPr>
            <w:tcW w:type="dxa" w:w="1077"/>
          </w:tcPr>
          <w:p>
            <w:pPr>
              <w:spacing w:after="20"/>
              <w:jc w:val="center"/>
            </w:pPr>
            <w:r/>
            <w:r>
              <w:rPr>
                <w:color w:val="10332F"/>
                <w:sz w:val="17"/>
              </w:rPr>
              <w:t>2.9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Set ürün şablonunda gövde içinde kalan 33 ikinci title, listeleme ve kampanya şablonlarındaki 47 eksik H1, ürün sayfalarındaki 82 çift H1, iç bağlantı almayan 145 sayfa, sitemap dışında kalan 1.462 sayfa ve alt attribute taşımayan 4.722 görsel aynı şablon katmanında toplanmaktadır.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Spider modunda başlatıldı; JavaScript rendering açık. 33.173 adres karşılandı, 1.279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Clicks</w:t>
            </w:r>
          </w:p>
        </w:tc>
        <w:tc>
          <w:tcPr>
            <w:tcW w:type="dxa" w:w="6690"/>
          </w:tcPr>
          <w:p>
            <w:pPr>
              <w:spacing w:after="20"/>
            </w:pPr>
            <w:r/>
            <w:r>
              <w:rPr>
                <w:color w:val="10332F"/>
                <w:sz w:val="17"/>
              </w:rPr>
              <w:t>Takip edilen kelime setinde tahmini organik tıklamanın domainler arasındaki dağılım payı.</w:t>
            </w:r>
          </w:p>
        </w:tc>
      </w:tr>
      <w:tr>
        <w:tc>
          <w:tcPr>
            <w:tcW w:type="dxa" w:w="2268"/>
          </w:tcPr>
          <w:p>
            <w:pPr>
              <w:spacing w:after="20"/>
            </w:pPr>
            <w:r/>
            <w:r>
              <w:rPr>
                <w:color w:val="10332F"/>
                <w:sz w:val="17"/>
              </w:rPr>
              <w:t>Visibility</w:t>
            </w:r>
          </w:p>
        </w:tc>
        <w:tc>
          <w:tcPr>
            <w:tcW w:type="dxa" w:w="6690"/>
          </w:tcPr>
          <w:p>
            <w:pPr>
              <w:spacing w:after="20"/>
            </w:pPr>
            <w:r/>
            <w:r>
              <w:rPr>
                <w:color w:val="10332F"/>
                <w:sz w:val="17"/>
              </w:rPr>
              <w:t>Domainin takip edilen kelime setindeki görünürlük skoru; 0-100 aralığında.</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