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Yönetici Özeti</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 Neredeyiz</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Organic Share of Voice</w:t>
            </w:r>
          </w:p>
        </w:tc>
        <w:tc>
          <w:tcPr>
            <w:tcW w:type="dxa" w:w="1814"/>
          </w:tcPr>
          <w:p>
            <w:pPr>
              <w:spacing w:after="20"/>
              <w:jc w:val="center"/>
            </w:pPr>
            <w:r/>
            <w:r>
              <w:rPr>
                <w:color w:val="10332F"/>
                <w:sz w:val="17"/>
              </w:rPr>
              <w:t>%8.6</w:t>
            </w:r>
          </w:p>
        </w:tc>
        <w:tc>
          <w:tcPr>
            <w:tcW w:type="dxa" w:w="3969"/>
          </w:tcPr>
          <w:p>
            <w:pPr>
              <w:spacing w:after="20"/>
            </w:pPr>
            <w:r/>
            <w:r>
              <w:rPr>
                <w:color w:val="10332F"/>
                <w:sz w:val="17"/>
              </w:rPr>
              <w:t>843 domain içinde 4. sıra · -0.3</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Core Web Vitals</w:t>
            </w:r>
          </w:p>
        </w:tc>
        <w:tc>
          <w:tcPr>
            <w:tcW w:type="dxa" w:w="1814"/>
          </w:tcPr>
          <w:p>
            <w:pPr>
              <w:spacing w:after="20"/>
              <w:jc w:val="center"/>
            </w:pPr>
            <w:r/>
            <w:r>
              <w:rPr>
                <w:color w:val="10332F"/>
                <w:sz w:val="17"/>
              </w:rPr>
              <w:t>CLS 0.36</w:t>
            </w:r>
          </w:p>
        </w:tc>
        <w:tc>
          <w:tcPr>
            <w:tcW w:type="dxa" w:w="3969"/>
          </w:tcPr>
          <w:p>
            <w:pPr>
              <w:spacing w:after="20"/>
            </w:pPr>
            <w:r/>
            <w:r>
              <w:rPr>
                <w:color w:val="10332F"/>
                <w:sz w:val="17"/>
              </w:rPr>
              <w:t>Mobil p75 · FCP, LCP,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Voice </w:t>
      </w:r>
      <w:r>
        <w:rPr>
          <w:b/>
          <w:color w:val="10332F"/>
          <w:sz w:val="19"/>
        </w:rPr>
        <w:t>%8.6</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13 sayfa 5XX yanıtı veriyor. 6'sı yüksek numaralı pagination sayfası (?page=19 ve üzeri, 502); 7'si 500 veriyor ve sitemap içinde yer alıyor (test ve artık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 sayfa 4XX yanıtı veriyor, 8 sayfa kırık bağlantı taşıyor, 2 sayfa 404.</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734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734 / 734 sayfada self-referencing canonical mevcut.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kategori URL'lerinin tamamı 200 yanıtı veriyor ve canonical'lar güncel adresi işaret ediyor. /far-paleti-ve-goz-fari/ → /goz-fari/ birleştirmesi 301 ile kalıcı çalışıyor.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Taramada parametreli URL bulunmadı.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128 listeleme sayfasında pagination bağlantısı anchor etiketi içinde değil; ikinci ve sonraki sayfalara taramayla erişilemiyor. Yüksek numaralı sayfalar ayrıca 502 veriyor.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Görsellerin %99.9'unda (2.729 / 2.731) width ve height tanımı bulunmuyor. CLS'in doğrudan kök nedeni.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sayfaların %94.4'ü 1 saniyenin altında yanıt veriyor.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6 sayfada ikinci title etiketi var (%0.8). Tamamı set ve ürün şablonunda; ikinci başlık "Flormar Ürünleri" modül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 Ağu taramasındaki 734 sayfanın 22'sinde H1 yok (anasayfa, "çok satanlar" ve kampanya listeleme şablonları). Geniş kapsamlı taramada bu sayı 1.416 olarak raporlanıyor.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5 sayfada birden fazla H1 var (%0.7). Kurumsal ve ürün şablonlarında.</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Duplicate title 420 sayfa (%57.2), duplicate H1 410 sayfa (%55.9).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884 sayfada meta description bulunmuyor. 12 Ağu taramasındaki kategori kümesinde bu oran %1.1; eksik alan ağırlıkla ürün şablonunda.</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3.331 görselde alt text bulunmuyor.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başlatılmış, liste modunda ve JavaScript rendering kapalı çalışmış, sitemap dosyaları taramaya dahil edilmemiştir. 4.497 URL karşılanmış, bunların 1.425'i site içi, 3.072'si site dışı (2.731'i CDN üzerindeki görseller). Site içi 1.425 adresin 389'u robots.txt ile engelli, 1.036'sı HTML; HTML adreslerin 734'ü 200 yanıtı vermiş, 291'i yoğun paralel taramaya karşı uygulanan hız sınırı nedeniyle 405 dönmüştür. Yüzdeler 734 sayfalık küme üzerinden hesaplanmıştır. Ahrefs Site Audit taraması 3 Ağu 2026 tarihli olup 3.399 URL kapsar.</w:t>
      </w:r>
    </w:p>
    <w:p>
      <w:r>
        <w:br w:type="page"/>
      </w:r>
    </w:p>
    <w:p>
      <w:pPr>
        <w:spacing w:before="320" w:after="60"/>
      </w:pPr>
      <w:r>
        <w:rPr>
          <w:b/>
          <w:color w:val="10332F"/>
          <w:sz w:val="32"/>
        </w:rPr>
        <w:t>02 · Sıralama: KPI Kelimeleri</w:t>
      </w:r>
    </w:p>
    <w:p>
      <w:pPr>
        <w:spacing w:before="240" w:after="60"/>
      </w:pPr>
      <w:r>
        <w:rPr>
          <w:b/>
          <w:color w:val="10332F"/>
          <w:sz w:val="23"/>
        </w:rPr>
        <w:t>KPI grupları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474"/>
            <w:shd w:val="clear" w:fill="434343"/>
          </w:tcPr>
          <w:p>
            <w:pPr>
              <w:jc w:val="center"/>
            </w:pPr>
            <w:r/>
            <w:r>
              <w:rPr>
                <w:b/>
                <w:color w:val="FFFFFF"/>
                <w:sz w:val="16"/>
              </w:rPr>
              <w:t>Grup</w:t>
            </w:r>
          </w:p>
        </w:tc>
        <w:tc>
          <w:tcPr>
            <w:tcW w:type="dxa" w:w="964"/>
            <w:shd w:val="clear" w:fill="434343"/>
          </w:tcPr>
          <w:p>
            <w:pPr>
              <w:jc w:val="center"/>
            </w:pPr>
            <w:r/>
            <w:r>
              <w:rPr>
                <w:b/>
                <w:color w:val="FFFFFF"/>
                <w:sz w:val="16"/>
              </w:rPr>
              <w:t>Kelime</w:t>
            </w:r>
          </w:p>
        </w:tc>
        <w:tc>
          <w:tcPr>
            <w:tcW w:type="dxa" w:w="1474"/>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474"/>
            <w:shd w:val="clear" w:fill="434343"/>
          </w:tcPr>
          <w:p>
            <w:pPr>
              <w:jc w:val="center"/>
            </w:pPr>
            <w:r/>
            <w:r>
              <w:rPr>
                <w:b/>
                <w:color w:val="FFFFFF"/>
                <w:sz w:val="16"/>
              </w:rPr>
              <w:t>Visibility (desktop)</w:t>
            </w:r>
          </w:p>
        </w:tc>
        <w:tc>
          <w:tcPr>
            <w:tcW w:type="dxa" w:w="1020"/>
            <w:shd w:val="clear" w:fill="434343"/>
          </w:tcPr>
          <w:p>
            <w:pPr>
              <w:jc w:val="center"/>
            </w:pPr>
            <w:r/>
            <w:r>
              <w:rPr>
                <w:b/>
                <w:color w:val="FFFFFF"/>
                <w:sz w:val="16"/>
              </w:rPr>
              <w:t>30 gün</w:t>
            </w:r>
          </w:p>
        </w:tc>
        <w:tc>
          <w:tcPr>
            <w:tcW w:type="dxa" w:w="1077"/>
            <w:shd w:val="clear" w:fill="434343"/>
          </w:tcPr>
          <w:p>
            <w:pPr>
              <w:jc w:val="center"/>
            </w:pPr>
            <w:r/>
            <w:r>
              <w:rPr>
                <w:b/>
                <w:color w:val="FFFFFF"/>
                <w:sz w:val="16"/>
              </w:rPr>
              <w:t>Ort. sıra</w:t>
            </w:r>
          </w:p>
        </w:tc>
      </w:tr>
      <w:tr>
        <w:tc>
          <w:tcPr>
            <w:tcW w:type="dxa" w:w="1474"/>
          </w:tcPr>
          <w:p>
            <w:pPr>
              <w:spacing w:after="20"/>
            </w:pPr>
            <w:r/>
            <w:r>
              <w:rPr>
                <w:color w:val="10332F"/>
                <w:sz w:val="17"/>
              </w:rPr>
              <w:t>KPI 1</w:t>
            </w:r>
          </w:p>
        </w:tc>
        <w:tc>
          <w:tcPr>
            <w:tcW w:type="dxa" w:w="964"/>
          </w:tcPr>
          <w:p>
            <w:pPr>
              <w:spacing w:after="20"/>
              <w:jc w:val="center"/>
            </w:pPr>
            <w:r/>
            <w:r>
              <w:rPr>
                <w:color w:val="10332F"/>
                <w:sz w:val="17"/>
              </w:rPr>
              <w:t>27</w:t>
            </w:r>
          </w:p>
        </w:tc>
        <w:tc>
          <w:tcPr>
            <w:tcW w:type="dxa" w:w="1474"/>
          </w:tcPr>
          <w:p>
            <w:pPr>
              <w:spacing w:after="20"/>
              <w:jc w:val="center"/>
            </w:pPr>
            <w:r/>
            <w:r>
              <w:rPr>
                <w:color w:val="10332F"/>
                <w:sz w:val="17"/>
              </w:rPr>
              <w:t>309.300</w:t>
            </w:r>
          </w:p>
        </w:tc>
        <w:tc>
          <w:tcPr>
            <w:tcW w:type="dxa" w:w="1474"/>
          </w:tcPr>
          <w:p>
            <w:pPr>
              <w:spacing w:after="20"/>
              <w:jc w:val="center"/>
            </w:pPr>
            <w:r/>
            <w:r>
              <w:rPr>
                <w:color w:val="10332F"/>
                <w:sz w:val="17"/>
              </w:rPr>
              <w:t>65.0</w:t>
            </w:r>
          </w:p>
        </w:tc>
        <w:tc>
          <w:tcPr>
            <w:tcW w:type="dxa" w:w="1020"/>
          </w:tcPr>
          <w:p>
            <w:pPr>
              <w:spacing w:after="20"/>
              <w:jc w:val="center"/>
            </w:pPr>
            <w:r/>
            <w:r>
              <w:rPr>
                <w:b/>
                <w:color w:val="D32F2F"/>
                <w:sz w:val="17"/>
              </w:rPr>
              <w:t>-8.8</w:t>
            </w:r>
          </w:p>
        </w:tc>
        <w:tc>
          <w:tcPr>
            <w:tcW w:type="dxa" w:w="1474"/>
          </w:tcPr>
          <w:p>
            <w:pPr>
              <w:spacing w:after="20"/>
              <w:jc w:val="center"/>
            </w:pPr>
            <w:r/>
            <w:r>
              <w:rPr>
                <w:color w:val="10332F"/>
                <w:sz w:val="17"/>
              </w:rPr>
              <w:t>67.0</w:t>
            </w:r>
          </w:p>
        </w:tc>
        <w:tc>
          <w:tcPr>
            <w:tcW w:type="dxa" w:w="1020"/>
          </w:tcPr>
          <w:p>
            <w:pPr>
              <w:spacing w:after="20"/>
              <w:jc w:val="center"/>
            </w:pPr>
            <w:r/>
            <w:r>
              <w:rPr>
                <w:b/>
                <w:color w:val="D32F2F"/>
                <w:sz w:val="17"/>
              </w:rPr>
              <w:t>-1.9</w:t>
            </w:r>
          </w:p>
        </w:tc>
        <w:tc>
          <w:tcPr>
            <w:tcW w:type="dxa" w:w="1077"/>
          </w:tcPr>
          <w:p>
            <w:pPr>
              <w:spacing w:after="20"/>
              <w:jc w:val="center"/>
            </w:pPr>
            <w:r/>
            <w:r>
              <w:rPr>
                <w:color w:val="10332F"/>
                <w:sz w:val="17"/>
              </w:rPr>
              <w:t>12.1</w:t>
            </w:r>
          </w:p>
        </w:tc>
      </w:tr>
      <w:tr>
        <w:tc>
          <w:tcPr>
            <w:tcW w:type="dxa" w:w="1474"/>
          </w:tcPr>
          <w:p>
            <w:pPr>
              <w:spacing w:after="20"/>
            </w:pPr>
            <w:r/>
            <w:r>
              <w:rPr>
                <w:color w:val="10332F"/>
                <w:sz w:val="17"/>
              </w:rPr>
              <w:t>KPI 2</w:t>
            </w:r>
          </w:p>
        </w:tc>
        <w:tc>
          <w:tcPr>
            <w:tcW w:type="dxa" w:w="964"/>
          </w:tcPr>
          <w:p>
            <w:pPr>
              <w:spacing w:after="20"/>
              <w:jc w:val="center"/>
            </w:pPr>
            <w:r/>
            <w:r>
              <w:rPr>
                <w:color w:val="10332F"/>
                <w:sz w:val="17"/>
              </w:rPr>
              <w:t>17</w:t>
            </w:r>
          </w:p>
        </w:tc>
        <w:tc>
          <w:tcPr>
            <w:tcW w:type="dxa" w:w="1474"/>
          </w:tcPr>
          <w:p>
            <w:pPr>
              <w:spacing w:after="20"/>
              <w:jc w:val="center"/>
            </w:pPr>
            <w:r/>
            <w:r>
              <w:rPr>
                <w:color w:val="10332F"/>
                <w:sz w:val="17"/>
              </w:rPr>
              <w:t>65.580</w:t>
            </w:r>
          </w:p>
        </w:tc>
        <w:tc>
          <w:tcPr>
            <w:tcW w:type="dxa" w:w="1474"/>
          </w:tcPr>
          <w:p>
            <w:pPr>
              <w:spacing w:after="20"/>
              <w:jc w:val="center"/>
            </w:pPr>
            <w:r/>
            <w:r>
              <w:rPr>
                <w:color w:val="10332F"/>
                <w:sz w:val="17"/>
              </w:rPr>
              <w:t>45.7</w:t>
            </w:r>
          </w:p>
        </w:tc>
        <w:tc>
          <w:tcPr>
            <w:tcW w:type="dxa" w:w="1020"/>
          </w:tcPr>
          <w:p>
            <w:pPr>
              <w:spacing w:after="20"/>
              <w:jc w:val="center"/>
            </w:pPr>
            <w:r/>
            <w:r>
              <w:rPr>
                <w:b/>
                <w:color w:val="D32F2F"/>
                <w:sz w:val="17"/>
              </w:rPr>
              <w:t>-0.8</w:t>
            </w:r>
          </w:p>
        </w:tc>
        <w:tc>
          <w:tcPr>
            <w:tcW w:type="dxa" w:w="1474"/>
          </w:tcPr>
          <w:p>
            <w:pPr>
              <w:spacing w:after="20"/>
              <w:jc w:val="center"/>
            </w:pPr>
            <w:r/>
            <w:r>
              <w:rPr>
                <w:color w:val="10332F"/>
                <w:sz w:val="17"/>
              </w:rPr>
              <w:t>42.8</w:t>
            </w:r>
          </w:p>
        </w:tc>
        <w:tc>
          <w:tcPr>
            <w:tcW w:type="dxa" w:w="1020"/>
          </w:tcPr>
          <w:p>
            <w:pPr>
              <w:spacing w:after="20"/>
              <w:jc w:val="center"/>
            </w:pPr>
            <w:r/>
            <w:r>
              <w:rPr>
                <w:b/>
                <w:color w:val="D32F2F"/>
                <w:sz w:val="17"/>
              </w:rPr>
              <w:t>-1.4</w:t>
            </w:r>
          </w:p>
        </w:tc>
        <w:tc>
          <w:tcPr>
            <w:tcW w:type="dxa" w:w="1077"/>
          </w:tcPr>
          <w:p>
            <w:pPr>
              <w:spacing w:after="20"/>
              <w:jc w:val="center"/>
            </w:pPr>
            <w:r/>
            <w:r>
              <w:rPr>
                <w:color w:val="10332F"/>
                <w:sz w:val="17"/>
              </w:rPr>
              <w:t>16.6</w:t>
            </w:r>
          </w:p>
        </w:tc>
      </w:tr>
      <w:tr>
        <w:tc>
          <w:tcPr>
            <w:tcW w:type="dxa" w:w="1474"/>
          </w:tcPr>
          <w:p>
            <w:pPr>
              <w:spacing w:after="20"/>
            </w:pPr>
            <w:r/>
            <w:r>
              <w:rPr>
                <w:color w:val="10332F"/>
                <w:sz w:val="17"/>
              </w:rPr>
              <w:t>Yeni KPI</w:t>
            </w:r>
          </w:p>
        </w:tc>
        <w:tc>
          <w:tcPr>
            <w:tcW w:type="dxa" w:w="964"/>
          </w:tcPr>
          <w:p>
            <w:pPr>
              <w:spacing w:after="20"/>
              <w:jc w:val="center"/>
            </w:pPr>
            <w:r/>
            <w:r>
              <w:rPr>
                <w:color w:val="10332F"/>
                <w:sz w:val="17"/>
              </w:rPr>
              <w:t>7</w:t>
            </w:r>
          </w:p>
        </w:tc>
        <w:tc>
          <w:tcPr>
            <w:tcW w:type="dxa" w:w="1474"/>
          </w:tcPr>
          <w:p>
            <w:pPr>
              <w:spacing w:after="20"/>
              <w:jc w:val="center"/>
            </w:pPr>
            <w:r/>
            <w:r>
              <w:rPr>
                <w:color w:val="10332F"/>
                <w:sz w:val="17"/>
              </w:rPr>
              <w:t>49.900</w:t>
            </w:r>
          </w:p>
        </w:tc>
        <w:tc>
          <w:tcPr>
            <w:tcW w:type="dxa" w:w="1474"/>
          </w:tcPr>
          <w:p>
            <w:pPr>
              <w:spacing w:after="20"/>
              <w:jc w:val="center"/>
            </w:pPr>
            <w:r/>
            <w:r>
              <w:rPr>
                <w:color w:val="10332F"/>
                <w:sz w:val="17"/>
              </w:rPr>
              <w:t>41.8</w:t>
            </w:r>
          </w:p>
        </w:tc>
        <w:tc>
          <w:tcPr>
            <w:tcW w:type="dxa" w:w="1020"/>
          </w:tcPr>
          <w:p>
            <w:pPr>
              <w:spacing w:after="20"/>
              <w:jc w:val="center"/>
            </w:pPr>
            <w:r/>
            <w:r>
              <w:rPr>
                <w:b/>
                <w:color w:val="D32F2F"/>
                <w:sz w:val="17"/>
              </w:rPr>
              <w:t>-1.8</w:t>
            </w:r>
          </w:p>
        </w:tc>
        <w:tc>
          <w:tcPr>
            <w:tcW w:type="dxa" w:w="1474"/>
          </w:tcPr>
          <w:p>
            <w:pPr>
              <w:spacing w:after="20"/>
              <w:jc w:val="center"/>
            </w:pPr>
            <w:r/>
            <w:r>
              <w:rPr>
                <w:color w:val="10332F"/>
                <w:sz w:val="17"/>
              </w:rPr>
              <w:t>39.9</w:t>
            </w:r>
          </w:p>
        </w:tc>
        <w:tc>
          <w:tcPr>
            <w:tcW w:type="dxa" w:w="1020"/>
          </w:tcPr>
          <w:p>
            <w:pPr>
              <w:spacing w:after="20"/>
              <w:jc w:val="center"/>
            </w:pPr>
            <w:r/>
            <w:r>
              <w:rPr>
                <w:b/>
                <w:color w:val="D32F2F"/>
                <w:sz w:val="17"/>
              </w:rPr>
              <w:t>-2.5</w:t>
            </w:r>
          </w:p>
        </w:tc>
        <w:tc>
          <w:tcPr>
            <w:tcW w:type="dxa" w:w="1077"/>
          </w:tcPr>
          <w:p>
            <w:pPr>
              <w:spacing w:after="20"/>
              <w:jc w:val="center"/>
            </w:pPr>
            <w:r/>
            <w:r>
              <w:rPr>
                <w:color w:val="10332F"/>
                <w:sz w:val="17"/>
              </w:rPr>
              <w:t>19.5</w:t>
            </w:r>
          </w:p>
        </w:tc>
      </w:tr>
      <w:tr>
        <w:tc>
          <w:tcPr>
            <w:tcW w:type="dxa" w:w="1474"/>
          </w:tcPr>
          <w:p>
            <w:pPr>
              <w:spacing w:after="20"/>
            </w:pPr>
            <w:r/>
            <w:r>
              <w:rPr>
                <w:color w:val="10332F"/>
                <w:sz w:val="17"/>
              </w:rPr>
              <w:t>KPI ALL</w:t>
            </w:r>
          </w:p>
        </w:tc>
        <w:tc>
          <w:tcPr>
            <w:tcW w:type="dxa" w:w="964"/>
          </w:tcPr>
          <w:p>
            <w:pPr>
              <w:spacing w:after="20"/>
              <w:jc w:val="center"/>
            </w:pPr>
            <w:r/>
            <w:r>
              <w:rPr>
                <w:color w:val="10332F"/>
                <w:sz w:val="17"/>
              </w:rPr>
              <w:t>46</w:t>
            </w:r>
          </w:p>
        </w:tc>
        <w:tc>
          <w:tcPr>
            <w:tcW w:type="dxa" w:w="1474"/>
          </w:tcPr>
          <w:p>
            <w:pPr>
              <w:spacing w:after="20"/>
              <w:jc w:val="center"/>
            </w:pPr>
            <w:r/>
            <w:r>
              <w:rPr>
                <w:color w:val="10332F"/>
                <w:sz w:val="17"/>
              </w:rPr>
              <w:t>374.880</w:t>
            </w:r>
          </w:p>
        </w:tc>
        <w:tc>
          <w:tcPr>
            <w:tcW w:type="dxa" w:w="1474"/>
          </w:tcPr>
          <w:p>
            <w:pPr>
              <w:spacing w:after="20"/>
              <w:jc w:val="center"/>
            </w:pPr>
            <w:r/>
            <w:r>
              <w:rPr>
                <w:color w:val="10332F"/>
                <w:sz w:val="17"/>
              </w:rPr>
              <w:t>61.6</w:t>
            </w:r>
          </w:p>
        </w:tc>
        <w:tc>
          <w:tcPr>
            <w:tcW w:type="dxa" w:w="1020"/>
          </w:tcPr>
          <w:p>
            <w:pPr>
              <w:spacing w:after="20"/>
              <w:jc w:val="center"/>
            </w:pPr>
            <w:r/>
            <w:r>
              <w:rPr>
                <w:b/>
                <w:color w:val="D32F2F"/>
                <w:sz w:val="17"/>
              </w:rPr>
              <w:t>-7.4</w:t>
            </w:r>
          </w:p>
        </w:tc>
        <w:tc>
          <w:tcPr>
            <w:tcW w:type="dxa" w:w="1474"/>
          </w:tcPr>
          <w:p>
            <w:pPr>
              <w:spacing w:after="20"/>
              <w:jc w:val="center"/>
            </w:pPr>
            <w:r/>
            <w:r>
              <w:rPr>
                <w:color w:val="10332F"/>
                <w:sz w:val="17"/>
              </w:rPr>
              <w:t>62.7</w:t>
            </w:r>
          </w:p>
        </w:tc>
        <w:tc>
          <w:tcPr>
            <w:tcW w:type="dxa" w:w="1020"/>
          </w:tcPr>
          <w:p>
            <w:pPr>
              <w:spacing w:after="20"/>
              <w:jc w:val="center"/>
            </w:pPr>
            <w:r/>
            <w:r>
              <w:rPr>
                <w:b/>
                <w:color w:val="D32F2F"/>
                <w:sz w:val="17"/>
              </w:rPr>
              <w:t>-1.8</w:t>
            </w:r>
          </w:p>
        </w:tc>
        <w:tc>
          <w:tcPr>
            <w:tcW w:type="dxa" w:w="1077"/>
          </w:tcPr>
          <w:p>
            <w:pPr>
              <w:spacing w:after="20"/>
              <w:jc w:val="center"/>
            </w:pPr>
            <w:r/>
            <w:r>
              <w:rPr>
                <w:color w:val="10332F"/>
                <w:sz w:val="17"/>
              </w:rPr>
              <w:t>12.9</w:t>
            </w:r>
          </w:p>
        </w:tc>
      </w:tr>
    </w:tbl>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Mobil 100., masaüstü 20. sıraya kadar takip edilmektedir · Sıralamalar 11 Ağu 2026, karşılaştırma 12 Tem 2026 · Pozitif değer sıralama iyileşmesini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608"/>
            <w:shd w:val="clear" w:fill="434343"/>
          </w:tcPr>
          <w:p>
            <w:pPr>
              <w:jc w:val="center"/>
            </w:pPr>
            <w:r/>
            <w:r>
              <w:rPr>
                <w:b/>
                <w:color w:val="FFFFFF"/>
                <w:sz w:val="16"/>
              </w:rPr>
              <w:t>Domain</w:t>
            </w:r>
          </w:p>
        </w:tc>
        <w:tc>
          <w:tcPr>
            <w:tcW w:type="dxa" w:w="1474"/>
            <w:shd w:val="clear" w:fill="434343"/>
          </w:tcPr>
          <w:p>
            <w:pPr>
              <w:jc w:val="center"/>
            </w:pPr>
            <w:r/>
            <w:r>
              <w:rPr>
                <w:b/>
                <w:color w:val="FFFFFF"/>
                <w:sz w:val="16"/>
              </w:rPr>
              <w:t>Nitelik</w:t>
            </w:r>
          </w:p>
        </w:tc>
        <w:tc>
          <w:tcPr>
            <w:tcW w:type="dxa" w:w="1814"/>
            <w:shd w:val="clear" w:fill="434343"/>
          </w:tcPr>
          <w:p>
            <w:pPr>
              <w:jc w:val="center"/>
            </w:pPr>
            <w:r/>
            <w:r>
              <w:rPr>
                <w:b/>
                <w:color w:val="FFFFFF"/>
                <w:sz w:val="16"/>
              </w:rPr>
              <w:t>Organic SoV 12 Tem</w:t>
            </w:r>
          </w:p>
        </w:tc>
        <w:tc>
          <w:tcPr>
            <w:tcW w:type="dxa" w:w="1814"/>
            <w:shd w:val="clear" w:fill="434343"/>
          </w:tcPr>
          <w:p>
            <w:pPr>
              <w:jc w:val="center"/>
            </w:pPr>
            <w:r/>
            <w:r>
              <w:rPr>
                <w:b/>
                <w:color w:val="FFFFFF"/>
                <w:sz w:val="16"/>
              </w:rPr>
              <w:t>Organic SoV 11 Ağu</w:t>
            </w:r>
          </w:p>
        </w:tc>
        <w:tc>
          <w:tcPr>
            <w:tcW w:type="dxa" w:w="1361"/>
            <w:shd w:val="clear" w:fill="434343"/>
          </w:tcPr>
          <w:p>
            <w:pPr>
              <w:jc w:val="center"/>
            </w:pPr>
            <w:r/>
            <w:r>
              <w:rPr>
                <w:b/>
                <w:color w:val="FFFFFF"/>
                <w:sz w:val="16"/>
              </w:rPr>
              <w:t>Değişim</w:t>
            </w:r>
          </w:p>
        </w:tc>
      </w:tr>
      <w:tr>
        <w:tc>
          <w:tcPr>
            <w:tcW w:type="dxa" w:w="2608"/>
          </w:tcPr>
          <w:p>
            <w:pPr>
              <w:spacing w:after="20"/>
            </w:pPr>
            <w:r/>
            <w:r>
              <w:rPr>
                <w:color w:val="10332F"/>
                <w:sz w:val="17"/>
              </w:rPr>
              <w:t>gratis.com</w:t>
            </w:r>
          </w:p>
        </w:tc>
        <w:tc>
          <w:tcPr>
            <w:tcW w:type="dxa" w:w="1474"/>
          </w:tcPr>
          <w:p>
            <w:pPr>
              <w:spacing w:after="20"/>
            </w:pPr>
            <w:r/>
            <w:r>
              <w:rPr>
                <w:color w:val="10332F"/>
                <w:sz w:val="17"/>
              </w:rPr>
              <w:t>Rakip</w:t>
            </w:r>
          </w:p>
        </w:tc>
        <w:tc>
          <w:tcPr>
            <w:tcW w:type="dxa" w:w="1814"/>
          </w:tcPr>
          <w:p>
            <w:pPr>
              <w:spacing w:after="20"/>
              <w:jc w:val="center"/>
            </w:pPr>
            <w:r/>
            <w:r>
              <w:rPr>
                <w:color w:val="10332F"/>
                <w:sz w:val="17"/>
              </w:rPr>
              <w:t>%15.89</w:t>
            </w:r>
          </w:p>
        </w:tc>
        <w:tc>
          <w:tcPr>
            <w:tcW w:type="dxa" w:w="1814"/>
          </w:tcPr>
          <w:p>
            <w:pPr>
              <w:spacing w:after="20"/>
              <w:jc w:val="center"/>
            </w:pPr>
            <w:r/>
            <w:r>
              <w:rPr>
                <w:color w:val="10332F"/>
                <w:sz w:val="17"/>
              </w:rPr>
              <w:t>%16.16</w:t>
            </w:r>
          </w:p>
        </w:tc>
        <w:tc>
          <w:tcPr>
            <w:tcW w:type="dxa" w:w="1361"/>
          </w:tcPr>
          <w:p>
            <w:pPr>
              <w:spacing w:after="20"/>
              <w:jc w:val="center"/>
            </w:pPr>
            <w:r/>
            <w:r>
              <w:rPr>
                <w:b/>
                <w:color w:val="2E7D32"/>
                <w:sz w:val="17"/>
              </w:rPr>
              <w:t>+0.27</w:t>
            </w:r>
          </w:p>
        </w:tc>
      </w:tr>
      <w:tr>
        <w:tc>
          <w:tcPr>
            <w:tcW w:type="dxa" w:w="2608"/>
          </w:tcPr>
          <w:p>
            <w:pPr>
              <w:spacing w:after="20"/>
            </w:pPr>
            <w:r/>
            <w:r>
              <w:rPr>
                <w:color w:val="10332F"/>
                <w:sz w:val="17"/>
              </w:rPr>
              <w:t>trendyol.com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%12.69</w:t>
            </w:r>
          </w:p>
        </w:tc>
        <w:tc>
          <w:tcPr>
            <w:tcW w:type="dxa" w:w="1814"/>
          </w:tcPr>
          <w:p>
            <w:pPr>
              <w:spacing w:after="20"/>
              <w:jc w:val="center"/>
            </w:pPr>
            <w:r/>
            <w:r>
              <w:rPr>
                <w:color w:val="10332F"/>
                <w:sz w:val="17"/>
              </w:rPr>
              <w:t>%15.03</w:t>
            </w:r>
          </w:p>
        </w:tc>
        <w:tc>
          <w:tcPr>
            <w:tcW w:type="dxa" w:w="1361"/>
          </w:tcPr>
          <w:p>
            <w:pPr>
              <w:spacing w:after="20"/>
              <w:jc w:val="center"/>
            </w:pPr>
            <w:r/>
            <w:r>
              <w:rPr>
                <w:b/>
                <w:color w:val="2E7D32"/>
                <w:sz w:val="17"/>
              </w:rPr>
              <w:t>+2.34</w:t>
            </w:r>
          </w:p>
        </w:tc>
      </w:tr>
      <w:tr>
        <w:tc>
          <w:tcPr>
            <w:tcW w:type="dxa" w:w="2608"/>
          </w:tcPr>
          <w:p>
            <w:pPr>
              <w:spacing w:after="20"/>
            </w:pPr>
            <w:r/>
            <w:r>
              <w:rPr>
                <w:color w:val="10332F"/>
                <w:sz w:val="17"/>
              </w:rPr>
              <w:t>watsons.com.tr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%10.48</w:t>
            </w:r>
          </w:p>
        </w:tc>
        <w:tc>
          <w:tcPr>
            <w:tcW w:type="dxa" w:w="1814"/>
          </w:tcPr>
          <w:p>
            <w:pPr>
              <w:spacing w:after="20"/>
              <w:jc w:val="center"/>
            </w:pPr>
            <w:r/>
            <w:r>
              <w:rPr>
                <w:color w:val="10332F"/>
                <w:sz w:val="17"/>
              </w:rPr>
              <w:t>%10.04</w:t>
            </w:r>
          </w:p>
        </w:tc>
        <w:tc>
          <w:tcPr>
            <w:tcW w:type="dxa" w:w="1361"/>
          </w:tcPr>
          <w:p>
            <w:pPr>
              <w:spacing w:after="20"/>
              <w:jc w:val="center"/>
            </w:pPr>
            <w:r/>
            <w:r>
              <w:rPr>
                <w:b/>
                <w:color w:val="D32F2F"/>
                <w:sz w:val="17"/>
              </w:rPr>
              <w:t>-0.44</w:t>
            </w:r>
          </w:p>
        </w:tc>
      </w:tr>
      <w:tr>
        <w:tc>
          <w:tcPr>
            <w:tcW w:type="dxa" w:w="2608"/>
          </w:tcPr>
          <w:p>
            <w:pPr>
              <w:spacing w:after="20"/>
            </w:pPr>
            <w:r/>
            <w:r>
              <w:rPr>
                <w:color w:val="10332F"/>
                <w:sz w:val="17"/>
              </w:rPr>
              <w:t>flormar.com.tr</w:t>
            </w:r>
          </w:p>
        </w:tc>
        <w:tc>
          <w:tcPr>
            <w:tcW w:type="dxa" w:w="1474"/>
          </w:tcPr>
          <w:p>
            <w:pPr>
              <w:spacing w:after="20"/>
            </w:pPr>
            <w:r/>
            <w:r>
              <w:rPr>
                <w:color w:val="10332F"/>
                <w:sz w:val="17"/>
              </w:rPr>
              <w:t>Flormar</w:t>
            </w:r>
          </w:p>
        </w:tc>
        <w:tc>
          <w:tcPr>
            <w:tcW w:type="dxa" w:w="1814"/>
          </w:tcPr>
          <w:p>
            <w:pPr>
              <w:spacing w:after="20"/>
              <w:jc w:val="center"/>
            </w:pPr>
            <w:r/>
            <w:r>
              <w:rPr>
                <w:color w:val="10332F"/>
                <w:sz w:val="17"/>
              </w:rPr>
              <w:t>%8.93</w:t>
            </w:r>
          </w:p>
        </w:tc>
        <w:tc>
          <w:tcPr>
            <w:tcW w:type="dxa" w:w="1814"/>
          </w:tcPr>
          <w:p>
            <w:pPr>
              <w:spacing w:after="20"/>
              <w:jc w:val="center"/>
            </w:pPr>
            <w:r/>
            <w:r>
              <w:rPr>
                <w:color w:val="10332F"/>
                <w:sz w:val="17"/>
              </w:rPr>
              <w:t>%8.63</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sephora.com.tr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%6.77</w:t>
            </w:r>
          </w:p>
        </w:tc>
        <w:tc>
          <w:tcPr>
            <w:tcW w:type="dxa" w:w="1814"/>
          </w:tcPr>
          <w:p>
            <w:pPr>
              <w:spacing w:after="20"/>
              <w:jc w:val="center"/>
            </w:pPr>
            <w:r/>
            <w:r>
              <w:rPr>
                <w:color w:val="10332F"/>
                <w:sz w:val="17"/>
              </w:rPr>
              <w:t>%5.9</w:t>
            </w:r>
          </w:p>
        </w:tc>
        <w:tc>
          <w:tcPr>
            <w:tcW w:type="dxa" w:w="1361"/>
          </w:tcPr>
          <w:p>
            <w:pPr>
              <w:spacing w:after="20"/>
              <w:jc w:val="center"/>
            </w:pPr>
            <w:r/>
            <w:r>
              <w:rPr>
                <w:b/>
                <w:color w:val="D32F2F"/>
                <w:sz w:val="17"/>
              </w:rPr>
              <w:t>-0.87</w:t>
            </w:r>
          </w:p>
        </w:tc>
      </w:tr>
      <w:tr>
        <w:tc>
          <w:tcPr>
            <w:tcW w:type="dxa" w:w="2608"/>
          </w:tcPr>
          <w:p>
            <w:pPr>
              <w:spacing w:after="20"/>
            </w:pPr>
            <w:r/>
            <w:r>
              <w:rPr>
                <w:color w:val="10332F"/>
                <w:sz w:val="17"/>
              </w:rPr>
              <w:t>hepsiburada.com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%2.35</w:t>
            </w:r>
          </w:p>
        </w:tc>
        <w:tc>
          <w:tcPr>
            <w:tcW w:type="dxa" w:w="1814"/>
          </w:tcPr>
          <w:p>
            <w:pPr>
              <w:spacing w:after="20"/>
              <w:jc w:val="center"/>
            </w:pPr>
            <w:r/>
            <w:r>
              <w:rPr>
                <w:color w:val="10332F"/>
                <w:sz w:val="17"/>
              </w:rPr>
              <w:t>%2.08</w:t>
            </w:r>
          </w:p>
        </w:tc>
        <w:tc>
          <w:tcPr>
            <w:tcW w:type="dxa" w:w="1361"/>
          </w:tcPr>
          <w:p>
            <w:pPr>
              <w:spacing w:after="20"/>
              <w:jc w:val="center"/>
            </w:pPr>
            <w:r/>
            <w:r>
              <w:rPr>
                <w:b/>
                <w:color w:val="D32F2F"/>
                <w:sz w:val="17"/>
              </w:rPr>
              <w:t>-0.27</w:t>
            </w:r>
          </w:p>
        </w:tc>
      </w:tr>
      <w:tr>
        <w:tc>
          <w:tcPr>
            <w:tcW w:type="dxa" w:w="2608"/>
          </w:tcPr>
          <w:p>
            <w:pPr>
              <w:spacing w:after="20"/>
            </w:pPr>
            <w:r/>
            <w:r>
              <w:rPr>
                <w:color w:val="10332F"/>
                <w:sz w:val="17"/>
              </w:rPr>
              <w:t>kikomilano.com.tr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%1.85</w:t>
            </w:r>
          </w:p>
        </w:tc>
        <w:tc>
          <w:tcPr>
            <w:tcW w:type="dxa" w:w="1814"/>
          </w:tcPr>
          <w:p>
            <w:pPr>
              <w:spacing w:after="20"/>
              <w:jc w:val="center"/>
            </w:pPr>
            <w:r/>
            <w:r>
              <w:rPr>
                <w:color w:val="10332F"/>
                <w:sz w:val="17"/>
              </w:rPr>
              <w:t>%1.55</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yvesrocher.com.tr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%1.89</w:t>
            </w:r>
          </w:p>
        </w:tc>
        <w:tc>
          <w:tcPr>
            <w:tcW w:type="dxa" w:w="1814"/>
          </w:tcPr>
          <w:p>
            <w:pPr>
              <w:spacing w:after="20"/>
              <w:jc w:val="center"/>
            </w:pPr>
            <w:r/>
            <w:r>
              <w:rPr>
                <w:color w:val="10332F"/>
                <w:sz w:val="17"/>
              </w:rPr>
              <w:t>%1.4</w:t>
            </w:r>
          </w:p>
        </w:tc>
        <w:tc>
          <w:tcPr>
            <w:tcW w:type="dxa" w:w="1361"/>
          </w:tcPr>
          <w:p>
            <w:pPr>
              <w:spacing w:after="20"/>
              <w:jc w:val="center"/>
            </w:pPr>
            <w:r/>
            <w:r>
              <w:rPr>
                <w:b/>
                <w:color w:val="D32F2F"/>
                <w:sz w:val="17"/>
              </w:rPr>
              <w:t>-0.49</w:t>
            </w:r>
          </w:p>
        </w:tc>
      </w:tr>
      <w:tr>
        <w:tc>
          <w:tcPr>
            <w:tcW w:type="dxa" w:w="2608"/>
          </w:tcPr>
          <w:p>
            <w:pPr>
              <w:spacing w:after="20"/>
            </w:pPr>
            <w:r/>
            <w:r>
              <w:rPr>
                <w:color w:val="10332F"/>
                <w:sz w:val="17"/>
              </w:rPr>
              <w:t>shop.goldenrose.com.tr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w:t>
            </w:r>
          </w:p>
        </w:tc>
        <w:tc>
          <w:tcPr>
            <w:tcW w:type="dxa" w:w="1814"/>
          </w:tcPr>
          <w:p>
            <w:pPr>
              <w:spacing w:after="20"/>
              <w:jc w:val="center"/>
            </w:pPr>
            <w:r/>
            <w:r>
              <w:rPr>
                <w:color w:val="10332F"/>
                <w:sz w:val="17"/>
              </w:rPr>
              <w:t>%1.37</w:t>
            </w:r>
          </w:p>
        </w:tc>
        <w:tc>
          <w:tcPr>
            <w:tcW w:type="dxa" w:w="1361"/>
          </w:tcPr>
          <w:p>
            <w:pPr>
              <w:spacing w:after="20"/>
              <w:jc w:val="center"/>
            </w:pPr>
            <w:r/>
            <w:r>
              <w:rPr>
                <w:color w:val="10332F"/>
                <w:sz w:val="17"/>
              </w:rPr>
              <w:t>-</w:t>
            </w:r>
          </w:p>
        </w:tc>
      </w:tr>
    </w:tbl>
    <w:p>
      <w:pPr>
        <w:spacing w:before="0" w:after="180"/>
      </w:pPr>
      <w:r>
        <w:rPr>
          <w:b w:val="0"/>
          <w:color w:val="7C8B88"/>
          <w:sz w:val="16"/>
        </w:rPr>
        <w:t>Kaynak: SEOmonitor Share of Voice · mobil · 599 takip kelimesi</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+2.34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03 · İçerik Açığı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04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30 günlük değişim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061"/>
            <w:shd w:val="clear" w:fill="434343"/>
          </w:tcPr>
          <w:p>
            <w:pPr>
              <w:jc w:val="center"/>
            </w:pPr>
            <w:r/>
            <w:r>
              <w:rPr>
                <w:b/>
                <w:color w:val="FFFFFF"/>
                <w:sz w:val="16"/>
              </w:rPr>
              <w:t>Domain</w:t>
            </w:r>
          </w:p>
        </w:tc>
        <w:tc>
          <w:tcPr>
            <w:tcW w:type="dxa" w:w="1928"/>
            <w:shd w:val="clear" w:fill="434343"/>
          </w:tcPr>
          <w:p>
            <w:pPr>
              <w:jc w:val="center"/>
            </w:pPr>
            <w:r/>
            <w:r>
              <w:rPr>
                <w:b/>
                <w:color w:val="FFFFFF"/>
                <w:sz w:val="16"/>
              </w:rPr>
              <w:t>12 Tem 2026</w:t>
            </w:r>
          </w:p>
        </w:tc>
        <w:tc>
          <w:tcPr>
            <w:tcW w:type="dxa" w:w="1928"/>
            <w:shd w:val="clear" w:fill="434343"/>
          </w:tcPr>
          <w:p>
            <w:pPr>
              <w:jc w:val="center"/>
            </w:pPr>
            <w:r/>
            <w:r>
              <w:rPr>
                <w:b/>
                <w:color w:val="FFFFFF"/>
                <w:sz w:val="16"/>
              </w:rPr>
              <w:t>11 Ağu 2026</w:t>
            </w:r>
          </w:p>
        </w:tc>
        <w:tc>
          <w:tcPr>
            <w:tcW w:type="dxa" w:w="1701"/>
            <w:shd w:val="clear" w:fill="434343"/>
          </w:tcPr>
          <w:p>
            <w:pPr>
              <w:jc w:val="center"/>
            </w:pPr>
            <w:r/>
            <w:r>
              <w:rPr>
                <w:b/>
                <w:color w:val="FFFFFF"/>
                <w:sz w:val="16"/>
              </w:rPr>
              <w:t>Değişim</w:t>
            </w:r>
          </w:p>
        </w:tc>
      </w:tr>
      <w:tr>
        <w:tc>
          <w:tcPr>
            <w:tcW w:type="dxa" w:w="3061"/>
          </w:tcPr>
          <w:p>
            <w:pPr>
              <w:spacing w:after="20"/>
            </w:pPr>
            <w:r/>
            <w:r>
              <w:rPr>
                <w:color w:val="10332F"/>
                <w:sz w:val="17"/>
              </w:rPr>
              <w:t>trendyol.com</w:t>
            </w:r>
          </w:p>
        </w:tc>
        <w:tc>
          <w:tcPr>
            <w:tcW w:type="dxa" w:w="1928"/>
          </w:tcPr>
          <w:p>
            <w:pPr>
              <w:spacing w:after="20"/>
              <w:jc w:val="center"/>
            </w:pPr>
            <w:r/>
            <w:r>
              <w:rPr>
                <w:color w:val="10332F"/>
                <w:sz w:val="17"/>
              </w:rPr>
              <w:t>%27.97</w:t>
            </w:r>
          </w:p>
        </w:tc>
        <w:tc>
          <w:tcPr>
            <w:tcW w:type="dxa" w:w="1928"/>
          </w:tcPr>
          <w:p>
            <w:pPr>
              <w:spacing w:after="20"/>
              <w:jc w:val="center"/>
            </w:pPr>
            <w:r/>
            <w:r>
              <w:rPr>
                <w:color w:val="10332F"/>
                <w:sz w:val="17"/>
              </w:rPr>
              <w:t>%27.02</w:t>
            </w:r>
          </w:p>
        </w:tc>
        <w:tc>
          <w:tcPr>
            <w:tcW w:type="dxa" w:w="1701"/>
          </w:tcPr>
          <w:p>
            <w:pPr>
              <w:spacing w:after="20"/>
              <w:jc w:val="center"/>
            </w:pPr>
            <w:r/>
            <w:r>
              <w:rPr>
                <w:b/>
                <w:color w:val="D32F2F"/>
                <w:sz w:val="17"/>
              </w:rPr>
              <w:t>-0.95</w:t>
            </w:r>
          </w:p>
        </w:tc>
      </w:tr>
      <w:tr>
        <w:tc>
          <w:tcPr>
            <w:tcW w:type="dxa" w:w="3061"/>
          </w:tcPr>
          <w:p>
            <w:pPr>
              <w:spacing w:after="20"/>
            </w:pPr>
            <w:r/>
            <w:r>
              <w:rPr>
                <w:color w:val="10332F"/>
                <w:sz w:val="17"/>
              </w:rPr>
              <w:t>watsons.com.tr</w:t>
            </w:r>
          </w:p>
        </w:tc>
        <w:tc>
          <w:tcPr>
            <w:tcW w:type="dxa" w:w="1928"/>
          </w:tcPr>
          <w:p>
            <w:pPr>
              <w:spacing w:after="20"/>
              <w:jc w:val="center"/>
            </w:pPr>
            <w:r/>
            <w:r>
              <w:rPr>
                <w:color w:val="10332F"/>
                <w:sz w:val="17"/>
              </w:rPr>
              <w:t>%23.19</w:t>
            </w:r>
          </w:p>
        </w:tc>
        <w:tc>
          <w:tcPr>
            <w:tcW w:type="dxa" w:w="1928"/>
          </w:tcPr>
          <w:p>
            <w:pPr>
              <w:spacing w:after="20"/>
              <w:jc w:val="center"/>
            </w:pPr>
            <w:r/>
            <w:r>
              <w:rPr>
                <w:color w:val="10332F"/>
                <w:sz w:val="17"/>
              </w:rPr>
              <w:t>%21.62</w:t>
            </w:r>
          </w:p>
        </w:tc>
        <w:tc>
          <w:tcPr>
            <w:tcW w:type="dxa" w:w="1701"/>
          </w:tcPr>
          <w:p>
            <w:pPr>
              <w:spacing w:after="20"/>
              <w:jc w:val="center"/>
            </w:pPr>
            <w:r/>
            <w:r>
              <w:rPr>
                <w:b/>
                <w:color w:val="D32F2F"/>
                <w:sz w:val="17"/>
              </w:rPr>
              <w:t>-1.57</w:t>
            </w:r>
          </w:p>
        </w:tc>
      </w:tr>
      <w:tr>
        <w:tc>
          <w:tcPr>
            <w:tcW w:type="dxa" w:w="3061"/>
          </w:tcPr>
          <w:p>
            <w:pPr>
              <w:spacing w:after="20"/>
            </w:pPr>
            <w:r/>
            <w:r>
              <w:rPr>
                <w:color w:val="10332F"/>
                <w:sz w:val="17"/>
              </w:rPr>
              <w:t>sephora.com.tr</w:t>
            </w:r>
          </w:p>
        </w:tc>
        <w:tc>
          <w:tcPr>
            <w:tcW w:type="dxa" w:w="1928"/>
          </w:tcPr>
          <w:p>
            <w:pPr>
              <w:spacing w:after="20"/>
              <w:jc w:val="center"/>
            </w:pPr>
            <w:r/>
            <w:r>
              <w:rPr>
                <w:color w:val="10332F"/>
                <w:sz w:val="17"/>
              </w:rPr>
              <w:t>%10.43</w:t>
            </w:r>
          </w:p>
        </w:tc>
        <w:tc>
          <w:tcPr>
            <w:tcW w:type="dxa" w:w="1928"/>
          </w:tcPr>
          <w:p>
            <w:pPr>
              <w:spacing w:after="20"/>
              <w:jc w:val="center"/>
            </w:pPr>
            <w:r/>
            <w:r>
              <w:rPr>
                <w:color w:val="10332F"/>
                <w:sz w:val="17"/>
              </w:rPr>
              <w:t>%18.52</w:t>
            </w:r>
          </w:p>
        </w:tc>
        <w:tc>
          <w:tcPr>
            <w:tcW w:type="dxa" w:w="1701"/>
          </w:tcPr>
          <w:p>
            <w:pPr>
              <w:spacing w:after="20"/>
              <w:jc w:val="center"/>
            </w:pPr>
            <w:r/>
            <w:r>
              <w:rPr>
                <w:b/>
                <w:color w:val="2E7D32"/>
                <w:sz w:val="17"/>
              </w:rPr>
              <w:t>+8.09</w:t>
            </w:r>
          </w:p>
        </w:tc>
      </w:tr>
      <w:tr>
        <w:tc>
          <w:tcPr>
            <w:tcW w:type="dxa" w:w="3061"/>
          </w:tcPr>
          <w:p>
            <w:pPr>
              <w:spacing w:after="20"/>
            </w:pPr>
            <w:r/>
            <w:r>
              <w:rPr>
                <w:color w:val="10332F"/>
                <w:sz w:val="17"/>
              </w:rPr>
              <w:t>eveshop.com.tr</w:t>
            </w:r>
          </w:p>
        </w:tc>
        <w:tc>
          <w:tcPr>
            <w:tcW w:type="dxa" w:w="1928"/>
          </w:tcPr>
          <w:p>
            <w:pPr>
              <w:spacing w:after="20"/>
              <w:jc w:val="center"/>
            </w:pPr>
            <w:r/>
            <w:r>
              <w:rPr>
                <w:color w:val="10332F"/>
                <w:sz w:val="17"/>
              </w:rPr>
              <w:t>%2.39</w:t>
            </w:r>
          </w:p>
        </w:tc>
        <w:tc>
          <w:tcPr>
            <w:tcW w:type="dxa" w:w="1928"/>
          </w:tcPr>
          <w:p>
            <w:pPr>
              <w:spacing w:after="20"/>
              <w:jc w:val="center"/>
            </w:pPr>
            <w:r/>
            <w:r>
              <w:rPr>
                <w:color w:val="10332F"/>
                <w:sz w:val="17"/>
              </w:rPr>
              <w:t>%11.01</w:t>
            </w:r>
          </w:p>
        </w:tc>
        <w:tc>
          <w:tcPr>
            <w:tcW w:type="dxa" w:w="1701"/>
          </w:tcPr>
          <w:p>
            <w:pPr>
              <w:spacing w:after="20"/>
              <w:jc w:val="center"/>
            </w:pPr>
            <w:r/>
            <w:r>
              <w:rPr>
                <w:b/>
                <w:color w:val="2E7D32"/>
                <w:sz w:val="17"/>
              </w:rPr>
              <w:t>+8.62</w:t>
            </w:r>
          </w:p>
        </w:tc>
      </w:tr>
      <w:tr>
        <w:tc>
          <w:tcPr>
            <w:tcW w:type="dxa" w:w="3061"/>
          </w:tcPr>
          <w:p>
            <w:pPr>
              <w:spacing w:after="20"/>
            </w:pPr>
            <w:r/>
            <w:r>
              <w:rPr>
                <w:color w:val="10332F"/>
                <w:sz w:val="17"/>
              </w:rPr>
              <w:t>flormar.com.tr</w:t>
            </w:r>
          </w:p>
        </w:tc>
        <w:tc>
          <w:tcPr>
            <w:tcW w:type="dxa" w:w="1928"/>
          </w:tcPr>
          <w:p>
            <w:pPr>
              <w:spacing w:after="20"/>
              <w:jc w:val="center"/>
            </w:pPr>
            <w:r/>
            <w:r>
              <w:rPr>
                <w:color w:val="10332F"/>
                <w:sz w:val="17"/>
              </w:rPr>
              <w:t>%11.37</w:t>
            </w:r>
          </w:p>
        </w:tc>
        <w:tc>
          <w:tcPr>
            <w:tcW w:type="dxa" w:w="1928"/>
          </w:tcPr>
          <w:p>
            <w:pPr>
              <w:spacing w:after="20"/>
              <w:jc w:val="center"/>
            </w:pPr>
            <w:r/>
            <w:r>
              <w:rPr>
                <w:color w:val="10332F"/>
                <w:sz w:val="17"/>
              </w:rPr>
              <w:t>%9.72</w:t>
            </w:r>
          </w:p>
        </w:tc>
        <w:tc>
          <w:tcPr>
            <w:tcW w:type="dxa" w:w="1701"/>
          </w:tcPr>
          <w:p>
            <w:pPr>
              <w:spacing w:after="20"/>
              <w:jc w:val="center"/>
            </w:pPr>
            <w:r/>
            <w:r>
              <w:rPr>
                <w:b/>
                <w:color w:val="D32F2F"/>
                <w:sz w:val="17"/>
              </w:rPr>
              <w:t>-1.65</w:t>
            </w:r>
          </w:p>
        </w:tc>
      </w:tr>
      <w:tr>
        <w:tc>
          <w:tcPr>
            <w:tcW w:type="dxa" w:w="3061"/>
          </w:tcPr>
          <w:p>
            <w:pPr>
              <w:spacing w:after="20"/>
            </w:pPr>
            <w:r/>
            <w:r>
              <w:rPr>
                <w:color w:val="10332F"/>
                <w:sz w:val="17"/>
              </w:rPr>
              <w:t>gratis.com</w:t>
            </w:r>
          </w:p>
        </w:tc>
        <w:tc>
          <w:tcPr>
            <w:tcW w:type="dxa" w:w="1928"/>
          </w:tcPr>
          <w:p>
            <w:pPr>
              <w:spacing w:after="20"/>
              <w:jc w:val="center"/>
            </w:pPr>
            <w:r/>
            <w:r>
              <w:rPr>
                <w:color w:val="10332F"/>
                <w:sz w:val="17"/>
              </w:rPr>
              <w:t>%20.49</w:t>
            </w:r>
          </w:p>
        </w:tc>
        <w:tc>
          <w:tcPr>
            <w:tcW w:type="dxa" w:w="1928"/>
          </w:tcPr>
          <w:p>
            <w:pPr>
              <w:spacing w:after="20"/>
              <w:jc w:val="center"/>
            </w:pPr>
            <w:r/>
            <w:r>
              <w:rPr>
                <w:color w:val="10332F"/>
                <w:sz w:val="17"/>
              </w:rPr>
              <w:t>%9.62</w:t>
            </w:r>
          </w:p>
        </w:tc>
        <w:tc>
          <w:tcPr>
            <w:tcW w:type="dxa" w:w="1701"/>
          </w:tcPr>
          <w:p>
            <w:pPr>
              <w:spacing w:after="20"/>
              <w:jc w:val="center"/>
            </w:pPr>
            <w:r/>
            <w:r>
              <w:rPr>
                <w:b/>
                <w:color w:val="D32F2F"/>
                <w:sz w:val="17"/>
              </w:rPr>
              <w:t>-10.87</w:t>
            </w:r>
          </w:p>
        </w:tc>
      </w:tr>
      <w:tr>
        <w:tc>
          <w:tcPr>
            <w:tcW w:type="dxa" w:w="3061"/>
          </w:tcPr>
          <w:p>
            <w:pPr>
              <w:spacing w:after="20"/>
            </w:pPr>
            <w:r/>
            <w:r>
              <w:rPr>
                <w:color w:val="10332F"/>
                <w:sz w:val="17"/>
              </w:rPr>
              <w:t>hepsiburada.com</w:t>
            </w:r>
          </w:p>
        </w:tc>
        <w:tc>
          <w:tcPr>
            <w:tcW w:type="dxa" w:w="1928"/>
          </w:tcPr>
          <w:p>
            <w:pPr>
              <w:spacing w:after="20"/>
              <w:jc w:val="center"/>
            </w:pPr>
            <w:r/>
            <w:r>
              <w:rPr>
                <w:color w:val="10332F"/>
                <w:sz w:val="17"/>
              </w:rPr>
              <w:t>%2.44</w:t>
            </w:r>
          </w:p>
        </w:tc>
        <w:tc>
          <w:tcPr>
            <w:tcW w:type="dxa" w:w="1928"/>
          </w:tcPr>
          <w:p>
            <w:pPr>
              <w:spacing w:after="20"/>
              <w:jc w:val="center"/>
            </w:pPr>
            <w:r/>
            <w:r>
              <w:rPr>
                <w:color w:val="10332F"/>
                <w:sz w:val="17"/>
              </w:rPr>
              <w:t>%2.18</w:t>
            </w:r>
          </w:p>
        </w:tc>
        <w:tc>
          <w:tcPr>
            <w:tcW w:type="dxa" w:w="1701"/>
          </w:tcPr>
          <w:p>
            <w:pPr>
              <w:spacing w:after="20"/>
              <w:jc w:val="center"/>
            </w:pPr>
            <w:r/>
            <w:r>
              <w:rPr>
                <w:b/>
                <w:color w:val="D32F2F"/>
                <w:sz w:val="17"/>
              </w:rPr>
              <w:t>-0.26</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Sitemap içinde 500 yanıtı veren 7 test sayfası, yüksek numaralı pagination sayfalarındaki 502 yanıtları, listeleme ve kampanya şablonlarında H1 tanımı, set sayfalarındaki ikinci title, iç bağlantı almayan 145 sayfa, sitemap dışında kalan 1.462 sayfa, alt text bulunmayan 3.331 görsel.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liste modunda başlatıldı; JavaScript rendering kapalı, sitemap dahil edilmedi. 4.497 URL karşılandı, 734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Voice (SoV)</w:t>
            </w:r>
          </w:p>
        </w:tc>
        <w:tc>
          <w:tcPr>
            <w:tcW w:type="dxa" w:w="6690"/>
          </w:tcPr>
          <w:p>
            <w:pPr>
              <w:spacing w:after="20"/>
            </w:pPr>
            <w:r/>
            <w:r>
              <w:rPr>
                <w:color w:val="10332F"/>
                <w:sz w:val="17"/>
              </w:rPr>
              <w:t>Takip edilen kelime setinde tahmini trafiğin domainler arasındaki dağılım payı.</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