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ENGINEERING </w:t>
      </w:r>
    </w:p>
    <w:p w:rsidR="00000000" w:rsidDel="00000000" w:rsidP="00000000" w:rsidRDefault="00000000" w:rsidRPr="00000000" w14:paraId="00000003">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4">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w:t>
      </w:r>
    </w:p>
    <w:p w:rsidR="00000000" w:rsidDel="00000000" w:rsidP="00000000" w:rsidRDefault="00000000" w:rsidRPr="00000000" w14:paraId="00000005">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INDUSTRIAL ENGINEERING</w:t>
      </w:r>
    </w:p>
    <w:p w:rsidR="00000000" w:rsidDel="00000000" w:rsidP="00000000" w:rsidRDefault="00000000" w:rsidRPr="00000000" w14:paraId="00000006">
      <w:pPr>
        <w:widowControl w:val="1"/>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7">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8">
      <w:pPr>
        <w:widowControl w:val="1"/>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9">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IE 493 - QUEUEING SYSTEMS MODELLING</w:t>
      </w:r>
    </w:p>
    <w:p w:rsidR="00000000" w:rsidDel="00000000" w:rsidP="00000000" w:rsidRDefault="00000000" w:rsidRPr="00000000" w14:paraId="0000000B">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PHASE 2</w:t>
      </w:r>
    </w:p>
    <w:p w:rsidR="00000000" w:rsidDel="00000000" w:rsidP="00000000" w:rsidRDefault="00000000" w:rsidRPr="00000000" w14:paraId="0000000C">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No:  </w:t>
      </w:r>
      <w:r w:rsidDel="00000000" w:rsidR="00000000" w:rsidRPr="00000000">
        <w:rPr>
          <w:rFonts w:ascii="Times New Roman" w:cs="Times New Roman" w:eastAsia="Times New Roman" w:hAnsi="Times New Roman"/>
          <w:sz w:val="28"/>
          <w:szCs w:val="28"/>
          <w:rtl w:val="0"/>
        </w:rPr>
        <w:t xml:space="preserve">12</w:t>
      </w:r>
    </w:p>
    <w:p w:rsidR="00000000" w:rsidDel="00000000" w:rsidP="00000000" w:rsidRDefault="00000000" w:rsidRPr="00000000" w14:paraId="0000000D">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E">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Members:</w:t>
      </w:r>
      <w:r w:rsidDel="00000000" w:rsidR="00000000" w:rsidRPr="00000000">
        <w:rPr>
          <w:rtl w:val="0"/>
        </w:rPr>
      </w:r>
    </w:p>
    <w:p w:rsidR="00000000" w:rsidDel="00000000" w:rsidP="00000000" w:rsidRDefault="00000000" w:rsidRPr="00000000" w14:paraId="0000000F">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Berru Selcan Cocen - 2021402003</w:t>
      </w:r>
    </w:p>
    <w:p w:rsidR="00000000" w:rsidDel="00000000" w:rsidP="00000000" w:rsidRDefault="00000000" w:rsidRPr="00000000" w14:paraId="00000010">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Erdoğan Kocabaş - 2021402183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0" w:right="3388" w:firstLine="0"/>
        <w:jc w:val="left"/>
        <w:rPr>
          <w:rFonts w:ascii="Times New Roman" w:cs="Times New Roman" w:eastAsia="Times New Roman" w:hAnsi="Times New Roman"/>
        </w:rPr>
        <w:sectPr>
          <w:headerReference r:id="rId9" w:type="default"/>
          <w:pgSz w:h="15840" w:w="12240" w:orient="portrait"/>
          <w:pgMar w:bottom="280" w:top="1820" w:left="1080" w:right="1080" w:header="360" w:footer="360"/>
          <w:pgNumType w:start="1"/>
        </w:sectPr>
      </w:pPr>
      <w:r w:rsidDel="00000000" w:rsidR="00000000" w:rsidRPr="00000000">
        <w:rPr>
          <w:rtl w:val="0"/>
        </w:rPr>
      </w:r>
    </w:p>
    <w:p w:rsidR="00000000" w:rsidDel="00000000" w:rsidP="00000000" w:rsidRDefault="00000000" w:rsidRPr="00000000" w14:paraId="00000012">
      <w:pPr>
        <w:widowControl w:val="1"/>
        <w:numPr>
          <w:ilvl w:val="0"/>
          <w:numId w:val="1"/>
        </w:numPr>
        <w:spacing w:line="36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13">
      <w:pPr>
        <w:widowControl w:val="1"/>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1"/>
        <w:tabs>
          <w:tab w:val="left" w:leader="none" w:pos="646"/>
        </w:tabs>
        <w:spacing w:after="0" w:before="73" w:line="360"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z w:val="22"/>
          <w:szCs w:val="22"/>
          <w:rtl w:val="0"/>
        </w:rPr>
        <w:tab/>
        <w:t xml:space="preserve">T</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his report presents the Phase 2 analysis of the Emergency Room (ER) queueing system for Group 12 of IE493. Building directly on the Phase 1 baseline (M/G/5, ρ = 0.7582, C</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subscript"/>
          <w:rtl w:val="0"/>
        </w:rPr>
        <w:t xml:space="preserve">v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0.39), Phase 2 introduces a three-class triage system — Red (Emergency), Yellow (Urgent), and Green (Non-urgent) — with a Preemptive-Resume priority discipline. An event-driven simulation is constructed using the 1,000-patient Group 12 dataset. The simulation produces per-patient start times, end times, and interruption counts, and computes class-based waiting times and residence times. The results demonstrate a clear differentiation across patient classes: Red patients are served with near-zero delay, Yellow patients experience moderate waiting, and Green patients bear a substantial increase in waiting time compared to the FCFS baseline. A total of 111 preemption events occurred during the 1,000-patient run, with 88.3% targeting Green patients. The overall system average waiting time increases modestly from 8.13 minutes (FCFS) to</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8.72 minutes (priority), confirming that the system capacity is fully conserved under the Preemptive-Resume discipline.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2" w:line="360" w:lineRule="auto"/>
        <w:ind w:left="720" w:right="333"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0" w:right="3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0" w:right="333" w:firstLine="72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Phase 1 established a mathematical baseline for the ER system by fitting Exponential inter-arrival times and Lognormal service durations to the Group 12 dataset, and validated M/M/5 and M/G/5 theoretical models against a FCFS simulation. The system was found to be stable at ρ = 0.7582, with an empirical average queue waiting time of 3.89 minutes under FCFS.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0" w:right="332" w:firstLine="72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In reality, Emergency Rooms do not operate on a pure first-come, first-served basis. Critically ill patients (Red) require immediate attention and cannot wait behind lower-priority cases. Phase 2 introduces this clinical reality by implementing a three-level triage system with Preemptive-Resume rules: Red patients may interrupt lower-priority patients who are already in treatment, with interrupted patients resuming from exactly where they were paused when a doctor becomes available again.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0" w:right="333" w:firstLine="72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 objectives of Phase 2 are: (1) to build a correct and validated event-driven simulation of the Preemptive-Resume ER system, (2) to produce a simulation log for the first 25 patients, (3) to compute class-based performance metrics, and (4) to compare results with the Phase 1 FCFS baseline and quantify the cost of randomness through preemption analysis.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2" w:line="360" w:lineRule="auto"/>
        <w:ind w:left="720" w:right="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Modelling Assumptions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0" w:right="0" w:firstLine="72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 following assumptions carry over from Phase 1 and are extended for the priority model:</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60"/>
        </w:tabs>
        <w:spacing w:after="0" w:afterAutospacing="0" w:before="170" w:line="360" w:lineRule="auto"/>
        <w:ind w:left="636" w:right="0" w:hanging="126.00000000000001"/>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 ER opens at 08:00 with an empty system and all 5 doctors available.</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68"/>
        </w:tabs>
        <w:spacing w:after="0" w:afterAutospacing="0" w:before="0" w:beforeAutospacing="0" w:line="360" w:lineRule="auto"/>
        <w:ind w:left="636" w:right="0" w:hanging="126.00000000000001"/>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Three priority classes: Red (Priority 1 — Emergency), Yellow (Priority 2 — Urgent), Green (Priority 3</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636" w:right="0" w:hanging="126.00000000000001"/>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Non-urgent). Priority numbers are assigned numerically with 1 being highest.</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61"/>
        </w:tabs>
        <w:spacing w:after="0" w:afterAutospacing="0" w:before="0" w:beforeAutospacing="0" w:line="360" w:lineRule="auto"/>
        <w:ind w:left="636" w:right="333" w:hanging="126.00000000000001"/>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Preemptive-Resume discipline: Red patients preempt Green or Yellow patients from active treatment. Interrupted patients retain their exact remaining work and resume from that point.</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61"/>
        </w:tabs>
        <w:spacing w:after="0" w:afterAutospacing="0" w:before="0" w:beforeAutospacing="0" w:line="360" w:lineRule="auto"/>
        <w:ind w:left="636" w:right="333" w:hanging="126.00000000000001"/>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Preemption target selection: Among all doctors treating eligible (Green first, then Yellow) patients, the doctor closest to finishing their current patient is selected for preemption. This maximises the work already saved and minimises total wasted service time.</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60"/>
        </w:tabs>
        <w:spacing w:after="0" w:afterAutospacing="0" w:before="0" w:beforeAutospacing="0" w:line="360" w:lineRule="auto"/>
        <w:ind w:left="636" w:right="0" w:hanging="126.00000000000001"/>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 patients do not preempt others. They queue ahead of Green patients but wait behind Red.</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60"/>
        </w:tabs>
        <w:spacing w:after="0" w:before="0" w:beforeAutospacing="0" w:line="360" w:lineRule="auto"/>
        <w:ind w:left="636" w:right="0" w:hanging="126.00000000000001"/>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If all 5 doctors are treating Red patients, an arriving Red patient joins the Red waiting queue</w:t>
      </w:r>
      <w:r w:rsidDel="00000000" w:rsidR="00000000" w:rsidRPr="00000000">
        <w:rPr>
          <w:rtl w:val="0"/>
        </w:rPr>
      </w:r>
    </w:p>
    <w:p w:rsidR="00000000" w:rsidDel="00000000" w:rsidP="00000000" w:rsidRDefault="00000000" w:rsidRPr="00000000" w14:paraId="00000029">
      <w:pPr>
        <w:numPr>
          <w:ilvl w:val="0"/>
          <w:numId w:val="2"/>
        </w:numPr>
        <w:tabs>
          <w:tab w:val="left" w:leader="none" w:pos="760"/>
        </w:tabs>
        <w:spacing w:before="68" w:line="360" w:lineRule="auto"/>
        <w:ind w:left="636" w:hanging="126.0000000000000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Waiting room has infinite buffer capacity. Service discipline within each priority class is FCFS.</w:t>
      </w:r>
    </w:p>
    <w:p w:rsidR="00000000" w:rsidDel="00000000" w:rsidP="00000000" w:rsidRDefault="00000000" w:rsidRPr="00000000" w14:paraId="0000002A">
      <w:pPr>
        <w:numPr>
          <w:ilvl w:val="0"/>
          <w:numId w:val="2"/>
        </w:numPr>
        <w:tabs>
          <w:tab w:val="left" w:leader="none" w:pos="765"/>
        </w:tabs>
        <w:spacing w:before="111" w:line="360" w:lineRule="auto"/>
        <w:ind w:left="636" w:right="333" w:hanging="126.00000000000001"/>
        <w:rPr>
          <w:sz w:val="22"/>
          <w:szCs w:val="22"/>
        </w:rPr>
      </w:pPr>
      <w:r w:rsidDel="00000000" w:rsidR="00000000" w:rsidRPr="00000000">
        <w:rPr>
          <w:rFonts w:ascii="Times New Roman" w:cs="Times New Roman" w:eastAsia="Times New Roman" w:hAnsi="Times New Roman"/>
          <w:rtl w:val="0"/>
        </w:rPr>
        <w:t xml:space="preserve">All 5 doctors are identical and homogeneous. System parameters (λ, μ, C</w:t>
      </w:r>
      <w:r w:rsidDel="00000000" w:rsidR="00000000" w:rsidRPr="00000000">
        <w:rPr>
          <w:rFonts w:ascii="Times New Roman" w:cs="Times New Roman" w:eastAsia="Times New Roman" w:hAnsi="Times New Roman"/>
          <w:vertAlign w:val="subscript"/>
          <w:rtl w:val="0"/>
        </w:rPr>
        <w:t xml:space="preserve">v</w:t>
      </w:r>
      <w:r w:rsidDel="00000000" w:rsidR="00000000" w:rsidRPr="00000000">
        <w:rPr>
          <w:rFonts w:ascii="Times New Roman" w:cs="Times New Roman" w:eastAsia="Times New Roman" w:hAnsi="Times New Roman"/>
          <w:rtl w:val="0"/>
        </w:rPr>
        <w:t xml:space="preserve">) are inherited from Phase 1.</w:t>
      </w:r>
    </w:p>
    <w:p w:rsidR="00000000" w:rsidDel="00000000" w:rsidP="00000000" w:rsidRDefault="00000000" w:rsidRPr="00000000" w14:paraId="0000002B">
      <w:pPr>
        <w:numPr>
          <w:ilvl w:val="0"/>
          <w:numId w:val="2"/>
        </w:numPr>
        <w:tabs>
          <w:tab w:val="left" w:leader="none" w:pos="760"/>
        </w:tabs>
        <w:spacing w:before="116" w:line="360" w:lineRule="auto"/>
        <w:ind w:left="636" w:hanging="126.00000000000001"/>
        <w:rPr>
          <w:rFonts w:ascii="Times New Roman" w:cs="Times New Roman" w:eastAsia="Times New Roman" w:hAnsi="Times New Roman"/>
          <w:sz w:val="22"/>
          <w:szCs w:val="22"/>
        </w:rPr>
        <w:sectPr>
          <w:type w:val="nextPage"/>
          <w:pgSz w:h="15840" w:w="12240" w:orient="portrait"/>
          <w:pgMar w:bottom="280" w:top="1360" w:left="1080" w:right="1080" w:header="360" w:footer="360"/>
        </w:sectPr>
      </w:pPr>
      <w:r w:rsidDel="00000000" w:rsidR="00000000" w:rsidRPr="00000000">
        <w:rPr>
          <w:rFonts w:ascii="Times New Roman" w:cs="Times New Roman" w:eastAsia="Times New Roman" w:hAnsi="Times New Roman"/>
          <w:rtl w:val="0"/>
        </w:rPr>
        <w:t xml:space="preserve">The dataset contains 1,000 patients spanning approximately 66 hours of ER operation</w:t>
      </w:r>
    </w:p>
    <w:p w:rsidR="00000000" w:rsidDel="00000000" w:rsidP="00000000" w:rsidRDefault="00000000" w:rsidRPr="00000000" w14:paraId="0000002C">
      <w:pPr>
        <w:pStyle w:val="Heading1"/>
        <w:numPr>
          <w:ilvl w:val="0"/>
          <w:numId w:val="1"/>
        </w:numPr>
        <w:tabs>
          <w:tab w:val="left" w:leader="none" w:pos="646"/>
        </w:tabs>
        <w:spacing w:after="0" w:before="0" w:line="360"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Simulation Trustworthiness and Mathematical Validation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335" w:right="333" w:firstLine="385"/>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 Preemptive-Resume simulation uses an event-queue (min-heap) architecture with two event types: ARRIVAL and COMPLETION, processed in strict chronological order. COMPLETION events are given priority over ARRIVAL events at identical timestamps to avoid race conditions.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335" w:right="3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335" w:right="333"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4.1   </w:t>
      </w:r>
      <w:r w:rsidDel="00000000" w:rsidR="00000000" w:rsidRPr="00000000">
        <w:rPr>
          <w:rFonts w:ascii="Times New Roman" w:cs="Times New Roman" w:eastAsia="Times New Roman" w:hAnsi="Times New Roman"/>
          <w:b w:val="1"/>
          <w:bCs w:val="1"/>
          <w:sz w:val="22"/>
          <w:szCs w:val="22"/>
          <w:rtl w:val="0"/>
        </w:rPr>
        <w:t xml:space="preserve">Work Conservation Proof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335" w:right="0" w:firstLine="385"/>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In a Preemptive-Resume system, no service work is created or destroyed. The following identity must hold:</w:t>
      </w:r>
    </w:p>
    <w:p w:rsidR="00000000" w:rsidDel="00000000" w:rsidP="00000000" w:rsidRDefault="00000000" w:rsidRPr="00000000" w14:paraId="00000031">
      <w:pPr>
        <w:pStyle w:val="Heading3"/>
        <w:spacing w:line="360" w:lineRule="auto"/>
        <w:ind w:firstLine="14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bCs w:val="0"/>
          <w:sz w:val="22"/>
          <w:szCs w:val="22"/>
          <w:rtl w:val="0"/>
        </w:rPr>
        <w:t xml:space="preserve">Σ </w:t>
      </w:r>
      <w:r w:rsidDel="00000000" w:rsidR="00000000" w:rsidRPr="00000000">
        <w:rPr>
          <w:rFonts w:ascii="Times New Roman" w:cs="Times New Roman" w:eastAsia="Times New Roman" w:hAnsi="Times New Roman"/>
          <w:sz w:val="22"/>
          <w:szCs w:val="22"/>
          <w:rtl w:val="0"/>
        </w:rPr>
        <w:t xml:space="preserve">Service_Required_Min (all patients) = </w:t>
      </w:r>
      <w:r w:rsidDel="00000000" w:rsidR="00000000" w:rsidRPr="00000000">
        <w:rPr>
          <w:rFonts w:ascii="Times New Roman" w:cs="Times New Roman" w:eastAsia="Times New Roman" w:hAnsi="Times New Roman"/>
          <w:b w:val="0"/>
          <w:bCs w:val="0"/>
          <w:sz w:val="22"/>
          <w:szCs w:val="22"/>
          <w:rtl w:val="0"/>
        </w:rPr>
        <w:t xml:space="preserve">Σ </w:t>
      </w:r>
      <w:r w:rsidDel="00000000" w:rsidR="00000000" w:rsidRPr="00000000">
        <w:rPr>
          <w:rFonts w:ascii="Times New Roman" w:cs="Times New Roman" w:eastAsia="Times New Roman" w:hAnsi="Times New Roman"/>
          <w:sz w:val="22"/>
          <w:szCs w:val="22"/>
          <w:rtl w:val="0"/>
        </w:rPr>
        <w:t xml:space="preserve">(W</w:t>
      </w:r>
      <w:r w:rsidDel="00000000" w:rsidR="00000000" w:rsidRPr="00000000">
        <w:rPr>
          <w:rFonts w:ascii="Times New Roman" w:cs="Times New Roman" w:eastAsia="Times New Roman" w:hAnsi="Times New Roman"/>
          <w:sz w:val="22"/>
          <w:szCs w:val="22"/>
          <w:vertAlign w:val="subscript"/>
          <w:rtl w:val="0"/>
        </w:rPr>
        <w:t xml:space="preserve">i </w:t>
      </w:r>
      <w:sdt>
        <w:sdtPr>
          <w:id w:val="383076182"/>
          <w:tag w:val="goog_rdk_0"/>
        </w:sdtPr>
        <w:sdtContent>
          <w:r w:rsidDel="00000000" w:rsidR="00000000" w:rsidRPr="00000000">
            <w:rPr>
              <w:rFonts w:ascii="Gungsuh" w:cs="Gungsuh" w:eastAsia="Gungsuh" w:hAnsi="Gungsuh"/>
              <w:b w:val="0"/>
              <w:bCs w:val="0"/>
              <w:sz w:val="22"/>
              <w:szCs w:val="22"/>
              <w:rtl w:val="0"/>
            </w:rPr>
            <w:t xml:space="preserve">− </w:t>
          </w:r>
        </w:sdtContent>
      </w:sdt>
      <w:r w:rsidDel="00000000" w:rsidR="00000000" w:rsidRPr="00000000">
        <w:rPr>
          <w:rFonts w:ascii="Times New Roman" w:cs="Times New Roman" w:eastAsia="Times New Roman" w:hAnsi="Times New Roman"/>
          <w:sz w:val="22"/>
          <w:szCs w:val="22"/>
          <w:rtl w:val="0"/>
        </w:rPr>
        <w:t xml:space="preserve">W</w:t>
      </w:r>
      <w:r w:rsidDel="00000000" w:rsidR="00000000" w:rsidRPr="00000000">
        <w:rPr>
          <w:rFonts w:ascii="Times New Roman" w:cs="Times New Roman" w:eastAsia="Times New Roman" w:hAnsi="Times New Roman"/>
          <w:sz w:val="22"/>
          <w:szCs w:val="22"/>
          <w:vertAlign w:val="subscript"/>
          <w:rtl w:val="0"/>
        </w:rPr>
        <w:t xml:space="preserve">q,i</w:t>
      </w:r>
      <w:r w:rsidDel="00000000" w:rsidR="00000000" w:rsidRPr="00000000">
        <w:rPr>
          <w:rFonts w:ascii="Times New Roman" w:cs="Times New Roman" w:eastAsia="Times New Roman" w:hAnsi="Times New Roman"/>
          <w:sz w:val="22"/>
          <w:szCs w:val="22"/>
          <w:rtl w:val="0"/>
        </w:rPr>
        <w:t xml:space="preserve">) (all patients)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360" w:lineRule="auto"/>
        <w:ind w:left="335" w:right="333" w:firstLine="385"/>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When a Red patient preempts a Green/Yellow patient, the remaining work for the interrupted patient is computed as: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remaining_work = doc_busy_until </w:t>
      </w:r>
      <w:sdt>
        <w:sdtPr>
          <w:id w:val="1697378280"/>
          <w:tag w:val="goog_rdk_1"/>
        </w:sdtPr>
        <w:sdtContent>
          <w:r w:rsidDel="00000000" w:rsidR="00000000" w:rsidRPr="00000000">
            <w:rPr>
              <w:rFonts w:ascii="Gungsuh" w:cs="Gungsuh" w:eastAsia="Gungsuh" w:hAnsi="Gungsuh"/>
              <w:i w:val="0"/>
              <w:iCs w:val="0"/>
              <w:smallCaps w:val="0"/>
              <w:strike w:val="0"/>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current_time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This is the exact unfinished portion of the service — no rounding or approximation is applied. The preempted patient resumes from exactly this remaining work value when reassigned to a doctor, ensuring zero work loss.</w:t>
      </w:r>
    </w:p>
    <w:p w:rsidR="00000000" w:rsidDel="00000000" w:rsidP="00000000" w:rsidRDefault="00000000" w:rsidRPr="00000000" w14:paraId="00000033">
      <w:pPr>
        <w:spacing w:before="127" w:line="360" w:lineRule="auto"/>
        <w:ind w:left="335" w:right="-9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 </w:t>
      </w:r>
      <w:r w:rsidDel="00000000" w:rsidR="00000000" w:rsidRPr="00000000">
        <w:rPr>
          <w:rFonts w:ascii="Times New Roman" w:cs="Times New Roman" w:eastAsia="Times New Roman" w:hAnsi="Times New Roman"/>
          <w:rtl w:val="0"/>
        </w:rPr>
        <w:t xml:space="preserve">All 1,000 patients completed treatment (no missing end times). </w:t>
      </w:r>
    </w:p>
    <w:p w:rsidR="00000000" w:rsidDel="00000000" w:rsidP="00000000" w:rsidRDefault="00000000" w:rsidRPr="00000000" w14:paraId="00000034">
      <w:pPr>
        <w:spacing w:before="127" w:line="360" w:lineRule="auto"/>
        <w:ind w:left="335" w:right="-9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 </w:t>
      </w:r>
      <w:sdt>
        <w:sdtPr>
          <w:id w:val="-1489303692"/>
          <w:tag w:val="goog_rdk_2"/>
        </w:sdtPr>
        <w:sdtContent>
          <w:r w:rsidDel="00000000" w:rsidR="00000000" w:rsidRPr="00000000">
            <w:rPr>
              <w:rFonts w:ascii="Gungsuh" w:cs="Gungsuh" w:eastAsia="Gungsuh" w:hAnsi="Gungsuh"/>
              <w:rtl w:val="0"/>
            </w:rPr>
            <w:t xml:space="preserve">Timeline consistent: Arrival ≤ Start ≤ End for every patient. </w:t>
          </w:r>
        </w:sdtContent>
      </w:sdt>
    </w:p>
    <w:p w:rsidR="00000000" w:rsidDel="00000000" w:rsidP="00000000" w:rsidRDefault="00000000" w:rsidRPr="00000000" w14:paraId="00000035">
      <w:pPr>
        <w:spacing w:before="127" w:line="360" w:lineRule="auto"/>
        <w:ind w:left="335" w:right="-9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 </w:t>
      </w:r>
      <w:r w:rsidDel="00000000" w:rsidR="00000000" w:rsidRPr="00000000">
        <w:rPr>
          <w:rFonts w:ascii="Times New Roman" w:cs="Times New Roman" w:eastAsia="Times New Roman" w:hAnsi="Times New Roman"/>
          <w:rtl w:val="0"/>
        </w:rPr>
        <w:t xml:space="preserve">No negative waiting times detected.</w:t>
      </w:r>
    </w:p>
    <w:p w:rsidR="00000000" w:rsidDel="00000000" w:rsidP="00000000" w:rsidRDefault="00000000" w:rsidRPr="00000000" w14:paraId="00000036">
      <w:pPr>
        <w:spacing w:before="9" w:line="360" w:lineRule="auto"/>
        <w:ind w:left="335" w:right="11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 </w:t>
      </w:r>
      <w:r w:rsidDel="00000000" w:rsidR="00000000" w:rsidRPr="00000000">
        <w:rPr>
          <w:rFonts w:ascii="Times New Roman" w:cs="Times New Roman" w:eastAsia="Times New Roman" w:hAnsi="Times New Roman"/>
          <w:rtl w:val="0"/>
        </w:rPr>
        <w:t xml:space="preserve">Work conservation: Service Required = 16,016.58 min; Service Delivered = 16,016.58 min (diff = 0.000000).</w:t>
      </w:r>
    </w:p>
    <w:p w:rsidR="00000000" w:rsidDel="00000000" w:rsidP="00000000" w:rsidRDefault="00000000" w:rsidRPr="00000000" w14:paraId="00000037">
      <w:pPr>
        <w:spacing w:before="40" w:line="360" w:lineRule="auto"/>
        <w:ind w:left="33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 </w:t>
      </w:r>
      <w:r w:rsidDel="00000000" w:rsidR="00000000" w:rsidRPr="00000000">
        <w:rPr>
          <w:rFonts w:ascii="Times New Roman" w:cs="Times New Roman" w:eastAsia="Times New Roman" w:hAnsi="Times New Roman"/>
          <w:rtl w:val="0"/>
        </w:rPr>
        <w:t xml:space="preserve">All 111 preemptions targeted Green or Yellow patients only — no Red-on-Red preemption.</w:t>
      </w:r>
    </w:p>
    <w:p w:rsidR="00000000" w:rsidDel="00000000" w:rsidP="00000000" w:rsidRDefault="00000000" w:rsidRPr="00000000" w14:paraId="00000038">
      <w:pPr>
        <w:spacing w:before="40" w:line="360" w:lineRule="auto"/>
        <w:ind w:left="33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before="40" w:line="360" w:lineRule="auto"/>
        <w:ind w:left="335"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4.2   </w:t>
      </w:r>
      <w:r w:rsidDel="00000000" w:rsidR="00000000" w:rsidRPr="00000000">
        <w:rPr>
          <w:rFonts w:ascii="Times New Roman" w:cs="Times New Roman" w:eastAsia="Times New Roman" w:hAnsi="Times New Roman"/>
          <w:b w:val="1"/>
          <w:bCs w:val="1"/>
          <w:sz w:val="22"/>
          <w:szCs w:val="22"/>
          <w:rtl w:val="0"/>
        </w:rPr>
        <w:t xml:space="preserve">Lazy Event Cancellation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335" w:right="333" w:firstLine="3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When a doctor's patient is preempted, the previously scheduled COMPLETION event in the heap becomes stale. Rather than scanning the heap to remove it, the simulation increments a per-doctor version counter (doc_version). Each COMPLETION event carries the version number at the time it was created. Events whose version does not match the current doctor version are silently discarded when they reach the top of the heap. This guarantees correctness without expensive heap manipulation.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335" w:right="3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1" w:line="360" w:lineRule="auto"/>
        <w:ind w:left="720" w:right="333" w:hanging="360"/>
        <w:jc w:val="both"/>
        <w:rPr>
          <w:rFonts w:ascii="Times New Roman" w:cs="Times New Roman" w:eastAsia="Times New Roman" w:hAnsi="Times New Roman"/>
          <w:b w:val="1"/>
          <w:bCs w:val="1"/>
          <w:sz w:val="22"/>
          <w:szCs w:val="22"/>
          <w:u w:val="none"/>
        </w:rPr>
      </w:pPr>
      <w:r w:rsidDel="00000000" w:rsidR="00000000" w:rsidRPr="00000000">
        <w:rPr>
          <w:rFonts w:ascii="Times New Roman" w:cs="Times New Roman" w:eastAsia="Times New Roman" w:hAnsi="Times New Roman"/>
          <w:b w:val="1"/>
          <w:bCs w:val="1"/>
          <w:sz w:val="22"/>
          <w:szCs w:val="22"/>
          <w:rtl w:val="0"/>
        </w:rPr>
        <w:t xml:space="preserve">Deliverable 1: Simulation Log — First 25 Patients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60" w:lineRule="auto"/>
        <w:ind w:left="335" w:right="333" w:firstLine="385"/>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 table below shows the key timing and interruption data for the first 25 patients in arrival order. Start_Time is the first moment the patient enters a treatment room. End_Time is when treatment fully completes. W</w:t>
      </w:r>
      <w:r w:rsidDel="00000000" w:rsidR="00000000" w:rsidRPr="00000000">
        <w:rPr>
          <w:rFonts w:ascii="Times New Roman" w:cs="Times New Roman" w:eastAsia="Times New Roman" w:hAnsi="Times New Roman"/>
          <w:i w:val="0"/>
          <w:iCs w:val="0"/>
          <w:smallCaps w:val="0"/>
          <w:strike w:val="0"/>
          <w:u w:val="none"/>
          <w:shd w:fill="auto" w:val="clear"/>
          <w:vertAlign w:val="subscript"/>
          <w:rtl w:val="0"/>
        </w:rPr>
        <w:t xml:space="preserve">q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is the total time not in service (initial wait plus any preemption wait). W is the total door-to-discharge time.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bl>
      <w:tblPr>
        <w:tblStyle w:val="Table1"/>
        <w:tblW w:w="8928.0" w:type="dxa"/>
        <w:jc w:val="left"/>
        <w:tblInd w:w="582.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720"/>
        <w:gridCol w:w="1008"/>
        <w:gridCol w:w="1224"/>
        <w:gridCol w:w="1224"/>
        <w:gridCol w:w="1224"/>
        <w:gridCol w:w="504"/>
        <w:gridCol w:w="1152"/>
        <w:gridCol w:w="936"/>
        <w:gridCol w:w="936"/>
        <w:tblGridChange w:id="0">
          <w:tblGrid>
            <w:gridCol w:w="720"/>
            <w:gridCol w:w="1008"/>
            <w:gridCol w:w="1224"/>
            <w:gridCol w:w="1224"/>
            <w:gridCol w:w="1224"/>
            <w:gridCol w:w="504"/>
            <w:gridCol w:w="1152"/>
            <w:gridCol w:w="936"/>
            <w:gridCol w:w="936"/>
          </w:tblGrid>
        </w:tblGridChange>
      </w:tblGrid>
      <w:tr>
        <w:trPr>
          <w:cantSplit w:val="0"/>
          <w:trHeight w:val="590" w:hRule="atLeast"/>
          <w:tblHeader w:val="0"/>
        </w:trPr>
        <w:tc>
          <w:tcPr>
            <w:shd w:fill="2b5282"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0" w:right="265" w:firstLine="0"/>
              <w:jc w:val="righ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ID</w:t>
            </w:r>
          </w:p>
        </w:tc>
        <w:tc>
          <w:tcPr>
            <w:shd w:fill="2b5282"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205"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Priority</w:t>
            </w:r>
          </w:p>
        </w:tc>
        <w:tc>
          <w:tcPr>
            <w:shd w:fill="2b5282"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341"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Arrival</w:t>
            </w:r>
          </w:p>
        </w:tc>
        <w:tc>
          <w:tcPr>
            <w:shd w:fill="2b5282"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95"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Start Time</w:t>
            </w:r>
          </w:p>
        </w:tc>
        <w:tc>
          <w:tcPr>
            <w:shd w:fill="2b5282"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228"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End Time</w:t>
            </w:r>
          </w:p>
        </w:tc>
        <w:tc>
          <w:tcPr>
            <w:shd w:fill="2b5282"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8" w:right="1" w:firstLine="0"/>
              <w:jc w:val="center"/>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Int.</w:t>
            </w:r>
          </w:p>
        </w:tc>
        <w:tc>
          <w:tcPr>
            <w:shd w:fill="2b5282"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367" w:right="259" w:hanging="95"/>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Service (min)</w:t>
            </w:r>
          </w:p>
        </w:tc>
        <w:tc>
          <w:tcPr>
            <w:shd w:fill="2b5282"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0" w:right="3" w:firstLine="0"/>
              <w:jc w:val="center"/>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Wq (min)</w:t>
            </w:r>
          </w:p>
        </w:tc>
        <w:tc>
          <w:tcPr>
            <w:shd w:fill="2b5282"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60" w:lineRule="auto"/>
              <w:ind w:left="10" w:right="3" w:firstLine="0"/>
              <w:jc w:val="center"/>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W (min)</w:t>
            </w:r>
          </w:p>
        </w:tc>
      </w:tr>
      <w:tr>
        <w:trPr>
          <w:cantSplit w:val="0"/>
          <w:trHeight w:val="349" w:hRule="atLeast"/>
          <w:tblHeader w:val="0"/>
        </w:trPr>
        <w:tc>
          <w:tcPr>
            <w:shd w:fill="e9f9f0"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231" w:firstLine="0"/>
              <w:jc w:val="righ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P001</w:t>
            </w:r>
          </w:p>
        </w:tc>
        <w:tc>
          <w:tcPr>
            <w:shd w:fill="e9f9f0"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w:t>
            </w:r>
          </w:p>
        </w:tc>
        <w:tc>
          <w:tcPr>
            <w:shd w:fill="e9f9f0"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08:01:55</w:t>
            </w:r>
          </w:p>
        </w:tc>
        <w:tc>
          <w:tcPr>
            <w:shd w:fill="e9f9f0"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08:01:55</w:t>
            </w:r>
          </w:p>
        </w:tc>
        <w:tc>
          <w:tcPr>
            <w:shd w:fill="e9f9f0"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08:17:19</w:t>
            </w:r>
          </w:p>
        </w:tc>
        <w:tc>
          <w:tcPr>
            <w:shd w:fill="e9f9f0"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e9f9f0"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15.40</w:t>
            </w:r>
          </w:p>
        </w:tc>
        <w:tc>
          <w:tcPr>
            <w:shd w:fill="e9f9f0"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e9f9f0"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15.40</w:t>
            </w:r>
          </w:p>
        </w:tc>
      </w:tr>
      <w:tr>
        <w:trPr>
          <w:cantSplit w:val="0"/>
          <w:trHeight w:val="350" w:hRule="atLeast"/>
          <w:tblHeader w:val="0"/>
        </w:trPr>
        <w:tc>
          <w:tcPr>
            <w:shd w:fill="fdf9e6"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231" w:firstLine="0"/>
              <w:jc w:val="righ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P002</w:t>
            </w:r>
          </w:p>
        </w:tc>
        <w:tc>
          <w:tcPr>
            <w:shd w:fill="fdf9e6"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08:14:11</w:t>
            </w:r>
          </w:p>
        </w:tc>
        <w:tc>
          <w:tcPr>
            <w:shd w:fill="fdf9e6"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08:14:11</w:t>
            </w:r>
          </w:p>
        </w:tc>
        <w:tc>
          <w:tcPr>
            <w:shd w:fill="fdf9e6"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08:22:55</w:t>
            </w:r>
          </w:p>
        </w:tc>
        <w:tc>
          <w:tcPr>
            <w:shd w:fill="fdf9e6"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8.72</w:t>
            </w:r>
          </w:p>
        </w:tc>
        <w:tc>
          <w:tcPr>
            <w:shd w:fill="fdf9e6"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f9e6"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8.72</w:t>
            </w:r>
          </w:p>
        </w:tc>
      </w:tr>
      <w:tr>
        <w:trPr>
          <w:cantSplit w:val="0"/>
          <w:trHeight w:val="350" w:hRule="atLeast"/>
          <w:tblHeader w:val="0"/>
        </w:trPr>
        <w:tc>
          <w:tcPr>
            <w:shd w:fill="fdf9e6"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231" w:firstLine="0"/>
              <w:jc w:val="righ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P003</w:t>
            </w:r>
          </w:p>
        </w:tc>
        <w:tc>
          <w:tcPr>
            <w:shd w:fill="fdf9e6"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08:19:34</w:t>
            </w:r>
          </w:p>
        </w:tc>
        <w:tc>
          <w:tcPr>
            <w:shd w:fill="fdf9e6"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08:19:34</w:t>
            </w:r>
          </w:p>
        </w:tc>
        <w:tc>
          <w:tcPr>
            <w:shd w:fill="fdf9e6"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08:36:11</w:t>
            </w:r>
          </w:p>
        </w:tc>
        <w:tc>
          <w:tcPr>
            <w:shd w:fill="fdf9e6"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16.62</w:t>
            </w:r>
          </w:p>
        </w:tc>
        <w:tc>
          <w:tcPr>
            <w:shd w:fill="fdf9e6"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f9e6"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16.62</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1523" w:top="1360" w:left="1080" w:right="1080" w:header="360" w:footer="360"/>
        </w:sect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bl>
      <w:tblPr>
        <w:tblStyle w:val="Table2"/>
        <w:tblW w:w="8928.0" w:type="dxa"/>
        <w:jc w:val="left"/>
        <w:tblInd w:w="582.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720"/>
        <w:gridCol w:w="1008"/>
        <w:gridCol w:w="1224"/>
        <w:gridCol w:w="1224"/>
        <w:gridCol w:w="1224"/>
        <w:gridCol w:w="504"/>
        <w:gridCol w:w="1152"/>
        <w:gridCol w:w="936"/>
        <w:gridCol w:w="936"/>
        <w:tblGridChange w:id="0">
          <w:tblGrid>
            <w:gridCol w:w="720"/>
            <w:gridCol w:w="1008"/>
            <w:gridCol w:w="1224"/>
            <w:gridCol w:w="1224"/>
            <w:gridCol w:w="1224"/>
            <w:gridCol w:w="504"/>
            <w:gridCol w:w="1152"/>
            <w:gridCol w:w="936"/>
            <w:gridCol w:w="936"/>
          </w:tblGrid>
        </w:tblGridChange>
      </w:tblGrid>
      <w:tr>
        <w:trPr>
          <w:cantSplit w:val="0"/>
          <w:trHeight w:val="350" w:hRule="atLeast"/>
          <w:tblHeader w:val="0"/>
        </w:trPr>
        <w:tc>
          <w:tcPr>
            <w:shd w:fill="fdebe9"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P004</w:t>
            </w:r>
          </w:p>
        </w:tc>
        <w:tc>
          <w:tcPr>
            <w:shd w:fill="fdebe9"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w:t>
            </w:r>
          </w:p>
        </w:tc>
        <w:tc>
          <w:tcPr>
            <w:shd w:fill="fdebe9"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08:23:17</w:t>
            </w:r>
          </w:p>
        </w:tc>
        <w:tc>
          <w:tcPr>
            <w:shd w:fill="fdebe9"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08:23:17</w:t>
            </w:r>
          </w:p>
        </w:tc>
        <w:tc>
          <w:tcPr>
            <w:shd w:fill="fdebe9"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08:41:25</w:t>
            </w:r>
          </w:p>
        </w:tc>
        <w:tc>
          <w:tcPr>
            <w:shd w:fill="fdebe9"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ebe9"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18.13</w:t>
            </w:r>
          </w:p>
        </w:tc>
        <w:tc>
          <w:tcPr>
            <w:shd w:fill="fdebe9"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ebe9"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18.13</w:t>
            </w:r>
          </w:p>
        </w:tc>
      </w:tr>
      <w:tr>
        <w:trPr>
          <w:cantSplit w:val="0"/>
          <w:trHeight w:val="350" w:hRule="atLeast"/>
          <w:tblHeader w:val="0"/>
        </w:trPr>
        <w:tc>
          <w:tcPr>
            <w:shd w:fill="e9f9f0"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P005</w:t>
            </w:r>
          </w:p>
        </w:tc>
        <w:tc>
          <w:tcPr>
            <w:shd w:fill="e9f9f0"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w:t>
            </w:r>
          </w:p>
        </w:tc>
        <w:tc>
          <w:tcPr>
            <w:shd w:fill="e9f9f0"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08:23:59</w:t>
            </w:r>
          </w:p>
        </w:tc>
        <w:tc>
          <w:tcPr>
            <w:shd w:fill="e9f9f0"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08:23:59</w:t>
            </w:r>
          </w:p>
        </w:tc>
        <w:tc>
          <w:tcPr>
            <w:shd w:fill="e9f9f0"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08:50:43</w:t>
            </w:r>
          </w:p>
        </w:tc>
        <w:tc>
          <w:tcPr>
            <w:shd w:fill="e9f9f0"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w:t>
            </w:r>
          </w:p>
        </w:tc>
        <w:tc>
          <w:tcPr>
            <w:shd w:fill="e9f9f0"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17.78</w:t>
            </w:r>
          </w:p>
        </w:tc>
        <w:tc>
          <w:tcPr>
            <w:shd w:fill="e9f9f0"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8.96</w:t>
            </w:r>
          </w:p>
        </w:tc>
        <w:tc>
          <w:tcPr>
            <w:shd w:fill="e9f9f0"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26.74</w:t>
            </w:r>
          </w:p>
        </w:tc>
      </w:tr>
      <w:tr>
        <w:trPr>
          <w:cantSplit w:val="0"/>
          <w:trHeight w:val="350" w:hRule="atLeast"/>
          <w:tblHeader w:val="0"/>
        </w:trPr>
        <w:tc>
          <w:tcPr>
            <w:shd w:fill="fdf9e6"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P006</w:t>
            </w:r>
          </w:p>
        </w:tc>
        <w:tc>
          <w:tcPr>
            <w:shd w:fill="fdf9e6"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08:24:40</w:t>
            </w:r>
          </w:p>
        </w:tc>
        <w:tc>
          <w:tcPr>
            <w:shd w:fill="fdf9e6"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08:24:40</w:t>
            </w:r>
          </w:p>
        </w:tc>
        <w:tc>
          <w:tcPr>
            <w:shd w:fill="fdf9e6"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08:46:18</w:t>
            </w:r>
          </w:p>
        </w:tc>
        <w:tc>
          <w:tcPr>
            <w:shd w:fill="fdf9e6"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21.63</w:t>
            </w:r>
          </w:p>
        </w:tc>
        <w:tc>
          <w:tcPr>
            <w:shd w:fill="fdf9e6"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f9e6"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21.63</w:t>
            </w:r>
          </w:p>
        </w:tc>
      </w:tr>
      <w:tr>
        <w:trPr>
          <w:cantSplit w:val="0"/>
          <w:trHeight w:val="350" w:hRule="atLeast"/>
          <w:tblHeader w:val="0"/>
        </w:trPr>
        <w:tc>
          <w:tcPr>
            <w:shd w:fill="fdf9e6"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P007</w:t>
            </w:r>
          </w:p>
        </w:tc>
        <w:tc>
          <w:tcPr>
            <w:shd w:fill="fdf9e6"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08:24:55</w:t>
            </w:r>
          </w:p>
        </w:tc>
        <w:tc>
          <w:tcPr>
            <w:shd w:fill="fdf9e6"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08:24:55</w:t>
            </w:r>
          </w:p>
        </w:tc>
        <w:tc>
          <w:tcPr>
            <w:shd w:fill="fdf9e6"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08:44:38</w:t>
            </w:r>
          </w:p>
        </w:tc>
        <w:tc>
          <w:tcPr>
            <w:shd w:fill="fdf9e6"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19.72</w:t>
            </w:r>
          </w:p>
        </w:tc>
        <w:tc>
          <w:tcPr>
            <w:shd w:fill="fdf9e6"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f9e6"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19.72</w:t>
            </w:r>
          </w:p>
        </w:tc>
      </w:tr>
      <w:tr>
        <w:trPr>
          <w:cantSplit w:val="0"/>
          <w:trHeight w:val="350" w:hRule="atLeast"/>
          <w:tblHeader w:val="0"/>
        </w:trPr>
        <w:tc>
          <w:tcPr>
            <w:shd w:fill="fdf9e6"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P008</w:t>
            </w:r>
          </w:p>
        </w:tc>
        <w:tc>
          <w:tcPr>
            <w:shd w:fill="fdf9e6"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08:33:07</w:t>
            </w:r>
          </w:p>
        </w:tc>
        <w:tc>
          <w:tcPr>
            <w:shd w:fill="fdf9e6"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08:36:11</w:t>
            </w:r>
          </w:p>
        </w:tc>
        <w:tc>
          <w:tcPr>
            <w:shd w:fill="fdf9e6"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08:53:18</w:t>
            </w:r>
          </w:p>
        </w:tc>
        <w:tc>
          <w:tcPr>
            <w:shd w:fill="fdf9e6"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17.12</w:t>
            </w:r>
          </w:p>
        </w:tc>
        <w:tc>
          <w:tcPr>
            <w:shd w:fill="fdf9e6"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3.07</w:t>
            </w:r>
          </w:p>
        </w:tc>
        <w:tc>
          <w:tcPr>
            <w:shd w:fill="fdf9e6"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20.19</w:t>
            </w:r>
          </w:p>
        </w:tc>
      </w:tr>
      <w:tr>
        <w:trPr>
          <w:cantSplit w:val="0"/>
          <w:trHeight w:val="350" w:hRule="atLeast"/>
          <w:tblHeader w:val="0"/>
        </w:trPr>
        <w:tc>
          <w:tcPr>
            <w:shd w:fill="fdebe9"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P009</w:t>
            </w:r>
          </w:p>
        </w:tc>
        <w:tc>
          <w:tcPr>
            <w:shd w:fill="fdebe9"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w:t>
            </w:r>
          </w:p>
        </w:tc>
        <w:tc>
          <w:tcPr>
            <w:shd w:fill="fdebe9"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08:36:52</w:t>
            </w:r>
          </w:p>
        </w:tc>
        <w:tc>
          <w:tcPr>
            <w:shd w:fill="fdebe9"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08:36:52</w:t>
            </w:r>
          </w:p>
        </w:tc>
        <w:tc>
          <w:tcPr>
            <w:shd w:fill="fdebe9"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08:50:54</w:t>
            </w:r>
          </w:p>
        </w:tc>
        <w:tc>
          <w:tcPr>
            <w:shd w:fill="fdebe9"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ebe9"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14.03</w:t>
            </w:r>
          </w:p>
        </w:tc>
        <w:tc>
          <w:tcPr>
            <w:shd w:fill="fdebe9"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ebe9"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14.03</w:t>
            </w:r>
          </w:p>
        </w:tc>
      </w:tr>
      <w:tr>
        <w:trPr>
          <w:cantSplit w:val="0"/>
          <w:trHeight w:val="350" w:hRule="atLeast"/>
          <w:tblHeader w:val="0"/>
        </w:trPr>
        <w:tc>
          <w:tcPr>
            <w:shd w:fill="fdebe9"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P010</w:t>
            </w:r>
          </w:p>
        </w:tc>
        <w:tc>
          <w:tcPr>
            <w:shd w:fill="fdebe9"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w:t>
            </w:r>
          </w:p>
        </w:tc>
        <w:tc>
          <w:tcPr>
            <w:shd w:fill="fdebe9"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08:41:53</w:t>
            </w:r>
          </w:p>
        </w:tc>
        <w:tc>
          <w:tcPr>
            <w:shd w:fill="fdebe9"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08:41:53</w:t>
            </w:r>
          </w:p>
        </w:tc>
        <w:tc>
          <w:tcPr>
            <w:shd w:fill="fdebe9"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08:49:36</w:t>
            </w:r>
          </w:p>
        </w:tc>
        <w:tc>
          <w:tcPr>
            <w:shd w:fill="fdebe9"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ebe9"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7.71</w:t>
            </w:r>
          </w:p>
        </w:tc>
        <w:tc>
          <w:tcPr>
            <w:shd w:fill="fdebe9"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ebe9"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7.71</w:t>
            </w:r>
          </w:p>
        </w:tc>
      </w:tr>
      <w:tr>
        <w:trPr>
          <w:cantSplit w:val="0"/>
          <w:trHeight w:val="350" w:hRule="atLeast"/>
          <w:tblHeader w:val="0"/>
        </w:trPr>
        <w:tc>
          <w:tcPr>
            <w:shd w:fill="fdf9e6"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P011</w:t>
            </w:r>
          </w:p>
        </w:tc>
        <w:tc>
          <w:tcPr>
            <w:shd w:fill="fdf9e6"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08:41:58</w:t>
            </w:r>
          </w:p>
        </w:tc>
        <w:tc>
          <w:tcPr>
            <w:shd w:fill="fdf9e6"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08:44:38</w:t>
            </w:r>
          </w:p>
        </w:tc>
        <w:tc>
          <w:tcPr>
            <w:shd w:fill="fdf9e6"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09:01:34</w:t>
            </w:r>
          </w:p>
        </w:tc>
        <w:tc>
          <w:tcPr>
            <w:shd w:fill="fdf9e6"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16.93</w:t>
            </w:r>
          </w:p>
        </w:tc>
        <w:tc>
          <w:tcPr>
            <w:shd w:fill="fdf9e6"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2.66</w:t>
            </w:r>
          </w:p>
        </w:tc>
        <w:tc>
          <w:tcPr>
            <w:shd w:fill="fdf9e6"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19.59</w:t>
            </w:r>
          </w:p>
        </w:tc>
      </w:tr>
      <w:tr>
        <w:trPr>
          <w:cantSplit w:val="0"/>
          <w:trHeight w:val="350" w:hRule="atLeast"/>
          <w:tblHeader w:val="0"/>
        </w:trPr>
        <w:tc>
          <w:tcPr>
            <w:shd w:fill="fdebe9"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P012</w:t>
            </w:r>
          </w:p>
        </w:tc>
        <w:tc>
          <w:tcPr>
            <w:shd w:fill="fdebe9"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w:t>
            </w:r>
          </w:p>
        </w:tc>
        <w:tc>
          <w:tcPr>
            <w:shd w:fill="fdebe9"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08:56:16</w:t>
            </w:r>
          </w:p>
        </w:tc>
        <w:tc>
          <w:tcPr>
            <w:shd w:fill="fdebe9"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08:56:16</w:t>
            </w:r>
          </w:p>
        </w:tc>
        <w:tc>
          <w:tcPr>
            <w:shd w:fill="fdebe9"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09:11:50</w:t>
            </w:r>
          </w:p>
        </w:tc>
        <w:tc>
          <w:tcPr>
            <w:shd w:fill="fdebe9"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ebe9"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15.58</w:t>
            </w:r>
          </w:p>
        </w:tc>
        <w:tc>
          <w:tcPr>
            <w:shd w:fill="fdebe9"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ebe9"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15.58</w:t>
            </w:r>
          </w:p>
        </w:tc>
      </w:tr>
      <w:tr>
        <w:trPr>
          <w:cantSplit w:val="0"/>
          <w:trHeight w:val="350" w:hRule="atLeast"/>
          <w:tblHeader w:val="0"/>
        </w:trPr>
        <w:tc>
          <w:tcPr>
            <w:shd w:fill="fdebe9"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P013</w:t>
            </w:r>
          </w:p>
        </w:tc>
        <w:tc>
          <w:tcPr>
            <w:shd w:fill="fdebe9"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w:t>
            </w:r>
          </w:p>
        </w:tc>
        <w:tc>
          <w:tcPr>
            <w:shd w:fill="fdebe9"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09:03:33</w:t>
            </w:r>
          </w:p>
        </w:tc>
        <w:tc>
          <w:tcPr>
            <w:shd w:fill="fdebe9"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09:03:33</w:t>
            </w:r>
          </w:p>
        </w:tc>
        <w:tc>
          <w:tcPr>
            <w:shd w:fill="fdebe9"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09:19:30</w:t>
            </w:r>
          </w:p>
        </w:tc>
        <w:tc>
          <w:tcPr>
            <w:shd w:fill="fdebe9"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ebe9"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15.96</w:t>
            </w:r>
          </w:p>
        </w:tc>
        <w:tc>
          <w:tcPr>
            <w:shd w:fill="fdebe9"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ebe9"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15.96</w:t>
            </w:r>
          </w:p>
        </w:tc>
      </w:tr>
      <w:tr>
        <w:trPr>
          <w:cantSplit w:val="0"/>
          <w:trHeight w:val="350" w:hRule="atLeast"/>
          <w:tblHeader w:val="0"/>
        </w:trPr>
        <w:tc>
          <w:tcPr>
            <w:shd w:fill="fdf9e6"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P014</w:t>
            </w:r>
          </w:p>
        </w:tc>
        <w:tc>
          <w:tcPr>
            <w:shd w:fill="fdf9e6"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09:04:31</w:t>
            </w:r>
          </w:p>
        </w:tc>
        <w:tc>
          <w:tcPr>
            <w:shd w:fill="fdf9e6"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09:04:31</w:t>
            </w:r>
          </w:p>
        </w:tc>
        <w:tc>
          <w:tcPr>
            <w:shd w:fill="fdf9e6"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09:13:26</w:t>
            </w:r>
          </w:p>
        </w:tc>
        <w:tc>
          <w:tcPr>
            <w:shd w:fill="fdf9e6"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8.91</w:t>
            </w:r>
          </w:p>
        </w:tc>
        <w:tc>
          <w:tcPr>
            <w:shd w:fill="fdf9e6"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f9e6"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8.91</w:t>
            </w:r>
          </w:p>
        </w:tc>
      </w:tr>
      <w:tr>
        <w:trPr>
          <w:cantSplit w:val="0"/>
          <w:trHeight w:val="350" w:hRule="atLeast"/>
          <w:tblHeader w:val="0"/>
        </w:trPr>
        <w:tc>
          <w:tcPr>
            <w:shd w:fill="e9f9f0"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P015</w:t>
            </w:r>
          </w:p>
        </w:tc>
        <w:tc>
          <w:tcPr>
            <w:shd w:fill="e9f9f0"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w:t>
            </w:r>
          </w:p>
        </w:tc>
        <w:tc>
          <w:tcPr>
            <w:shd w:fill="e9f9f0"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09:05:20</w:t>
            </w:r>
          </w:p>
        </w:tc>
        <w:tc>
          <w:tcPr>
            <w:shd w:fill="e9f9f0"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09:05:20</w:t>
            </w:r>
          </w:p>
        </w:tc>
        <w:tc>
          <w:tcPr>
            <w:shd w:fill="e9f9f0"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09:14:56</w:t>
            </w:r>
          </w:p>
        </w:tc>
        <w:tc>
          <w:tcPr>
            <w:shd w:fill="e9f9f0"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e9f9f0"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9.59</w:t>
            </w:r>
          </w:p>
        </w:tc>
        <w:tc>
          <w:tcPr>
            <w:shd w:fill="e9f9f0"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e9f9f0"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9.59</w:t>
            </w:r>
          </w:p>
        </w:tc>
      </w:tr>
      <w:tr>
        <w:trPr>
          <w:cantSplit w:val="0"/>
          <w:trHeight w:val="350" w:hRule="atLeast"/>
          <w:tblHeader w:val="0"/>
        </w:trPr>
        <w:tc>
          <w:tcPr>
            <w:shd w:fill="e9f9f0"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P016</w:t>
            </w:r>
          </w:p>
        </w:tc>
        <w:tc>
          <w:tcPr>
            <w:shd w:fill="e9f9f0"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w:t>
            </w:r>
          </w:p>
        </w:tc>
        <w:tc>
          <w:tcPr>
            <w:shd w:fill="e9f9f0"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09:06:10</w:t>
            </w:r>
          </w:p>
        </w:tc>
        <w:tc>
          <w:tcPr>
            <w:shd w:fill="e9f9f0"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09:06:10</w:t>
            </w:r>
          </w:p>
        </w:tc>
        <w:tc>
          <w:tcPr>
            <w:shd w:fill="e9f9f0"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09:43:55</w:t>
            </w:r>
          </w:p>
        </w:tc>
        <w:tc>
          <w:tcPr>
            <w:shd w:fill="e9f9f0"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w:t>
            </w:r>
          </w:p>
        </w:tc>
        <w:tc>
          <w:tcPr>
            <w:shd w:fill="e9f9f0"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21.41</w:t>
            </w:r>
          </w:p>
        </w:tc>
        <w:tc>
          <w:tcPr>
            <w:shd w:fill="e9f9f0"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16.35</w:t>
            </w:r>
          </w:p>
        </w:tc>
        <w:tc>
          <w:tcPr>
            <w:shd w:fill="e9f9f0"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37.76</w:t>
            </w:r>
          </w:p>
        </w:tc>
      </w:tr>
      <w:tr>
        <w:trPr>
          <w:cantSplit w:val="0"/>
          <w:trHeight w:val="350" w:hRule="atLeast"/>
          <w:tblHeader w:val="0"/>
        </w:trPr>
        <w:tc>
          <w:tcPr>
            <w:shd w:fill="fdf9e6"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P017</w:t>
            </w:r>
          </w:p>
        </w:tc>
        <w:tc>
          <w:tcPr>
            <w:shd w:fill="fdf9e6"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09:07:39</w:t>
            </w:r>
          </w:p>
        </w:tc>
        <w:tc>
          <w:tcPr>
            <w:shd w:fill="fdf9e6"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09:11:50</w:t>
            </w:r>
          </w:p>
        </w:tc>
        <w:tc>
          <w:tcPr>
            <w:shd w:fill="fdf9e6"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09:26:02</w:t>
            </w:r>
          </w:p>
        </w:tc>
        <w:tc>
          <w:tcPr>
            <w:shd w:fill="fdf9e6"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14.19</w:t>
            </w:r>
          </w:p>
        </w:tc>
        <w:tc>
          <w:tcPr>
            <w:shd w:fill="fdf9e6"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4.20</w:t>
            </w:r>
          </w:p>
        </w:tc>
        <w:tc>
          <w:tcPr>
            <w:shd w:fill="fdf9e6"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18.39</w:t>
            </w:r>
          </w:p>
        </w:tc>
      </w:tr>
      <w:tr>
        <w:trPr>
          <w:cantSplit w:val="0"/>
          <w:trHeight w:val="350" w:hRule="atLeast"/>
          <w:tblHeader w:val="0"/>
        </w:trPr>
        <w:tc>
          <w:tcPr>
            <w:shd w:fill="fdf9e6"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P018</w:t>
            </w:r>
          </w:p>
        </w:tc>
        <w:tc>
          <w:tcPr>
            <w:shd w:fill="fdf9e6"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09:10:41</w:t>
            </w:r>
          </w:p>
        </w:tc>
        <w:tc>
          <w:tcPr>
            <w:shd w:fill="fdf9e6"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09:13:26</w:t>
            </w:r>
          </w:p>
        </w:tc>
        <w:tc>
          <w:tcPr>
            <w:shd w:fill="fdf9e6"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09:32:03</w:t>
            </w:r>
          </w:p>
        </w:tc>
        <w:tc>
          <w:tcPr>
            <w:shd w:fill="fdf9e6"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18.62</w:t>
            </w:r>
          </w:p>
        </w:tc>
        <w:tc>
          <w:tcPr>
            <w:shd w:fill="fdf9e6"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2.75</w:t>
            </w:r>
          </w:p>
        </w:tc>
        <w:tc>
          <w:tcPr>
            <w:shd w:fill="fdf9e6"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21.37</w:t>
            </w:r>
          </w:p>
        </w:tc>
      </w:tr>
      <w:tr>
        <w:trPr>
          <w:cantSplit w:val="0"/>
          <w:trHeight w:val="350" w:hRule="atLeast"/>
          <w:tblHeader w:val="0"/>
        </w:trPr>
        <w:tc>
          <w:tcPr>
            <w:shd w:fill="e9f9f0"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P019</w:t>
            </w:r>
          </w:p>
        </w:tc>
        <w:tc>
          <w:tcPr>
            <w:shd w:fill="e9f9f0"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w:t>
            </w:r>
          </w:p>
        </w:tc>
        <w:tc>
          <w:tcPr>
            <w:shd w:fill="e9f9f0"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09:12:59</w:t>
            </w:r>
          </w:p>
        </w:tc>
        <w:tc>
          <w:tcPr>
            <w:shd w:fill="e9f9f0"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09:38:08</w:t>
            </w:r>
          </w:p>
        </w:tc>
        <w:tc>
          <w:tcPr>
            <w:shd w:fill="e9f9f0"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09:52:42</w:t>
            </w:r>
          </w:p>
        </w:tc>
        <w:tc>
          <w:tcPr>
            <w:shd w:fill="e9f9f0"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e9f9f0"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14.56</w:t>
            </w:r>
          </w:p>
        </w:tc>
        <w:tc>
          <w:tcPr>
            <w:shd w:fill="e9f9f0"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25.16</w:t>
            </w:r>
          </w:p>
        </w:tc>
        <w:tc>
          <w:tcPr>
            <w:shd w:fill="e9f9f0"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39.72</w:t>
            </w:r>
          </w:p>
        </w:tc>
      </w:tr>
      <w:tr>
        <w:trPr>
          <w:cantSplit w:val="0"/>
          <w:trHeight w:val="350" w:hRule="atLeast"/>
          <w:tblHeader w:val="0"/>
        </w:trPr>
        <w:tc>
          <w:tcPr>
            <w:shd w:fill="fdf9e6"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P020</w:t>
            </w:r>
          </w:p>
        </w:tc>
        <w:tc>
          <w:tcPr>
            <w:shd w:fill="fdf9e6"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09:14:23</w:t>
            </w:r>
          </w:p>
        </w:tc>
        <w:tc>
          <w:tcPr>
            <w:shd w:fill="fdf9e6"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09:14:56</w:t>
            </w:r>
          </w:p>
        </w:tc>
        <w:tc>
          <w:tcPr>
            <w:shd w:fill="fdf9e6"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09:29:30</w:t>
            </w:r>
          </w:p>
        </w:tc>
        <w:tc>
          <w:tcPr>
            <w:shd w:fill="fdf9e6"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14.57</w:t>
            </w:r>
          </w:p>
        </w:tc>
        <w:tc>
          <w:tcPr>
            <w:shd w:fill="fdf9e6"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0.54</w:t>
            </w:r>
          </w:p>
        </w:tc>
        <w:tc>
          <w:tcPr>
            <w:shd w:fill="fdf9e6"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15.11</w:t>
            </w:r>
          </w:p>
        </w:tc>
      </w:tr>
      <w:tr>
        <w:trPr>
          <w:cantSplit w:val="0"/>
          <w:trHeight w:val="350" w:hRule="atLeast"/>
          <w:tblHeader w:val="0"/>
        </w:trPr>
        <w:tc>
          <w:tcPr>
            <w:shd w:fill="fdebe9"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P021</w:t>
            </w:r>
          </w:p>
        </w:tc>
        <w:tc>
          <w:tcPr>
            <w:shd w:fill="fdebe9"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w:t>
            </w:r>
          </w:p>
        </w:tc>
        <w:tc>
          <w:tcPr>
            <w:shd w:fill="fdebe9"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09:18:15</w:t>
            </w:r>
          </w:p>
        </w:tc>
        <w:tc>
          <w:tcPr>
            <w:shd w:fill="fdebe9"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09:18:15</w:t>
            </w:r>
          </w:p>
        </w:tc>
        <w:tc>
          <w:tcPr>
            <w:shd w:fill="fdebe9"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09:38:45</w:t>
            </w:r>
          </w:p>
        </w:tc>
        <w:tc>
          <w:tcPr>
            <w:shd w:fill="fdebe9"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ebe9"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20.50</w:t>
            </w:r>
          </w:p>
        </w:tc>
        <w:tc>
          <w:tcPr>
            <w:shd w:fill="fdebe9"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ebe9"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20.50</w:t>
            </w:r>
          </w:p>
        </w:tc>
      </w:tr>
      <w:tr>
        <w:trPr>
          <w:cantSplit w:val="0"/>
          <w:trHeight w:val="350" w:hRule="atLeast"/>
          <w:tblHeader w:val="0"/>
        </w:trPr>
        <w:tc>
          <w:tcPr>
            <w:shd w:fill="e9f9f0"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P022</w:t>
            </w:r>
          </w:p>
        </w:tc>
        <w:tc>
          <w:tcPr>
            <w:shd w:fill="e9f9f0"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w:t>
            </w:r>
          </w:p>
        </w:tc>
        <w:tc>
          <w:tcPr>
            <w:shd w:fill="e9f9f0"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09:18:52</w:t>
            </w:r>
          </w:p>
        </w:tc>
        <w:tc>
          <w:tcPr>
            <w:shd w:fill="e9f9f0"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09:41:44</w:t>
            </w:r>
          </w:p>
        </w:tc>
        <w:tc>
          <w:tcPr>
            <w:shd w:fill="e9f9f0"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09:53:35</w:t>
            </w:r>
          </w:p>
        </w:tc>
        <w:tc>
          <w:tcPr>
            <w:shd w:fill="e9f9f0"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e9f9f0"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11.86</w:t>
            </w:r>
          </w:p>
        </w:tc>
        <w:tc>
          <w:tcPr>
            <w:shd w:fill="e9f9f0"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22.87</w:t>
            </w:r>
          </w:p>
        </w:tc>
        <w:tc>
          <w:tcPr>
            <w:shd w:fill="e9f9f0"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34.73</w:t>
            </w:r>
          </w:p>
        </w:tc>
      </w:tr>
      <w:tr>
        <w:trPr>
          <w:cantSplit w:val="0"/>
          <w:trHeight w:val="350" w:hRule="atLeast"/>
          <w:tblHeader w:val="0"/>
        </w:trPr>
        <w:tc>
          <w:tcPr>
            <w:shd w:fill="fdebe9"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P023</w:t>
            </w:r>
          </w:p>
        </w:tc>
        <w:tc>
          <w:tcPr>
            <w:shd w:fill="fdebe9"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w:t>
            </w:r>
          </w:p>
        </w:tc>
        <w:tc>
          <w:tcPr>
            <w:shd w:fill="fdebe9"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09:20:16</w:t>
            </w:r>
          </w:p>
        </w:tc>
        <w:tc>
          <w:tcPr>
            <w:shd w:fill="fdebe9"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09:20:16</w:t>
            </w:r>
          </w:p>
        </w:tc>
        <w:tc>
          <w:tcPr>
            <w:shd w:fill="fdebe9"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09:35:13</w:t>
            </w:r>
          </w:p>
        </w:tc>
        <w:tc>
          <w:tcPr>
            <w:shd w:fill="fdebe9"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ebe9"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14.94</w:t>
            </w:r>
          </w:p>
        </w:tc>
        <w:tc>
          <w:tcPr>
            <w:shd w:fill="fdebe9"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w:t>
            </w:r>
          </w:p>
        </w:tc>
        <w:tc>
          <w:tcPr>
            <w:shd w:fill="fdebe9"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14.94</w:t>
            </w:r>
          </w:p>
        </w:tc>
      </w:tr>
      <w:tr>
        <w:trPr>
          <w:cantSplit w:val="0"/>
          <w:trHeight w:val="350" w:hRule="atLeast"/>
          <w:tblHeader w:val="0"/>
        </w:trPr>
        <w:tc>
          <w:tcPr>
            <w:shd w:fill="fdf9e6"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P024</w:t>
            </w:r>
          </w:p>
        </w:tc>
        <w:tc>
          <w:tcPr>
            <w:shd w:fill="fdf9e6"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09:22:08</w:t>
            </w:r>
          </w:p>
        </w:tc>
        <w:tc>
          <w:tcPr>
            <w:shd w:fill="fdf9e6"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09:26:02</w:t>
            </w:r>
          </w:p>
        </w:tc>
        <w:tc>
          <w:tcPr>
            <w:shd w:fill="fdf9e6"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09:38:08</w:t>
            </w:r>
          </w:p>
        </w:tc>
        <w:tc>
          <w:tcPr>
            <w:shd w:fill="fdf9e6"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12.11</w:t>
            </w:r>
          </w:p>
        </w:tc>
        <w:tc>
          <w:tcPr>
            <w:shd w:fill="fdf9e6"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3.90</w:t>
            </w:r>
          </w:p>
        </w:tc>
        <w:tc>
          <w:tcPr>
            <w:shd w:fill="fdf9e6"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16.01</w:t>
            </w:r>
          </w:p>
        </w:tc>
      </w:tr>
      <w:tr>
        <w:trPr>
          <w:cantSplit w:val="0"/>
          <w:trHeight w:val="350" w:hRule="atLeast"/>
          <w:tblHeader w:val="0"/>
        </w:trPr>
        <w:tc>
          <w:tcPr>
            <w:shd w:fill="fdf9e6"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P025</w:t>
            </w:r>
          </w:p>
        </w:tc>
        <w:tc>
          <w:tcPr>
            <w:shd w:fill="fdf9e6"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09:24:37</w:t>
            </w:r>
          </w:p>
        </w:tc>
        <w:tc>
          <w:tcPr>
            <w:shd w:fill="fdf9e6"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09:29:30</w:t>
            </w:r>
          </w:p>
        </w:tc>
        <w:tc>
          <w:tcPr>
            <w:shd w:fill="fdf9e6"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79"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09:41:44</w:t>
            </w:r>
          </w:p>
        </w:tc>
        <w:tc>
          <w:tcPr>
            <w:shd w:fill="fdf9e6"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8"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fdf9e6"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12.23</w:t>
            </w:r>
          </w:p>
        </w:tc>
        <w:tc>
          <w:tcPr>
            <w:shd w:fill="fdf9e6"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4.88</w:t>
            </w:r>
          </w:p>
        </w:tc>
        <w:tc>
          <w:tcPr>
            <w:shd w:fill="fdf9e6"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2"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17.11</w:t>
            </w:r>
          </w:p>
        </w:tc>
      </w:tr>
    </w:tbl>
    <w:p w:rsidR="00000000" w:rsidDel="00000000" w:rsidP="00000000" w:rsidRDefault="00000000" w:rsidRPr="00000000" w14:paraId="0000012B">
      <w:pPr>
        <w:spacing w:before="56" w:line="360" w:lineRule="auto"/>
        <w:ind w:left="1440" w:right="116" w:hanging="883"/>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1: Simulation log for the first 25 patients. Rows are colour-coded by priority class (red/yellow/green shading). 'Int.' column shows number of preemption interruptions; bold red values indicate preempted patients.</w:t>
      </w:r>
    </w:p>
    <w:p w:rsidR="00000000" w:rsidDel="00000000" w:rsidP="00000000" w:rsidRDefault="00000000" w:rsidRPr="00000000" w14:paraId="0000012C">
      <w:pPr>
        <w:spacing w:before="56" w:line="360" w:lineRule="auto"/>
        <w:ind w:left="1440" w:right="116" w:hanging="883"/>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2D">
      <w:pPr>
        <w:spacing w:before="56" w:line="360" w:lineRule="auto"/>
        <w:ind w:left="0" w:right="116" w:firstLine="72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5.1   </w:t>
      </w:r>
      <w:r w:rsidDel="00000000" w:rsidR="00000000" w:rsidRPr="00000000">
        <w:rPr>
          <w:rFonts w:ascii="Times New Roman" w:cs="Times New Roman" w:eastAsia="Times New Roman" w:hAnsi="Times New Roman"/>
          <w:b w:val="1"/>
          <w:bCs w:val="1"/>
          <w:sz w:val="22"/>
          <w:szCs w:val="22"/>
          <w:rtl w:val="0"/>
        </w:rPr>
        <w:t xml:space="preserve">Preemption Events Involving First 25 Patients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720" w:right="333" w:firstLine="72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Five preemption events occurred among the first 25 patients. The table below details each event, showing the exact remaining work at the moment of preemption — the critical quantity that the resume rule must track precisely.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bl>
      <w:tblPr>
        <w:tblStyle w:val="Table3"/>
        <w:tblW w:w="8640.0" w:type="dxa"/>
        <w:jc w:val="left"/>
        <w:tblInd w:w="72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296"/>
        <w:gridCol w:w="1584"/>
        <w:gridCol w:w="1728"/>
        <w:gridCol w:w="1296"/>
        <w:gridCol w:w="1584"/>
        <w:gridCol w:w="1152"/>
        <w:tblGridChange w:id="0">
          <w:tblGrid>
            <w:gridCol w:w="1296"/>
            <w:gridCol w:w="1584"/>
            <w:gridCol w:w="1728"/>
            <w:gridCol w:w="1296"/>
            <w:gridCol w:w="1584"/>
            <w:gridCol w:w="1152"/>
          </w:tblGrid>
        </w:tblGridChange>
      </w:tblGrid>
      <w:tr>
        <w:trPr>
          <w:cantSplit w:val="0"/>
          <w:trHeight w:val="630" w:hRule="atLeast"/>
          <w:tblHeader w:val="0"/>
        </w:trPr>
        <w:tc>
          <w:tcPr>
            <w:shd w:fill="2b528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i w:val="0"/>
                <w:iCs w:val="0"/>
                <w:smallCaps w:val="0"/>
                <w:strike w:val="0"/>
                <w:color w:val="ffffff"/>
                <w:u w:val="none"/>
                <w:shd w:fill="auto" w:val="clear"/>
                <w:vertAlign w:val="baseline"/>
                <w:rtl w:val="0"/>
              </w:rPr>
              <w:t xml:space="preserve">Clock Time</w:t>
            </w:r>
          </w:p>
        </w:tc>
        <w:tc>
          <w:tcPr>
            <w:shd w:fill="2b5282"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center"/>
              <w:rPr>
                <w:rFonts w:ascii="Times New Roman" w:cs="Times New Roman" w:eastAsia="Times New Roman" w:hAnsi="Times New Roman"/>
                <w:i w:val="0"/>
                <w:iCs w:val="0"/>
                <w:smallCaps w:val="0"/>
                <w:strike w:val="0"/>
                <w:color w:val="ffffff"/>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 w:right="1" w:firstLine="0"/>
              <w:jc w:val="center"/>
              <w:rPr>
                <w:rFonts w:ascii="Times New Roman" w:cs="Times New Roman" w:eastAsia="Times New Roman" w:hAnsi="Times New Roman"/>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ffff"/>
                <w:u w:val="none"/>
                <w:shd w:fill="auto" w:val="clear"/>
                <w:vertAlign w:val="baseline"/>
                <w:rtl w:val="0"/>
              </w:rPr>
              <w:t xml:space="preserve">Red Patient</w:t>
            </w:r>
          </w:p>
        </w:tc>
        <w:tc>
          <w:tcPr>
            <w:shd w:fill="2b528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center"/>
              <w:rPr>
                <w:rFonts w:ascii="Times New Roman" w:cs="Times New Roman" w:eastAsia="Times New Roman" w:hAnsi="Times New Roman"/>
                <w:i w:val="0"/>
                <w:iCs w:val="0"/>
                <w:smallCaps w:val="0"/>
                <w:strike w:val="0"/>
                <w:color w:val="ffffff"/>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 w:right="1" w:firstLine="0"/>
              <w:jc w:val="center"/>
              <w:rPr>
                <w:rFonts w:ascii="Times New Roman" w:cs="Times New Roman" w:eastAsia="Times New Roman" w:hAnsi="Times New Roman"/>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ffff"/>
                <w:u w:val="none"/>
                <w:shd w:fill="auto" w:val="clear"/>
                <w:vertAlign w:val="baseline"/>
                <w:rtl w:val="0"/>
              </w:rPr>
              <w:t xml:space="preserve">Victim Patient</w:t>
            </w:r>
          </w:p>
        </w:tc>
        <w:tc>
          <w:tcPr>
            <w:shd w:fill="2b528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center"/>
              <w:rPr>
                <w:rFonts w:ascii="Times New Roman" w:cs="Times New Roman" w:eastAsia="Times New Roman" w:hAnsi="Times New Roman"/>
                <w:i w:val="0"/>
                <w:iCs w:val="0"/>
                <w:smallCaps w:val="0"/>
                <w:strike w:val="0"/>
                <w:color w:val="ffffff"/>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 w:right="0" w:firstLine="0"/>
              <w:jc w:val="center"/>
              <w:rPr>
                <w:rFonts w:ascii="Times New Roman" w:cs="Times New Roman" w:eastAsia="Times New Roman" w:hAnsi="Times New Roman"/>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ffff"/>
                <w:u w:val="none"/>
                <w:shd w:fill="auto" w:val="clear"/>
                <w:vertAlign w:val="baseline"/>
                <w:rtl w:val="0"/>
              </w:rPr>
              <w:t xml:space="preserve">Doctor</w:t>
            </w:r>
          </w:p>
        </w:tc>
        <w:tc>
          <w:tcPr>
            <w:shd w:fill="2b528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584" w:right="331" w:hanging="236.99999999999994"/>
              <w:jc w:val="center"/>
              <w:rPr>
                <w:rFonts w:ascii="Times New Roman" w:cs="Times New Roman" w:eastAsia="Times New Roman" w:hAnsi="Times New Roman"/>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ffff"/>
                <w:u w:val="none"/>
                <w:shd w:fill="auto" w:val="clear"/>
                <w:vertAlign w:val="baseline"/>
                <w:rtl w:val="0"/>
              </w:rPr>
              <w:t xml:space="preserve">Rem. Work</w:t>
            </w: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i w:val="0"/>
                <w:iCs w:val="0"/>
                <w:smallCaps w:val="0"/>
                <w:strike w:val="0"/>
                <w:color w:val="ffffff"/>
                <w:u w:val="none"/>
                <w:shd w:fill="auto" w:val="clear"/>
                <w:vertAlign w:val="baseline"/>
                <w:rtl w:val="0"/>
              </w:rPr>
              <w:t xml:space="preserve">(min)</w:t>
            </w:r>
          </w:p>
        </w:tc>
        <w:tc>
          <w:tcPr>
            <w:shd w:fill="2b5282"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528" w:right="157" w:hanging="359"/>
              <w:jc w:val="center"/>
              <w:rPr>
                <w:rFonts w:ascii="Times New Roman" w:cs="Times New Roman" w:eastAsia="Times New Roman" w:hAnsi="Times New Roman"/>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ffff"/>
                <w:u w:val="none"/>
                <w:shd w:fill="auto" w:val="clear"/>
                <w:vertAlign w:val="baseline"/>
                <w:rtl w:val="0"/>
              </w:rPr>
              <w:t xml:space="preserve">Victim Int. #</w:t>
            </w:r>
          </w:p>
        </w:tc>
      </w:tr>
      <w:tr>
        <w:trPr>
          <w:cantSplit w:val="0"/>
          <w:trHeight w:val="390"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08:36:52</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P009 (Red)</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P005 (Green)</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Doctor 2</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4.89</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w:t>
            </w:r>
          </w:p>
        </w:tc>
      </w:tr>
      <w:tr>
        <w:trPr>
          <w:cantSplit w:val="0"/>
          <w:trHeight w:val="390" w:hRule="atLeast"/>
          <w:tblHeader w:val="0"/>
        </w:trPr>
        <w:tc>
          <w:tcPr>
            <w:shd w:fill="eff6ff"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08:41:53</w:t>
            </w:r>
          </w:p>
        </w:tc>
        <w:tc>
          <w:tcPr>
            <w:shd w:fill="eff6ff"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P010 (Red)</w:t>
            </w:r>
          </w:p>
        </w:tc>
        <w:tc>
          <w:tcPr>
            <w:shd w:fill="eff6ff"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P005 (Green)</w:t>
            </w:r>
          </w:p>
        </w:tc>
        <w:tc>
          <w:tcPr>
            <w:shd w:fill="eff6ff"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Doctor 1</w:t>
            </w:r>
          </w:p>
        </w:tc>
        <w:tc>
          <w:tcPr>
            <w:shd w:fill="eff6ff"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4.42</w:t>
            </w:r>
          </w:p>
        </w:tc>
        <w:tc>
          <w:tcPr>
            <w:shd w:fill="eff6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w:t>
            </w:r>
          </w:p>
        </w:tc>
      </w:tr>
      <w:tr>
        <w:trPr>
          <w:cantSplit w:val="0"/>
          <w:trHeight w:val="390"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09:18:15</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P021 (Red)</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P016 (Green)</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Doctor 4</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9.33</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w:t>
            </w:r>
          </w:p>
        </w:tc>
      </w:tr>
      <w:tr>
        <w:trPr>
          <w:cantSplit w:val="0"/>
          <w:trHeight w:val="389" w:hRule="atLeast"/>
          <w:tblHeader w:val="0"/>
        </w:trPr>
        <w:tc>
          <w:tcPr>
            <w:shd w:fill="eff6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09:20:16</w:t>
            </w:r>
          </w:p>
        </w:tc>
        <w:tc>
          <w:tcPr>
            <w:shd w:fill="eff6ff"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P023 (Red)</w:t>
            </w:r>
          </w:p>
        </w:tc>
        <w:tc>
          <w:tcPr>
            <w:shd w:fill="eff6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P016 (Green)</w:t>
            </w:r>
          </w:p>
        </w:tc>
        <w:tc>
          <w:tcPr>
            <w:shd w:fill="eff6ff"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Doctor 1</w:t>
            </w:r>
          </w:p>
        </w:tc>
        <w:tc>
          <w:tcPr>
            <w:shd w:fill="eff6ff"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8.56</w:t>
            </w:r>
          </w:p>
        </w:tc>
        <w:tc>
          <w:tcPr>
            <w:shd w:fill="eff6ff"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w:t>
            </w:r>
          </w:p>
        </w:tc>
      </w:tr>
      <w:tr>
        <w:trPr>
          <w:cantSplit w:val="0"/>
          <w:trHeight w:val="390"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09:38:36</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P030 (Red)</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P016 (Green)</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Doctor 1</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5.18</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36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Table 2: </w:t>
      </w:r>
      <w:r w:rsidDel="00000000" w:rsidR="00000000" w:rsidRPr="00000000">
        <w:rPr>
          <w:rFonts w:ascii="Times New Roman" w:cs="Times New Roman" w:eastAsia="Times New Roman" w:hAnsi="Times New Roman"/>
          <w:i w:val="1"/>
          <w:iCs w:val="1"/>
          <w:rtl w:val="0"/>
        </w:rPr>
        <w:t xml:space="preserve">Preemption events involving the first 25 patients. Patient P005 was preempted twice by consecutive Red arrivals.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10" w:right="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360" w:right="0" w:firstLine="360"/>
        <w:jc w:val="left"/>
        <w:rPr>
          <w:rFonts w:ascii="Times New Roman" w:cs="Times New Roman" w:eastAsia="Times New Roman" w:hAnsi="Times New Roman"/>
          <w:i w:val="0"/>
          <w:iCs w:val="0"/>
          <w:smallCaps w:val="0"/>
          <w:strike w:val="0"/>
          <w:u w:val="none"/>
          <w:shd w:fill="auto" w:val="clear"/>
          <w:vertAlign w:val="baseline"/>
        </w:rPr>
        <w:sectPr>
          <w:type w:val="continuous"/>
          <w:pgSz w:h="15840" w:w="12240" w:orient="portrait"/>
          <w:pgMar w:bottom="280" w:top="1400" w:left="1170" w:right="1080" w:header="360" w:footer="360"/>
        </w:sectPr>
      </w:pPr>
      <w:r w:rsidDel="00000000" w:rsidR="00000000" w:rsidRPr="00000000">
        <w:rPr>
          <w:rFonts w:ascii="Times New Roman" w:cs="Times New Roman" w:eastAsia="Times New Roman" w:hAnsi="Times New Roman"/>
          <w:rtl w:val="0"/>
        </w:rPr>
        <w:t xml:space="preserve">Patient P016 was preempted three times — by P021, P023, and P030 (outside first 25). Patient P005 (Green) illustrates the cascading cost of preemption: interrupted first at 08:36:52 with 4.89 minutes remaining, then again at 08:41:53 with 4.42 minutes remaining, ultimately taking 8.96 minutes of additional waiting beyond the expected FCFS result. Patient P016 (Green) was preempted three times, accumulating 16.35 minutes of total waiting time despite requiring only 21.41 minutes of actual service</w:t>
      </w:r>
      <w:r w:rsidDel="00000000" w:rsidR="00000000" w:rsidRPr="00000000">
        <w:rPr>
          <w:rtl w:val="0"/>
        </w:rPr>
      </w:r>
    </w:p>
    <w:p w:rsidR="00000000" w:rsidDel="00000000" w:rsidP="00000000" w:rsidRDefault="00000000" w:rsidRPr="00000000" w14:paraId="0000015D">
      <w:pPr>
        <w:pStyle w:val="Heading1"/>
        <w:numPr>
          <w:ilvl w:val="0"/>
          <w:numId w:val="1"/>
        </w:numPr>
        <w:tabs>
          <w:tab w:val="left" w:leader="none" w:pos="646"/>
        </w:tabs>
        <w:spacing w:after="0" w:before="73" w:line="360"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Deliverable 2: Class-Based Performance Metrics  </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540" w:right="3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 table below presents the complete per-class performance statistics. W</w:t>
      </w:r>
      <w:r w:rsidDel="00000000" w:rsidR="00000000" w:rsidRPr="00000000">
        <w:rPr>
          <w:rFonts w:ascii="Times New Roman" w:cs="Times New Roman" w:eastAsia="Times New Roman" w:hAnsi="Times New Roman"/>
          <w:i w:val="0"/>
          <w:iCs w:val="0"/>
          <w:smallCaps w:val="0"/>
          <w:strike w:val="0"/>
          <w:u w:val="none"/>
          <w:shd w:fill="auto" w:val="clear"/>
          <w:vertAlign w:val="subscript"/>
          <w:rtl w:val="0"/>
        </w:rPr>
        <w:t xml:space="preserve">q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is defined as total time not in treatment (initial waiting plus preemption displacement): W</w:t>
      </w:r>
      <w:r w:rsidDel="00000000" w:rsidR="00000000" w:rsidRPr="00000000">
        <w:rPr>
          <w:rFonts w:ascii="Times New Roman" w:cs="Times New Roman" w:eastAsia="Times New Roman" w:hAnsi="Times New Roman"/>
          <w:i w:val="0"/>
          <w:iCs w:val="0"/>
          <w:smallCaps w:val="0"/>
          <w:strike w:val="0"/>
          <w:u w:val="none"/>
          <w:shd w:fill="auto" w:val="clear"/>
          <w:vertAlign w:val="subscript"/>
          <w:rtl w:val="0"/>
        </w:rPr>
        <w:t xml:space="preserve">q </w:t>
      </w:r>
      <w:sdt>
        <w:sdtPr>
          <w:id w:val="-135165940"/>
          <w:tag w:val="goog_rdk_3"/>
        </w:sdtPr>
        <w:sdtContent>
          <w:r w:rsidDel="00000000" w:rsidR="00000000" w:rsidRPr="00000000">
            <w:rPr>
              <w:rFonts w:ascii="Gungsuh" w:cs="Gungsuh" w:eastAsia="Gungsuh" w:hAnsi="Gungsuh"/>
              <w:i w:val="0"/>
              <w:iCs w:val="0"/>
              <w:smallCaps w:val="0"/>
              <w:strike w:val="0"/>
              <w:u w:val="none"/>
              <w:shd w:fill="auto" w:val="clear"/>
              <w:vertAlign w:val="baseline"/>
              <w:rtl w:val="0"/>
            </w:rPr>
            <w:t xml:space="preserve">= W − Service_Required. W is the total door-to-discharge time. This definition correctly captures all waiting regardless of cause.</w:t>
          </w:r>
        </w:sdtContent>
      </w:sdt>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540" w:right="333" w:firstLine="0"/>
        <w:jc w:val="both"/>
        <w:rPr>
          <w:rFonts w:ascii="Times New Roman" w:cs="Times New Roman" w:eastAsia="Times New Roman" w:hAnsi="Times New Roman"/>
        </w:rPr>
      </w:pPr>
      <w:r w:rsidDel="00000000" w:rsidR="00000000" w:rsidRPr="00000000">
        <w:rPr>
          <w:rtl w:val="0"/>
        </w:rPr>
      </w:r>
    </w:p>
    <w:tbl>
      <w:tblPr>
        <w:tblStyle w:val="Table4"/>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20"/>
        <w:gridCol w:w="1120"/>
        <w:gridCol w:w="1120"/>
        <w:gridCol w:w="1120"/>
        <w:gridCol w:w="1120"/>
        <w:gridCol w:w="1120"/>
        <w:gridCol w:w="1120"/>
        <w:gridCol w:w="1120"/>
        <w:gridCol w:w="1120"/>
        <w:tblGridChange w:id="0">
          <w:tblGrid>
            <w:gridCol w:w="1120"/>
            <w:gridCol w:w="1120"/>
            <w:gridCol w:w="1120"/>
            <w:gridCol w:w="1120"/>
            <w:gridCol w:w="1120"/>
            <w:gridCol w:w="1120"/>
            <w:gridCol w:w="1120"/>
            <w:gridCol w:w="1120"/>
            <w:gridCol w:w="11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073763" w:val="clear"/>
            <w:tcMar>
              <w:top w:w="40.0" w:type="dxa"/>
              <w:left w:w="40.0" w:type="dxa"/>
              <w:bottom w:w="40.0" w:type="dxa"/>
              <w:right w:w="40.0" w:type="dxa"/>
            </w:tcMar>
            <w:vAlign w:val="top"/>
          </w:tcPr>
          <w:p w:rsidR="00000000" w:rsidDel="00000000" w:rsidP="00000000" w:rsidRDefault="00000000" w:rsidRPr="00000000" w14:paraId="00000160">
            <w:pPr>
              <w:spacing w:line="276" w:lineRule="auto"/>
              <w:jc w:val="center"/>
              <w:rPr>
                <w:sz w:val="20"/>
                <w:szCs w:val="20"/>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00000" w:space="0" w:sz="6" w:val="single"/>
              <w:bottom w:color="000000" w:space="0" w:sz="6" w:val="single"/>
              <w:right w:color="000000" w:space="0" w:sz="6" w:val="single"/>
            </w:tcBorders>
            <w:shd w:fill="073763" w:val="clear"/>
            <w:tcMar>
              <w:top w:w="40.0" w:type="dxa"/>
              <w:left w:w="40.0" w:type="dxa"/>
              <w:bottom w:w="40.0" w:type="dxa"/>
              <w:right w:w="40.0" w:type="dxa"/>
            </w:tcMar>
            <w:vAlign w:val="top"/>
          </w:tcPr>
          <w:p w:rsidR="00000000" w:rsidDel="00000000" w:rsidP="00000000" w:rsidRDefault="00000000" w:rsidRPr="00000000" w14:paraId="00000161">
            <w:pPr>
              <w:spacing w:line="276" w:lineRule="auto"/>
              <w:jc w:val="center"/>
              <w:rPr>
                <w:sz w:val="20"/>
                <w:szCs w:val="20"/>
              </w:rPr>
            </w:pPr>
            <w:r w:rsidDel="00000000" w:rsidR="00000000" w:rsidRPr="00000000">
              <w:rPr>
                <w:b w:val="1"/>
                <w:bCs w:val="1"/>
                <w:color w:val="ffffff"/>
                <w:sz w:val="20"/>
                <w:szCs w:val="20"/>
                <w:rtl w:val="0"/>
              </w:rPr>
              <w:t xml:space="preserve">Count</w:t>
            </w:r>
            <w:r w:rsidDel="00000000" w:rsidR="00000000" w:rsidRPr="00000000">
              <w:rPr>
                <w:rtl w:val="0"/>
              </w:rPr>
            </w:r>
          </w:p>
        </w:tc>
        <w:tc>
          <w:tcPr>
            <w:tcBorders>
              <w:top w:color="000000" w:space="0" w:sz="6" w:val="single"/>
              <w:bottom w:color="000000" w:space="0" w:sz="6" w:val="single"/>
              <w:right w:color="000000" w:space="0" w:sz="6" w:val="single"/>
            </w:tcBorders>
            <w:shd w:fill="073763" w:val="clear"/>
            <w:tcMar>
              <w:top w:w="40.0" w:type="dxa"/>
              <w:left w:w="40.0" w:type="dxa"/>
              <w:bottom w:w="40.0" w:type="dxa"/>
              <w:right w:w="40.0" w:type="dxa"/>
            </w:tcMar>
            <w:vAlign w:val="bottom"/>
          </w:tcPr>
          <w:p w:rsidR="00000000" w:rsidDel="00000000" w:rsidP="00000000" w:rsidRDefault="00000000" w:rsidRPr="00000000" w14:paraId="00000162">
            <w:pPr>
              <w:spacing w:line="276" w:lineRule="auto"/>
              <w:jc w:val="center"/>
              <w:rPr>
                <w:sz w:val="20"/>
                <w:szCs w:val="20"/>
              </w:rPr>
            </w:pPr>
            <w:r w:rsidDel="00000000" w:rsidR="00000000" w:rsidRPr="00000000">
              <w:rPr>
                <w:rFonts w:ascii="Times New Roman" w:cs="Times New Roman" w:eastAsia="Times New Roman" w:hAnsi="Times New Roman"/>
                <w:b w:val="1"/>
                <w:bCs w:val="1"/>
                <w:color w:val="ffffff"/>
                <w:rtl w:val="0"/>
              </w:rPr>
              <w:t xml:space="preserve">Avg Wq (min)</w:t>
            </w:r>
            <w:r w:rsidDel="00000000" w:rsidR="00000000" w:rsidRPr="00000000">
              <w:rPr>
                <w:rtl w:val="0"/>
              </w:rPr>
            </w:r>
          </w:p>
        </w:tc>
        <w:tc>
          <w:tcPr>
            <w:tcBorders>
              <w:top w:color="000000" w:space="0" w:sz="6" w:val="single"/>
              <w:bottom w:color="000000" w:space="0" w:sz="6" w:val="single"/>
              <w:right w:color="000000" w:space="0" w:sz="6" w:val="single"/>
            </w:tcBorders>
            <w:shd w:fill="073763" w:val="clear"/>
            <w:tcMar>
              <w:top w:w="40.0" w:type="dxa"/>
              <w:left w:w="40.0" w:type="dxa"/>
              <w:bottom w:w="40.0" w:type="dxa"/>
              <w:right w:w="40.0" w:type="dxa"/>
            </w:tcMar>
            <w:vAlign w:val="top"/>
          </w:tcPr>
          <w:p w:rsidR="00000000" w:rsidDel="00000000" w:rsidP="00000000" w:rsidRDefault="00000000" w:rsidRPr="00000000" w14:paraId="00000163">
            <w:pPr>
              <w:spacing w:line="276" w:lineRule="auto"/>
              <w:jc w:val="center"/>
              <w:rPr>
                <w:sz w:val="20"/>
                <w:szCs w:val="20"/>
              </w:rPr>
            </w:pPr>
            <w:r w:rsidDel="00000000" w:rsidR="00000000" w:rsidRPr="00000000">
              <w:rPr>
                <w:b w:val="1"/>
                <w:bCs w:val="1"/>
                <w:color w:val="ffffff"/>
                <w:sz w:val="20"/>
                <w:szCs w:val="20"/>
                <w:rtl w:val="0"/>
              </w:rPr>
              <w:t xml:space="preserve">Std Wq (min)</w:t>
            </w:r>
            <w:r w:rsidDel="00000000" w:rsidR="00000000" w:rsidRPr="00000000">
              <w:rPr>
                <w:rtl w:val="0"/>
              </w:rPr>
            </w:r>
          </w:p>
        </w:tc>
        <w:tc>
          <w:tcPr>
            <w:tcBorders>
              <w:top w:color="000000" w:space="0" w:sz="6" w:val="single"/>
              <w:bottom w:color="000000" w:space="0" w:sz="6" w:val="single"/>
              <w:right w:color="000000" w:space="0" w:sz="6" w:val="single"/>
            </w:tcBorders>
            <w:shd w:fill="073763" w:val="clear"/>
            <w:tcMar>
              <w:top w:w="40.0" w:type="dxa"/>
              <w:left w:w="40.0" w:type="dxa"/>
              <w:bottom w:w="40.0" w:type="dxa"/>
              <w:right w:w="40.0" w:type="dxa"/>
            </w:tcMar>
            <w:vAlign w:val="bottom"/>
          </w:tcPr>
          <w:p w:rsidR="00000000" w:rsidDel="00000000" w:rsidP="00000000" w:rsidRDefault="00000000" w:rsidRPr="00000000" w14:paraId="00000164">
            <w:pPr>
              <w:spacing w:line="276" w:lineRule="auto"/>
              <w:jc w:val="center"/>
              <w:rPr>
                <w:sz w:val="20"/>
                <w:szCs w:val="20"/>
              </w:rPr>
            </w:pPr>
            <w:r w:rsidDel="00000000" w:rsidR="00000000" w:rsidRPr="00000000">
              <w:rPr>
                <w:rFonts w:ascii="Times New Roman" w:cs="Times New Roman" w:eastAsia="Times New Roman" w:hAnsi="Times New Roman"/>
                <w:b w:val="1"/>
                <w:bCs w:val="1"/>
                <w:color w:val="ffffff"/>
                <w:rtl w:val="0"/>
              </w:rPr>
              <w:t xml:space="preserve">Max Wq (min)</w:t>
            </w:r>
            <w:r w:rsidDel="00000000" w:rsidR="00000000" w:rsidRPr="00000000">
              <w:rPr>
                <w:rtl w:val="0"/>
              </w:rPr>
            </w:r>
          </w:p>
        </w:tc>
        <w:tc>
          <w:tcPr>
            <w:tcBorders>
              <w:top w:color="000000" w:space="0" w:sz="6" w:val="single"/>
              <w:bottom w:color="000000" w:space="0" w:sz="6" w:val="single"/>
              <w:right w:color="000000" w:space="0" w:sz="6" w:val="single"/>
            </w:tcBorders>
            <w:shd w:fill="073763" w:val="clear"/>
            <w:tcMar>
              <w:top w:w="40.0" w:type="dxa"/>
              <w:left w:w="40.0" w:type="dxa"/>
              <w:bottom w:w="40.0" w:type="dxa"/>
              <w:right w:w="40.0" w:type="dxa"/>
            </w:tcMar>
            <w:vAlign w:val="top"/>
          </w:tcPr>
          <w:p w:rsidR="00000000" w:rsidDel="00000000" w:rsidP="00000000" w:rsidRDefault="00000000" w:rsidRPr="00000000" w14:paraId="00000165">
            <w:pPr>
              <w:spacing w:line="276" w:lineRule="auto"/>
              <w:jc w:val="center"/>
              <w:rPr>
                <w:sz w:val="20"/>
                <w:szCs w:val="20"/>
              </w:rPr>
            </w:pPr>
            <w:r w:rsidDel="00000000" w:rsidR="00000000" w:rsidRPr="00000000">
              <w:rPr>
                <w:b w:val="1"/>
                <w:bCs w:val="1"/>
                <w:color w:val="ffffff"/>
                <w:sz w:val="20"/>
                <w:szCs w:val="20"/>
                <w:rtl w:val="0"/>
              </w:rPr>
              <w:t xml:space="preserve">Avg W (min)</w:t>
            </w:r>
            <w:r w:rsidDel="00000000" w:rsidR="00000000" w:rsidRPr="00000000">
              <w:rPr>
                <w:rtl w:val="0"/>
              </w:rPr>
            </w:r>
          </w:p>
        </w:tc>
        <w:tc>
          <w:tcPr>
            <w:tcBorders>
              <w:top w:color="000000" w:space="0" w:sz="6" w:val="single"/>
              <w:bottom w:color="000000" w:space="0" w:sz="6" w:val="single"/>
              <w:right w:color="000000" w:space="0" w:sz="6" w:val="single"/>
            </w:tcBorders>
            <w:shd w:fill="073763" w:val="clear"/>
            <w:tcMar>
              <w:top w:w="40.0" w:type="dxa"/>
              <w:left w:w="40.0" w:type="dxa"/>
              <w:bottom w:w="40.0" w:type="dxa"/>
              <w:right w:w="40.0" w:type="dxa"/>
            </w:tcMar>
            <w:vAlign w:val="top"/>
          </w:tcPr>
          <w:p w:rsidR="00000000" w:rsidDel="00000000" w:rsidP="00000000" w:rsidRDefault="00000000" w:rsidRPr="00000000" w14:paraId="00000166">
            <w:pPr>
              <w:spacing w:line="276" w:lineRule="auto"/>
              <w:jc w:val="center"/>
              <w:rPr>
                <w:sz w:val="20"/>
                <w:szCs w:val="20"/>
              </w:rPr>
            </w:pPr>
            <w:r w:rsidDel="00000000" w:rsidR="00000000" w:rsidRPr="00000000">
              <w:rPr>
                <w:b w:val="1"/>
                <w:bCs w:val="1"/>
                <w:color w:val="ffffff"/>
                <w:sz w:val="20"/>
                <w:szCs w:val="20"/>
                <w:rtl w:val="0"/>
              </w:rPr>
              <w:t xml:space="preserve">Std W (min)</w:t>
            </w:r>
            <w:r w:rsidDel="00000000" w:rsidR="00000000" w:rsidRPr="00000000">
              <w:rPr>
                <w:rtl w:val="0"/>
              </w:rPr>
            </w:r>
          </w:p>
        </w:tc>
        <w:tc>
          <w:tcPr>
            <w:tcBorders>
              <w:top w:color="000000" w:space="0" w:sz="6" w:val="single"/>
              <w:bottom w:color="000000" w:space="0" w:sz="6" w:val="single"/>
              <w:right w:color="000000" w:space="0" w:sz="6" w:val="single"/>
            </w:tcBorders>
            <w:shd w:fill="073763" w:val="clear"/>
            <w:tcMar>
              <w:top w:w="40.0" w:type="dxa"/>
              <w:left w:w="40.0" w:type="dxa"/>
              <w:bottom w:w="40.0" w:type="dxa"/>
              <w:right w:w="40.0" w:type="dxa"/>
            </w:tcMar>
            <w:vAlign w:val="top"/>
          </w:tcPr>
          <w:p w:rsidR="00000000" w:rsidDel="00000000" w:rsidP="00000000" w:rsidRDefault="00000000" w:rsidRPr="00000000" w14:paraId="00000167">
            <w:pPr>
              <w:spacing w:line="276" w:lineRule="auto"/>
              <w:jc w:val="center"/>
              <w:rPr>
                <w:sz w:val="20"/>
                <w:szCs w:val="20"/>
              </w:rPr>
            </w:pPr>
            <w:r w:rsidDel="00000000" w:rsidR="00000000" w:rsidRPr="00000000">
              <w:rPr>
                <w:b w:val="1"/>
                <w:bCs w:val="1"/>
                <w:color w:val="ffffff"/>
                <w:sz w:val="20"/>
                <w:szCs w:val="20"/>
                <w:rtl w:val="0"/>
              </w:rPr>
              <w:t xml:space="preserve">Max W (min)</w:t>
            </w:r>
            <w:r w:rsidDel="00000000" w:rsidR="00000000" w:rsidRPr="00000000">
              <w:rPr>
                <w:rtl w:val="0"/>
              </w:rPr>
            </w:r>
          </w:p>
        </w:tc>
        <w:tc>
          <w:tcPr>
            <w:tcBorders>
              <w:top w:color="000000" w:space="0" w:sz="6" w:val="single"/>
              <w:bottom w:color="000000" w:space="0" w:sz="6" w:val="single"/>
              <w:right w:color="000000" w:space="0" w:sz="6" w:val="single"/>
            </w:tcBorders>
            <w:shd w:fill="073763" w:val="clear"/>
            <w:tcMar>
              <w:top w:w="40.0" w:type="dxa"/>
              <w:left w:w="40.0" w:type="dxa"/>
              <w:bottom w:w="40.0" w:type="dxa"/>
              <w:right w:w="40.0" w:type="dxa"/>
            </w:tcMar>
            <w:vAlign w:val="top"/>
          </w:tcPr>
          <w:p w:rsidR="00000000" w:rsidDel="00000000" w:rsidP="00000000" w:rsidRDefault="00000000" w:rsidRPr="00000000" w14:paraId="00000168">
            <w:pPr>
              <w:spacing w:line="276" w:lineRule="auto"/>
              <w:jc w:val="center"/>
              <w:rPr>
                <w:sz w:val="20"/>
                <w:szCs w:val="20"/>
              </w:rPr>
            </w:pPr>
            <w:r w:rsidDel="00000000" w:rsidR="00000000" w:rsidRPr="00000000">
              <w:rPr>
                <w:b w:val="1"/>
                <w:bCs w:val="1"/>
                <w:color w:val="ffffff"/>
                <w:sz w:val="20"/>
                <w:szCs w:val="20"/>
                <w:rtl w:val="0"/>
              </w:rPr>
              <w:t xml:space="preserve">Total Int.</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169">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Red</w:t>
            </w:r>
            <w:r w:rsidDel="00000000" w:rsidR="00000000" w:rsidRPr="00000000">
              <w:rPr>
                <w:rtl w:val="0"/>
              </w:rPr>
            </w:r>
          </w:p>
        </w:tc>
        <w:tc>
          <w:tcPr>
            <w:tcBorders>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16A">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197</w:t>
            </w:r>
            <w:r w:rsidDel="00000000" w:rsidR="00000000" w:rsidRPr="00000000">
              <w:rPr>
                <w:rtl w:val="0"/>
              </w:rPr>
            </w:r>
          </w:p>
        </w:tc>
        <w:tc>
          <w:tcPr>
            <w:tcBorders>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16B">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16C">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16D">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16E">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16.0153</w:t>
            </w:r>
            <w:r w:rsidDel="00000000" w:rsidR="00000000" w:rsidRPr="00000000">
              <w:rPr>
                <w:rtl w:val="0"/>
              </w:rPr>
            </w:r>
          </w:p>
        </w:tc>
        <w:tc>
          <w:tcPr>
            <w:tcBorders>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16F">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5.5365</w:t>
            </w:r>
            <w:r w:rsidDel="00000000" w:rsidR="00000000" w:rsidRPr="00000000">
              <w:rPr>
                <w:rtl w:val="0"/>
              </w:rPr>
            </w:r>
          </w:p>
        </w:tc>
        <w:tc>
          <w:tcPr>
            <w:tcBorders>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170">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38.03</w:t>
            </w:r>
            <w:r w:rsidDel="00000000" w:rsidR="00000000" w:rsidRPr="00000000">
              <w:rPr>
                <w:rtl w:val="0"/>
              </w:rPr>
            </w:r>
          </w:p>
        </w:tc>
        <w:tc>
          <w:tcPr>
            <w:tcBorders>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171">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2">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Yellow</w:t>
            </w:r>
            <w:r w:rsidDel="00000000" w:rsidR="00000000" w:rsidRPr="00000000">
              <w:rPr>
                <w:rtl w:val="0"/>
              </w:rPr>
            </w:r>
          </w:p>
        </w:tc>
        <w:tc>
          <w:tcPr>
            <w:tcBorders>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3">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367</w:t>
            </w:r>
            <w:r w:rsidDel="00000000" w:rsidR="00000000" w:rsidRPr="00000000">
              <w:rPr>
                <w:rtl w:val="0"/>
              </w:rPr>
            </w:r>
          </w:p>
        </w:tc>
        <w:tc>
          <w:tcPr>
            <w:tcBorders>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4">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2.535</w:t>
            </w:r>
            <w:r w:rsidDel="00000000" w:rsidR="00000000" w:rsidRPr="00000000">
              <w:rPr>
                <w:rtl w:val="0"/>
              </w:rPr>
            </w:r>
          </w:p>
        </w:tc>
        <w:tc>
          <w:tcPr>
            <w:tcBorders>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5">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3.7505</w:t>
            </w:r>
            <w:r w:rsidDel="00000000" w:rsidR="00000000" w:rsidRPr="00000000">
              <w:rPr>
                <w:rtl w:val="0"/>
              </w:rPr>
            </w:r>
          </w:p>
        </w:tc>
        <w:tc>
          <w:tcPr>
            <w:tcBorders>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6">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23.79</w:t>
            </w:r>
            <w:r w:rsidDel="00000000" w:rsidR="00000000" w:rsidRPr="00000000">
              <w:rPr>
                <w:rtl w:val="0"/>
              </w:rPr>
            </w:r>
          </w:p>
        </w:tc>
        <w:tc>
          <w:tcPr>
            <w:tcBorders>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7">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18.1725</w:t>
            </w:r>
            <w:r w:rsidDel="00000000" w:rsidR="00000000" w:rsidRPr="00000000">
              <w:rPr>
                <w:rtl w:val="0"/>
              </w:rPr>
            </w:r>
          </w:p>
        </w:tc>
        <w:tc>
          <w:tcPr>
            <w:tcBorders>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8">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7.509</w:t>
            </w:r>
            <w:r w:rsidDel="00000000" w:rsidR="00000000" w:rsidRPr="00000000">
              <w:rPr>
                <w:rtl w:val="0"/>
              </w:rPr>
            </w:r>
          </w:p>
        </w:tc>
        <w:tc>
          <w:tcPr>
            <w:tcBorders>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9">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51.92</w:t>
            </w:r>
            <w:r w:rsidDel="00000000" w:rsidR="00000000" w:rsidRPr="00000000">
              <w:rPr>
                <w:rtl w:val="0"/>
              </w:rPr>
            </w:r>
          </w:p>
        </w:tc>
        <w:tc>
          <w:tcPr>
            <w:tcBorders>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A">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13</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7B">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Green</w:t>
            </w:r>
            <w:r w:rsidDel="00000000" w:rsidR="00000000" w:rsidRPr="00000000">
              <w:rPr>
                <w:rtl w:val="0"/>
              </w:rPr>
            </w:r>
          </w:p>
        </w:tc>
        <w:tc>
          <w:tcPr>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7C">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436</w:t>
            </w:r>
            <w:r w:rsidDel="00000000" w:rsidR="00000000" w:rsidRPr="00000000">
              <w:rPr>
                <w:rtl w:val="0"/>
              </w:rPr>
            </w:r>
          </w:p>
        </w:tc>
        <w:tc>
          <w:tcPr>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7D">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17.864</w:t>
            </w:r>
            <w:r w:rsidDel="00000000" w:rsidR="00000000" w:rsidRPr="00000000">
              <w:rPr>
                <w:rtl w:val="0"/>
              </w:rPr>
            </w:r>
          </w:p>
        </w:tc>
        <w:tc>
          <w:tcPr>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7E">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24.2634</w:t>
            </w:r>
            <w:r w:rsidDel="00000000" w:rsidR="00000000" w:rsidRPr="00000000">
              <w:rPr>
                <w:rtl w:val="0"/>
              </w:rPr>
            </w:r>
          </w:p>
        </w:tc>
        <w:tc>
          <w:tcPr>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7F">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98.34</w:t>
            </w:r>
            <w:r w:rsidDel="00000000" w:rsidR="00000000" w:rsidRPr="00000000">
              <w:rPr>
                <w:rtl w:val="0"/>
              </w:rPr>
            </w:r>
          </w:p>
        </w:tc>
        <w:tc>
          <w:tcPr>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80">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34.2002</w:t>
            </w:r>
            <w:r w:rsidDel="00000000" w:rsidR="00000000" w:rsidRPr="00000000">
              <w:rPr>
                <w:rtl w:val="0"/>
              </w:rPr>
            </w:r>
          </w:p>
        </w:tc>
        <w:tc>
          <w:tcPr>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81">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25.6581</w:t>
            </w:r>
            <w:r w:rsidDel="00000000" w:rsidR="00000000" w:rsidRPr="00000000">
              <w:rPr>
                <w:rtl w:val="0"/>
              </w:rPr>
            </w:r>
          </w:p>
        </w:tc>
        <w:tc>
          <w:tcPr>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82">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116.82</w:t>
            </w:r>
            <w:r w:rsidDel="00000000" w:rsidR="00000000" w:rsidRPr="00000000">
              <w:rPr>
                <w:rtl w:val="0"/>
              </w:rPr>
            </w:r>
          </w:p>
        </w:tc>
        <w:tc>
          <w:tcPr>
            <w:tcBorders>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83">
            <w:pPr>
              <w:spacing w:line="276" w:lineRule="auto"/>
              <w:jc w:val="center"/>
              <w:rPr>
                <w:sz w:val="20"/>
                <w:szCs w:val="20"/>
              </w:rPr>
            </w:pPr>
            <w:r w:rsidDel="00000000" w:rsidR="00000000" w:rsidRPr="00000000">
              <w:rPr>
                <w:rFonts w:ascii="Times New Roman" w:cs="Times New Roman" w:eastAsia="Times New Roman" w:hAnsi="Times New Roman"/>
                <w:rtl w:val="0"/>
              </w:rPr>
              <w:t xml:space="preserve">98</w:t>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540" w:right="3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before="45" w:line="360" w:lineRule="auto"/>
        <w:ind w:left="221" w:right="219"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3: Class-based performance metrics from the Preemptive-Resume simulation. 'Total Int.' counts the total number of preemption interruptions received by patients of that class.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Times New Roman" w:cs="Times New Roman" w:eastAsia="Times New Roman" w:hAnsi="Times New Roman"/>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87">
      <w:pPr>
        <w:pStyle w:val="Heading2"/>
        <w:tabs>
          <w:tab w:val="left" w:leader="none" w:pos="802"/>
        </w:tabs>
        <w:spacing w:after="25" w:before="0" w:line="36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6.1   </w:t>
      </w:r>
      <w:r w:rsidDel="00000000" w:rsidR="00000000" w:rsidRPr="00000000">
        <w:rPr>
          <w:rFonts w:ascii="Times New Roman" w:cs="Times New Roman" w:eastAsia="Times New Roman" w:hAnsi="Times New Roman"/>
          <w:sz w:val="22"/>
          <w:szCs w:val="22"/>
          <w:rtl w:val="0"/>
        </w:rPr>
        <w:t xml:space="preserve">Overall System Metrics</w:t>
      </w:r>
    </w:p>
    <w:tbl>
      <w:tblPr>
        <w:tblStyle w:val="Table5"/>
        <w:tblW w:w="7920.0" w:type="dxa"/>
        <w:jc w:val="left"/>
        <w:tblInd w:w="108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040"/>
        <w:gridCol w:w="2880"/>
        <w:tblGridChange w:id="0">
          <w:tblGrid>
            <w:gridCol w:w="5040"/>
            <w:gridCol w:w="2880"/>
          </w:tblGrid>
        </w:tblGridChange>
      </w:tblGrid>
      <w:tr>
        <w:trPr>
          <w:cantSplit w:val="0"/>
          <w:trHeight w:val="430"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Avg Wq — All Patients</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8.7190 min</w:t>
            </w:r>
          </w:p>
        </w:tc>
      </w:tr>
      <w:tr>
        <w:trPr>
          <w:cantSplit w:val="0"/>
          <w:trHeight w:val="430" w:hRule="atLeast"/>
          <w:tblHeader w:val="0"/>
        </w:trPr>
        <w:tc>
          <w:tcPr>
            <w:shd w:fill="eff6ff"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Avg W — All Patients</w:t>
            </w:r>
          </w:p>
        </w:tc>
        <w:tc>
          <w:tcPr>
            <w:shd w:fill="eff6ff"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24.7356 min</w:t>
            </w:r>
          </w:p>
        </w:tc>
      </w:tr>
      <w:tr>
        <w:trPr>
          <w:cantSplit w:val="0"/>
          <w:trHeight w:val="430"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Total Preemptions</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111</w:t>
            </w:r>
          </w:p>
        </w:tc>
      </w:tr>
      <w:tr>
        <w:trPr>
          <w:cantSplit w:val="0"/>
          <w:trHeight w:val="430" w:hRule="atLeast"/>
          <w:tblHeader w:val="0"/>
        </w:trPr>
        <w:tc>
          <w:tcPr>
            <w:shd w:fill="eff6ff"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 Preemptions</w:t>
            </w:r>
          </w:p>
        </w:tc>
        <w:tc>
          <w:tcPr>
            <w:shd w:fill="eff6ff"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98 (88.3%)</w:t>
            </w:r>
          </w:p>
        </w:tc>
      </w:tr>
      <w:tr>
        <w:trPr>
          <w:cantSplit w:val="0"/>
          <w:trHeight w:val="430"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 Preemptions</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13 (11.7%)</w:t>
            </w:r>
          </w:p>
        </w:tc>
      </w:tr>
      <w:tr>
        <w:trPr>
          <w:cantSplit w:val="0"/>
          <w:trHeight w:val="430" w:hRule="atLeast"/>
          <w:tblHeader w:val="0"/>
        </w:trPr>
        <w:tc>
          <w:tcPr>
            <w:shd w:fill="eff6ff"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sdt>
              <w:sdtPr>
                <w:id w:val="661220519"/>
                <w:tag w:val="goog_rdk_4"/>
              </w:sdtPr>
              <w:sdtContent>
                <w:r w:rsidDel="00000000" w:rsidR="00000000" w:rsidRPr="00000000">
                  <w:rPr>
                    <w:rFonts w:ascii="Gungsuh" w:cs="Gungsuh" w:eastAsia="Gungsuh" w:hAnsi="Gungsuh"/>
                    <w:i w:val="0"/>
                    <w:iCs w:val="0"/>
                    <w:smallCaps w:val="0"/>
                    <w:strike w:val="0"/>
                    <w:u w:val="none"/>
                    <w:shd w:fill="auto" w:val="clear"/>
                    <w:vertAlign w:val="baseline"/>
                    <w:rtl w:val="0"/>
                  </w:rPr>
                  <w:t xml:space="preserve">Patients Preempted ≥2 Times</w:t>
                </w:r>
              </w:sdtContent>
            </w:sdt>
          </w:p>
        </w:tc>
        <w:tc>
          <w:tcPr>
            <w:shd w:fill="eff6ff"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19</w:t>
            </w:r>
          </w:p>
        </w:tc>
      </w:tr>
      <w:tr>
        <w:trPr>
          <w:cantSplit w:val="0"/>
          <w:trHeight w:val="430"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Maximum Interruptions (Single Patient)</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3</w:t>
            </w:r>
          </w:p>
        </w:tc>
      </w:tr>
    </w:tbl>
    <w:p w:rsidR="00000000" w:rsidDel="00000000" w:rsidP="00000000" w:rsidRDefault="00000000" w:rsidRPr="00000000" w14:paraId="00000196">
      <w:pPr>
        <w:spacing w:before="45" w:line="360" w:lineRule="auto"/>
        <w:ind w:left="149" w:right="149"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4: Overall system-level metrics from the Preemptive-Resume simulation.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0" w:right="0" w:firstLine="0"/>
        <w:jc w:val="left"/>
        <w:rPr>
          <w:rFonts w:ascii="Times New Roman" w:cs="Times New Roman" w:eastAsia="Times New Roman" w:hAnsi="Times New Roman"/>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2"/>
        <w:tabs>
          <w:tab w:val="left" w:leader="none" w:pos="802"/>
        </w:tabs>
        <w:spacing w:after="0" w:before="1" w:line="36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6.2   </w:t>
      </w:r>
      <w:r w:rsidDel="00000000" w:rsidR="00000000" w:rsidRPr="00000000">
        <w:rPr>
          <w:rFonts w:ascii="Times New Roman" w:cs="Times New Roman" w:eastAsia="Times New Roman" w:hAnsi="Times New Roman"/>
          <w:sz w:val="22"/>
          <w:szCs w:val="22"/>
          <w:rtl w:val="0"/>
        </w:rPr>
        <w:t xml:space="preserve">Average Service Time by Class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335" w:right="333" w:firstLine="0"/>
        <w:jc w:val="both"/>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280" w:top="1360" w:left="1080" w:right="108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As expected, the average service times across classes are approximately equal (Red: 16.02 min, Yellow: 16.23 min, Green: 15.90 min), confirming that the Service_Required_Min values are assigned independently of priority and the dataset is correctly structured. Any differences in W are therefore attributable entirely to queueing and preemption effects, not to differences in clinical complexity.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2"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Pr>
        <w:drawing>
          <wp:inline distB="0" distT="0" distL="0" distR="0">
            <wp:extent cx="5875020" cy="2003107"/>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75020" cy="2003107"/>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before="114" w:line="360" w:lineRule="auto"/>
        <w:ind w:left="358" w:right="356" w:hanging="1.0000000000000142"/>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Left — Average waiting time (Wq) by priority class under FCFS vs. Preemptive-Resume. Right — Average residence time (W) by priority class. Coloured bars represent Phase 2 priority results; grey bars represent the Phase 1 FCFS baseline. The dashed line marks the FCFS system-wide average.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60" w:lineRule="auto"/>
        <w:ind w:left="0" w:right="0" w:firstLine="0"/>
        <w:jc w:val="left"/>
        <w:rPr>
          <w:rFonts w:ascii="Times New Roman" w:cs="Times New Roman" w:eastAsia="Times New Roman" w:hAnsi="Times New Roman"/>
          <w:i w:val="1"/>
          <w:iCs w:val="1"/>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268556</wp:posOffset>
            </wp:positionH>
            <wp:positionV relativeFrom="paragraph">
              <wp:posOffset>233580</wp:posOffset>
            </wp:positionV>
            <wp:extent cx="5822251" cy="1760791"/>
            <wp:effectExtent b="0" l="0" r="0" t="0"/>
            <wp:wrapTopAndBottom distB="0" dist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22251" cy="1760791"/>
                    </a:xfrm>
                    <a:prstGeom prst="rect"/>
                    <a:ln/>
                  </pic:spPr>
                </pic:pic>
              </a:graphicData>
            </a:graphic>
          </wp:anchor>
        </w:drawing>
      </w:r>
    </w:p>
    <w:p w:rsidR="00000000" w:rsidDel="00000000" w:rsidP="00000000" w:rsidRDefault="00000000" w:rsidRPr="00000000" w14:paraId="0000019D">
      <w:pPr>
        <w:spacing w:before="129" w:line="360" w:lineRule="auto"/>
        <w:ind w:left="149" w:right="147" w:firstLine="0"/>
        <w:jc w:val="center"/>
        <w:rPr>
          <w:rFonts w:ascii="Times New Roman" w:cs="Times New Roman" w:eastAsia="Times New Roman" w:hAnsi="Times New Roman"/>
          <w:i w:val="1"/>
          <w:iCs w:val="1"/>
        </w:rPr>
        <w:sectPr>
          <w:type w:val="nextPage"/>
          <w:pgSz w:h="15840" w:w="12240" w:orient="portrait"/>
          <w:pgMar w:bottom="280" w:top="1480" w:left="1080" w:right="1080" w:header="360" w:footer="360"/>
        </w:sectPr>
      </w:pPr>
      <w:r w:rsidDel="00000000" w:rsidR="00000000" w:rsidRPr="00000000">
        <w:rPr>
          <w:rFonts w:ascii="Times New Roman" w:cs="Times New Roman" w:eastAsia="Times New Roman" w:hAnsi="Times New Roman"/>
          <w:i w:val="1"/>
          <w:iCs w:val="1"/>
          <w:rtl w:val="0"/>
        </w:rPr>
        <w:t xml:space="preserve">Figure 2: Waiting time (Wq) distributions for each priority class under Phase 2 (coloured histogram). Solid black dashed line = Priority simulation mean; dotted grey line = Phase 1 FCFS mean. Red patients concentrate at Wq = 0; Green patients show a heavy right tail.</w:t>
      </w:r>
    </w:p>
    <w:p w:rsidR="00000000" w:rsidDel="00000000" w:rsidP="00000000" w:rsidRDefault="00000000" w:rsidRPr="00000000" w14:paraId="0000019E">
      <w:pPr>
        <w:pStyle w:val="Heading1"/>
        <w:numPr>
          <w:ilvl w:val="0"/>
          <w:numId w:val="1"/>
        </w:numPr>
        <w:tabs>
          <w:tab w:val="left" w:leader="none" w:pos="646"/>
        </w:tabs>
        <w:spacing w:after="0" w:before="73" w:line="360"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Deliverable 3: Comparison Analysis</w:t>
      </w:r>
    </w:p>
    <w:p w:rsidR="00000000" w:rsidDel="00000000" w:rsidP="00000000" w:rsidRDefault="00000000" w:rsidRPr="00000000" w14:paraId="0000019F">
      <w:pPr>
        <w:pStyle w:val="Heading2"/>
        <w:tabs>
          <w:tab w:val="left" w:leader="none" w:pos="802"/>
        </w:tabs>
        <w:spacing w:after="0" w:before="205" w:line="36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7.1   </w:t>
      </w:r>
      <w:r w:rsidDel="00000000" w:rsidR="00000000" w:rsidRPr="00000000">
        <w:rPr>
          <w:rFonts w:ascii="Times New Roman" w:cs="Times New Roman" w:eastAsia="Times New Roman" w:hAnsi="Times New Roman"/>
          <w:sz w:val="22"/>
          <w:szCs w:val="22"/>
          <w:rtl w:val="0"/>
        </w:rPr>
        <w:t xml:space="preserve">Impact of Priorities on Wq by Class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335" w:right="333"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To produce a fair comparison, a FCFS simulation is run on the same 1,000-patient dataset ignoring the priority column. Under FCFS, all patients are treated in strict arrival order regardless of severity, so any class-level difference in Phase 1 Wq is purely due to which patients happened to arrive at different times.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bl>
      <w:tblPr>
        <w:tblStyle w:val="Table6"/>
        <w:tblW w:w="9072.0" w:type="dxa"/>
        <w:jc w:val="left"/>
        <w:tblInd w:w="509.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008"/>
        <w:gridCol w:w="1440"/>
        <w:gridCol w:w="1584"/>
        <w:gridCol w:w="1296"/>
        <w:gridCol w:w="1008"/>
        <w:gridCol w:w="1296"/>
        <w:gridCol w:w="1440"/>
        <w:tblGridChange w:id="0">
          <w:tblGrid>
            <w:gridCol w:w="1008"/>
            <w:gridCol w:w="1440"/>
            <w:gridCol w:w="1584"/>
            <w:gridCol w:w="1296"/>
            <w:gridCol w:w="1008"/>
            <w:gridCol w:w="1296"/>
            <w:gridCol w:w="1440"/>
          </w:tblGrid>
        </w:tblGridChange>
      </w:tblGrid>
      <w:tr>
        <w:trPr>
          <w:cantSplit w:val="0"/>
          <w:trHeight w:val="430" w:hRule="atLeast"/>
          <w:tblHeader w:val="0"/>
        </w:trPr>
        <w:tc>
          <w:tcPr>
            <w:shd w:fill="2b5282"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1"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Priority</w:t>
            </w:r>
          </w:p>
        </w:tc>
        <w:tc>
          <w:tcPr>
            <w:shd w:fill="2b5282"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1"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FCFS Wq (min)</w:t>
            </w:r>
          </w:p>
        </w:tc>
        <w:tc>
          <w:tcPr>
            <w:shd w:fill="2b5282"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1"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Priority Wq (min)</w:t>
            </w:r>
          </w:p>
        </w:tc>
        <w:tc>
          <w:tcPr>
            <w:shd w:fill="2b5282"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360" w:lineRule="auto"/>
              <w:ind w:left="10" w:right="1"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Δ</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Wq (min)</w:t>
            </w:r>
          </w:p>
        </w:tc>
        <w:tc>
          <w:tcPr>
            <w:shd w:fill="2b5282"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360" w:lineRule="auto"/>
              <w:ind w:left="10" w:right="1"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Δ</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Wq (%)</w:t>
            </w:r>
          </w:p>
        </w:tc>
        <w:tc>
          <w:tcPr>
            <w:shd w:fill="2b5282"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1"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FCFS W (min)</w:t>
            </w:r>
          </w:p>
        </w:tc>
        <w:tc>
          <w:tcPr>
            <w:shd w:fill="2b5282"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1"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Priority W (min)</w:t>
            </w:r>
          </w:p>
        </w:tc>
      </w:tr>
      <w:tr>
        <w:trPr>
          <w:cantSplit w:val="0"/>
          <w:trHeight w:val="430" w:hRule="atLeast"/>
          <w:tblHeader w:val="0"/>
        </w:trPr>
        <w:tc>
          <w:tcPr>
            <w:shd w:fill="fdebe9"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w:t>
            </w:r>
          </w:p>
        </w:tc>
        <w:tc>
          <w:tcPr>
            <w:shd w:fill="fdebe9"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7.2857</w:t>
            </w:r>
          </w:p>
        </w:tc>
        <w:tc>
          <w:tcPr>
            <w:shd w:fill="fdebe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0.0000</w:t>
            </w:r>
          </w:p>
        </w:tc>
        <w:tc>
          <w:tcPr>
            <w:shd w:fill="fdebe9"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-7.2857</w:t>
            </w:r>
          </w:p>
        </w:tc>
        <w:tc>
          <w:tcPr>
            <w:shd w:fill="fdebe9"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-100.0%</w:t>
            </w:r>
          </w:p>
        </w:tc>
        <w:tc>
          <w:tcPr>
            <w:shd w:fill="fdebe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23.3010</w:t>
            </w:r>
          </w:p>
        </w:tc>
        <w:tc>
          <w:tcPr>
            <w:shd w:fill="fdebe9"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16.0153</w:t>
            </w:r>
          </w:p>
        </w:tc>
      </w:tr>
      <w:tr>
        <w:trPr>
          <w:cantSplit w:val="0"/>
          <w:trHeight w:val="430" w:hRule="atLeast"/>
          <w:tblHeader w:val="0"/>
        </w:trPr>
        <w:tc>
          <w:tcPr>
            <w:shd w:fill="fdf9e6"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w:t>
            </w:r>
          </w:p>
        </w:tc>
        <w:tc>
          <w:tcPr>
            <w:shd w:fill="fdf9e6"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7.4594</w:t>
            </w:r>
          </w:p>
        </w:tc>
        <w:tc>
          <w:tcPr>
            <w:shd w:fill="fdf9e6"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2.5350</w:t>
            </w:r>
          </w:p>
        </w:tc>
        <w:tc>
          <w:tcPr>
            <w:shd w:fill="fdf9e6"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-4.9245</w:t>
            </w:r>
          </w:p>
        </w:tc>
        <w:tc>
          <w:tcPr>
            <w:shd w:fill="fdf9e6"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-66.0%</w:t>
            </w:r>
          </w:p>
        </w:tc>
        <w:tc>
          <w:tcPr>
            <w:shd w:fill="fdf9e6"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23.0969</w:t>
            </w:r>
          </w:p>
        </w:tc>
        <w:tc>
          <w:tcPr>
            <w:shd w:fill="fdf9e6"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18.1725</w:t>
            </w:r>
          </w:p>
        </w:tc>
      </w:tr>
      <w:tr>
        <w:trPr>
          <w:cantSplit w:val="0"/>
          <w:trHeight w:val="430" w:hRule="atLeast"/>
          <w:tblHeader w:val="0"/>
        </w:trPr>
        <w:tc>
          <w:tcPr>
            <w:shd w:fill="e9f9f0"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w:t>
            </w:r>
          </w:p>
        </w:tc>
        <w:tc>
          <w:tcPr>
            <w:shd w:fill="e9f9f0"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9.0679</w:t>
            </w:r>
          </w:p>
        </w:tc>
        <w:tc>
          <w:tcPr>
            <w:shd w:fill="e9f9f0"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17.8640</w:t>
            </w:r>
          </w:p>
        </w:tc>
        <w:tc>
          <w:tcPr>
            <w:shd w:fill="e9f9f0"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+8.7961</w:t>
            </w:r>
          </w:p>
        </w:tc>
        <w:tc>
          <w:tcPr>
            <w:shd w:fill="e9f9f0"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+97.0%</w:t>
            </w:r>
          </w:p>
        </w:tc>
        <w:tc>
          <w:tcPr>
            <w:shd w:fill="e9f9f0"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25.4042</w:t>
            </w:r>
          </w:p>
        </w:tc>
        <w:tc>
          <w:tcPr>
            <w:shd w:fill="e9f9f0"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34.2002</w:t>
            </w:r>
          </w:p>
        </w:tc>
      </w:tr>
      <w:tr>
        <w:trPr>
          <w:cantSplit w:val="0"/>
          <w:trHeight w:val="430" w:hRule="atLeast"/>
          <w:tblHeader w:val="0"/>
        </w:trPr>
        <w:tc>
          <w:tcPr>
            <w:shd w:fill="f2f2f4"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ALL</w:t>
            </w:r>
          </w:p>
        </w:tc>
        <w:tc>
          <w:tcPr>
            <w:shd w:fill="f2f2f4"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8.1265</w:t>
            </w:r>
          </w:p>
        </w:tc>
        <w:tc>
          <w:tcPr>
            <w:shd w:fill="f2f2f4"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8.7190</w:t>
            </w:r>
          </w:p>
        </w:tc>
        <w:tc>
          <w:tcPr>
            <w:shd w:fill="f2f2f4"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+0.5925</w:t>
            </w:r>
          </w:p>
        </w:tc>
        <w:tc>
          <w:tcPr>
            <w:shd w:fill="f2f2f4"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+7.3%</w:t>
            </w:r>
          </w:p>
        </w:tc>
        <w:tc>
          <w:tcPr>
            <w:shd w:fill="f2f2f4"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24.1431</w:t>
            </w:r>
          </w:p>
        </w:tc>
        <w:tc>
          <w:tcPr>
            <w:shd w:fill="f2f2f4"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24.7356</w:t>
            </w:r>
          </w:p>
        </w:tc>
      </w:tr>
    </w:tbl>
    <w:p w:rsidR="00000000" w:rsidDel="00000000" w:rsidP="00000000" w:rsidRDefault="00000000" w:rsidRPr="00000000" w14:paraId="000001C5">
      <w:pPr>
        <w:spacing w:before="45" w:line="360" w:lineRule="auto"/>
        <w:ind w:left="221" w:right="218"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5: Comparison of FCFS (Phase 1) vs. Preemptive-Resume Priority (Phase 2) per class and overall. Green numbers indicate improvements (reductions) in Wq; red numbers indicate increases.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Times New Roman" w:cs="Times New Roman" w:eastAsia="Times New Roman" w:hAnsi="Times New Roman"/>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C7">
      <w:pPr>
        <w:pStyle w:val="Heading2"/>
        <w:tabs>
          <w:tab w:val="left" w:leader="none" w:pos="802"/>
        </w:tabs>
        <w:spacing w:after="0" w:before="0" w:line="36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7.2   </w:t>
      </w:r>
      <w:r w:rsidDel="00000000" w:rsidR="00000000" w:rsidRPr="00000000">
        <w:rPr>
          <w:rFonts w:ascii="Times New Roman" w:cs="Times New Roman" w:eastAsia="Times New Roman" w:hAnsi="Times New Roman"/>
          <w:sz w:val="22"/>
          <w:szCs w:val="22"/>
          <w:rtl w:val="0"/>
        </w:rPr>
        <w:t xml:space="preserve">Effect on Green Patients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335" w:right="333"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 introduction of priorities imposes a significant cost on Green (Non-urgent) patients. Under FCFS, Green patients waited an average of 9.07 minutes in the queue. Under the priority system, this increases to 17.86 minutes — an increase of 8.80 minutes, or +97.0%. This near-doubling of Green waiting time is the direct cost paid to ensure that Red patients receive immediate care.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60" w:lineRule="auto"/>
        <w:ind w:left="335" w:right="333"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Within Green patients, those who experienced at least one preemption (79 out of 436) waited an average of 30.05 minutes, compared to 15.17 minutes for non-preempted Green patients. This shows that the burden is not distributed uniformly — a subset of Green patients bear a disproportionately heavy cost whenever a Red patient requires treatment during their service.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bl>
      <w:tblPr>
        <w:tblStyle w:val="Table7"/>
        <w:tblW w:w="8064.000000000001" w:type="dxa"/>
        <w:jc w:val="left"/>
        <w:tblInd w:w="1013.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472"/>
        <w:gridCol w:w="2592"/>
        <w:tblGridChange w:id="0">
          <w:tblGrid>
            <w:gridCol w:w="5472"/>
            <w:gridCol w:w="2592"/>
          </w:tblGrid>
        </w:tblGridChange>
      </w:tblGrid>
      <w:tr>
        <w:trPr>
          <w:cantSplit w:val="0"/>
          <w:trHeight w:val="430" w:hRule="atLeast"/>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 patients total</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436</w:t>
            </w:r>
          </w:p>
        </w:tc>
      </w:tr>
      <w:tr>
        <w:trPr>
          <w:cantSplit w:val="0"/>
          <w:trHeight w:val="430" w:hRule="atLeast"/>
          <w:tblHeader w:val="0"/>
        </w:trPr>
        <w:tc>
          <w:tcPr>
            <w:shd w:fill="e9f9f0"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 patients preempted at least once</w:t>
            </w:r>
          </w:p>
        </w:tc>
        <w:tc>
          <w:tcPr>
            <w:shd w:fill="e9f9f0"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79 (18.1%)</w:t>
            </w:r>
          </w:p>
        </w:tc>
      </w:tr>
      <w:tr>
        <w:trPr>
          <w:cantSplit w:val="0"/>
          <w:trHeight w:val="430" w:hRule="atLeast"/>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Avg Wq — preempted Green patients</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908" w:right="0" w:firstLine="0"/>
              <w:jc w:val="left"/>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30.05 min</w:t>
            </w:r>
          </w:p>
        </w:tc>
      </w:tr>
      <w:tr>
        <w:trPr>
          <w:cantSplit w:val="0"/>
          <w:trHeight w:val="430" w:hRule="atLeast"/>
          <w:tblHeader w:val="0"/>
        </w:trPr>
        <w:tc>
          <w:tcPr>
            <w:shd w:fill="e9f9f0"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Avg Wq — non-preempted Green patients</w:t>
            </w:r>
          </w:p>
        </w:tc>
        <w:tc>
          <w:tcPr>
            <w:shd w:fill="e9f9f0"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908" w:right="0" w:firstLine="0"/>
              <w:jc w:val="left"/>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15.17 min</w:t>
            </w:r>
          </w:p>
        </w:tc>
      </w:tr>
      <w:tr>
        <w:trPr>
          <w:cantSplit w:val="0"/>
          <w:trHeight w:val="430" w:hRule="atLeast"/>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 Wq (FCFS Phase 1)</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955" w:right="0" w:firstLine="0"/>
              <w:jc w:val="left"/>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9.07 min</w:t>
            </w:r>
          </w:p>
        </w:tc>
      </w:tr>
      <w:tr>
        <w:trPr>
          <w:cantSplit w:val="0"/>
          <w:trHeight w:val="430" w:hRule="atLeast"/>
          <w:tblHeader w:val="0"/>
        </w:trPr>
        <w:tc>
          <w:tcPr>
            <w:shd w:fill="e9f9f0"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 Wq (Priority Phase 2)</w:t>
            </w:r>
          </w:p>
        </w:tc>
        <w:tc>
          <w:tcPr>
            <w:shd w:fill="e9f9f0"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908" w:right="0" w:firstLine="0"/>
              <w:jc w:val="left"/>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17.86 min</w:t>
            </w:r>
          </w:p>
        </w:tc>
      </w:tr>
      <w:tr>
        <w:trPr>
          <w:cantSplit w:val="0"/>
          <w:trHeight w:val="430" w:hRule="atLeast"/>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6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Increase attributable to priority system</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+8.80 min (+97.0%)</w:t>
            </w:r>
          </w:p>
        </w:tc>
      </w:tr>
    </w:tbl>
    <w:p w:rsidR="00000000" w:rsidDel="00000000" w:rsidP="00000000" w:rsidRDefault="00000000" w:rsidRPr="00000000" w14:paraId="000001D9">
      <w:pPr>
        <w:spacing w:before="45" w:line="360" w:lineRule="auto"/>
        <w:ind w:left="149" w:right="149"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6: Detailed impact of the priority system on Green (Non-urgent) patients.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0" w:right="0" w:firstLine="0"/>
        <w:jc w:val="left"/>
        <w:rPr>
          <w:rFonts w:ascii="Times New Roman" w:cs="Times New Roman" w:eastAsia="Times New Roman" w:hAnsi="Times New Roman"/>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2"/>
        <w:tabs>
          <w:tab w:val="left" w:leader="none" w:pos="802"/>
        </w:tabs>
        <w:spacing w:after="0" w:before="1" w:line="36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7.3   </w:t>
      </w:r>
      <w:r w:rsidDel="00000000" w:rsidR="00000000" w:rsidRPr="00000000">
        <w:rPr>
          <w:rFonts w:ascii="Times New Roman" w:cs="Times New Roman" w:eastAsia="Times New Roman" w:hAnsi="Times New Roman"/>
          <w:sz w:val="22"/>
          <w:szCs w:val="22"/>
          <w:rtl w:val="0"/>
        </w:rPr>
        <w:t xml:space="preserve">Cost of Randomness: Preemption Analysis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335" w:right="332" w:firstLine="0"/>
        <w:jc w:val="both"/>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280" w:top="1360" w:left="1080" w:right="108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 'Co</w:t>
      </w:r>
      <w:sdt>
        <w:sdtPr>
          <w:id w:val="-143485868"/>
          <w:tag w:val="goog_rdk_5"/>
        </w:sdtPr>
        <w:sdtContent>
          <w:commentRangeStart w:id="0"/>
        </w:sdtContent>
      </w:sdt>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st of Randomness' in this context is measured by the total number of preemptions generated during the 1,000-patient run. Each preemption represents an event where the random timing of a Red arrival disrupts an ongoing treatment. Under a perfectly regular (deterministic) arrival process, a Red patient would almost always find an idle doctor, and preemptions would be rare. Under Poisson arrivals, clustering and randomness cause Red patients to arrive during periods of high occupancy, triggering </w:t>
      </w:r>
      <w:r w:rsidDel="00000000" w:rsidR="00000000" w:rsidRPr="00000000">
        <w:rPr>
          <w:rFonts w:ascii="Times New Roman" w:cs="Times New Roman" w:eastAsia="Times New Roman" w:hAnsi="Times New Roman"/>
          <w:rtl w:val="0"/>
        </w:rPr>
        <w:t xml:space="preserve">preemption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DE">
      <w:pPr>
        <w:pStyle w:val="Heading3"/>
        <w:spacing w:before="170" w:line="360" w:lineRule="auto"/>
        <w:ind w:firstLine="14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Total preemptions during 1,000-patient run: 111</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tbl>
      <w:tblPr>
        <w:tblStyle w:val="Table8"/>
        <w:tblW w:w="7632.0" w:type="dxa"/>
        <w:jc w:val="left"/>
        <w:tblInd w:w="1229.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040"/>
        <w:gridCol w:w="1440"/>
        <w:gridCol w:w="1152"/>
        <w:tblGridChange w:id="0">
          <w:tblGrid>
            <w:gridCol w:w="5040"/>
            <w:gridCol w:w="1440"/>
            <w:gridCol w:w="1152"/>
          </w:tblGrid>
        </w:tblGridChange>
      </w:tblGrid>
      <w:tr>
        <w:trPr>
          <w:cantSplit w:val="0"/>
          <w:trHeight w:val="390" w:hRule="atLeast"/>
          <w:tblHeader w:val="0"/>
        </w:trPr>
        <w:tc>
          <w:tcPr>
            <w:shd w:fill="2b5282"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Category</w:t>
            </w:r>
          </w:p>
        </w:tc>
        <w:tc>
          <w:tcPr>
            <w:shd w:fill="2b5282"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1"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Count</w:t>
            </w:r>
          </w:p>
        </w:tc>
        <w:tc>
          <w:tcPr>
            <w:shd w:fill="2b5282"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Share</w:t>
            </w:r>
          </w:p>
        </w:tc>
      </w:tr>
      <w:tr>
        <w:trPr>
          <w:cantSplit w:val="0"/>
          <w:trHeight w:val="390"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 patients preempted</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98</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88.3%</w:t>
            </w:r>
          </w:p>
        </w:tc>
      </w:tr>
      <w:tr>
        <w:trPr>
          <w:cantSplit w:val="0"/>
          <w:trHeight w:val="390" w:hRule="atLeast"/>
          <w:tblHeader w:val="0"/>
        </w:trPr>
        <w:tc>
          <w:tcPr>
            <w:shd w:fill="eff6ff"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 patients preempted</w:t>
            </w:r>
          </w:p>
        </w:tc>
        <w:tc>
          <w:tcPr>
            <w:shd w:fill="eff6ff"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13</w:t>
            </w:r>
          </w:p>
        </w:tc>
        <w:tc>
          <w:tcPr>
            <w:shd w:fill="eff6ff"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11.7%</w:t>
            </w:r>
          </w:p>
        </w:tc>
      </w:tr>
      <w:tr>
        <w:trPr>
          <w:cantSplit w:val="0"/>
          <w:trHeight w:val="390" w:hRule="atLeast"/>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Total preemption events</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111</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100%</w:t>
            </w:r>
          </w:p>
        </w:tc>
      </w:tr>
      <w:tr>
        <w:trPr>
          <w:cantSplit w:val="0"/>
          <w:trHeight w:val="390" w:hRule="atLeast"/>
          <w:tblHeader w:val="0"/>
        </w:trPr>
        <w:tc>
          <w:tcPr>
            <w:shd w:fill="eff6ff"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Patients preempted &gt;1 time</w:t>
            </w:r>
          </w:p>
        </w:tc>
        <w:tc>
          <w:tcPr>
            <w:shd w:fill="eff6ff"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19</w:t>
            </w:r>
          </w:p>
        </w:tc>
        <w:tc>
          <w:tcPr>
            <w:shd w:fill="eff6ff"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tc>
      </w:tr>
      <w:tr>
        <w:trPr>
          <w:cantSplit w:val="0"/>
          <w:trHeight w:val="390" w:hRule="atLeast"/>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Maximum interruptions (single patient)</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tc>
      </w:tr>
      <w:tr>
        <w:trPr>
          <w:cantSplit w:val="0"/>
          <w:trHeight w:val="390" w:hRule="atLeast"/>
          <w:tblHeader w:val="0"/>
        </w:trPr>
        <w:tc>
          <w:tcPr>
            <w:shd w:fill="eff6ff"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Avg additional Wq per preemption</w:t>
            </w:r>
          </w:p>
        </w:tc>
        <w:tc>
          <w:tcPr>
            <w:shd w:fill="eff6ff"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~7.67 min</w:t>
            </w:r>
          </w:p>
        </w:tc>
        <w:tc>
          <w:tcPr>
            <w:shd w:fill="eff6ff"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tc>
      </w:tr>
    </w:tbl>
    <w:p w:rsidR="00000000" w:rsidDel="00000000" w:rsidP="00000000" w:rsidRDefault="00000000" w:rsidRPr="00000000" w14:paraId="000001F5">
      <w:pPr>
        <w:spacing w:before="45" w:line="360" w:lineRule="auto"/>
        <w:ind w:left="149" w:right="149"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7: Preemption statistics for the full 1,000-patient run.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0"/>
        <w:jc w:val="left"/>
        <w:rPr>
          <w:rFonts w:ascii="Times New Roman" w:cs="Times New Roman" w:eastAsia="Times New Roman" w:hAnsi="Times New Roman"/>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35" w:right="332"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 patients are the primary victims of preemption (88.3% of all events) because they are the only class eligible for interruption unless no Green patients are being treated. Yellow patients are preempted only when all doctors are treating Yellow or Red patients and no Green patient is in service, which occurs rarely (13 out of 111 events). The average additional waiting attributable to preemption per event is approximately 7.67 minutes, representing the time the victim patient spends waiting to resume treatment after being displaced.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268528</wp:posOffset>
            </wp:positionH>
            <wp:positionV relativeFrom="paragraph">
              <wp:posOffset>210786</wp:posOffset>
            </wp:positionV>
            <wp:extent cx="5875021" cy="1994535"/>
            <wp:effectExtent b="0" l="0" r="0" t="0"/>
            <wp:wrapTopAndBottom distB="0" dist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75021" cy="1994535"/>
                    </a:xfrm>
                    <a:prstGeom prst="rect"/>
                    <a:ln/>
                  </pic:spPr>
                </pic:pic>
              </a:graphicData>
            </a:graphic>
          </wp:anchor>
        </w:drawing>
      </w:r>
    </w:p>
    <w:p w:rsidR="00000000" w:rsidDel="00000000" w:rsidP="00000000" w:rsidRDefault="00000000" w:rsidRPr="00000000" w14:paraId="000001F9">
      <w:pPr>
        <w:spacing w:before="107" w:line="360" w:lineRule="auto"/>
        <w:ind w:left="149" w:right="147" w:firstLine="0"/>
        <w:jc w:val="center"/>
        <w:rPr>
          <w:rFonts w:ascii="Times New Roman" w:cs="Times New Roman" w:eastAsia="Times New Roman" w:hAnsi="Times New Roman"/>
          <w:i w:val="1"/>
          <w:iCs w:val="1"/>
        </w:rPr>
        <w:sectPr>
          <w:type w:val="nextPage"/>
          <w:pgSz w:h="15840" w:w="12240" w:orient="portrait"/>
          <w:pgMar w:bottom="280" w:top="1360" w:left="1080" w:right="1080" w:header="360" w:footer="360"/>
        </w:sectPr>
      </w:pPr>
      <w:r w:rsidDel="00000000" w:rsidR="00000000" w:rsidRPr="00000000">
        <w:rPr>
          <w:rFonts w:ascii="Times New Roman" w:cs="Times New Roman" w:eastAsia="Times New Roman" w:hAnsi="Times New Roman"/>
          <w:i w:val="1"/>
          <w:iCs w:val="1"/>
          <w:rtl w:val="0"/>
        </w:rPr>
        <w:t xml:space="preserve">Figure 3: Left — Total preemptions by victim class (Green: 98, Yellow: 13). Right — Interruption distribution: most preempted patients experienced exactly one interruption, but 19 patients experienced two or more, with a maximum of three.</w:t>
      </w:r>
    </w:p>
    <w:p w:rsidR="00000000" w:rsidDel="00000000" w:rsidP="00000000" w:rsidRDefault="00000000" w:rsidRPr="00000000" w14:paraId="000001FA">
      <w:pPr>
        <w:pStyle w:val="Heading1"/>
        <w:tabs>
          <w:tab w:val="left" w:leader="none" w:pos="646"/>
        </w:tabs>
        <w:spacing w:after="0" w:before="73" w:line="360" w:lineRule="auto"/>
        <w:ind w:left="647"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Conclusions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213359</wp:posOffset>
                </wp:positionH>
                <wp:positionV relativeFrom="paragraph">
                  <wp:posOffset>270508</wp:posOffset>
                </wp:positionV>
                <wp:extent cx="5974080" cy="12700"/>
                <wp:effectExtent b="0" l="0" r="0" t="0"/>
                <wp:wrapTopAndBottom distB="0" distT="0"/>
                <wp:docPr id="1" name=""/>
                <a:graphic>
                  <a:graphicData uri="http://schemas.microsoft.com/office/word/2010/wordprocessingShape">
                    <wps:wsp>
                      <wps:cNvSpPr/>
                      <wps:cNvPr id="2" name="Shape 2"/>
                      <wps:spPr>
                        <a:xfrm>
                          <a:off x="2358960" y="3779365"/>
                          <a:ext cx="5974080" cy="1270"/>
                        </a:xfrm>
                        <a:custGeom>
                          <a:rect b="b" l="l" r="r" t="t"/>
                          <a:pathLst>
                            <a:path extrusionOk="0" h="120000" w="5974080">
                              <a:moveTo>
                                <a:pt x="0" y="0"/>
                              </a:moveTo>
                              <a:lnTo>
                                <a:pt x="5974080" y="0"/>
                              </a:lnTo>
                            </a:path>
                          </a:pathLst>
                        </a:custGeom>
                        <a:noFill/>
                        <a:ln cap="flat" cmpd="sng" w="1270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213359</wp:posOffset>
                </wp:positionH>
                <wp:positionV relativeFrom="paragraph">
                  <wp:posOffset>270508</wp:posOffset>
                </wp:positionV>
                <wp:extent cx="5974080" cy="12700"/>
                <wp:effectExtent b="0" l="0" r="0" t="0"/>
                <wp:wrapTopAndBottom distB="0" distT="0"/>
                <wp:docPr id="1"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5974080" cy="12700"/>
                        </a:xfrm>
                        <a:prstGeom prst="rect"/>
                        <a:ln/>
                      </pic:spPr>
                    </pic:pic>
                  </a:graphicData>
                </a:graphic>
              </wp:anchor>
            </w:drawing>
          </mc:Fallback>
        </mc:AlternateContent>
      </w:r>
    </w:p>
    <w:p w:rsidR="00000000" w:rsidDel="00000000" w:rsidP="00000000" w:rsidRDefault="00000000" w:rsidRPr="00000000" w14:paraId="000001FB">
      <w:pPr>
        <w:pStyle w:val="Heading2"/>
        <w:numPr>
          <w:ilvl w:val="1"/>
          <w:numId w:val="3"/>
        </w:numPr>
        <w:tabs>
          <w:tab w:val="left" w:leader="none" w:pos="802"/>
        </w:tabs>
        <w:spacing w:after="0" w:before="205" w:line="360" w:lineRule="auto"/>
        <w:ind w:left="802" w:right="0" w:hanging="467"/>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Key Findings</w:t>
      </w:r>
    </w:p>
    <w:p w:rsidR="00000000" w:rsidDel="00000000" w:rsidP="00000000" w:rsidRDefault="00000000" w:rsidRPr="00000000" w14:paraId="000001F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70"/>
        </w:tabs>
        <w:spacing w:after="0" w:before="5" w:line="360" w:lineRule="auto"/>
        <w:ind w:left="635" w:right="333" w:firstLine="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Priority system delivers clinical benefit for Red patients.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 patients achieve near-zero waiting time (Avg W</w:t>
      </w:r>
      <w:r w:rsidDel="00000000" w:rsidR="00000000" w:rsidRPr="00000000">
        <w:rPr>
          <w:rFonts w:ascii="Times New Roman" w:cs="Times New Roman" w:eastAsia="Times New Roman" w:hAnsi="Times New Roman"/>
          <w:i w:val="0"/>
          <w:iCs w:val="0"/>
          <w:smallCaps w:val="0"/>
          <w:strike w:val="0"/>
          <w:u w:val="none"/>
          <w:shd w:fill="auto" w:val="clear"/>
          <w:vertAlign w:val="subscript"/>
          <w:rtl w:val="0"/>
        </w:rPr>
        <w:t xml:space="preserve">q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0.00 min) compared to 7.29 min under FCFS. This is the core objective of triage: Emergency patients receive immediate attention.</w:t>
      </w:r>
    </w:p>
    <w:p w:rsidR="00000000" w:rsidDel="00000000" w:rsidP="00000000" w:rsidRDefault="00000000" w:rsidRPr="00000000" w14:paraId="000001F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60"/>
        </w:tabs>
        <w:spacing w:after="0" w:before="156" w:line="360" w:lineRule="auto"/>
        <w:ind w:left="635" w:right="333" w:firstLine="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Yellow patients benefit substantially.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Their average waiting time falls from 7.46 min (FCFS) to 2.54 min (priority), a 66% reduction. Since Yellow patients do not preempt others, this benefit arises purely from queue priority.</w:t>
      </w:r>
    </w:p>
    <w:p w:rsidR="00000000" w:rsidDel="00000000" w:rsidP="00000000" w:rsidRDefault="00000000" w:rsidRPr="00000000" w14:paraId="000001F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69"/>
        </w:tabs>
        <w:spacing w:after="0" w:before="118" w:line="360" w:lineRule="auto"/>
        <w:ind w:left="635" w:right="333" w:firstLine="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Green patients bear the cost of the system.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Their average waiting time nearly doubles (from 9.07 to 17.86 min, +97%). This is the equity-urgency tradeoff inherent to any priority system: lower-priority patients wait longer to ensure higher-priority patients are seen first.</w:t>
      </w:r>
    </w:p>
    <w:p w:rsidR="00000000" w:rsidDel="00000000" w:rsidP="00000000" w:rsidRDefault="00000000" w:rsidRPr="00000000" w14:paraId="000001F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57"/>
        </w:tabs>
        <w:spacing w:after="0" w:before="119" w:line="360" w:lineRule="auto"/>
        <w:ind w:left="635" w:right="333" w:firstLine="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Work is perfectly conserved.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 total service delivered equals the total service required (16,016.58 min) with a numerical difference of exactly 0.000000 minutes. The Preemptive-Resume mechanism introduces no waste, only delay redistribution.</w:t>
      </w:r>
    </w:p>
    <w:p w:rsidR="00000000" w:rsidDel="00000000" w:rsidP="00000000" w:rsidRDefault="00000000" w:rsidRPr="00000000" w14:paraId="0000020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59"/>
        </w:tabs>
        <w:spacing w:after="0" w:before="118" w:line="360" w:lineRule="auto"/>
        <w:ind w:left="635" w:right="333" w:firstLine="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111 preemptions occurred over 1,000 patients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(rate: 11.1%). The high concentration among Green patients (88.3%) and the relatively small number of repeat-preemption patients (19 out of 436 Green) suggests the system is not severely overloading any individual patient.</w:t>
      </w:r>
    </w:p>
    <w:p w:rsidR="00000000" w:rsidDel="00000000" w:rsidP="00000000" w:rsidRDefault="00000000" w:rsidRPr="00000000" w14:paraId="0000020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96"/>
        </w:tabs>
        <w:spacing w:after="0" w:before="105" w:line="360" w:lineRule="auto"/>
        <w:ind w:left="635" w:right="334" w:firstLine="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Connection to Phase 1 findings.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The moderate utilization (ρ = 0.7582) established in Phase 1 means the priority system operates in a regime where preemptions are significant but not catastrophic. At higher utilization, Green waiting times would grow much more rapidly as more Red patients would arrive to an always-busy system.</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2"/>
        <w:numPr>
          <w:ilvl w:val="1"/>
          <w:numId w:val="3"/>
        </w:numPr>
        <w:tabs>
          <w:tab w:val="left" w:leader="none" w:pos="802"/>
        </w:tabs>
        <w:spacing w:after="25" w:before="0" w:line="360" w:lineRule="auto"/>
        <w:ind w:left="802" w:right="0" w:hanging="467"/>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FCFS vs. Priority: The Equity-Urgency Tradeoff</w:t>
      </w:r>
    </w:p>
    <w:tbl>
      <w:tblPr>
        <w:tblStyle w:val="Table9"/>
        <w:tblW w:w="9216.0" w:type="dxa"/>
        <w:jc w:val="left"/>
        <w:tblInd w:w="437.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80"/>
        <w:gridCol w:w="3168"/>
        <w:gridCol w:w="3168"/>
        <w:tblGridChange w:id="0">
          <w:tblGrid>
            <w:gridCol w:w="2880"/>
            <w:gridCol w:w="3168"/>
            <w:gridCol w:w="3168"/>
          </w:tblGrid>
        </w:tblGridChange>
      </w:tblGrid>
      <w:tr>
        <w:trPr>
          <w:cantSplit w:val="0"/>
          <w:trHeight w:val="390" w:hRule="atLeast"/>
          <w:tblHeader w:val="0"/>
        </w:trPr>
        <w:tc>
          <w:tcPr>
            <w:shd w:fill="2b5282"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Aspect</w:t>
            </w:r>
          </w:p>
        </w:tc>
        <w:tc>
          <w:tcPr>
            <w:shd w:fill="2b5282"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1"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FCFS (Phase 1)</w:t>
            </w:r>
          </w:p>
        </w:tc>
        <w:tc>
          <w:tcPr>
            <w:shd w:fill="2b5282"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Priority (Phase 2)</w:t>
            </w:r>
          </w:p>
        </w:tc>
      </w:tr>
      <w:tr>
        <w:trPr>
          <w:cantSplit w:val="0"/>
          <w:trHeight w:val="390"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Fairness</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Equal Wq for all patients</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Differentiated by clinical severity</w:t>
            </w:r>
          </w:p>
        </w:tc>
      </w:tr>
      <w:tr>
        <w:trPr>
          <w:cantSplit w:val="0"/>
          <w:trHeight w:val="390" w:hRule="atLeast"/>
          <w:tblHeader w:val="0"/>
        </w:trPr>
        <w:tc>
          <w:tcPr>
            <w:shd w:fill="eff6ff"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Clinical value</w:t>
            </w:r>
          </w:p>
        </w:tc>
        <w:tc>
          <w:tcPr>
            <w:shd w:fill="eff6ff"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No urgency consideration</w:t>
            </w:r>
          </w:p>
        </w:tc>
        <w:tc>
          <w:tcPr>
            <w:shd w:fill="eff6ff"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Critical patients seen first</w:t>
            </w:r>
          </w:p>
        </w:tc>
      </w:tr>
      <w:tr>
        <w:trPr>
          <w:cantSplit w:val="0"/>
          <w:trHeight w:val="390" w:hRule="atLeast"/>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Red Avg Wq</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58"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7.29 min</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58"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0.00 min</w:t>
            </w:r>
          </w:p>
        </w:tc>
      </w:tr>
      <w:tr>
        <w:trPr>
          <w:cantSplit w:val="0"/>
          <w:trHeight w:val="390" w:hRule="atLeast"/>
          <w:tblHeader w:val="0"/>
        </w:trPr>
        <w:tc>
          <w:tcPr>
            <w:shd w:fill="eff6ff"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Yellow Avg Wq</w:t>
            </w:r>
          </w:p>
        </w:tc>
        <w:tc>
          <w:tcPr>
            <w:shd w:fill="eff6ff"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58"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7.46 min</w:t>
            </w:r>
          </w:p>
        </w:tc>
        <w:tc>
          <w:tcPr>
            <w:shd w:fill="eff6ff"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58"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2.54 min</w:t>
            </w:r>
          </w:p>
        </w:tc>
      </w:tr>
      <w:tr>
        <w:trPr>
          <w:cantSplit w:val="0"/>
          <w:trHeight w:val="390" w:hRule="atLeast"/>
          <w:tblHeader w:val="0"/>
        </w:trPr>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Green Avg Wq</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58"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9.07 min</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1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17.86 min</w:t>
            </w:r>
          </w:p>
        </w:tc>
      </w:tr>
      <w:tr>
        <w:trPr>
          <w:cantSplit w:val="0"/>
          <w:trHeight w:val="390" w:hRule="atLeast"/>
          <w:tblHeader w:val="0"/>
        </w:trPr>
        <w:tc>
          <w:tcPr>
            <w:shd w:fill="eff6ff"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Overall Avg Wq</w:t>
            </w:r>
          </w:p>
        </w:tc>
        <w:tc>
          <w:tcPr>
            <w:shd w:fill="eff6ff"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58"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8.13 min</w:t>
            </w:r>
          </w:p>
        </w:tc>
        <w:tc>
          <w:tcPr>
            <w:shd w:fill="eff6ff"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934"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8.72 min (+7.3%)</w:t>
            </w:r>
          </w:p>
        </w:tc>
      </w:tr>
      <w:tr>
        <w:trPr>
          <w:cantSplit w:val="0"/>
          <w:trHeight w:val="390" w:hRule="atLeast"/>
          <w:tblHeader w:val="0"/>
        </w:trPr>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Work conservation</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Yes</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Yes (Preemptive-Resume)</w:t>
            </w:r>
          </w:p>
        </w:tc>
      </w:tr>
      <w:tr>
        <w:trPr>
          <w:cantSplit w:val="0"/>
          <w:trHeight w:val="390" w:hRule="atLeast"/>
          <w:tblHeader w:val="0"/>
        </w:trPr>
        <w:tc>
          <w:tcPr>
            <w:shd w:fill="eff6ff"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2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Preemptions</w:t>
            </w:r>
          </w:p>
        </w:tc>
        <w:tc>
          <w:tcPr>
            <w:shd w:fill="eff6ff"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0</w:t>
            </w:r>
          </w:p>
        </w:tc>
        <w:tc>
          <w:tcPr>
            <w:shd w:fill="eff6ff"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60" w:lineRule="auto"/>
              <w:ind w:left="1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111</w:t>
            </w:r>
          </w:p>
        </w:tc>
      </w:tr>
    </w:tbl>
    <w:p w:rsidR="00000000" w:rsidDel="00000000" w:rsidP="00000000" w:rsidRDefault="00000000" w:rsidRPr="00000000" w14:paraId="0000021F">
      <w:pPr>
        <w:spacing w:before="45" w:line="360" w:lineRule="auto"/>
        <w:ind w:left="1820" w:right="116" w:hanging="1485"/>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8: Summary comparison of FCFS (Phase 1) vs. Preemptive-Resume Priority (Phase 2). The modest overall increase in Avg Wq (+7.3%) masks a large redistribution from low-priority to high-priority patients.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Times New Roman" w:cs="Times New Roman" w:eastAsia="Times New Roman" w:hAnsi="Times New Roman"/>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221">
      <w:pPr>
        <w:pStyle w:val="Heading2"/>
        <w:numPr>
          <w:ilvl w:val="1"/>
          <w:numId w:val="3"/>
        </w:numPr>
        <w:tabs>
          <w:tab w:val="left" w:leader="none" w:pos="802"/>
        </w:tabs>
        <w:spacing w:after="0" w:before="0" w:line="360" w:lineRule="auto"/>
        <w:ind w:left="802" w:right="0" w:hanging="467"/>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Transition to Phase 3</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335" w:right="333" w:firstLine="0"/>
        <w:jc w:val="both"/>
        <w:rPr>
          <w:rFonts w:ascii="Times New Roman" w:cs="Times New Roman" w:eastAsia="Times New Roman" w:hAnsi="Times New Roman"/>
          <w:i w:val="0"/>
          <w:iCs w:val="0"/>
          <w:smallCaps w:val="0"/>
          <w:strike w:val="0"/>
          <w:u w:val="none"/>
          <w:shd w:fill="auto" w:val="clear"/>
          <w:vertAlign w:val="baseline"/>
        </w:rPr>
        <w:sectPr>
          <w:type w:val="nextPage"/>
          <w:pgSz w:h="15840" w:w="12240" w:orient="portrait"/>
          <w:pgMar w:bottom="280" w:top="1360" w:left="1080" w:right="1080" w:header="360" w:footer="360"/>
        </w:sect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Phase 2 has established the priority-aware doctor stage of the ER. Phase 3 will extend this model by adding a Diagnostic Lab node that 40% of patients must visit after completing doctor treatment. The lab operates on FCFS with 3 machines, creating a tandem queueing network. The Phase 2 results provide the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335" w:right="332"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arrival process to the lab (discharge times from the priority simulation), which will feed directly into the Phase 3 integrated system analysis. The bottleneck identification and resource allocation analysis will build on both the doctor utilization (ρ</w:t>
      </w:r>
      <w:r w:rsidDel="00000000" w:rsidR="00000000" w:rsidRPr="00000000">
        <w:rPr>
          <w:rFonts w:ascii="Times New Roman" w:cs="Times New Roman" w:eastAsia="Times New Roman" w:hAnsi="Times New Roman"/>
          <w:i w:val="0"/>
          <w:iCs w:val="0"/>
          <w:smallCaps w:val="0"/>
          <w:strike w:val="0"/>
          <w:u w:val="none"/>
          <w:shd w:fill="auto" w:val="clear"/>
          <w:vertAlign w:val="subscript"/>
          <w:rtl w:val="0"/>
        </w:rPr>
        <w:t xml:space="preserve">dr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0.7582) established in Phase 1 and the class-stratified residence times established here.</w:t>
      </w:r>
    </w:p>
    <w:sectPr>
      <w:type w:val="nextPage"/>
      <w:pgSz w:h="15840" w:w="12240" w:orient="portrait"/>
      <w:pgMar w:bottom="280" w:top="1360" w:left="1080" w:right="1080" w:header="360" w:footer="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doğan Kocabaş" w:id="0" w:date="2026-04-17T12:26:46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buraya kadar okudum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0"/>
      <w:numFmt w:val="bullet"/>
      <w:lvlText w:val="•"/>
      <w:lvlJc w:val="left"/>
      <w:pPr>
        <w:ind w:left="636" w:hanging="126"/>
      </w:pPr>
      <w:rPr>
        <w:rFonts w:ascii="Arial" w:cs="Arial" w:eastAsia="Arial" w:hAnsi="Arial"/>
        <w:b w:val="0"/>
        <w:bCs w:val="0"/>
        <w:i w:val="0"/>
        <w:iCs w:val="0"/>
        <w:sz w:val="20"/>
        <w:szCs w:val="20"/>
      </w:rPr>
    </w:lvl>
    <w:lvl w:ilvl="1">
      <w:start w:val="0"/>
      <w:numFmt w:val="bullet"/>
      <w:lvlText w:val="•"/>
      <w:lvlJc w:val="left"/>
      <w:pPr>
        <w:ind w:left="1584" w:hanging="126"/>
      </w:pPr>
      <w:rPr/>
    </w:lvl>
    <w:lvl w:ilvl="2">
      <w:start w:val="0"/>
      <w:numFmt w:val="bullet"/>
      <w:lvlText w:val="•"/>
      <w:lvlJc w:val="left"/>
      <w:pPr>
        <w:ind w:left="2528" w:hanging="126"/>
      </w:pPr>
      <w:rPr/>
    </w:lvl>
    <w:lvl w:ilvl="3">
      <w:start w:val="0"/>
      <w:numFmt w:val="bullet"/>
      <w:lvlText w:val="•"/>
      <w:lvlJc w:val="left"/>
      <w:pPr>
        <w:ind w:left="3472" w:hanging="126.00000000000045"/>
      </w:pPr>
      <w:rPr/>
    </w:lvl>
    <w:lvl w:ilvl="4">
      <w:start w:val="0"/>
      <w:numFmt w:val="bullet"/>
      <w:lvlText w:val="•"/>
      <w:lvlJc w:val="left"/>
      <w:pPr>
        <w:ind w:left="4416" w:hanging="126"/>
      </w:pPr>
      <w:rPr/>
    </w:lvl>
    <w:lvl w:ilvl="5">
      <w:start w:val="0"/>
      <w:numFmt w:val="bullet"/>
      <w:lvlText w:val="•"/>
      <w:lvlJc w:val="left"/>
      <w:pPr>
        <w:ind w:left="5360" w:hanging="126"/>
      </w:pPr>
      <w:rPr/>
    </w:lvl>
    <w:lvl w:ilvl="6">
      <w:start w:val="0"/>
      <w:numFmt w:val="bullet"/>
      <w:lvlText w:val="•"/>
      <w:lvlJc w:val="left"/>
      <w:pPr>
        <w:ind w:left="6304" w:hanging="126"/>
      </w:pPr>
      <w:rPr/>
    </w:lvl>
    <w:lvl w:ilvl="7">
      <w:start w:val="0"/>
      <w:numFmt w:val="bullet"/>
      <w:lvlText w:val="•"/>
      <w:lvlJc w:val="left"/>
      <w:pPr>
        <w:ind w:left="7248" w:hanging="126.00000000000091"/>
      </w:pPr>
      <w:rPr/>
    </w:lvl>
    <w:lvl w:ilvl="8">
      <w:start w:val="0"/>
      <w:numFmt w:val="bullet"/>
      <w:lvlText w:val="•"/>
      <w:lvlJc w:val="left"/>
      <w:pPr>
        <w:ind w:left="8192" w:hanging="126"/>
      </w:pPr>
      <w:rPr/>
    </w:lvl>
  </w:abstractNum>
  <w:abstractNum w:abstractNumId="3">
    <w:lvl w:ilvl="0">
      <w:start w:val="1"/>
      <w:numFmt w:val="decimal"/>
      <w:lvlText w:val="%1."/>
      <w:lvlJc w:val="left"/>
      <w:pPr>
        <w:ind w:left="647" w:hanging="312"/>
      </w:pPr>
      <w:rPr>
        <w:rFonts w:ascii="Arial" w:cs="Arial" w:eastAsia="Arial" w:hAnsi="Arial"/>
        <w:b w:val="1"/>
        <w:bCs w:val="1"/>
        <w:i w:val="0"/>
        <w:iCs w:val="0"/>
        <w:color w:val="1a3456"/>
        <w:sz w:val="28"/>
        <w:szCs w:val="28"/>
      </w:rPr>
    </w:lvl>
    <w:lvl w:ilvl="1">
      <w:start w:val="1"/>
      <w:numFmt w:val="decimal"/>
      <w:lvlText w:val="%1.%2."/>
      <w:lvlJc w:val="left"/>
      <w:pPr>
        <w:ind w:left="803" w:hanging="467.00000000000006"/>
      </w:pPr>
      <w:rPr>
        <w:rFonts w:ascii="Arial" w:cs="Arial" w:eastAsia="Arial" w:hAnsi="Arial"/>
        <w:b w:val="1"/>
        <w:bCs w:val="1"/>
        <w:i w:val="0"/>
        <w:iCs w:val="0"/>
        <w:color w:val="2b5282"/>
        <w:sz w:val="24"/>
        <w:szCs w:val="24"/>
      </w:rPr>
    </w:lvl>
    <w:lvl w:ilvl="2">
      <w:start w:val="0"/>
      <w:numFmt w:val="bullet"/>
      <w:lvlText w:val="•"/>
      <w:lvlJc w:val="left"/>
      <w:pPr>
        <w:ind w:left="636" w:hanging="136"/>
      </w:pPr>
      <w:rPr>
        <w:rFonts w:ascii="Arial" w:cs="Arial" w:eastAsia="Arial" w:hAnsi="Arial"/>
        <w:b w:val="0"/>
        <w:bCs w:val="0"/>
        <w:i w:val="0"/>
        <w:iCs w:val="0"/>
        <w:sz w:val="20"/>
        <w:szCs w:val="20"/>
      </w:rPr>
    </w:lvl>
    <w:lvl w:ilvl="3">
      <w:start w:val="0"/>
      <w:numFmt w:val="bullet"/>
      <w:lvlText w:val="•"/>
      <w:lvlJc w:val="left"/>
      <w:pPr>
        <w:ind w:left="2862" w:hanging="136.00000000000045"/>
      </w:pPr>
      <w:rPr/>
    </w:lvl>
    <w:lvl w:ilvl="4">
      <w:start w:val="0"/>
      <w:numFmt w:val="bullet"/>
      <w:lvlText w:val="•"/>
      <w:lvlJc w:val="left"/>
      <w:pPr>
        <w:ind w:left="3893" w:hanging="136"/>
      </w:pPr>
      <w:rPr/>
    </w:lvl>
    <w:lvl w:ilvl="5">
      <w:start w:val="0"/>
      <w:numFmt w:val="bullet"/>
      <w:lvlText w:val="•"/>
      <w:lvlJc w:val="left"/>
      <w:pPr>
        <w:ind w:left="4924" w:hanging="136"/>
      </w:pPr>
      <w:rPr/>
    </w:lvl>
    <w:lvl w:ilvl="6">
      <w:start w:val="0"/>
      <w:numFmt w:val="bullet"/>
      <w:lvlText w:val="•"/>
      <w:lvlJc w:val="left"/>
      <w:pPr>
        <w:ind w:left="5955" w:hanging="136"/>
      </w:pPr>
      <w:rPr/>
    </w:lvl>
    <w:lvl w:ilvl="7">
      <w:start w:val="0"/>
      <w:numFmt w:val="bullet"/>
      <w:lvlText w:val="•"/>
      <w:lvlJc w:val="left"/>
      <w:pPr>
        <w:ind w:left="6986" w:hanging="136"/>
      </w:pPr>
      <w:rPr/>
    </w:lvl>
    <w:lvl w:ilvl="8">
      <w:start w:val="0"/>
      <w:numFmt w:val="bullet"/>
      <w:lvlText w:val="•"/>
      <w:lvlJc w:val="left"/>
      <w:pPr>
        <w:ind w:left="8017" w:hanging="136"/>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46" w:hanging="311"/>
    </w:pPr>
    <w:rPr>
      <w:rFonts w:ascii="Arial" w:cs="Arial" w:eastAsia="Arial" w:hAnsi="Arial"/>
      <w:b w:val="1"/>
      <w:bCs w:val="1"/>
      <w:sz w:val="28"/>
      <w:szCs w:val="28"/>
    </w:rPr>
  </w:style>
  <w:style w:type="paragraph" w:styleId="Heading2">
    <w:name w:val="heading 2"/>
    <w:basedOn w:val="Normal"/>
    <w:next w:val="Normal"/>
    <w:pPr>
      <w:ind w:left="802" w:hanging="467"/>
    </w:pPr>
    <w:rPr>
      <w:rFonts w:ascii="Arial" w:cs="Arial" w:eastAsia="Arial" w:hAnsi="Arial"/>
      <w:b w:val="1"/>
      <w:bCs w:val="1"/>
      <w:sz w:val="24"/>
      <w:szCs w:val="24"/>
    </w:rPr>
  </w:style>
  <w:style w:type="paragraph" w:styleId="Heading3">
    <w:name w:val="heading 3"/>
    <w:basedOn w:val="Normal"/>
    <w:next w:val="Normal"/>
    <w:pPr>
      <w:spacing w:before="157" w:lineRule="auto"/>
      <w:ind w:left="149" w:right="149"/>
      <w:jc w:val="center"/>
    </w:pPr>
    <w:rPr>
      <w:rFonts w:ascii="Arial" w:cs="Arial" w:eastAsia="Arial" w:hAnsi="Arial"/>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386" w:lineRule="auto"/>
      <w:ind w:left="149" w:right="149"/>
      <w:jc w:val="center"/>
    </w:pPr>
    <w:rPr>
      <w:rFonts w:ascii="Arial" w:cs="Arial" w:eastAsia="Arial" w:hAnsi="Arial"/>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ZqRgWQgYCuPCpuiw4JAgBbxdvg==">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2026-04-14T00:00:00Z</vt:lpwstr>
  </property>
  <property fmtid="{D5CDD505-2E9C-101B-9397-08002B2CF9AE}" pid="3" name="Creator">
    <vt:lpwstr>(unspecified)</vt:lpwstr>
  </property>
  <property fmtid="{D5CDD505-2E9C-101B-9397-08002B2CF9AE}" pid="4" name="LastSaved">
    <vt:lpwstr>2026-04-14T00:00:00Z</vt:lpwstr>
  </property>
  <property fmtid="{D5CDD505-2E9C-101B-9397-08002B2CF9AE}" pid="5" name="Producer">
    <vt:lpwstr>ReportLab PDF Library - (opensource)</vt:lpwstr>
  </property>
</Properties>
</file>