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88" w:rsidRPr="00097588" w:rsidRDefault="00097588">
      <w:pPr>
        <w:rPr>
          <w:b/>
        </w:rPr>
      </w:pPr>
      <w:bookmarkStart w:id="0" w:name="_GoBack"/>
      <w:bookmarkEnd w:id="0"/>
      <w:r w:rsidRPr="00097588">
        <w:rPr>
          <w:b/>
        </w:rPr>
        <w:t>Probabilistic model</w:t>
      </w:r>
    </w:p>
    <w:p w:rsidR="004E6E79" w:rsidRDefault="0003118D">
      <w:r>
        <w:t xml:space="preserve">We </w:t>
      </w:r>
      <w:r w:rsidR="006E14CB">
        <w:t>aim to develop</w:t>
      </w:r>
      <w:r>
        <w:t xml:space="preserve"> an approach to </w:t>
      </w:r>
      <w:r w:rsidR="000021D3">
        <w:t xml:space="preserve">model gene expression levels as a function of </w:t>
      </w:r>
      <w:r w:rsidR="000021D3">
        <w:t>DNA methylation and promoter sequence data.</w:t>
      </w:r>
      <w:r w:rsidR="000021D3">
        <w:t xml:space="preserve"> </w:t>
      </w:r>
      <w:r w:rsidR="00F33CCE">
        <w:t xml:space="preserve">The goal is to determine the </w:t>
      </w:r>
      <w:r w:rsidR="00F33CCE" w:rsidRPr="00F33CCE">
        <w:t>driver (transcriptional) regulators for a particular set of genes derived in a certain abnormality</w:t>
      </w:r>
      <w:r w:rsidR="00F33CCE">
        <w:t>.</w:t>
      </w:r>
      <w:r w:rsidR="00F33CCE">
        <w:t xml:space="preserve"> </w:t>
      </w:r>
      <w:r w:rsidR="006909E5">
        <w:t>The expectation is that the transcriptional regulators work via a common motif profile</w:t>
      </w:r>
      <w:r w:rsidR="000021D3">
        <w:t xml:space="preserve"> to influence the gene expression levels</w:t>
      </w:r>
      <w:r w:rsidR="006909E5">
        <w:t xml:space="preserve">. In addition, </w:t>
      </w:r>
      <w:r w:rsidR="000021D3">
        <w:t xml:space="preserve">it is known that </w:t>
      </w:r>
      <w:r w:rsidR="006E14CB">
        <w:t xml:space="preserve">expression </w:t>
      </w:r>
      <w:r w:rsidR="000021D3">
        <w:t xml:space="preserve">levels </w:t>
      </w:r>
      <w:r w:rsidR="006E14CB">
        <w:t xml:space="preserve">can also be </w:t>
      </w:r>
      <w:r w:rsidR="000021D3">
        <w:t xml:space="preserve">influenced </w:t>
      </w:r>
      <w:r w:rsidR="006E14CB">
        <w:t xml:space="preserve">by DNA methylation. </w:t>
      </w:r>
      <w:r w:rsidR="00F16AD6">
        <w:t xml:space="preserve">We define a probabilistic graphical model that integrates gene expression, DNA methylation and DNA sequence </w:t>
      </w:r>
      <w:r w:rsidR="00132534">
        <w:t xml:space="preserve">motifs </w:t>
      </w:r>
      <w:r w:rsidR="00F16AD6">
        <w:t xml:space="preserve">into </w:t>
      </w:r>
      <w:r w:rsidR="008B5BAD">
        <w:t xml:space="preserve">a </w:t>
      </w:r>
      <w:r w:rsidR="00F16AD6">
        <w:t>Bayesian model.</w:t>
      </w:r>
    </w:p>
    <w:p w:rsidR="002D5AC7" w:rsidRDefault="00563811" w:rsidP="00FE338A">
      <w:r>
        <w:t xml:space="preserve">We </w:t>
      </w:r>
      <w:r w:rsidR="00B17A2F">
        <w:t xml:space="preserve">start with </w:t>
      </w:r>
      <w:r>
        <w:t xml:space="preserve">a set of genes </w:t>
      </w:r>
      <w:r w:rsidR="00D2411A">
        <w:t>from which we want to determine how the expression levels are influenced by transcriptional regulators and/or change in DNA methylation levels. The set of genes can be derived by</w:t>
      </w:r>
      <w:r w:rsidR="00762973">
        <w:t xml:space="preserve"> various phenotypical states, such as by c</w:t>
      </w:r>
      <w:r>
        <w:t xml:space="preserve">omparing the </w:t>
      </w:r>
      <w:r w:rsidR="00251C3F">
        <w:t xml:space="preserve">gene expression levels of the </w:t>
      </w:r>
      <w:r>
        <w:t xml:space="preserve">group of interest versus the control samples using </w:t>
      </w:r>
      <w:r w:rsidR="00D2411A">
        <w:t xml:space="preserve">e.g. </w:t>
      </w:r>
      <w:r>
        <w:t xml:space="preserve">the student T-test </w:t>
      </w:r>
      <w:r w:rsidR="00251C3F">
        <w:t>(</w:t>
      </w:r>
      <w:r w:rsidR="00D2411A">
        <w:t xml:space="preserve">with </w:t>
      </w:r>
      <w:r w:rsidRPr="00563811">
        <w:rPr>
          <w:i/>
        </w:rPr>
        <w:t>P</w:t>
      </w:r>
      <w:r>
        <w:t xml:space="preserve"> </w:t>
      </w:r>
      <w:r w:rsidRPr="00563811">
        <w:rPr>
          <w:u w:val="single"/>
        </w:rPr>
        <w:t>&lt;</w:t>
      </w:r>
      <w:r>
        <w:t xml:space="preserve"> alpha, after multiple testing</w:t>
      </w:r>
      <w:r w:rsidR="00251C3F">
        <w:t>)</w:t>
      </w:r>
      <w:r w:rsidR="00D2411A">
        <w:t xml:space="preserve">, or </w:t>
      </w:r>
      <w:r w:rsidR="00762973">
        <w:t>by selecting a set of genes that represents a particular pathway or process which is relevant to be studied.</w:t>
      </w:r>
      <w:r>
        <w:t xml:space="preserve"> </w:t>
      </w:r>
      <w:r w:rsidR="004F5906">
        <w:t xml:space="preserve">As an example, genes can be selected that are present in </w:t>
      </w:r>
      <w:r w:rsidR="00D2411A">
        <w:t xml:space="preserve">a particular pathway </w:t>
      </w:r>
      <w:r w:rsidR="00762973">
        <w:t xml:space="preserve">from the e.g. molecular signature database (MsigDB), </w:t>
      </w:r>
      <w:r w:rsidR="00D2411A">
        <w:t xml:space="preserve">such as </w:t>
      </w:r>
      <w:r w:rsidR="004F5906">
        <w:t>the WNT-pathway.</w:t>
      </w:r>
    </w:p>
    <w:p w:rsidR="00F33CCE" w:rsidRDefault="00F33CCE" w:rsidP="00FE338A">
      <w:r w:rsidRPr="00F33CCE">
        <w:rPr>
          <w:b/>
        </w:rPr>
        <w:t>Data</w:t>
      </w:r>
      <w:r>
        <w:rPr>
          <w:b/>
        </w:rPr>
        <w:t xml:space="preserve">. </w:t>
      </w:r>
      <w:r>
        <w:t xml:space="preserve">The data that we will be used: gene expression profiles (Affymetrix hgu133p2), DNA methylation profiles (HELP assay) and the </w:t>
      </w:r>
      <w:r w:rsidR="000A1841">
        <w:t xml:space="preserve">615 unique (397 families) </w:t>
      </w:r>
      <w:r>
        <w:t xml:space="preserve">motifs (MsigDB). </w:t>
      </w:r>
    </w:p>
    <w:p w:rsidR="00CE24A3" w:rsidRDefault="001A69D1" w:rsidP="008A7AB3">
      <w:r w:rsidRPr="001A69D1">
        <w:rPr>
          <w:b/>
          <w:i/>
        </w:rPr>
        <w:t>DNA methylation model.</w:t>
      </w:r>
      <w:r w:rsidRPr="00254831">
        <w:t xml:space="preserve"> </w:t>
      </w:r>
      <w:r w:rsidR="006C3B81">
        <w:t>A</w:t>
      </w:r>
      <w:r w:rsidR="00A07628">
        <w:t xml:space="preserve"> key</w:t>
      </w:r>
      <w:r w:rsidR="006C3B81">
        <w:t xml:space="preserve"> component that affects mRNA the expression level is the presence of </w:t>
      </w:r>
      <w:r w:rsidR="00306134">
        <w:t xml:space="preserve">DNA methylation </w:t>
      </w:r>
      <w:r w:rsidR="006C3B81">
        <w:t>in Gene Promoter</w:t>
      </w:r>
      <w:r w:rsidR="006C3B81" w:rsidRPr="008A7AB3">
        <w:t>s</w:t>
      </w:r>
      <w:r w:rsidR="00306134">
        <w:t>.</w:t>
      </w:r>
      <w:r w:rsidR="00B0486C">
        <w:t xml:space="preserve"> The </w:t>
      </w:r>
      <w:r w:rsidR="008A7AB3">
        <w:t xml:space="preserve">DNA methylation </w:t>
      </w:r>
      <w:r w:rsidR="00B0486C">
        <w:t xml:space="preserve">measurements </w:t>
      </w:r>
      <w:r w:rsidR="006C3B81">
        <w:t xml:space="preserve">(real valued) </w:t>
      </w:r>
      <w:r w:rsidR="006F6073">
        <w:t>will be</w:t>
      </w:r>
      <w:r w:rsidR="00B0486C">
        <w:t xml:space="preserve"> discretized</w:t>
      </w:r>
      <w:r w:rsidR="006F6073">
        <w:t>, e.g.</w:t>
      </w:r>
      <w:r w:rsidR="00B0486C">
        <w:t xml:space="preserve"> </w:t>
      </w:r>
      <w:r w:rsidR="00B42484">
        <w:t>hypermethylation and hypomethylation</w:t>
      </w:r>
      <w:r w:rsidR="006F6073">
        <w:t xml:space="preserve"> states</w:t>
      </w:r>
      <w:r w:rsidR="00EE75E7">
        <w:t xml:space="preserve"> are derived by using the </w:t>
      </w:r>
      <w:r w:rsidR="00EE75E7">
        <w:t xml:space="preserve">median DNA methylation intensity of the control-group. Conditional probability table (CPT) </w:t>
      </w:r>
      <w:r w:rsidR="00F46CC4">
        <w:t xml:space="preserve">that defined </w:t>
      </w:r>
      <w:r w:rsidR="00F46CC4" w:rsidRPr="00F46CC4">
        <w:rPr>
          <w:i/>
        </w:rPr>
        <w:t>P(methylation)</w:t>
      </w:r>
      <w:r w:rsidR="00F46CC4">
        <w:t xml:space="preserve"> </w:t>
      </w:r>
      <w:r w:rsidR="00EE75E7">
        <w:t>are</w:t>
      </w:r>
      <w:r w:rsidR="00B16448">
        <w:t xml:space="preserve"> </w:t>
      </w:r>
      <w:r w:rsidR="00EE75E7">
        <w:t xml:space="preserve">created by using all </w:t>
      </w:r>
      <w:r w:rsidR="00F46CC4">
        <w:t xml:space="preserve">available </w:t>
      </w:r>
      <w:r w:rsidR="00EE75E7">
        <w:t>samples</w:t>
      </w:r>
      <w:r w:rsidR="00EE75E7">
        <w:t>. An illustration of the discretized table is shown below:</w:t>
      </w:r>
    </w:p>
    <w:tbl>
      <w:tblPr>
        <w:tblW w:w="4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  <w:gridCol w:w="960"/>
      </w:tblGrid>
      <w:tr w:rsidR="00CE24A3" w:rsidRPr="00CE24A3" w:rsidTr="00CE24A3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Sample 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Sample 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Sample k</w:t>
            </w:r>
          </w:p>
        </w:tc>
      </w:tr>
      <w:tr w:rsidR="00CE24A3" w:rsidRPr="00CE24A3" w:rsidTr="00CE24A3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hypo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hypo </w:t>
            </w:r>
          </w:p>
        </w:tc>
      </w:tr>
      <w:tr w:rsidR="00CE24A3" w:rsidRPr="00CE24A3" w:rsidTr="00CE24A3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Hypo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</w:tr>
      <w:tr w:rsidR="00CE24A3" w:rsidRPr="00CE24A3" w:rsidTr="00CE24A3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E24A3" w:rsidRPr="00CE24A3" w:rsidTr="00CE24A3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i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 </w:t>
            </w: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108BD9"/>
                <w:kern w:val="24"/>
                <w:sz w:val="20"/>
                <w:szCs w:val="20"/>
              </w:rPr>
              <w:t>Hyper</w:t>
            </w:r>
          </w:p>
        </w:tc>
      </w:tr>
    </w:tbl>
    <w:p w:rsidR="00CE24A3" w:rsidRDefault="00CE24A3" w:rsidP="008A7AB3"/>
    <w:p w:rsidR="00CE24A3" w:rsidRDefault="00CE24A3">
      <w:pPr>
        <w:spacing w:line="259" w:lineRule="auto"/>
        <w:jc w:val="left"/>
      </w:pPr>
      <w:r>
        <w:br w:type="page"/>
      </w:r>
    </w:p>
    <w:p w:rsidR="00CE24A3" w:rsidRDefault="00CE24A3" w:rsidP="008A7AB3">
      <w:r>
        <w:lastRenderedPageBreak/>
        <w:t xml:space="preserve">The second step is to count the frequency of hypermethylation and hypomethylation per gene, and normalize this ratio between [0,..1] as shown </w:t>
      </w:r>
      <w:r w:rsidR="00EE75E7">
        <w:t>below:</w:t>
      </w:r>
    </w:p>
    <w:tbl>
      <w:tblPr>
        <w:tblW w:w="2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9"/>
        <w:gridCol w:w="814"/>
        <w:gridCol w:w="617"/>
      </w:tblGrid>
      <w:tr w:rsidR="00CE24A3" w:rsidRPr="00CE24A3" w:rsidTr="00CE24A3">
        <w:trPr>
          <w:trHeight w:val="300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 Un-normalized 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b/>
                <w:bCs/>
                <w:color w:val="000000"/>
                <w:kern w:val="24"/>
                <w:sz w:val="20"/>
                <w:szCs w:val="20"/>
              </w:rPr>
              <w:t>Hyper</w:t>
            </w:r>
          </w:p>
        </w:tc>
        <w:tc>
          <w:tcPr>
            <w:tcW w:w="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b/>
                <w:bCs/>
                <w:color w:val="000000"/>
                <w:kern w:val="24"/>
                <w:sz w:val="20"/>
                <w:szCs w:val="20"/>
              </w:rPr>
              <w:t>Hypo</w:t>
            </w:r>
          </w:p>
        </w:tc>
      </w:tr>
      <w:tr w:rsidR="00CE24A3" w:rsidRPr="00CE24A3" w:rsidTr="00CE24A3">
        <w:trPr>
          <w:trHeight w:val="300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1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  <w:r>
              <w:rPr>
                <w:rFonts w:cs="Arial"/>
                <w:color w:val="000000"/>
                <w:kern w:val="24"/>
                <w:sz w:val="20"/>
                <w:szCs w:val="20"/>
              </w:rPr>
              <w:t>/3</w:t>
            </w:r>
          </w:p>
        </w:tc>
        <w:tc>
          <w:tcPr>
            <w:tcW w:w="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2</w:t>
            </w:r>
            <w:r>
              <w:rPr>
                <w:rFonts w:cs="Arial"/>
                <w:color w:val="000000"/>
                <w:kern w:val="24"/>
                <w:sz w:val="20"/>
                <w:szCs w:val="20"/>
              </w:rPr>
              <w:t>/3</w:t>
            </w: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E24A3" w:rsidRPr="00CE24A3" w:rsidTr="00CE24A3">
        <w:trPr>
          <w:trHeight w:val="300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2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2</w:t>
            </w:r>
            <w:r>
              <w:rPr>
                <w:rFonts w:cs="Arial"/>
                <w:color w:val="000000"/>
                <w:kern w:val="24"/>
                <w:sz w:val="20"/>
                <w:szCs w:val="20"/>
              </w:rPr>
              <w:t>/3</w:t>
            </w:r>
          </w:p>
        </w:tc>
        <w:tc>
          <w:tcPr>
            <w:tcW w:w="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  <w:r>
              <w:rPr>
                <w:rFonts w:cs="Arial"/>
                <w:color w:val="000000"/>
                <w:kern w:val="24"/>
                <w:sz w:val="20"/>
                <w:szCs w:val="20"/>
              </w:rPr>
              <w:t>/3</w:t>
            </w:r>
          </w:p>
        </w:tc>
      </w:tr>
      <w:tr w:rsidR="00CE24A3" w:rsidRPr="00CE24A3" w:rsidTr="00CE24A3">
        <w:trPr>
          <w:trHeight w:val="300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…</w:t>
            </w:r>
          </w:p>
        </w:tc>
        <w:tc>
          <w:tcPr>
            <w:tcW w:w="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… </w:t>
            </w:r>
          </w:p>
        </w:tc>
      </w:tr>
      <w:tr w:rsidR="00CE24A3" w:rsidRPr="00CE24A3" w:rsidTr="00CE24A3">
        <w:trPr>
          <w:trHeight w:val="300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4A3" w:rsidRPr="00CE24A3" w:rsidRDefault="00CE24A3" w:rsidP="00CE24A3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Gene i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 3</w:t>
            </w:r>
            <w:r>
              <w:rPr>
                <w:rFonts w:cs="Arial"/>
                <w:color w:val="000000"/>
                <w:kern w:val="24"/>
                <w:sz w:val="20"/>
                <w:szCs w:val="20"/>
              </w:rPr>
              <w:t>/3</w:t>
            </w:r>
          </w:p>
        </w:tc>
        <w:tc>
          <w:tcPr>
            <w:tcW w:w="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4A3" w:rsidRPr="00CE24A3" w:rsidRDefault="00CE24A3" w:rsidP="00CE24A3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CE24A3">
              <w:rPr>
                <w:rFonts w:cs="Arial"/>
                <w:color w:val="000000"/>
                <w:kern w:val="24"/>
                <w:sz w:val="20"/>
                <w:szCs w:val="20"/>
              </w:rPr>
              <w:t>0 </w:t>
            </w:r>
          </w:p>
        </w:tc>
      </w:tr>
    </w:tbl>
    <w:p w:rsidR="00EE75E7" w:rsidRDefault="00EE75E7" w:rsidP="0012286C">
      <w:pPr>
        <w:rPr>
          <w:b/>
          <w:i/>
        </w:rPr>
      </w:pPr>
    </w:p>
    <w:p w:rsidR="00867AB3" w:rsidRDefault="008D68D2" w:rsidP="00DC3862">
      <w:r w:rsidRPr="008D68D2">
        <w:rPr>
          <w:b/>
          <w:i/>
        </w:rPr>
        <w:t>Motif model</w:t>
      </w:r>
      <w:r>
        <w:rPr>
          <w:b/>
          <w:i/>
        </w:rPr>
        <w:t xml:space="preserve">. </w:t>
      </w:r>
      <w:r w:rsidR="006C3B81">
        <w:t xml:space="preserve">Another </w:t>
      </w:r>
      <w:r w:rsidR="00A07628">
        <w:t xml:space="preserve">key </w:t>
      </w:r>
      <w:r w:rsidR="006C3B81">
        <w:t xml:space="preserve">component that regulates </w:t>
      </w:r>
      <w:r w:rsidR="003C4C56">
        <w:t xml:space="preserve">mRNA expression </w:t>
      </w:r>
      <w:r w:rsidR="006C3B81">
        <w:t xml:space="preserve">is </w:t>
      </w:r>
      <w:r w:rsidR="003C4C56">
        <w:t>the binding of transcriptional regulators to their motifs in the Gene Promoter</w:t>
      </w:r>
      <w:r w:rsidR="00A07628">
        <w:t>s</w:t>
      </w:r>
      <w:r w:rsidR="00B843F7">
        <w:t xml:space="preserve"> (GP)</w:t>
      </w:r>
      <w:r w:rsidR="003C4C56">
        <w:t>.</w:t>
      </w:r>
      <w:r w:rsidR="00916BCA">
        <w:t xml:space="preserve"> </w:t>
      </w:r>
      <w:r w:rsidR="00DC3862">
        <w:t xml:space="preserve">Conditional probability table (CPT) that defined </w:t>
      </w:r>
      <w:r w:rsidR="00DC3862" w:rsidRPr="00F46CC4">
        <w:rPr>
          <w:i/>
        </w:rPr>
        <w:t>P(</w:t>
      </w:r>
      <w:r w:rsidR="00DC3862">
        <w:rPr>
          <w:i/>
        </w:rPr>
        <w:t>motif</w:t>
      </w:r>
      <w:r w:rsidR="00DC3862" w:rsidRPr="00F46CC4">
        <w:rPr>
          <w:i/>
        </w:rPr>
        <w:t>)</w:t>
      </w:r>
      <w:r w:rsidR="00DC3862" w:rsidRPr="00DC3862">
        <w:t xml:space="preserve"> is </w:t>
      </w:r>
      <w:r w:rsidR="00DC3862">
        <w:t xml:space="preserve">determined by the ratio of the </w:t>
      </w:r>
      <w:r w:rsidR="00AA19B1">
        <w:t>binary</w:t>
      </w:r>
      <w:r w:rsidR="00916BCA">
        <w:t xml:space="preserve">-valued </w:t>
      </w:r>
      <w:r w:rsidR="00DC3862">
        <w:t>motifs</w:t>
      </w:r>
      <w:r w:rsidR="00916BCA">
        <w:rPr>
          <w:i/>
        </w:rPr>
        <w:t xml:space="preserve">, </w:t>
      </w:r>
      <w:r w:rsidR="00916BCA" w:rsidRPr="00916BCA">
        <w:t>where</w:t>
      </w:r>
      <w:r w:rsidR="00916BCA">
        <w:rPr>
          <w:i/>
        </w:rPr>
        <w:t xml:space="preserve"> </w:t>
      </w:r>
      <w:r w:rsidR="00DC3862">
        <w:rPr>
          <w:i/>
        </w:rPr>
        <w:t xml:space="preserve">motif </w:t>
      </w:r>
      <w:r w:rsidR="00916BCA">
        <w:t xml:space="preserve">is true if motif </w:t>
      </w:r>
      <w:r w:rsidR="00916BCA" w:rsidRPr="00916BCA">
        <w:rPr>
          <w:i/>
        </w:rPr>
        <w:t>i</w:t>
      </w:r>
      <w:r w:rsidR="00916BCA">
        <w:t xml:space="preserve"> appears in the promoter region of </w:t>
      </w:r>
      <w:r w:rsidR="00DC3862">
        <w:t xml:space="preserve">a </w:t>
      </w:r>
      <w:r w:rsidR="00916BCA">
        <w:t xml:space="preserve">gene. </w:t>
      </w:r>
      <w:r w:rsidR="002835D4">
        <w:t xml:space="preserve">We </w:t>
      </w:r>
      <w:r w:rsidR="00353536">
        <w:t xml:space="preserve">model the presence </w:t>
      </w:r>
      <w:r w:rsidR="00D242C5">
        <w:t xml:space="preserve">of </w:t>
      </w:r>
      <w:r w:rsidR="00353536">
        <w:t xml:space="preserve">motifs </w:t>
      </w:r>
      <w:r w:rsidR="002978A6">
        <w:t xml:space="preserve">in </w:t>
      </w:r>
      <w:r w:rsidR="00353536">
        <w:t>the Gene P</w:t>
      </w:r>
      <w:r w:rsidR="002835D4">
        <w:t>romoter region</w:t>
      </w:r>
      <w:r w:rsidR="00353536">
        <w:t xml:space="preserve"> by using the </w:t>
      </w:r>
      <w:r w:rsidR="000A1841">
        <w:t xml:space="preserve">397 </w:t>
      </w:r>
      <w:r w:rsidR="00353536">
        <w:t xml:space="preserve">transcriptional </w:t>
      </w:r>
      <w:r w:rsidR="00D242C5">
        <w:t>family names</w:t>
      </w:r>
      <w:r w:rsidR="002978A6">
        <w:t xml:space="preserve">. </w:t>
      </w:r>
      <w:r w:rsidR="00A07628">
        <w:t xml:space="preserve">For each transcriptional regulator, </w:t>
      </w:r>
      <w:r w:rsidR="0012286C">
        <w:t xml:space="preserve">the probability of binding, given the gene promoter is specified as: </w:t>
      </w:r>
    </w:p>
    <w:tbl>
      <w:tblPr>
        <w:tblW w:w="4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  <w:gridCol w:w="960"/>
      </w:tblGrid>
      <w:tr w:rsidR="000A1841" w:rsidRPr="000A1841" w:rsidTr="000A1841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k</w:t>
            </w:r>
          </w:p>
        </w:tc>
      </w:tr>
      <w:tr w:rsidR="000A1841" w:rsidRPr="000A1841" w:rsidTr="000A1841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Gene 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A1841" w:rsidRPr="000A1841" w:rsidTr="000A1841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Gene 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absent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</w:p>
        </w:tc>
      </w:tr>
      <w:tr w:rsidR="000A1841" w:rsidRPr="000A1841" w:rsidTr="000A1841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A1841" w:rsidRPr="000A1841" w:rsidTr="000A1841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Gene i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 </w:t>
            </w: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108BD9"/>
                <w:kern w:val="24"/>
                <w:sz w:val="20"/>
                <w:szCs w:val="20"/>
              </w:rPr>
              <w:t>present</w:t>
            </w:r>
          </w:p>
        </w:tc>
      </w:tr>
    </w:tbl>
    <w:p w:rsidR="000A1841" w:rsidRDefault="000A1841" w:rsidP="0012286C"/>
    <w:p w:rsidR="000A1841" w:rsidRDefault="000A1841" w:rsidP="0012286C">
      <w:r>
        <w:t>The absence and presence can then easily be transformed towards a ratio between [0</w:t>
      </w:r>
      <w:r w:rsidR="00747D3D">
        <w:t>,</w:t>
      </w:r>
      <w:r>
        <w:t>..</w:t>
      </w:r>
      <w:r w:rsidR="00747D3D">
        <w:t>,</w:t>
      </w:r>
      <w:r>
        <w:t>1] per motif.</w:t>
      </w:r>
    </w:p>
    <w:tbl>
      <w:tblPr>
        <w:tblW w:w="5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960"/>
        <w:gridCol w:w="1220"/>
        <w:gridCol w:w="560"/>
        <w:gridCol w:w="1020"/>
      </w:tblGrid>
      <w:tr w:rsidR="000A1841" w:rsidRPr="000A1841" w:rsidTr="000A1841">
        <w:trPr>
          <w:trHeight w:val="300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Normalized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1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2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…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Motif k</w:t>
            </w:r>
          </w:p>
        </w:tc>
      </w:tr>
      <w:tr w:rsidR="000A1841" w:rsidRPr="000A1841" w:rsidTr="000A1841">
        <w:trPr>
          <w:trHeight w:val="300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2/3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1/3 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0 </w:t>
            </w:r>
          </w:p>
        </w:tc>
      </w:tr>
      <w:tr w:rsidR="000A1841" w:rsidRPr="000A1841" w:rsidTr="000A1841">
        <w:trPr>
          <w:trHeight w:val="300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1841" w:rsidRPr="000A1841" w:rsidRDefault="000A1841" w:rsidP="000A1841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Present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1/3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2/3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1841" w:rsidRPr="000A1841" w:rsidRDefault="000A1841" w:rsidP="000A1841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0A1841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</w:tr>
    </w:tbl>
    <w:p w:rsidR="000A1841" w:rsidRDefault="000A1841" w:rsidP="0012286C"/>
    <w:p w:rsidR="00747D3D" w:rsidRPr="00747D3D" w:rsidRDefault="00464BE0" w:rsidP="0012286C">
      <w:r>
        <w:t>This results in a higher probability of an active regulator if a motif is seen in multiple gene promoters.</w:t>
      </w:r>
      <w:r w:rsidR="00747D3D">
        <w:t xml:space="preserve"> The </w:t>
      </w:r>
      <w:r w:rsidR="00747D3D">
        <w:t xml:space="preserve">Conditional probability table (CPT) </w:t>
      </w:r>
      <w:r w:rsidR="00747D3D">
        <w:t>per motif can now be used for each gene.</w:t>
      </w:r>
    </w:p>
    <w:p w:rsidR="00F46CC4" w:rsidRDefault="00E20F32" w:rsidP="00F46CC4">
      <w:pPr>
        <w:rPr>
          <w:iCs/>
        </w:rPr>
      </w:pPr>
      <w:r>
        <w:rPr>
          <w:b/>
          <w:i/>
        </w:rPr>
        <w:t>E</w:t>
      </w:r>
      <w:r w:rsidR="006F6073" w:rsidRPr="00DD2035">
        <w:rPr>
          <w:b/>
          <w:i/>
        </w:rPr>
        <w:t>xpression model.</w:t>
      </w:r>
      <w:r w:rsidR="006F6073">
        <w:rPr>
          <w:i/>
        </w:rPr>
        <w:t xml:space="preserve"> </w:t>
      </w:r>
      <w:r w:rsidR="006F6073">
        <w:t xml:space="preserve">Each </w:t>
      </w:r>
      <w:r>
        <w:t xml:space="preserve">probeset is modeled independently with the associated methylation probeset and the motif. </w:t>
      </w:r>
      <w:r>
        <w:t xml:space="preserve">The </w:t>
      </w:r>
      <w:r w:rsidR="00E35011">
        <w:t xml:space="preserve">expression </w:t>
      </w:r>
      <w:r>
        <w:t xml:space="preserve">measurements (real valued) will be discretized, e.g. </w:t>
      </w:r>
      <w:r w:rsidR="00E35011">
        <w:t>upregulated</w:t>
      </w:r>
      <w:r>
        <w:t xml:space="preserve"> and </w:t>
      </w:r>
      <w:r w:rsidR="00E35011">
        <w:t xml:space="preserve">downregulated </w:t>
      </w:r>
      <w:r>
        <w:t xml:space="preserve">states are derived by using the median </w:t>
      </w:r>
      <w:r w:rsidR="00E35011">
        <w:t xml:space="preserve">expression </w:t>
      </w:r>
      <w:r>
        <w:t xml:space="preserve">intensity of the control-group. </w:t>
      </w:r>
      <w:r w:rsidR="00301A5A">
        <w:t xml:space="preserve">This results into mutually exclusive bins (under-expressed and over-expressed). An advantage of the discretizing </w:t>
      </w:r>
      <w:r w:rsidR="00301A5A">
        <w:lastRenderedPageBreak/>
        <w:t xml:space="preserve">step, instead of continues expression levels is </w:t>
      </w:r>
      <w:r w:rsidR="00301A5A">
        <w:t>that</w:t>
      </w:r>
      <w:r w:rsidR="00301A5A">
        <w:t xml:space="preserve"> non-linear relationships can be detected. </w:t>
      </w:r>
      <w:r w:rsidR="00F46CC4">
        <w:t>The CPT</w:t>
      </w:r>
      <w:r w:rsidR="00B226C9">
        <w:t>,</w:t>
      </w:r>
      <w:r w:rsidR="00F46CC4">
        <w:t xml:space="preserve"> that defines</w:t>
      </w:r>
      <w:r w:rsidR="005E7B64">
        <w:t xml:space="preserve"> the happiness between the factors</w:t>
      </w:r>
      <w:r w:rsidR="00B226C9">
        <w:t>,</w:t>
      </w:r>
      <w:r w:rsidR="00F46CC4">
        <w:t xml:space="preserve"> </w:t>
      </w:r>
      <w:r w:rsidR="00F46CC4" w:rsidRPr="00F46CC4">
        <w:rPr>
          <w:i/>
          <w:iCs/>
        </w:rPr>
        <w:t>P(Expr</w:t>
      </w:r>
      <w:r w:rsidR="00F46CC4">
        <w:rPr>
          <w:i/>
          <w:iCs/>
        </w:rPr>
        <w:t>ession</w:t>
      </w:r>
      <w:r w:rsidR="00F46CC4" w:rsidRPr="00F46CC4">
        <w:rPr>
          <w:i/>
          <w:iCs/>
        </w:rPr>
        <w:t>|Meth</w:t>
      </w:r>
      <w:r w:rsidR="00F46CC4">
        <w:rPr>
          <w:i/>
          <w:iCs/>
        </w:rPr>
        <w:t>ylation</w:t>
      </w:r>
      <w:r w:rsidR="00F46CC4" w:rsidRPr="00F46CC4">
        <w:rPr>
          <w:i/>
          <w:iCs/>
        </w:rPr>
        <w:t>,Motif)</w:t>
      </w:r>
      <w:r w:rsidR="00F46CC4">
        <w:rPr>
          <w:i/>
          <w:iCs/>
        </w:rPr>
        <w:t xml:space="preserve"> </w:t>
      </w:r>
      <w:r w:rsidR="005E7B64">
        <w:rPr>
          <w:iCs/>
        </w:rPr>
        <w:t>is determined in two steps:</w:t>
      </w:r>
    </w:p>
    <w:p w:rsidR="005E7B64" w:rsidRDefault="00BF28C5" w:rsidP="005E7B64">
      <w:pPr>
        <w:pStyle w:val="ListParagraph"/>
        <w:numPr>
          <w:ilvl w:val="0"/>
          <w:numId w:val="1"/>
        </w:numPr>
      </w:pPr>
      <w:r>
        <w:t>T</w:t>
      </w:r>
      <w:r w:rsidR="005E7B64">
        <w:t>he overlap between methylation-state and the expression-state (directly derived from the data)</w:t>
      </w:r>
      <w:r w:rsidR="00104B97">
        <w:t>.</w:t>
      </w:r>
    </w:p>
    <w:p w:rsidR="005E7B64" w:rsidRPr="005E7B64" w:rsidRDefault="00BF28C5" w:rsidP="005E7B64">
      <w:pPr>
        <w:pStyle w:val="ListParagraph"/>
        <w:numPr>
          <w:ilvl w:val="0"/>
          <w:numId w:val="1"/>
        </w:numPr>
      </w:pPr>
      <w:r>
        <w:t xml:space="preserve">Incorporation of the </w:t>
      </w:r>
      <w:r w:rsidR="00E02612">
        <w:t xml:space="preserve">motif </w:t>
      </w:r>
      <w:r w:rsidR="00B331B5">
        <w:t xml:space="preserve">factor </w:t>
      </w:r>
      <w:r w:rsidR="00E02612">
        <w:t xml:space="preserve">by the factor product: </w:t>
      </w:r>
      <w:r w:rsidR="00E02612">
        <w:rPr>
          <w:i/>
          <w:iCs/>
          <w:color w:val="000000"/>
          <w:kern w:val="24"/>
          <w:sz w:val="20"/>
          <w:szCs w:val="20"/>
        </w:rPr>
        <w:t>Expr</w:t>
      </w:r>
      <w:r w:rsidR="00E02612">
        <w:rPr>
          <w:i/>
          <w:iCs/>
          <w:color w:val="000000"/>
          <w:kern w:val="24"/>
          <w:sz w:val="20"/>
          <w:szCs w:val="20"/>
        </w:rPr>
        <w:t>ession</w:t>
      </w:r>
      <w:r w:rsidR="00E02612" w:rsidRPr="00E02612">
        <w:rPr>
          <w:i/>
          <w:iCs/>
          <w:color w:val="000000"/>
          <w:kern w:val="24"/>
          <w:sz w:val="20"/>
          <w:szCs w:val="20"/>
          <w:vertAlign w:val="superscript"/>
        </w:rPr>
        <w:t>i</w:t>
      </w:r>
      <w:r w:rsidR="00E02612">
        <w:rPr>
          <w:i/>
          <w:iCs/>
          <w:color w:val="000000"/>
          <w:kern w:val="24"/>
          <w:sz w:val="20"/>
          <w:szCs w:val="20"/>
        </w:rPr>
        <w:t xml:space="preserve"> </w:t>
      </w:r>
      <w:r w:rsidR="00E02612">
        <w:rPr>
          <w:color w:val="000000"/>
          <w:kern w:val="24"/>
          <w:sz w:val="20"/>
          <w:szCs w:val="20"/>
        </w:rPr>
        <w:t>∩Meth</w:t>
      </w:r>
      <w:r w:rsidR="00E02612">
        <w:rPr>
          <w:color w:val="000000"/>
          <w:kern w:val="24"/>
          <w:sz w:val="20"/>
          <w:szCs w:val="20"/>
        </w:rPr>
        <w:t>ylation</w:t>
      </w:r>
      <w:r w:rsidR="00E02612" w:rsidRPr="00E02612">
        <w:rPr>
          <w:i/>
          <w:iCs/>
          <w:color w:val="000000"/>
          <w:kern w:val="24"/>
          <w:sz w:val="20"/>
          <w:szCs w:val="20"/>
          <w:vertAlign w:val="superscript"/>
        </w:rPr>
        <w:t>i</w:t>
      </w:r>
      <w:r w:rsidR="00E02612">
        <w:rPr>
          <w:color w:val="000000"/>
          <w:kern w:val="24"/>
          <w:sz w:val="20"/>
          <w:szCs w:val="20"/>
        </w:rPr>
        <w:t xml:space="preserve"> * </w:t>
      </w:r>
      <w:r w:rsidR="00E02612">
        <w:rPr>
          <w:i/>
          <w:color w:val="000000"/>
          <w:kern w:val="24"/>
          <w:sz w:val="20"/>
          <w:szCs w:val="20"/>
        </w:rPr>
        <w:t xml:space="preserve">P(motif </w:t>
      </w:r>
      <w:r w:rsidR="00E02612" w:rsidRPr="00E02612">
        <w:rPr>
          <w:i/>
          <w:iCs/>
          <w:color w:val="000000"/>
          <w:kern w:val="24"/>
          <w:sz w:val="20"/>
          <w:szCs w:val="20"/>
          <w:vertAlign w:val="superscript"/>
        </w:rPr>
        <w:t>i</w:t>
      </w:r>
      <w:r w:rsidR="00E02612" w:rsidRPr="00E02612">
        <w:rPr>
          <w:i/>
          <w:color w:val="000000"/>
          <w:kern w:val="24"/>
          <w:sz w:val="20"/>
          <w:szCs w:val="20"/>
        </w:rPr>
        <w:t>)</w:t>
      </w:r>
      <w:r w:rsidR="00104B97">
        <w:rPr>
          <w:i/>
          <w:color w:val="000000"/>
          <w:kern w:val="24"/>
          <w:sz w:val="20"/>
          <w:szCs w:val="20"/>
        </w:rPr>
        <w:t>.</w:t>
      </w:r>
    </w:p>
    <w:p w:rsidR="00E35011" w:rsidRPr="00B331B5" w:rsidRDefault="00B331B5" w:rsidP="00E20F32">
      <w:pPr>
        <w:rPr>
          <w:szCs w:val="22"/>
        </w:rPr>
      </w:pPr>
      <w:r w:rsidRPr="00B331B5">
        <w:rPr>
          <w:szCs w:val="22"/>
        </w:rPr>
        <w:t xml:space="preserve">As an example, suppose we have the underneath 10 samples with their associated gene expression and DNA methylation profiles. </w:t>
      </w:r>
    </w:p>
    <w:p w:rsidR="00B331B5" w:rsidRDefault="00B331B5" w:rsidP="00E20F32">
      <w:r>
        <w:rPr>
          <w:noProof/>
        </w:rPr>
        <w:drawing>
          <wp:inline distT="0" distB="0" distL="0" distR="0" wp14:anchorId="26B624C5" wp14:editId="34AD61CC">
            <wp:extent cx="3037398" cy="10733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08" cy="107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011" w:rsidRDefault="00B331B5" w:rsidP="00E20F32">
      <w:r>
        <w:rPr>
          <w:szCs w:val="22"/>
        </w:rPr>
        <w:t xml:space="preserve">Step 1: </w:t>
      </w:r>
      <w:r w:rsidRPr="00B331B5">
        <w:rPr>
          <w:szCs w:val="22"/>
        </w:rPr>
        <w:t xml:space="preserve">From this data we can easily compute </w:t>
      </w:r>
      <w:r w:rsidRPr="00B331B5">
        <w:rPr>
          <w:i/>
          <w:iCs/>
          <w:color w:val="000000"/>
          <w:kern w:val="24"/>
          <w:szCs w:val="22"/>
        </w:rPr>
        <w:t>Expression</w:t>
      </w:r>
      <w:r w:rsidRPr="00B331B5">
        <w:rPr>
          <w:i/>
          <w:iCs/>
          <w:color w:val="000000"/>
          <w:kern w:val="24"/>
          <w:szCs w:val="22"/>
          <w:vertAlign w:val="superscript"/>
        </w:rPr>
        <w:t>i</w:t>
      </w:r>
      <w:r w:rsidRPr="00B331B5">
        <w:rPr>
          <w:i/>
          <w:iCs/>
          <w:color w:val="000000"/>
          <w:kern w:val="24"/>
          <w:szCs w:val="22"/>
        </w:rPr>
        <w:t xml:space="preserve"> </w:t>
      </w:r>
      <w:r w:rsidRPr="00B331B5">
        <w:rPr>
          <w:color w:val="000000"/>
          <w:kern w:val="24"/>
          <w:szCs w:val="22"/>
        </w:rPr>
        <w:t>∩Methylation</w:t>
      </w:r>
      <w:r w:rsidRPr="00B331B5">
        <w:rPr>
          <w:i/>
          <w:iCs/>
          <w:color w:val="000000"/>
          <w:kern w:val="24"/>
          <w:szCs w:val="22"/>
          <w:vertAlign w:val="superscript"/>
        </w:rPr>
        <w:t xml:space="preserve">i </w:t>
      </w:r>
      <w:r w:rsidRPr="00B331B5">
        <w:rPr>
          <w:iCs/>
          <w:color w:val="000000"/>
          <w:kern w:val="24"/>
          <w:szCs w:val="22"/>
        </w:rPr>
        <w:t>for each of the states in the CPT (see table).</w:t>
      </w:r>
    </w:p>
    <w:tbl>
      <w:tblPr>
        <w:tblW w:w="5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"/>
        <w:gridCol w:w="815"/>
        <w:gridCol w:w="1556"/>
        <w:gridCol w:w="1699"/>
      </w:tblGrid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Methylation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Motif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P(Expression=up)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P(Expression=down)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Hyper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Hyper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Present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Hypo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3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Hypo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Present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3</w:t>
            </w:r>
          </w:p>
        </w:tc>
      </w:tr>
    </w:tbl>
    <w:p w:rsidR="00B331B5" w:rsidRDefault="00B331B5" w:rsidP="00E20F32"/>
    <w:p w:rsidR="00B331B5" w:rsidRDefault="00B331B5" w:rsidP="00E20F32">
      <w:r>
        <w:t xml:space="preserve">Step 2: </w:t>
      </w:r>
      <w:r w:rsidR="00301A5A">
        <w:t>Multiply by the motif factor and normalize between [0..1].</w:t>
      </w:r>
    </w:p>
    <w:tbl>
      <w:tblPr>
        <w:tblW w:w="5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"/>
        <w:gridCol w:w="815"/>
        <w:gridCol w:w="1556"/>
        <w:gridCol w:w="1699"/>
      </w:tblGrid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Methylation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Motif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P(Expression=up)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P(Expression=down)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Hyper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4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1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Hyper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Present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4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1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Hypo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Absent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2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3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</w:tr>
      <w:tr w:rsidR="00B331B5" w:rsidRPr="00B331B5" w:rsidTr="00B331B5">
        <w:trPr>
          <w:trHeight w:val="30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Hypo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lef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>Present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2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1B5" w:rsidRPr="00B331B5" w:rsidRDefault="00B331B5" w:rsidP="00B331B5">
            <w:pPr>
              <w:spacing w:after="0" w:line="240" w:lineRule="auto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 w:rsidRPr="00B331B5">
              <w:rPr>
                <w:rFonts w:cs="Arial"/>
                <w:color w:val="000000"/>
                <w:kern w:val="24"/>
                <w:sz w:val="20"/>
                <w:szCs w:val="20"/>
              </w:rPr>
              <w:t xml:space="preserve">3 * </w:t>
            </w:r>
            <w:r w:rsidRPr="00B331B5">
              <w:rPr>
                <w:rFonts w:cs="Arial"/>
                <w:i/>
                <w:iCs/>
                <w:color w:val="000000"/>
                <w:kern w:val="24"/>
                <w:sz w:val="20"/>
                <w:szCs w:val="20"/>
              </w:rPr>
              <w:t>P(motif k)</w:t>
            </w:r>
          </w:p>
        </w:tc>
      </w:tr>
    </w:tbl>
    <w:p w:rsidR="00B331B5" w:rsidRDefault="00B331B5" w:rsidP="00E20F32"/>
    <w:p w:rsidR="00DA1482" w:rsidRDefault="00DA1482">
      <w:r w:rsidRPr="00DA1482">
        <w:rPr>
          <w:b/>
        </w:rPr>
        <w:t>Model creation.</w:t>
      </w:r>
      <w:r>
        <w:t xml:space="preserve"> Each probeset expression is modeled with the associated DNA methylation probeset and the motif by means of a Bayesian network. The network is defined as:</w:t>
      </w:r>
    </w:p>
    <w:p w:rsidR="00DA1482" w:rsidRDefault="00DA1482">
      <w:r w:rsidRPr="00DA1482">
        <w:rPr>
          <w:i/>
        </w:rPr>
        <w:t>P</w:t>
      </w:r>
      <w:r w:rsidRPr="00DA1482">
        <w:t>(Meth</w:t>
      </w:r>
      <w:r>
        <w:t>ylation</w:t>
      </w:r>
      <w:r w:rsidRPr="00DA1482">
        <w:t>,Motif,Expr</w:t>
      </w:r>
      <w:r>
        <w:t>ession</w:t>
      </w:r>
      <w:r w:rsidRPr="00DA1482">
        <w:t xml:space="preserve">) = </w:t>
      </w:r>
      <w:r w:rsidRPr="00DA1482">
        <w:rPr>
          <w:i/>
        </w:rPr>
        <w:t>P</w:t>
      </w:r>
      <w:r w:rsidRPr="00DA1482">
        <w:t>(Meth</w:t>
      </w:r>
      <w:r>
        <w:t>ylation</w:t>
      </w:r>
      <w:r w:rsidRPr="00DA1482">
        <w:t xml:space="preserve">) </w:t>
      </w:r>
      <w:r w:rsidRPr="00DA1482">
        <w:rPr>
          <w:i/>
        </w:rPr>
        <w:t>P</w:t>
      </w:r>
      <w:r w:rsidRPr="00DA1482">
        <w:t xml:space="preserve">(Motif) </w:t>
      </w:r>
      <w:r w:rsidRPr="00F303CA">
        <w:rPr>
          <w:i/>
        </w:rPr>
        <w:t>P</w:t>
      </w:r>
      <w:r w:rsidRPr="00DA1482">
        <w:t>(Expr</w:t>
      </w:r>
      <w:r>
        <w:t>ession</w:t>
      </w:r>
      <w:r w:rsidRPr="00DA1482">
        <w:t>|Meth</w:t>
      </w:r>
      <w:r>
        <w:t>ylation</w:t>
      </w:r>
      <w:r w:rsidRPr="00DA1482">
        <w:t>,Motif)</w:t>
      </w:r>
    </w:p>
    <w:p w:rsidR="00F303CA" w:rsidRDefault="00F303CA">
      <w:r>
        <w:t xml:space="preserve">The </w:t>
      </w:r>
      <w:r>
        <w:t>Directed Acyclic Graph (DAG)</w:t>
      </w:r>
      <w:r>
        <w:t xml:space="preserve"> </w:t>
      </w:r>
      <w:r w:rsidR="005F6EB3">
        <w:t xml:space="preserve">for this model (model 1) </w:t>
      </w:r>
      <w:r>
        <w:t>will therefore look as follows:</w:t>
      </w:r>
    </w:p>
    <w:p w:rsidR="00F303CA" w:rsidRDefault="00F303CA">
      <w:r>
        <w:rPr>
          <w:noProof/>
        </w:rPr>
        <w:lastRenderedPageBreak/>
        <w:drawing>
          <wp:inline distT="0" distB="0" distL="0" distR="0" wp14:anchorId="56E7A6A5">
            <wp:extent cx="1796629" cy="100981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37" cy="101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068D" w:rsidRDefault="00DA1482" w:rsidP="001A356B">
      <w:r>
        <w:t xml:space="preserve">To evaluate the effect of the </w:t>
      </w:r>
      <w:r w:rsidR="00C30F83">
        <w:t>motif in the network, thus “how much” the motif influences the expression level, we create an alternative network</w:t>
      </w:r>
      <w:r w:rsidR="0062068D">
        <w:t>:</w:t>
      </w:r>
    </w:p>
    <w:p w:rsidR="0062068D" w:rsidRDefault="0062068D" w:rsidP="0062068D">
      <w:r w:rsidRPr="00DA1482">
        <w:rPr>
          <w:i/>
        </w:rPr>
        <w:t>P</w:t>
      </w:r>
      <w:r w:rsidRPr="00DA1482">
        <w:t>(Meth</w:t>
      </w:r>
      <w:r>
        <w:t>ylation</w:t>
      </w:r>
      <w:r w:rsidRPr="00DA1482">
        <w:t>,Expr</w:t>
      </w:r>
      <w:r>
        <w:t>ession</w:t>
      </w:r>
      <w:r w:rsidRPr="00DA1482">
        <w:t xml:space="preserve">) = </w:t>
      </w:r>
      <w:r w:rsidRPr="00DA1482">
        <w:rPr>
          <w:i/>
        </w:rPr>
        <w:t>P</w:t>
      </w:r>
      <w:r w:rsidRPr="00DA1482">
        <w:t>(Meth</w:t>
      </w:r>
      <w:r>
        <w:t>ylation</w:t>
      </w:r>
      <w:r w:rsidRPr="00DA1482">
        <w:t xml:space="preserve">) </w:t>
      </w:r>
      <w:r w:rsidRPr="00DA1482">
        <w:rPr>
          <w:i/>
        </w:rPr>
        <w:t>P</w:t>
      </w:r>
      <w:r w:rsidRPr="00DA1482">
        <w:t xml:space="preserve">(Motif) </w:t>
      </w:r>
      <w:r w:rsidRPr="00F303CA">
        <w:rPr>
          <w:i/>
        </w:rPr>
        <w:t>P</w:t>
      </w:r>
      <w:r w:rsidRPr="00DA1482">
        <w:t>(Expr</w:t>
      </w:r>
      <w:r>
        <w:t>ession</w:t>
      </w:r>
      <w:r w:rsidRPr="00DA1482">
        <w:t>|Meth</w:t>
      </w:r>
      <w:r>
        <w:t>ylation</w:t>
      </w:r>
      <w:r w:rsidRPr="00DA1482">
        <w:t>)</w:t>
      </w:r>
    </w:p>
    <w:p w:rsidR="001A356B" w:rsidRDefault="0062068D" w:rsidP="001A356B">
      <w:r>
        <w:t xml:space="preserve">The DAG of </w:t>
      </w:r>
      <w:r w:rsidR="00C30F83">
        <w:t xml:space="preserve">model 2, </w:t>
      </w:r>
      <w:r>
        <w:t xml:space="preserve">as shown below. The </w:t>
      </w:r>
      <w:r w:rsidR="00C30F83">
        <w:t xml:space="preserve">Bayes Factor </w:t>
      </w:r>
      <w:r>
        <w:t xml:space="preserve">between both models will indicate the </w:t>
      </w:r>
      <w:r w:rsidR="00C30F83">
        <w:t xml:space="preserve">effect of the motif. </w:t>
      </w:r>
      <w:r w:rsidR="00DE2B06">
        <w:t>Thus, t</w:t>
      </w:r>
      <w:r w:rsidR="001A356B">
        <w:t>his approach allows elimination of motifs</w:t>
      </w:r>
      <w:r w:rsidR="001A356B">
        <w:t xml:space="preserve"> </w:t>
      </w:r>
      <w:r w:rsidR="00DE2B06">
        <w:t xml:space="preserve">to finally </w:t>
      </w:r>
      <w:r w:rsidR="001A356B">
        <w:t xml:space="preserve">relearn a structure DAG*, that </w:t>
      </w:r>
      <w:r w:rsidR="00D03763">
        <w:t xml:space="preserve">only </w:t>
      </w:r>
      <w:r w:rsidR="001A356B">
        <w:t xml:space="preserve">indicates the expression </w:t>
      </w:r>
      <w:r w:rsidR="00D03763">
        <w:t>as a function of methylation and motifs.</w:t>
      </w:r>
    </w:p>
    <w:p w:rsidR="005F6EB3" w:rsidRDefault="005F6EB3" w:rsidP="00C30F83">
      <w:r>
        <w:rPr>
          <w:noProof/>
        </w:rPr>
        <w:drawing>
          <wp:inline distT="0" distB="0" distL="0" distR="0" wp14:anchorId="3260788B">
            <wp:extent cx="1895655" cy="106547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46" cy="10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F83" w:rsidRDefault="00C30F83" w:rsidP="00C30F83">
      <w:r>
        <w:t>The Bayes Factor is computed as follows:</w:t>
      </w:r>
    </w:p>
    <w:p w:rsidR="00C30F83" w:rsidRDefault="00C30F83" w:rsidP="00C30F83">
      <w:r>
        <w:t xml:space="preserve">BF = </w:t>
      </w:r>
      <w:r w:rsidRPr="00C30F83">
        <w:rPr>
          <w:i/>
        </w:rPr>
        <w:t>P</w:t>
      </w:r>
      <w:r>
        <w:t xml:space="preserve">(model 1 | data) / </w:t>
      </w:r>
      <w:r w:rsidRPr="00C30F83">
        <w:rPr>
          <w:i/>
        </w:rPr>
        <w:t>P</w:t>
      </w:r>
      <w:r>
        <w:t xml:space="preserve">(model 2 | data) = </w:t>
      </w:r>
      <w:r w:rsidRPr="00C30F83">
        <w:rPr>
          <w:i/>
        </w:rPr>
        <w:t>P</w:t>
      </w:r>
      <w:r>
        <w:t xml:space="preserve">(Expression|Methylation, Motif) / </w:t>
      </w:r>
      <w:r w:rsidRPr="00C30F83">
        <w:rPr>
          <w:i/>
        </w:rPr>
        <w:t>P</w:t>
      </w:r>
      <w:r>
        <w:t>(Expression|Methylation)</w:t>
      </w:r>
    </w:p>
    <w:p w:rsidR="005F6EB3" w:rsidRDefault="005F6EB3" w:rsidP="00C30F83"/>
    <w:p w:rsidR="00CB4A6F" w:rsidRPr="008D68D2" w:rsidRDefault="00CB4A6F" w:rsidP="0062068D">
      <w:pPr>
        <w:spacing w:line="259" w:lineRule="auto"/>
        <w:jc w:val="left"/>
        <w:rPr>
          <w:b/>
          <w:i/>
        </w:rPr>
      </w:pPr>
    </w:p>
    <w:sectPr w:rsidR="00CB4A6F" w:rsidRPr="008D68D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E3" w:rsidRDefault="00587AE3" w:rsidP="0062068D">
      <w:pPr>
        <w:spacing w:after="0" w:line="240" w:lineRule="auto"/>
      </w:pPr>
      <w:r>
        <w:separator/>
      </w:r>
    </w:p>
  </w:endnote>
  <w:endnote w:type="continuationSeparator" w:id="0">
    <w:p w:rsidR="00587AE3" w:rsidRDefault="00587AE3" w:rsidP="0062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547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68D" w:rsidRDefault="00620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B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068D" w:rsidRDefault="00620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E3" w:rsidRDefault="00587AE3" w:rsidP="0062068D">
      <w:pPr>
        <w:spacing w:after="0" w:line="240" w:lineRule="auto"/>
      </w:pPr>
      <w:r>
        <w:separator/>
      </w:r>
    </w:p>
  </w:footnote>
  <w:footnote w:type="continuationSeparator" w:id="0">
    <w:p w:rsidR="00587AE3" w:rsidRDefault="00587AE3" w:rsidP="00620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413BE"/>
    <w:multiLevelType w:val="hybridMultilevel"/>
    <w:tmpl w:val="1100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18"/>
    <w:rsid w:val="000012EA"/>
    <w:rsid w:val="000021D3"/>
    <w:rsid w:val="0003118D"/>
    <w:rsid w:val="00031665"/>
    <w:rsid w:val="0005718B"/>
    <w:rsid w:val="00074863"/>
    <w:rsid w:val="0008068B"/>
    <w:rsid w:val="00097588"/>
    <w:rsid w:val="000A1841"/>
    <w:rsid w:val="00104B97"/>
    <w:rsid w:val="00115230"/>
    <w:rsid w:val="0012286C"/>
    <w:rsid w:val="0013134C"/>
    <w:rsid w:val="00132534"/>
    <w:rsid w:val="001A356B"/>
    <w:rsid w:val="001A69D1"/>
    <w:rsid w:val="00251C3F"/>
    <w:rsid w:val="00254831"/>
    <w:rsid w:val="002835D4"/>
    <w:rsid w:val="002978A6"/>
    <w:rsid w:val="002A5828"/>
    <w:rsid w:val="002C534A"/>
    <w:rsid w:val="002D5AC7"/>
    <w:rsid w:val="00301A5A"/>
    <w:rsid w:val="00306134"/>
    <w:rsid w:val="00353536"/>
    <w:rsid w:val="00396694"/>
    <w:rsid w:val="003A3BB3"/>
    <w:rsid w:val="003C4C56"/>
    <w:rsid w:val="003D3811"/>
    <w:rsid w:val="003E12B1"/>
    <w:rsid w:val="00421253"/>
    <w:rsid w:val="00432195"/>
    <w:rsid w:val="00460BA6"/>
    <w:rsid w:val="00464BE0"/>
    <w:rsid w:val="004A3E81"/>
    <w:rsid w:val="004D5B08"/>
    <w:rsid w:val="004E6E79"/>
    <w:rsid w:val="004F5906"/>
    <w:rsid w:val="004F7483"/>
    <w:rsid w:val="00507C42"/>
    <w:rsid w:val="00563811"/>
    <w:rsid w:val="00573537"/>
    <w:rsid w:val="005865DF"/>
    <w:rsid w:val="00587AE3"/>
    <w:rsid w:val="0059617A"/>
    <w:rsid w:val="005E6C78"/>
    <w:rsid w:val="005E7B64"/>
    <w:rsid w:val="005F6EB3"/>
    <w:rsid w:val="006028C5"/>
    <w:rsid w:val="006033FA"/>
    <w:rsid w:val="00612DF4"/>
    <w:rsid w:val="00613E1F"/>
    <w:rsid w:val="0062068D"/>
    <w:rsid w:val="006307E3"/>
    <w:rsid w:val="006368BA"/>
    <w:rsid w:val="00643A86"/>
    <w:rsid w:val="006909E5"/>
    <w:rsid w:val="006A7476"/>
    <w:rsid w:val="006C3B81"/>
    <w:rsid w:val="006E14CB"/>
    <w:rsid w:val="006F6073"/>
    <w:rsid w:val="00747D3D"/>
    <w:rsid w:val="00762973"/>
    <w:rsid w:val="007E5257"/>
    <w:rsid w:val="007F2449"/>
    <w:rsid w:val="0082229A"/>
    <w:rsid w:val="00867AB3"/>
    <w:rsid w:val="00867E25"/>
    <w:rsid w:val="00876076"/>
    <w:rsid w:val="00890A72"/>
    <w:rsid w:val="008A40D6"/>
    <w:rsid w:val="008A7AB3"/>
    <w:rsid w:val="008B5BAD"/>
    <w:rsid w:val="008D4E50"/>
    <w:rsid w:val="008D68D2"/>
    <w:rsid w:val="008E0BA8"/>
    <w:rsid w:val="008E61A6"/>
    <w:rsid w:val="00916BCA"/>
    <w:rsid w:val="009432E0"/>
    <w:rsid w:val="00960DA4"/>
    <w:rsid w:val="00962BF0"/>
    <w:rsid w:val="00971D35"/>
    <w:rsid w:val="00980918"/>
    <w:rsid w:val="0099115B"/>
    <w:rsid w:val="009B2F3F"/>
    <w:rsid w:val="00A07628"/>
    <w:rsid w:val="00A2096B"/>
    <w:rsid w:val="00AA19B1"/>
    <w:rsid w:val="00B04421"/>
    <w:rsid w:val="00B0486C"/>
    <w:rsid w:val="00B16448"/>
    <w:rsid w:val="00B17A2F"/>
    <w:rsid w:val="00B226C9"/>
    <w:rsid w:val="00B30898"/>
    <w:rsid w:val="00B331B5"/>
    <w:rsid w:val="00B42484"/>
    <w:rsid w:val="00B64ADC"/>
    <w:rsid w:val="00B811FC"/>
    <w:rsid w:val="00B841F8"/>
    <w:rsid w:val="00B843F7"/>
    <w:rsid w:val="00B95175"/>
    <w:rsid w:val="00BA0BDE"/>
    <w:rsid w:val="00BB0751"/>
    <w:rsid w:val="00BB2587"/>
    <w:rsid w:val="00BF28C5"/>
    <w:rsid w:val="00BF31FB"/>
    <w:rsid w:val="00C07372"/>
    <w:rsid w:val="00C30F83"/>
    <w:rsid w:val="00CB4A6F"/>
    <w:rsid w:val="00CD0A22"/>
    <w:rsid w:val="00CE24A3"/>
    <w:rsid w:val="00D03763"/>
    <w:rsid w:val="00D234F0"/>
    <w:rsid w:val="00D2411A"/>
    <w:rsid w:val="00D242C5"/>
    <w:rsid w:val="00DA1482"/>
    <w:rsid w:val="00DB44F7"/>
    <w:rsid w:val="00DC25A2"/>
    <w:rsid w:val="00DC3862"/>
    <w:rsid w:val="00DD2035"/>
    <w:rsid w:val="00DE2B06"/>
    <w:rsid w:val="00DE6600"/>
    <w:rsid w:val="00E02612"/>
    <w:rsid w:val="00E20F32"/>
    <w:rsid w:val="00E35011"/>
    <w:rsid w:val="00EA7FAE"/>
    <w:rsid w:val="00EE1CC6"/>
    <w:rsid w:val="00EE75E7"/>
    <w:rsid w:val="00F16AD6"/>
    <w:rsid w:val="00F303CA"/>
    <w:rsid w:val="00F33CCE"/>
    <w:rsid w:val="00F4162F"/>
    <w:rsid w:val="00F43A6A"/>
    <w:rsid w:val="00F46CC4"/>
    <w:rsid w:val="00FE338A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A0AE4A-607C-4F71-9E4D-3C84CDAC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E0"/>
    <w:pPr>
      <w:spacing w:line="360" w:lineRule="auto"/>
      <w:jc w:val="both"/>
    </w:pPr>
    <w:rPr>
      <w:rFonts w:ascii="Calibri Light" w:hAnsi="Calibri Light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17A"/>
    <w:pPr>
      <w:spacing w:before="240" w:after="120" w:line="276" w:lineRule="auto"/>
      <w:jc w:val="left"/>
      <w:outlineLvl w:val="0"/>
    </w:pPr>
    <w:rPr>
      <w:rFonts w:cs="CMSSBX10"/>
      <w:b/>
      <w:sz w:val="36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E5257"/>
    <w:pPr>
      <w:spacing w:before="360" w:after="240"/>
      <w:outlineLvl w:val="1"/>
    </w:pPr>
    <w:rPr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257"/>
    <w:pPr>
      <w:spacing w:before="360" w:after="120"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7A"/>
    <w:rPr>
      <w:rFonts w:ascii="Calibri Light" w:hAnsi="Calibri Light" w:cs="CMSSBX10"/>
      <w:b/>
      <w:sz w:val="3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E5257"/>
    <w:rPr>
      <w:rFonts w:asciiTheme="majorHAnsi" w:hAnsiTheme="majorHAnsi" w:cs="CMSSBX10"/>
      <w:b/>
      <w:caps/>
      <w:sz w:val="2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7E5257"/>
    <w:pPr>
      <w:spacing w:after="240" w:line="276" w:lineRule="auto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7E5257"/>
    <w:rPr>
      <w:rFonts w:ascii="Calibri Light" w:hAnsi="Calibri Light"/>
      <w:b/>
      <w:sz w:val="48"/>
    </w:rPr>
  </w:style>
  <w:style w:type="paragraph" w:customStyle="1" w:styleId="Authornames">
    <w:name w:val="Author names"/>
    <w:basedOn w:val="Normal"/>
    <w:link w:val="AuthornamesChar"/>
    <w:qFormat/>
    <w:rsid w:val="007E5257"/>
    <w:rPr>
      <w:rFonts w:asciiTheme="majorHAnsi" w:hAnsiTheme="majorHAnsi" w:cs="CMSSBX10"/>
      <w:b/>
    </w:rPr>
  </w:style>
  <w:style w:type="character" w:customStyle="1" w:styleId="AuthornamesChar">
    <w:name w:val="Author names Char"/>
    <w:basedOn w:val="DefaultParagraphFont"/>
    <w:link w:val="Authornames"/>
    <w:rsid w:val="007E5257"/>
    <w:rPr>
      <w:rFonts w:asciiTheme="majorHAnsi" w:hAnsiTheme="majorHAnsi" w:cs="CMSSBX10"/>
      <w:b/>
      <w:szCs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E5257"/>
    <w:rPr>
      <w:rFonts w:ascii="Calibri Light" w:hAnsi="Calibri Light"/>
      <w:b/>
    </w:rPr>
  </w:style>
  <w:style w:type="paragraph" w:customStyle="1" w:styleId="BigNumber">
    <w:name w:val="BigNumber"/>
    <w:basedOn w:val="Normal"/>
    <w:qFormat/>
    <w:rsid w:val="00B841F8"/>
    <w:pPr>
      <w:spacing w:after="200"/>
    </w:pPr>
    <w:rPr>
      <w:rFonts w:ascii="Showcard Gothic" w:hAnsi="Showcard Gothic" w:cstheme="minorBidi"/>
      <w:color w:val="FFFFFF" w:themeColor="background1"/>
      <w:sz w:val="900"/>
    </w:rPr>
  </w:style>
  <w:style w:type="paragraph" w:customStyle="1" w:styleId="Chapter">
    <w:name w:val="Chapter"/>
    <w:basedOn w:val="Normal"/>
    <w:qFormat/>
    <w:rsid w:val="00B841F8"/>
    <w:pPr>
      <w:spacing w:after="200"/>
      <w:jc w:val="right"/>
    </w:pPr>
    <w:rPr>
      <w:rFonts w:ascii="Impact" w:hAnsi="Impact" w:cstheme="minorBidi"/>
      <w:color w:val="FFFFFF" w:themeColor="background1"/>
      <w:sz w:val="52"/>
      <w:szCs w:val="100"/>
    </w:rPr>
  </w:style>
  <w:style w:type="character" w:customStyle="1" w:styleId="nowrap">
    <w:name w:val="nowrap"/>
    <w:basedOn w:val="DefaultParagraphFont"/>
    <w:rsid w:val="00EE1CC6"/>
  </w:style>
  <w:style w:type="character" w:styleId="PlaceholderText">
    <w:name w:val="Placeholder Text"/>
    <w:basedOn w:val="DefaultParagraphFont"/>
    <w:uiPriority w:val="99"/>
    <w:semiHidden/>
    <w:rsid w:val="00867AB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46CC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7B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8D"/>
    <w:rPr>
      <w:rFonts w:ascii="Calibri Light" w:hAnsi="Calibri Light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62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8D"/>
    <w:rPr>
      <w:rFonts w:ascii="Calibri Light" w:hAnsi="Calibri Light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58BD-5020-4587-BBED-36640583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Delft University of Technology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Taskesen</dc:creator>
  <cp:keywords/>
  <dc:description/>
  <cp:lastModifiedBy>Erdogan Taskesen</cp:lastModifiedBy>
  <cp:revision>116</cp:revision>
  <dcterms:created xsi:type="dcterms:W3CDTF">2013-10-04T12:08:00Z</dcterms:created>
  <dcterms:modified xsi:type="dcterms:W3CDTF">2013-10-22T13:52:00Z</dcterms:modified>
</cp:coreProperties>
</file>