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1"/>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Times New Roman" w:cs="Times New Roman"/>
          <w:sz w:val="28"/>
          <w:szCs w:val="28"/>
        </w:rPr>
      </w:pPr>
      <w:r>
        <w:rPr>
          <w:rFonts w:ascii="Times New Roman" w:hAnsi="Times New Roman" w:eastAsia="Times New Roman" w:cs="Times New Roman"/>
          <w:sz w:val="28"/>
          <w:szCs w:val="28"/>
        </w:rPr>
        <w:t>Analiza e Rezultateve</w:t>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Times New Roman" w:cs="Times New Roman"/>
          <w:sz w:val="28"/>
          <w:szCs w:val="28"/>
        </w:rPr>
      </w:pPr>
      <w:r>
        <w:rPr>
          <w:rFonts w:ascii="Times New Roman" w:hAnsi="Times New Roman" w:eastAsia="Times New Roman" w:cs="Times New Roman"/>
          <w:sz w:val="28"/>
          <w:szCs w:val="28"/>
        </w:rPr>
        <w:t>1. Rastet totale të COVID-19 në Kosovë</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2"/>
        </w:rPr>
      </w:pPr>
      <w:r>
        <w:rPr>
          <w:rFonts w:eastAsia="Times New Roman"/>
          <w:sz w:val="20"/>
          <w:szCs w:val="32"/>
        </w:rPr>
        <w:t>Grafiku i rasteve totale tregon rritjen kumulative të rasteve të COVID-19 në Kosovë gjatë periudhës 2020–2023. Në fillim të vitit 2020 numri i rasteve ishte shumë i ulët, ndërsa me kalimin e kohës vërehet rritje e vazhdueshme.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2"/>
        </w:rPr>
      </w:pPr>
      <w:r>
        <w:rPr>
          <w:rFonts w:eastAsia="Times New Roman"/>
          <w:sz w:val="20"/>
          <w:szCs w:val="32"/>
        </w:rPr>
        <w:t>Rritja më e madhe shihet në disa periudha të caktuara, ku lakorja bëhet më e pjerrët. Kjo tregon se gjatë atyre periudhave ka pasur më shumë raste ditore dhe pandemia ka qenë më aktive. Deri në fund të periudhës së analizuar, numri total i rasteve arrin afërsisht 889,669 raste.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rPr>
      </w:pPr>
      <w:r>
        <w:rPr>
          <w:rFonts w:eastAsia="Times New Roman"/>
          <w:sz w:val="20"/>
          <w:szCs w:val="32"/>
        </w:rPr>
        <w:t>Ky grafik është i rëndësishëm sepse tregon zhvillimin e përgjithshëm të pandemisë dhe ndihmon në identifikimin e periudhave kur përhapja e virusit ka qenë më intensive.</w:t>
      </w:r>
      <w:r>
        <w:rPr>
          <w:rFonts w:eastAsia="Times New Roman"/>
        </w:rPr>
        <w:tab/>
        <w:t xml:space="preserve">  </w:t>
        <w:tab/>
        <w:tab/>
        <w:t xml:space="preserve">    </w:t>
        <w:tab/>
        <w:tab/>
        <w:tab/>
      </w:r>
      <w:r>
        <w:rPr>
          <w:noProof/>
        </w:rPr>
        <w:drawing>
          <wp:inline distT="0" distB="0" distL="0" distR="0">
            <wp:extent cx="4962525" cy="244411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a:extLst>
                        <a:ext uri="sm">
                          <sm:smNativeData xmlns:sm="sm" val="SMDATA_16_wpgDahMAAAAlAAAAEQAAAC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IceAAAJDwAAhx4AAAkP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AAAAAAAAAAAAAAAAAAAAAAAAAAAAAAAAAAAAAAAAAAAAAAAhx4AAAkPAAAAAAAAAAAAAAAAAAAoAAAACAAAAAEAAAABAAAA"/>
                        </a:ext>
                      </a:extLst>
                    </pic:cNvPicPr>
                  </pic:nvPicPr>
                  <pic:blipFill>
                    <a:blip r:embed="rId8"/>
                    <a:stretch>
                      <a:fillRect/>
                    </a:stretch>
                  </pic:blipFill>
                  <pic:spPr>
                    <a:xfrm>
                      <a:off x="0" y="0"/>
                      <a:ext cx="4962525" cy="2444115"/>
                    </a:xfrm>
                    <a:prstGeom prst="rect">
                      <a:avLst/>
                    </a:prstGeom>
                    <a:noFill/>
                    <a:ln w="12700">
                      <a:noFill/>
                    </a:ln>
                  </pic:spPr>
                </pic:pic>
              </a:graphicData>
            </a:graphic>
          </wp:inline>
        </w:drawing>
      </w:r>
      <w:r>
        <w:rPr>
          <w:rFonts w:eastAsia="Times New Roman"/>
        </w:rPr>
        <w:t xml:space="preserve"> </w:t>
      </w:r>
    </w:p>
    <w:p>
      <w:pPr>
        <w:ind w:left="283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i/>
          <w:iCs/>
          <w:sz w:val="14"/>
          <w:szCs w:val="14"/>
        </w:rPr>
      </w:pPr>
      <w:r>
        <w:rPr>
          <w:i/>
          <w:iCs/>
          <w:sz w:val="14"/>
          <w:szCs w:val="14"/>
        </w:rPr>
        <w:t xml:space="preserve">            Figura 1: Rastet totale të COVID-19 në Kosovë</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rPr>
      </w:pPr>
      <w:r>
        <w:rPr>
          <w:rFonts w:eastAsia="Times New Roman"/>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Times New Roman" w:cs="Times New Roman"/>
          <w:sz w:val="28"/>
          <w:szCs w:val="28"/>
        </w:rPr>
      </w:pPr>
      <w:r>
        <w:rPr>
          <w:rFonts w:ascii="Times New Roman" w:hAnsi="Times New Roman" w:eastAsia="Times New Roman" w:cs="Times New Roman"/>
          <w:sz w:val="28"/>
          <w:szCs w:val="28"/>
        </w:rPr>
        <w:t>2. Vdekjet totale nga COVID-19</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2"/>
        </w:rPr>
      </w:pPr>
      <w:r>
        <w:rPr>
          <w:rFonts w:eastAsia="Times New Roman"/>
          <w:sz w:val="20"/>
          <w:szCs w:val="32"/>
        </w:rPr>
        <w:t>Grafiku i vdekjeve totale paraqet rritjen kumulative të vdekjeve gjatë periudhës 2020–2023. Ashtu si te rastet totale, edhe vdekjet kanë pasur trend rritës me kalimin e kohës.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2"/>
        </w:rPr>
      </w:pPr>
      <w:r>
        <w:rPr>
          <w:rFonts w:eastAsia="Times New Roman"/>
          <w:sz w:val="20"/>
          <w:szCs w:val="32"/>
        </w:rPr>
        <w:t>Në fund të periudhës së analizuar, numri total i vdekjeve arrin rreth 9,935 vdekje. Rritja e vdekjeve është më e dukshme në periudhat kur rastet totale kanë pasur rritje më të madhe. Kjo tregon se rritja e infektimeve zakonisht është shoqëruar edhe me rritje të pasojave shëndetësore.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2"/>
        </w:rPr>
      </w:pPr>
      <w:r>
        <w:rPr>
          <w:rFonts w:eastAsia="Times New Roman"/>
          <w:sz w:val="20"/>
          <w:szCs w:val="32"/>
        </w:rPr>
        <w:t>Norma e vdekshmërisë, ose CFR, në analizë del rreth 1.20%. Kjo do të thotë se nga rastet e konfirmuara, një përqindje e caktuar ka përfunduar me vdekje.</w:t>
      </w:r>
    </w:p>
    <w:p>
      <w:pPr>
        <w:ind w:firstLine="708"/>
        <w:rPr>
          <w:rFonts w:eastAsia="Times New Roman"/>
        </w:rPr>
      </w:pPr>
      <w:r>
        <w:rPr>
          <w:noProof/>
        </w:rPr>
        <w:drawing>
          <wp:inline distT="0" distB="0" distL="0" distR="0">
            <wp:extent cx="5082540" cy="250253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a:extLst>
                        <a:ext uri="sm">
                          <sm:smNativeData xmlns:sm="sm" val="SMDATA_16_wpgDahMAAAAlAAAAEQAAAG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EQfAABlDwAARB8AAGUP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AAAAAAAAAAAAAAAAAAAAAAAAAAAAAAAAAAAAAAAAAAAAAAARB8AAGUPAAAAAAAAAAAAAAAAAAAoAAAACAAAAAEAAAABAAAA"/>
                        </a:ext>
                      </a:extLst>
                    </pic:cNvPicPr>
                  </pic:nvPicPr>
                  <pic:blipFill>
                    <a:blip r:embed="rId9"/>
                    <a:stretch>
                      <a:fillRect/>
                    </a:stretch>
                  </pic:blipFill>
                  <pic:spPr>
                    <a:xfrm>
                      <a:off x="0" y="0"/>
                      <a:ext cx="5082540" cy="2502535"/>
                    </a:xfrm>
                    <a:prstGeom prst="rect">
                      <a:avLst/>
                    </a:prstGeom>
                    <a:noFill/>
                    <a:ln w="12700">
                      <a:noFill/>
                    </a:ln>
                  </pic:spPr>
                </pic:pic>
              </a:graphicData>
            </a:graphic>
          </wp:inline>
        </w:drawing>
      </w:r>
      <w:r>
        <w:rPr>
          <w:rFonts w:eastAsia="Times New Roman"/>
        </w:rPr>
      </w:r>
    </w:p>
    <w:p>
      <w:pPr>
        <w:ind w:left="1416" w:firstLine="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i/>
          <w:iCs/>
          <w:sz w:val="14"/>
          <w:szCs w:val="14"/>
        </w:rPr>
      </w:pPr>
      <w:r>
        <w:rPr>
          <w:i/>
          <w:iCs/>
          <w:sz w:val="14"/>
          <w:szCs w:val="14"/>
        </w:rPr>
        <w:t xml:space="preserve">                              Figura 2: Vdekjet totale nga COVID-19 në Kosovë</w:t>
      </w:r>
    </w:p>
    <w:p>
      <w:pPr>
        <w:rPr>
          <w:rFonts w:eastAsia="Times New Roman"/>
        </w:rPr>
      </w:pPr>
      <w:r>
        <w:rPr>
          <w:rFonts w:eastAsia="Times New Roman"/>
        </w:rPr>
      </w:r>
    </w:p>
    <w:p>
      <w:pPr>
        <w:rPr>
          <w:rFonts w:eastAsia="Times New Roman"/>
        </w:rPr>
      </w:pPr>
      <w:r>
        <w:rPr>
          <w:rFonts w:eastAsia="Times New Roman"/>
        </w:rPr>
      </w:r>
    </w:p>
    <w:p>
      <w:pPr>
        <w:rPr>
          <w:rFonts w:eastAsia="Times New Roman"/>
        </w:rPr>
      </w:pPr>
      <w:r>
        <w:rPr>
          <w:rFonts w:eastAsia="Times New Roman"/>
        </w:rPr>
      </w:r>
    </w:p>
    <w:p>
      <w:pPr>
        <w:rPr>
          <w:rFonts w:eastAsia="Times New Roman"/>
        </w:rPr>
      </w:pPr>
      <w:r>
        <w:rPr>
          <w:rFonts w:eastAsia="Times New Roman"/>
        </w:rPr>
      </w:r>
    </w:p>
    <w:p>
      <w:pPr>
        <w:rPr>
          <w:rFonts w:eastAsia="Times New Roman"/>
        </w:rPr>
      </w:pPr>
      <w:r>
        <w:rPr>
          <w:rFonts w:eastAsia="Times New Roman"/>
        </w:rPr>
      </w:r>
    </w:p>
    <w:p>
      <w:pPr>
        <w:rPr>
          <w:rFonts w:eastAsia="Times New Roman"/>
        </w:rPr>
      </w:pPr>
      <w:r>
        <w:rPr>
          <w:rFonts w:eastAsia="Times New Roman"/>
        </w:rPr>
      </w:r>
    </w:p>
    <w:p>
      <w:pPr>
        <w:rPr>
          <w:rFonts w:eastAsia="Times New Roman"/>
        </w:rPr>
      </w:pPr>
      <w:r>
        <w:rPr>
          <w:rFonts w:eastAsia="Times New Roman"/>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Times New Roman" w:cs="Times New Roman"/>
          <w:sz w:val="28"/>
          <w:szCs w:val="28"/>
        </w:rPr>
      </w:pPr>
      <w:r>
        <w:rPr>
          <w:rFonts w:ascii="Times New Roman" w:hAnsi="Times New Roman" w:eastAsia="Times New Roman" w:cs="Times New Roman"/>
          <w:sz w:val="28"/>
          <w:szCs w:val="28"/>
        </w:rPr>
        <w:t>3. Rastet ditore dhe mesatarja 7-ditore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2"/>
        </w:rPr>
      </w:pPr>
      <w:r>
        <w:rPr>
          <w:rFonts w:eastAsia="Times New Roman"/>
          <w:sz w:val="20"/>
          <w:szCs w:val="32"/>
        </w:rPr>
        <w:t>Grafiku i rasteve ditore paraqet numrin e rasteve të reja për çdo ditë, ndërsa vija e kuqe paraqet mesataren lëvizëse 7-ditore.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2"/>
        </w:rPr>
      </w:pPr>
      <w:r>
        <w:rPr>
          <w:rFonts w:eastAsia="Times New Roman"/>
          <w:sz w:val="20"/>
          <w:szCs w:val="32"/>
        </w:rPr>
        <w:t>Mesatarja 7-ditore përdoret sepse rastet ditore mund të kenë luhatje të mëdha. Për shembull, në disa ditë mund të raportohen më pak raste për shkak të vonesave në raportim, ndërsa në ditë të tjera mund të ketë rritje më të madhe. Mesatarja 7-ditore e zbut këtë luhatje dhe e bën trendin më të qartë.</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2"/>
        </w:rPr>
      </w:pPr>
      <w:r>
        <w:rPr>
          <w:rFonts w:eastAsia="Times New Roman"/>
          <w:sz w:val="20"/>
          <w:szCs w:val="32"/>
        </w:rPr>
        <w:t>Nga grafiku shihet se ka disa periudha me rritje të madhe të rasteve. Këto periudha mund të interpretohen si valë të pandemisë. Çdo valë karakterizohet me rritje të rasteve, arritje të një piku dhe pastaj rënie graduale.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rPr>
      </w:pPr>
      <w:r>
        <w:rPr>
          <w:rFonts w:eastAsia="Times New Roman"/>
          <w:sz w:val="20"/>
          <w:szCs w:val="32"/>
        </w:rPr>
        <w:t>Ky grafik është ndër më të rëndësishmit për analizën, sepse tregon jo vetëm numrat totalë, por edhe ritmin e përhapjes së virusit në periudha të ndryshme.</w:t>
      </w:r>
      <w:r>
        <w:rPr>
          <w:rFonts w:eastAsia="Times New Roman"/>
        </w:rPr>
      </w:r>
      <w:r>
        <w:rPr>
          <w:noProof/>
        </w:rPr>
        <w:drawing>
          <wp:inline distT="0" distB="0" distL="0" distR="0">
            <wp:extent cx="6130290" cy="200279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a:extLst>
                        <a:ext uri="sm">
                          <sm:smNativeData xmlns:sm="sm" val="SMDATA_16_wpgDahMAAAAlAAAAEQAAAG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LYlAABSDAAAtiUAAFIM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AAAAAAAAAAAAAAAAAAAAAAAAAAAAAAAAAAAAAAAAAAAAAAAtiUAAFIMAAAAAAAAAAAAAAAAAAAoAAAACAAAAAEAAAABAAAA"/>
                        </a:ext>
                      </a:extLst>
                    </pic:cNvPicPr>
                  </pic:nvPicPr>
                  <pic:blipFill>
                    <a:blip r:embed="rId10"/>
                    <a:stretch>
                      <a:fillRect/>
                    </a:stretch>
                  </pic:blipFill>
                  <pic:spPr>
                    <a:xfrm>
                      <a:off x="0" y="0"/>
                      <a:ext cx="6130290" cy="2002790"/>
                    </a:xfrm>
                    <a:prstGeom prst="rect">
                      <a:avLst/>
                    </a:prstGeom>
                    <a:noFill/>
                    <a:ln w="12700">
                      <a:noFill/>
                    </a:ln>
                  </pic:spPr>
                </pic:pic>
              </a:graphicData>
            </a:graphic>
          </wp:inline>
        </w:drawing>
      </w:r>
      <w:r>
        <w:rPr>
          <w:rFonts w:eastAsia="Times New Roman"/>
        </w:rPr>
      </w:r>
    </w:p>
    <w:p>
      <w:pPr>
        <w:ind w:left="2124" w:firstLine="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i/>
          <w:iCs/>
          <w:sz w:val="14"/>
          <w:szCs w:val="14"/>
        </w:rPr>
      </w:pPr>
      <w:r>
        <w:rPr>
          <w:i/>
          <w:iCs/>
          <w:sz w:val="14"/>
          <w:szCs w:val="14"/>
        </w:rPr>
        <w:t xml:space="preserve">                     Figura 3: Rastet ditore dhe mesatarja 7-ditore</w:t>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Times New Roman" w:cs="Times New Roman"/>
          <w:sz w:val="28"/>
          <w:szCs w:val="28"/>
        </w:rPr>
      </w:pPr>
      <w:r>
        <w:rPr>
          <w:rFonts w:ascii="Times New Roman" w:hAnsi="Times New Roman" w:eastAsia="Times New Roman" w:cs="Times New Roman"/>
          <w:sz w:val="28"/>
          <w:szCs w:val="28"/>
        </w:rPr>
        <w:t>4. Progresi i vaksinimit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2"/>
        </w:rPr>
      </w:pPr>
      <w:r>
        <w:rPr>
          <w:rFonts w:eastAsia="Times New Roman"/>
          <w:sz w:val="20"/>
          <w:szCs w:val="32"/>
        </w:rPr>
        <w:t>Grafiku i vaksinimit tregon përqindjen e vaksinimit në raport me popullsinë. Në fillim të periudhës, vlera është shumë e ulët, sepse vaksinimi nuk kishte filluar ende ose ishte në fazat e para.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2"/>
        </w:rPr>
      </w:pPr>
      <w:r>
        <w:rPr>
          <w:rFonts w:eastAsia="Times New Roman"/>
          <w:sz w:val="20"/>
          <w:szCs w:val="32"/>
        </w:rPr>
        <w:t>Me kalimin e kohës, sidomos pas vitit 2021, vërehet rritje e vazhdueshme e vaksinimit. Në fund të periudhës, përqindja e vaksinimit arrin rreth 46.8%.</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2"/>
        </w:rPr>
      </w:pPr>
      <w:r>
        <w:rPr>
          <w:rFonts w:eastAsia="Times New Roman"/>
          <w:sz w:val="20"/>
          <w:szCs w:val="32"/>
        </w:rPr>
        <w:t>Ky rezultat tregon se një pjesë e konsiderueshme e popullsisë është vaksinuar, por jo e gjithë popullsia. Vaksinimi është një indikator i rëndësishëm, sepse lidhet me mbrojtjen e popullsisë dhe menaxhimin e pasojave të pandemisë.</w:t>
      </w:r>
    </w:p>
    <w:p>
      <w:pPr>
        <w:rPr>
          <w:rFonts w:eastAsia="Times New Roman"/>
        </w:rPr>
      </w:pPr>
      <w:r>
        <w:rPr>
          <w:noProof/>
        </w:rPr>
        <w:drawing>
          <wp:inline distT="0" distB="0" distL="0" distR="0">
            <wp:extent cx="6139815" cy="200533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a:extLst>
                        <a:ext uri="sm">
                          <sm:smNativeData xmlns:sm="sm" val="SMDATA_16_wpgDahMAAAAlAAAAEQAAAG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MUlAABWDAAAxSUAAFYM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AAAAAAAAAAAAAAAAAAAAAAAAAAAAAAAAAAAAAAAAAAAAAAAxSUAAFYMAAAAAAAAAAAAAAAAAAAoAAAACAAAAAEAAAABAAAA"/>
                        </a:ext>
                      </a:extLst>
                    </pic:cNvPicPr>
                  </pic:nvPicPr>
                  <pic:blipFill>
                    <a:blip r:embed="rId11"/>
                    <a:stretch>
                      <a:fillRect/>
                    </a:stretch>
                  </pic:blipFill>
                  <pic:spPr>
                    <a:xfrm>
                      <a:off x="0" y="0"/>
                      <a:ext cx="6139815" cy="2005330"/>
                    </a:xfrm>
                    <a:prstGeom prst="rect">
                      <a:avLst/>
                    </a:prstGeom>
                    <a:noFill/>
                    <a:ln w="12700">
                      <a:noFill/>
                    </a:ln>
                  </pic:spPr>
                </pic:pic>
              </a:graphicData>
            </a:graphic>
          </wp:inline>
        </w:drawing>
      </w:r>
      <w:r>
        <w:rPr>
          <w:rFonts w:eastAsia="Times New Roman"/>
        </w:rPr>
      </w:r>
    </w:p>
    <w:p>
      <w:pPr>
        <w:ind w:left="2124" w:firstLine="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i/>
          <w:iCs/>
          <w:sz w:val="14"/>
          <w:szCs w:val="14"/>
        </w:rPr>
      </w:pPr>
      <w:r>
        <w:rPr>
          <w:i/>
          <w:iCs/>
          <w:sz w:val="14"/>
          <w:szCs w:val="14"/>
        </w:rPr>
        <w:t xml:space="preserve">                 Figura 4: Progresi i vaksinimit në Kosovë</w:t>
      </w:r>
    </w:p>
    <w:p>
      <w:pPr>
        <w:rPr>
          <w:rFonts w:eastAsia="Times New Roman"/>
        </w:rPr>
      </w:pPr>
      <w:r>
        <w:rPr>
          <w:rFonts w:eastAsia="Times New Roman"/>
        </w:rPr>
        <w:t xml:space="preserve"> </w:t>
      </w:r>
    </w:p>
    <w:p>
      <w:pPr>
        <w:rPr>
          <w:rFonts w:eastAsia="Times New Roman"/>
        </w:rPr>
      </w:pPr>
      <w:r>
        <w:rPr>
          <w:rFonts w:eastAsia="Times New Roman"/>
        </w:rPr>
      </w:r>
    </w:p>
    <w:p>
      <w:pPr>
        <w:rPr>
          <w:rFonts w:eastAsia="Times New Roman"/>
        </w:rPr>
      </w:pPr>
      <w:r>
        <w:rPr>
          <w:rFonts w:eastAsia="Times New Roman"/>
        </w:rPr>
      </w:r>
    </w:p>
    <w:p>
      <w:pPr>
        <w:rPr>
          <w:rFonts w:eastAsia="Times New Roman"/>
        </w:rPr>
      </w:pPr>
      <w:r>
        <w:rPr>
          <w:rFonts w:eastAsia="Times New Roman"/>
        </w:rPr>
      </w:r>
    </w:p>
    <w:p>
      <w:pPr>
        <w:rPr>
          <w:rFonts w:eastAsia="Times New Roman"/>
        </w:rPr>
      </w:pPr>
      <w:r>
        <w:rPr>
          <w:rFonts w:eastAsia="Times New Roman"/>
        </w:rPr>
      </w:r>
    </w:p>
    <w:p>
      <w:pPr>
        <w:rPr>
          <w:rFonts w:eastAsia="Times New Roman"/>
        </w:rPr>
      </w:pPr>
      <w:r>
        <w:rPr>
          <w:rFonts w:eastAsia="Times New Roman"/>
        </w:rPr>
      </w:r>
    </w:p>
    <w:p>
      <w:pPr>
        <w:rPr>
          <w:rFonts w:eastAsia="Times New Roman"/>
        </w:rPr>
      </w:pPr>
      <w:r>
        <w:rPr>
          <w:rFonts w:eastAsia="Times New Roman"/>
        </w:rPr>
      </w:r>
    </w:p>
    <w:p>
      <w:pPr>
        <w:rPr>
          <w:rFonts w:eastAsia="Times New Roman"/>
        </w:rPr>
      </w:pPr>
      <w:r>
        <w:rPr>
          <w:rFonts w:eastAsia="Times New Roman"/>
        </w:rPr>
      </w:r>
    </w:p>
    <w:p>
      <w:pPr>
        <w:rPr>
          <w:rFonts w:eastAsia="Times New Roman"/>
        </w:rPr>
      </w:pPr>
      <w:r>
        <w:rPr>
          <w:rFonts w:eastAsia="Times New Roman"/>
        </w:rPr>
      </w:r>
    </w:p>
    <w:p>
      <w:pPr>
        <w:rPr>
          <w:rFonts w:eastAsia="Times New Roman"/>
        </w:rPr>
      </w:pPr>
      <w:r>
        <w:rPr>
          <w:rFonts w:eastAsia="Times New Roman"/>
        </w:rPr>
      </w:r>
    </w:p>
    <w:p>
      <w:pPr>
        <w:rPr>
          <w:rFonts w:eastAsia="Times New Roman"/>
        </w:rPr>
      </w:pPr>
      <w:r>
        <w:rPr>
          <w:rFonts w:eastAsia="Times New Roman"/>
        </w:rPr>
      </w:r>
    </w:p>
    <w:p>
      <w:pPr>
        <w:rPr>
          <w:rFonts w:eastAsia="Times New Roman"/>
        </w:rPr>
      </w:pPr>
      <w:r>
        <w:rPr>
          <w:rFonts w:eastAsia="Times New Roman"/>
        </w:rPr>
      </w:r>
    </w:p>
    <w:p>
      <w:pPr>
        <w:rPr>
          <w:rFonts w:eastAsia="Times New Roman"/>
        </w:rPr>
      </w:pPr>
      <w:r>
        <w:rPr>
          <w:rFonts w:eastAsia="Times New Roman"/>
        </w:rPr>
      </w:r>
    </w:p>
    <w:p>
      <w:pPr>
        <w:rPr>
          <w:rFonts w:eastAsia="Times New Roman"/>
        </w:rPr>
      </w:pPr>
      <w:r>
        <w:rPr>
          <w:rFonts w:eastAsia="Times New Roman"/>
        </w:rPr>
      </w:r>
    </w:p>
    <w:p>
      <w:pPr>
        <w:rPr>
          <w:rFonts w:eastAsia="Times New Roman"/>
        </w:rPr>
      </w:pPr>
      <w:r>
        <w:rPr>
          <w:rFonts w:eastAsia="Times New Roman"/>
        </w:rPr>
      </w:r>
    </w:p>
    <w:p>
      <w:pPr>
        <w:rPr>
          <w:rFonts w:eastAsia="Times New Roman"/>
        </w:rPr>
      </w:pPr>
      <w:r>
        <w:rPr>
          <w:rFonts w:eastAsia="Times New Roman"/>
        </w:rPr>
      </w:r>
    </w:p>
    <w:p>
      <w:pPr>
        <w:rPr>
          <w:rFonts w:eastAsia="Times New Roman"/>
        </w:rPr>
      </w:pPr>
      <w:r>
        <w:rPr>
          <w:rFonts w:eastAsia="Times New Roman"/>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Times New Roman" w:cs="Times New Roman"/>
          <w:sz w:val="28"/>
          <w:szCs w:val="28"/>
        </w:rPr>
      </w:pPr>
      <w:r>
        <w:rPr>
          <w:rFonts w:ascii="Times New Roman" w:hAnsi="Times New Roman" w:eastAsia="Times New Roman" w:cs="Times New Roman"/>
          <w:sz w:val="28"/>
          <w:szCs w:val="28"/>
        </w:rPr>
        <w:t>5. Ndikimi në punësim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2"/>
        </w:rPr>
      </w:pPr>
      <w:r>
        <w:rPr>
          <w:rFonts w:eastAsia="Times New Roman"/>
          <w:sz w:val="20"/>
          <w:szCs w:val="32"/>
        </w:rPr>
        <w:t>Grafiku i papunësisë paraqet ndryshimin e papunësisë në tri periudha: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2"/>
        </w:rPr>
      </w:pPr>
      <w:r>
        <w:rPr>
          <w:rFonts w:eastAsia="Times New Roman"/>
          <w:sz w:val="20"/>
          <w:szCs w:val="32"/>
        </w:rPr>
        <w:t>Para COVID: 24%</w:t>
        <w:br w:type="textWrapping"/>
        <w:t>Gjatë COVID: 31%</w:t>
        <w:br w:type="textWrapping"/>
        <w:t>Pas COVID: 19%</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2"/>
        </w:rPr>
      </w:pPr>
      <w:r>
        <w:rPr>
          <w:rFonts w:eastAsia="Times New Roman"/>
          <w:sz w:val="20"/>
          <w:szCs w:val="32"/>
        </w:rPr>
        <w:t>Nga grafiku shihet se gjatë pandemisë papunësia është rritur nga 24% në 31%. Kjo tregon se COVID-19 ka pasur ndikim negativ në tregun e punës. Arsyet kryesore mund të lidhen me kufizimet, mbylljen e bizneseve, uljen e aktivitetit ekonomik dhe pasigurinë në treg.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2"/>
        </w:rPr>
      </w:pPr>
      <w:r>
        <w:rPr>
          <w:rFonts w:eastAsia="Times New Roman"/>
          <w:sz w:val="20"/>
          <w:szCs w:val="32"/>
        </w:rPr>
        <w:t>Pas pandemisë, papunësia bie në 19%, që tregon një përmirësim dhe rimëkëmbje të tregut të punës. Ky rezultat tregon se ndikimi i pandemisë ka qenë i madh, por pas kalimit të periudhës kritike ka pasur shenja pozitive të rikuperimit.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2"/>
        </w:rPr>
      </w:pPr>
      <w:r>
        <w:rPr>
          <w:rFonts w:eastAsia="Times New Roman"/>
          <w:sz w:val="20"/>
          <w:szCs w:val="32"/>
        </w:rPr>
      </w:r>
    </w:p>
    <w:p>
      <w:pPr>
        <w:ind w:left="708" w:firstLine="708"/>
        <w:rPr>
          <w:rFonts w:eastAsia="Times New Roman"/>
        </w:rPr>
      </w:pPr>
      <w:r>
        <w:rPr>
          <w:noProof/>
        </w:rPr>
        <w:drawing>
          <wp:inline distT="0" distB="0" distL="0" distR="0">
            <wp:extent cx="4076065" cy="269811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a:extLst>
                        <a:ext uri="sm">
                          <sm:smNativeData xmlns:sm="sm" val="SMDATA_16_wpgDahMAAAAlAAAAEQAAAG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BMZAACZEAAAExkAAJkQ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AAAAAAAAAAAAAAAAAAAAAAAAAAAAAAAAAAAAAAAAAAAAAAAExkAAJkQAAAAAAAAAAAAAAAAAAAoAAAACAAAAAEAAAABAAAA"/>
                        </a:ext>
                      </a:extLst>
                    </pic:cNvPicPr>
                  </pic:nvPicPr>
                  <pic:blipFill>
                    <a:blip r:embed="rId12"/>
                    <a:stretch>
                      <a:fillRect/>
                    </a:stretch>
                  </pic:blipFill>
                  <pic:spPr>
                    <a:xfrm>
                      <a:off x="0" y="0"/>
                      <a:ext cx="4076065" cy="2698115"/>
                    </a:xfrm>
                    <a:prstGeom prst="rect">
                      <a:avLst/>
                    </a:prstGeom>
                    <a:noFill/>
                    <a:ln w="12700">
                      <a:noFill/>
                    </a:ln>
                  </pic:spPr>
                </pic:pic>
              </a:graphicData>
            </a:graphic>
          </wp:inline>
        </w:drawing>
      </w:r>
      <w:r>
        <w:rPr>
          <w:rFonts w:eastAsia="Times New Roman"/>
        </w:rPr>
      </w:r>
    </w:p>
    <w:p>
      <w:pPr>
        <w:ind w:left="1416" w:firstLine="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i/>
          <w:iCs/>
          <w:sz w:val="14"/>
          <w:szCs w:val="14"/>
        </w:rPr>
      </w:pPr>
      <w:r>
        <w:rPr>
          <w:i/>
          <w:iCs/>
          <w:sz w:val="14"/>
          <w:szCs w:val="14"/>
        </w:rPr>
        <w:t xml:space="preserve">                       Figura 5: Ndryshimi i papunësisë para, gjatë dhe pas COVID-19</w:t>
      </w:r>
    </w:p>
    <w:p>
      <w:pPr>
        <w:rPr>
          <w:rFonts w:eastAsia="Times New Roman"/>
        </w:rPr>
      </w:pPr>
      <w:r>
        <w:rPr>
          <w:rFonts w:eastAsia="Times New Roman"/>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Times New Roman" w:cs="Times New Roman"/>
          <w:sz w:val="28"/>
          <w:szCs w:val="28"/>
        </w:rPr>
      </w:pPr>
      <w:r>
        <w:rPr>
          <w:rFonts w:ascii="Times New Roman" w:hAnsi="Times New Roman" w:eastAsia="Times New Roman" w:cs="Times New Roman"/>
          <w:sz w:val="28"/>
          <w:szCs w:val="28"/>
        </w:rPr>
        <w:t>6. Ndikimi ekonomik – GDP Growth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2"/>
        </w:rPr>
      </w:pPr>
      <w:r>
        <w:rPr>
          <w:rFonts w:eastAsia="Times New Roman"/>
          <w:sz w:val="20"/>
          <w:szCs w:val="32"/>
        </w:rPr>
        <w:t>Grafiku i GDP Growth paraqet rritjen ekonomike për vitet 2019–2022:</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2"/>
        </w:rPr>
      </w:pPr>
      <w:r>
        <w:rPr>
          <w:rFonts w:eastAsia="Times New Roman"/>
          <w:sz w:val="20"/>
          <w:szCs w:val="32"/>
        </w:rPr>
        <w:t>2019: 4.5%</w:t>
        <w:br w:type="textWrapping"/>
        <w:t>2020: -5.3%</w:t>
        <w:br w:type="textWrapping"/>
        <w:t>2021: 6.1%</w:t>
        <w:br w:type="textWrapping"/>
        <w:t>2022: 3.8%</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2"/>
        </w:rPr>
      </w:pPr>
      <w:r>
        <w:rPr>
          <w:rFonts w:eastAsia="Times New Roman"/>
          <w:sz w:val="20"/>
          <w:szCs w:val="32"/>
        </w:rPr>
        <w:t>Në vitin 2019, para pandemisë, Kosova kishte rritje ekonomike pozitive prej 4.5%. Në vitin 2020, gjatë pandemisë, GDP bie në -5.3%, që tregon ndikimin negativ të pandemisë në ekonomi.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2"/>
        </w:rPr>
      </w:pPr>
      <w:r>
        <w:rPr>
          <w:rFonts w:eastAsia="Times New Roman"/>
          <w:sz w:val="20"/>
          <w:szCs w:val="32"/>
        </w:rPr>
        <w:t>Në vitin 2021 vërehet rimëkëmbje e fuqishme me 6.1%, ndërsa në vitin 2022 rritja vazhdon me 3.8%. Kjo tregon se ekonomia filloi të rikuperohej pas goditjes së vitit 2020.</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2"/>
        </w:rPr>
      </w:pPr>
      <w:r>
        <w:rPr>
          <w:rFonts w:eastAsia="Times New Roman"/>
          <w:sz w:val="20"/>
          <w:szCs w:val="32"/>
        </w:rPr>
        <w:t>Ky grafik dëshmon se COVID-19 nuk ka ndikuar vetëm në shëndet publik, por edhe në ekonominë e vendit.</w:t>
      </w:r>
    </w:p>
    <w:p>
      <w:pPr>
        <w:rPr>
          <w:rFonts w:eastAsia="Times New Roman"/>
        </w:rPr>
      </w:pPr>
      <w:r>
        <w:rPr>
          <w:rFonts w:eastAsia="Times New Roman"/>
        </w:rPr>
        <w:t xml:space="preserve">       </w:t>
      </w:r>
      <w:r>
        <w:rPr>
          <w:noProof/>
        </w:rPr>
        <w:drawing>
          <wp:inline distT="0" distB="0" distL="0" distR="0">
            <wp:extent cx="5386070" cy="355219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a:extLst>
                        <a:ext uri="sm">
                          <sm:smNativeData xmlns:sm="sm" val="SMDATA_16_wpgDahMAAAAlAAAAEQAAAG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AAAAAAAAAAAAAAAAAAAAAAAAAAAAAAAAAAAAAAAAAAAAAAAIiEAANoVAAAAAAAAAAAAAAAAAAAoAAAACAAAAAEAAAABAAAA"/>
                        </a:ext>
                      </a:extLst>
                    </pic:cNvPicPr>
                  </pic:nvPicPr>
                  <pic:blipFill>
                    <a:blip r:embed="rId13"/>
                    <a:stretch>
                      <a:fillRect/>
                    </a:stretch>
                  </pic:blipFill>
                  <pic:spPr>
                    <a:xfrm>
                      <a:off x="0" y="0"/>
                      <a:ext cx="5386070" cy="3552190"/>
                    </a:xfrm>
                    <a:prstGeom prst="rect">
                      <a:avLst/>
                    </a:prstGeom>
                    <a:noFill/>
                    <a:ln w="12700">
                      <a:noFill/>
                    </a:ln>
                  </pic:spPr>
                </pic:pic>
              </a:graphicData>
            </a:graphic>
          </wp:inline>
        </w:drawing>
      </w:r>
      <w:r>
        <w:rPr>
          <w:rFonts w:eastAsia="Times New Roman"/>
        </w:rPr>
      </w:r>
    </w:p>
    <w:p>
      <w:pPr>
        <w:ind w:left="1416" w:firstLine="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i/>
          <w:iCs/>
          <w:sz w:val="14"/>
          <w:szCs w:val="14"/>
        </w:rPr>
      </w:pPr>
      <w:r>
        <w:rPr>
          <w:i/>
          <w:iCs/>
          <w:sz w:val="14"/>
          <w:szCs w:val="14"/>
        </w:rPr>
        <w:t xml:space="preserve">                       Figura 6: Rritja ekonomike e Kosovës gjatë periudhës 2019–2022</w:t>
      </w:r>
    </w:p>
    <w:p>
      <w:pPr>
        <w:rPr>
          <w:rFonts w:eastAsia="Times New Roman"/>
        </w:rPr>
      </w:pPr>
      <w:r>
        <w:rPr>
          <w:rFonts w:eastAsia="Times New Roman"/>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Times New Roman" w:cs="Times New Roman"/>
          <w:sz w:val="28"/>
          <w:szCs w:val="28"/>
        </w:rPr>
      </w:pPr>
      <w:r>
        <w:rPr>
          <w:rFonts w:ascii="Times New Roman" w:hAnsi="Times New Roman" w:eastAsia="Times New Roman" w:cs="Times New Roman"/>
          <w:sz w:val="28"/>
          <w:szCs w:val="28"/>
        </w:rPr>
        <w:t>7. Ndikimi në arsim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2"/>
        </w:rPr>
      </w:pPr>
      <w:r>
        <w:rPr>
          <w:rFonts w:eastAsia="Times New Roman"/>
          <w:sz w:val="20"/>
          <w:szCs w:val="32"/>
        </w:rPr>
        <w:t>Grafiku për metodat e mësimit gjatë pandemisë tregon se: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2"/>
        </w:rPr>
      </w:pPr>
      <w:r>
        <w:rPr>
          <w:rFonts w:eastAsia="Times New Roman"/>
          <w:sz w:val="20"/>
          <w:szCs w:val="32"/>
        </w:rPr>
        <w:t>20% e mësimit ka qenë me shkolla të hapura</w:t>
        <w:br w:type="textWrapping"/>
        <w:t>80% ka kaluar në online learning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2"/>
        </w:rPr>
      </w:pPr>
      <w:r>
        <w:rPr>
          <w:rFonts w:eastAsia="Times New Roman"/>
          <w:sz w:val="20"/>
          <w:szCs w:val="32"/>
        </w:rPr>
        <w:t>Kjo tregon se pandemia ka pasur ndikim shumë të madh në sistemin arsimor. Shumica e nxënësve dhe studentëve janë detyruar të kalojnë në mësim online.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2"/>
        </w:rPr>
      </w:pPr>
      <w:r>
        <w:rPr>
          <w:rFonts w:eastAsia="Times New Roman"/>
          <w:sz w:val="20"/>
          <w:szCs w:val="32"/>
        </w:rPr>
        <w:t>Në dashboard janë paraqitur edhe këto statistika: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2"/>
        </w:rPr>
      </w:pPr>
      <w:r>
        <w:rPr>
          <w:rFonts w:eastAsia="Times New Roman"/>
          <w:sz w:val="20"/>
          <w:szCs w:val="32"/>
        </w:rPr>
        <w:t>Students Affected: 200,000+</w:t>
        <w:br w:type="textWrapping"/>
        <w:t>Schools Closed: 100% during peak</w:t>
        <w:br w:type="textWrapping"/>
        <w:t>Digital Divide: 40% lack of internet access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2"/>
        </w:rPr>
      </w:pPr>
      <w:r>
        <w:rPr>
          <w:rFonts w:eastAsia="Times New Roman"/>
          <w:sz w:val="20"/>
          <w:szCs w:val="32"/>
        </w:rPr>
        <w:t>Këto të dhëna tregojnë se mbi 200,000 studentë janë prekur nga ndryshimet në arsim. Gjatë periudhës më kritike, shkollat kanë qenë të mbyllura plotësisht. Gjithashtu, problemi i qasjes në internet ka qenë shumë i rëndësishëm, sepse rreth 40% kanë pasur mungesë ose vështirësi në qasje digjitale.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2"/>
        </w:rPr>
      </w:pPr>
      <w:r>
        <w:rPr>
          <w:rFonts w:eastAsia="Times New Roman"/>
          <w:sz w:val="20"/>
          <w:szCs w:val="32"/>
        </w:rPr>
        <w:t>Kjo tregon se mësimi online nuk ka qenë njësoj i lehtë për të gjithë, sepse jo çdo nxënës ka pasur kushte të barabarta teknologjike.</w:t>
      </w:r>
    </w:p>
    <w:p>
      <w:pPr>
        <w:ind w:left="708" w:firstLine="708"/>
        <w:rPr>
          <w:rFonts w:eastAsia="Times New Roman"/>
        </w:rPr>
      </w:pPr>
      <w:r>
        <w:rPr>
          <w:noProof/>
        </w:rPr>
        <w:drawing>
          <wp:inline distT="0" distB="0" distL="0" distR="0">
            <wp:extent cx="3868420" cy="391350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a:extLst>
                        <a:ext uri="sm">
                          <sm:smNativeData xmlns:sm="sm" val="SMDATA_16_wpgDahMAAAAlAAAAEQAAAG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MwXAAATGAAAzBcAABMY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AAAAAAAAAAAAAAAAAAAAAAAAAAAAAAAAAAAAAAAAAAAAAAAzBcAABMYAAAAAAAAAAAAAAAAAAAoAAAACAAAAAEAAAABAAAA"/>
                        </a:ext>
                      </a:extLst>
                    </pic:cNvPicPr>
                  </pic:nvPicPr>
                  <pic:blipFill>
                    <a:blip r:embed="rId14"/>
                    <a:stretch>
                      <a:fillRect/>
                    </a:stretch>
                  </pic:blipFill>
                  <pic:spPr>
                    <a:xfrm>
                      <a:off x="0" y="0"/>
                      <a:ext cx="3868420" cy="3913505"/>
                    </a:xfrm>
                    <a:prstGeom prst="rect">
                      <a:avLst/>
                    </a:prstGeom>
                    <a:noFill/>
                    <a:ln w="12700">
                      <a:noFill/>
                    </a:ln>
                  </pic:spPr>
                </pic:pic>
              </a:graphicData>
            </a:graphic>
          </wp:inline>
        </w:drawing>
      </w:r>
      <w:r>
        <w:rPr>
          <w:rFonts w:eastAsia="Times New Roman"/>
        </w:rPr>
      </w:r>
    </w:p>
    <w:p>
      <w:pPr>
        <w:ind w:left="283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i/>
          <w:iCs/>
          <w:sz w:val="14"/>
          <w:szCs w:val="14"/>
        </w:rPr>
      </w:pPr>
      <w:r>
        <w:rPr>
          <w:i/>
          <w:iCs/>
          <w:sz w:val="14"/>
          <w:szCs w:val="14"/>
        </w:rPr>
        <w:t xml:space="preserve">             Figura 7: Ndikimi i COVID-19 në arsim</w:t>
      </w:r>
    </w:p>
    <w:p>
      <w:pPr>
        <w:rPr>
          <w:rFonts w:eastAsia="Times New Roman"/>
        </w:rPr>
      </w:pPr>
      <w:r>
        <w:rPr>
          <w:rFonts w:eastAsia="Times New Roman"/>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Times New Roman" w:cs="Times New Roman"/>
          <w:sz w:val="28"/>
          <w:szCs w:val="28"/>
        </w:rPr>
      </w:pPr>
      <w:r>
        <w:rPr>
          <w:rFonts w:ascii="Times New Roman" w:hAnsi="Times New Roman" w:eastAsia="Times New Roman" w:cs="Times New Roman"/>
          <w:sz w:val="28"/>
          <w:szCs w:val="28"/>
        </w:rPr>
        <w:t>8. Matrica e korrelacionit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2"/>
        </w:rPr>
      </w:pPr>
      <w:r>
        <w:rPr>
          <w:rFonts w:eastAsia="Times New Roman"/>
          <w:sz w:val="20"/>
          <w:szCs w:val="32"/>
        </w:rPr>
        <w:t>Heatmap-i i korrelacionit paraqet lidhjen mes variablave kryesore të dataset-it, si: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2"/>
        </w:rPr>
      </w:pPr>
      <w:r>
        <w:rPr>
          <w:rFonts w:eastAsia="Times New Roman"/>
          <w:sz w:val="20"/>
          <w:szCs w:val="32"/>
        </w:rPr>
        <w:t>total_cases</w:t>
        <w:br w:type="textWrapping"/>
        <w:t>new_cases</w:t>
        <w:br w:type="textWrapping"/>
        <w:t>total_deaths</w:t>
        <w:br w:type="textWrapping"/>
        <w:t>new_deaths</w:t>
        <w:br w:type="textWrapping"/>
        <w:t>total_vaccinations</w:t>
        <w:br w:type="textWrapping"/>
        <w:t>new_vaccinations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2"/>
        </w:rPr>
      </w:pPr>
      <w:r>
        <w:rPr>
          <w:rFonts w:eastAsia="Times New Roman"/>
          <w:sz w:val="20"/>
          <w:szCs w:val="32"/>
        </w:rPr>
        <w:t>Vlerat e korrelacionit interpretohen kështu:</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2"/>
        </w:rPr>
      </w:pPr>
      <w:r>
        <w:rPr>
          <w:rFonts w:eastAsia="Times New Roman"/>
          <w:sz w:val="20"/>
          <w:szCs w:val="32"/>
        </w:rPr>
        <w:t>Afër 1  = lidhje e fortë pozitive</w:t>
        <w:br w:type="textWrapping"/>
        <w:t>Afër 0  = lidhje e dobët ose pa lidhje</w:t>
        <w:br w:type="textWrapping"/>
        <w:t>Afër -1 = lidhje negative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2"/>
        </w:rPr>
      </w:pPr>
      <w:r>
        <w:rPr>
          <w:rFonts w:eastAsia="Times New Roman"/>
          <w:sz w:val="20"/>
          <w:szCs w:val="32"/>
        </w:rPr>
        <w:t>Nga heatmap-i shihet se total_cases dhe total_deaths kanë korrelacion shumë të lartë, afër 1.00. Kjo tregon se me rritjen e rasteve totale, janë rritur edhe vdekjet totale.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2"/>
        </w:rPr>
      </w:pPr>
      <w:r>
        <w:rPr>
          <w:rFonts w:eastAsia="Times New Roman"/>
          <w:sz w:val="20"/>
          <w:szCs w:val="32"/>
        </w:rPr>
        <w:t>Po ashtu, new_cases dhe new_deaths kanë lidhje të fortë pozitive, rreth 0.98. Kjo tregon se ditët me më shumë raste të reja zakonisht lidhen edhe me rritje të vdekjeve të reja.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2"/>
        </w:rPr>
      </w:pPr>
      <w:r>
        <w:rPr>
          <w:rFonts w:eastAsia="Times New Roman"/>
          <w:sz w:val="20"/>
          <w:szCs w:val="32"/>
        </w:rPr>
        <w:t>Gjithashtu vërehet lidhje e lartë mes rasteve totale dhe vaksinimeve totale, sepse të dyja janë vlera kumulative që rriten me kohën.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2"/>
        </w:rPr>
      </w:pPr>
      <w:r>
        <w:rPr>
          <w:rFonts w:eastAsia="Times New Roman"/>
          <w:sz w:val="20"/>
          <w:szCs w:val="32"/>
        </w:rPr>
        <w:t>Duhet theksuar se korrelacioni nuk nënkupton domosdoshmërisht shkakësi. Ai tregon lidhje statistikore, por jo gjithmonë tregon se një variabël e shkakton tjetrën.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2"/>
        </w:rPr>
      </w:pPr>
      <w:r>
        <w:rPr>
          <w:rFonts w:eastAsia="Times New Roman"/>
          <w:sz w:val="20"/>
          <w:szCs w:val="32"/>
        </w:rPr>
      </w:r>
    </w:p>
    <w:p>
      <w:pPr>
        <w:rPr>
          <w:rFonts w:eastAsia="Times New Roman"/>
        </w:rPr>
      </w:pPr>
      <w:r>
        <w:rPr>
          <w:noProof/>
        </w:rPr>
        <w:drawing>
          <wp:inline distT="0" distB="0" distL="0" distR="0">
            <wp:extent cx="6021070" cy="5390515"/>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a:extLst>
                        <a:ext uri="sm">
                          <sm:smNativeData xmlns:sm="sm" val="SMDATA_16_wpgDahMAAAAlAAAAEQAAAC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AAAAAAAAAAAAAAAAAAAAAAAAAAAAAAAAAAAAAAAAAAAAAAACiUAACkhAAAAAAAAAAAAAAAAAAAoAAAACAAAAAEAAAABAAAA"/>
                        </a:ext>
                      </a:extLst>
                    </pic:cNvPicPr>
                  </pic:nvPicPr>
                  <pic:blipFill>
                    <a:blip r:embed="rId15"/>
                    <a:stretch>
                      <a:fillRect/>
                    </a:stretch>
                  </pic:blipFill>
                  <pic:spPr>
                    <a:xfrm>
                      <a:off x="0" y="0"/>
                      <a:ext cx="6021070" cy="5390515"/>
                    </a:xfrm>
                    <a:prstGeom prst="rect">
                      <a:avLst/>
                    </a:prstGeom>
                    <a:noFill/>
                    <a:ln w="12700">
                      <a:noFill/>
                    </a:ln>
                  </pic:spPr>
                </pic:pic>
              </a:graphicData>
            </a:graphic>
          </wp:inline>
        </w:drawing>
      </w:r>
      <w:r>
        <w:rPr>
          <w:rFonts w:eastAsia="Times New Roman"/>
        </w:rPr>
      </w:r>
    </w:p>
    <w:p>
      <w:pPr>
        <w:ind w:left="283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i/>
          <w:iCs/>
          <w:sz w:val="14"/>
          <w:szCs w:val="14"/>
        </w:rPr>
      </w:pPr>
      <w:r>
        <w:rPr>
          <w:i/>
          <w:iCs/>
          <w:sz w:val="14"/>
          <w:szCs w:val="14"/>
        </w:rPr>
        <w:t xml:space="preserve">  </w:t>
        <w:tab/>
        <w:t xml:space="preserve">   Figura 8: Heatmap-i i korrelacionit</w:t>
      </w:r>
    </w:p>
    <w:p>
      <w:pPr>
        <w:rPr>
          <w:rFonts w:eastAsia="Times New Roman"/>
        </w:rPr>
      </w:pPr>
      <w:r>
        <w:rPr>
          <w:rFonts w:eastAsia="Times New Roman"/>
        </w:rPr>
      </w:r>
    </w:p>
    <w:p>
      <w:pPr>
        <w:rPr>
          <w:rFonts w:eastAsia="Times New Roman"/>
        </w:rPr>
      </w:pPr>
      <w:r>
        <w:rPr>
          <w:rFonts w:eastAsia="Times New Roman"/>
        </w:rPr>
      </w:r>
    </w:p>
    <w:p>
      <w:pPr>
        <w:rPr>
          <w:rFonts w:eastAsia="Times New Roman"/>
        </w:rPr>
      </w:pPr>
      <w:r>
        <w:rPr>
          <w:rFonts w:eastAsia="Times New Roman"/>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Times New Roman" w:cs="Times New Roman"/>
          <w:sz w:val="28"/>
          <w:szCs w:val="28"/>
        </w:rPr>
      </w:pPr>
      <w:r>
        <w:rPr>
          <w:rFonts w:ascii="Times New Roman" w:hAnsi="Times New Roman" w:eastAsia="Times New Roman" w:cs="Times New Roman"/>
          <w:sz w:val="28"/>
          <w:szCs w:val="28"/>
        </w:rPr>
        <w:t>9. Parashikimi me Linear Regression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2"/>
        </w:rPr>
      </w:pPr>
      <w:r>
        <w:rPr>
          <w:rFonts w:eastAsia="Times New Roman"/>
          <w:sz w:val="20"/>
          <w:szCs w:val="32"/>
        </w:rPr>
        <w:t>Në pjesën e Machine Learning është përdorur modeli Linear Regression për të parashikuar rastet totale për ditët e ardhshme.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2"/>
        </w:rPr>
      </w:pPr>
      <w:r>
        <w:rPr>
          <w:rFonts w:eastAsia="Times New Roman"/>
          <w:sz w:val="20"/>
          <w:szCs w:val="32"/>
        </w:rPr>
        <w:t>Në dashboard është zgjedhur periudha: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2"/>
        </w:rPr>
      </w:pPr>
      <w:r>
        <w:rPr>
          <w:rFonts w:eastAsia="Times New Roman"/>
          <w:sz w:val="20"/>
          <w:szCs w:val="32"/>
        </w:rPr>
        <w:t>Prediction Period: 7 days</w:t>
        <w:br w:type="textWrapping"/>
        <w:t>Final Prediction: 874,928</w:t>
        <w:br w:type="textWrapping"/>
        <w:t>Expected Growth: -1.7%</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2"/>
        </w:rPr>
      </w:pPr>
      <w:r>
        <w:rPr>
          <w:rFonts w:eastAsia="Times New Roman"/>
          <w:sz w:val="20"/>
          <w:szCs w:val="32"/>
        </w:rPr>
        <w:t>Modeli parashikon që pas 7 ditëve numri total i rasteve të jetë rreth 874,928. Në këtë rezultat paraqitet edhe një rënie prej -1.7%, që tregon se parashikimi i modelit nuk është plotësisht i përshtatshëm për këtë dataset në këtë formë.</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2"/>
        </w:rPr>
      </w:pPr>
      <w:r>
        <w:rPr>
          <w:rFonts w:eastAsia="Times New Roman"/>
          <w:sz w:val="20"/>
          <w:szCs w:val="32"/>
        </w:rPr>
        <w:t>Kjo ndodh sepse Linear Regression është model i thjeshtë dhe supozon një trend linear. Në realitet, rastet e COVID-19 nuk rriten gjithmonë në mënyrë lineare. Ato varen nga shumë faktorë, si masat kufizuese, vaksinimi, variantet e virusit, testimi dhe sjellja e popullsisë.</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2"/>
        </w:rPr>
      </w:pPr>
      <w:r>
        <w:rPr>
          <w:rFonts w:eastAsia="Times New Roman"/>
          <w:sz w:val="20"/>
          <w:szCs w:val="32"/>
        </w:rPr>
        <w:t>Prandaj, ky model përdoret më shumë si demonstrim i një metode të Machine Learning dhe jo si parashikim i saktë epidemiologjik.</w:t>
      </w:r>
    </w:p>
    <w:p>
      <w:pPr>
        <w:rPr>
          <w:rFonts w:eastAsia="Times New Roman"/>
        </w:rPr>
      </w:pPr>
      <w:r>
        <w:rPr>
          <w:noProof/>
        </w:rPr>
        <w:drawing>
          <wp:inline distT="0" distB="0" distL="0" distR="0">
            <wp:extent cx="5955665" cy="2337435"/>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a:extLst>
                        <a:ext uri="sm">
                          <sm:smNativeData xmlns:sm="sm" val="SMDATA_16_wpgDahMAAAAlAAAAEQAAAG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KMkAABhDgAAoyQAAGEO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AAAAAAAAAAAAAAAAAAAAAAAAAAAAAAAAAAAAAAAAAAAAAAAoyQAAGEOAAAAAAAAAAAAAAAAAAAoAAAACAAAAAEAAAABAAAA"/>
                        </a:ext>
                      </a:extLst>
                    </pic:cNvPicPr>
                  </pic:nvPicPr>
                  <pic:blipFill>
                    <a:blip r:embed="rId16"/>
                    <a:stretch>
                      <a:fillRect/>
                    </a:stretch>
                  </pic:blipFill>
                  <pic:spPr>
                    <a:xfrm>
                      <a:off x="0" y="0"/>
                      <a:ext cx="5955665" cy="2337435"/>
                    </a:xfrm>
                    <a:prstGeom prst="rect">
                      <a:avLst/>
                    </a:prstGeom>
                    <a:noFill/>
                    <a:ln w="12700">
                      <a:noFill/>
                    </a:ln>
                  </pic:spPr>
                </pic:pic>
              </a:graphicData>
            </a:graphic>
          </wp:inline>
        </w:drawing>
      </w:r>
      <w:r>
        <w:rPr>
          <w:rFonts w:eastAsia="Times New Roman"/>
        </w:rPr>
      </w:r>
    </w:p>
    <w:p>
      <w:pPr>
        <w:ind w:left="2124"/>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i/>
          <w:iCs/>
          <w:sz w:val="14"/>
          <w:szCs w:val="14"/>
        </w:rPr>
      </w:pPr>
      <w:r>
        <w:rPr>
          <w:i/>
          <w:iCs/>
          <w:sz w:val="14"/>
          <w:szCs w:val="14"/>
        </w:rPr>
        <w:t xml:space="preserve">     </w:t>
        <w:tab/>
        <w:t>Figura 9: Parashikimi i rasteve totale për 7 ditët e ardhshme</w:t>
      </w:r>
    </w:p>
    <w:p>
      <w:pPr>
        <w:pStyle w:val="para1"/>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Times New Roman" w:cs="Times New Roman"/>
          <w:sz w:val="28"/>
          <w:szCs w:val="28"/>
        </w:rPr>
      </w:pPr>
      <w:r>
        <w:rPr>
          <w:rFonts w:ascii="Times New Roman" w:hAnsi="Times New Roman" w:eastAsia="Times New Roman" w:cs="Times New Roman"/>
          <w:sz w:val="28"/>
          <w:szCs w:val="28"/>
        </w:rPr>
        <w:t>Përfundim i analizës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6"/>
        </w:rPr>
      </w:pPr>
      <w:r>
        <w:rPr>
          <w:rFonts w:eastAsia="Times New Roman"/>
          <w:sz w:val="20"/>
          <w:szCs w:val="36"/>
        </w:rPr>
        <w:t>Nga grafikët dhe rezultatet mund të përfundohet se COVID-19 ka pasur ndikim të madh në Kosovë në disa fusha.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6"/>
        </w:rPr>
      </w:pPr>
      <w:r>
        <w:rPr>
          <w:rFonts w:eastAsia="Times New Roman"/>
          <w:sz w:val="20"/>
          <w:szCs w:val="36"/>
        </w:rPr>
        <w:t>Së pari, rastet totale dhe vdekjet totale janë rritur vazhdimisht gjatë periudhës 2020–2023. Kjo tregon ndikimin shëndetësor të pandemisë.</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6"/>
        </w:rPr>
      </w:pPr>
      <w:r>
        <w:rPr>
          <w:rFonts w:eastAsia="Times New Roman"/>
          <w:sz w:val="20"/>
          <w:szCs w:val="36"/>
        </w:rPr>
        <w:t>Së dyti, rastet ditore tregojnë se pandemia është zhvilluar në disa valë, ku periudha të caktuara kanë pasur rritje më të madhe të infektimeve.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6"/>
        </w:rPr>
      </w:pPr>
      <w:r>
        <w:rPr>
          <w:rFonts w:eastAsia="Times New Roman"/>
          <w:sz w:val="20"/>
          <w:szCs w:val="36"/>
        </w:rPr>
        <w:t>Së treti, vaksinimi është rritur gradualisht dhe ka arritur rreth 46.8%, duke treguar progres në mbrojtjen e popullsisë.</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6"/>
        </w:rPr>
      </w:pPr>
      <w:r>
        <w:rPr>
          <w:rFonts w:eastAsia="Times New Roman"/>
          <w:sz w:val="20"/>
          <w:szCs w:val="36"/>
        </w:rPr>
        <w:t>Së katërti, pandemia ka ndikuar në tregun e punës, ku papunësia është rritur gjatë COVID-it dhe më pas ka rënë në periudhën pas pandemisë.</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6"/>
        </w:rPr>
      </w:pPr>
      <w:r>
        <w:rPr>
          <w:rFonts w:eastAsia="Times New Roman"/>
          <w:sz w:val="20"/>
          <w:szCs w:val="36"/>
        </w:rPr>
        <w:t>Së pesti, ekonomia është goditur në vitin 2020, ku GDP ka rënë në -5.3%, por më pas është rikuperuar në vitet 2021 dhe 2022.</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6"/>
        </w:rPr>
      </w:pPr>
      <w:r>
        <w:rPr>
          <w:rFonts w:eastAsia="Times New Roman"/>
          <w:sz w:val="20"/>
          <w:szCs w:val="36"/>
        </w:rPr>
        <w:t>Së fundi, arsimi ka qenë një nga sektorët më të prekur, me kalim të madh në mësim online dhe me probleme të qasjes në internet për një pjesë të nxënësve.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6"/>
        </w:rPr>
      </w:pPr>
      <w:r>
        <w:rPr>
          <w:rFonts w:eastAsia="Times New Roman"/>
          <w:sz w:val="20"/>
          <w:szCs w:val="36"/>
        </w:rPr>
        <w:t>Në përgjithësi, projekti tregon se analiza e të dhënave dhe vizualizimet ndihmojnë për ta kuptuar më mirë pandeminë dhe ndikimin e saj në shëndet, ekonomi, punësim dhe arsim.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6"/>
        </w:rPr>
      </w:pPr>
      <w:r>
        <w:rPr>
          <w:rFonts w:eastAsia="Times New Roman"/>
          <w:sz w:val="20"/>
          <w:szCs w:val="36"/>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sz w:val="20"/>
          <w:szCs w:val="36"/>
        </w:rPr>
      </w:pPr>
      <w:r>
        <w:rPr>
          <w:rFonts w:eastAsia="Times New Roman"/>
          <w:sz w:val="20"/>
          <w:szCs w:val="36"/>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i/>
          <w:iCs/>
          <w:sz w:val="20"/>
          <w:szCs w:val="36"/>
        </w:rPr>
      </w:pPr>
      <w:r>
        <w:rPr>
          <w:rFonts w:eastAsia="Times New Roman"/>
          <w:i/>
          <w:iCs/>
          <w:sz w:val="20"/>
          <w:szCs w:val="36"/>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Times New Roman" w:cs="Times New Roman"/>
          <w:sz w:val="24"/>
          <w:szCs w:val="24"/>
        </w:rPr>
      </w:pPr>
      <w:r>
        <w:rPr>
          <w:rFonts w:ascii="Times New Roman" w:hAnsi="Times New Roman" w:eastAsia="Times New Roman" w:cs="Times New Roman"/>
          <w:sz w:val="24"/>
          <w:szCs w:val="24"/>
        </w:rPr>
        <w:t>Burimi i Dataset-it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b w:val="0"/>
          <w:bCs/>
        </w:rPr>
      </w:pPr>
      <w:r>
        <w:rPr>
          <w:rFonts w:eastAsia="Times New Roman"/>
          <w:b w:val="0"/>
          <w:bCs/>
        </w:rPr>
        <w:t xml:space="preserve">Dataset-i kryesor për të dhënat e COVID-19 është marrë nga </w:t>
      </w:r>
      <w:r>
        <w:rPr>
          <w:rFonts w:eastAsia="Times New Roman"/>
          <w:b/>
          <w:bCs/>
        </w:rPr>
        <w:t>Our World in Data</w:t>
      </w:r>
      <w:r>
        <w:rPr>
          <w:rFonts w:eastAsia="Times New Roman"/>
          <w:b w:val="0"/>
          <w:bCs/>
        </w:rPr>
        <w:t>, një burim ndërkombëtar që ofron të dhëna historike për rastet, vdekjet, vaksinimin dhe indikatorë të tjerë të pandemisë.</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Times New Roman" w:cs="Times New Roman"/>
          <w:sz w:val="20"/>
          <w:szCs w:val="20"/>
        </w:rPr>
      </w:pPr>
      <w:r>
        <w:rPr>
          <w:rFonts w:ascii="Times New Roman" w:hAnsi="Times New Roman" w:eastAsia="Times New Roman" w:cs="Times New Roman"/>
          <w:sz w:val="24"/>
          <w:szCs w:val="24"/>
        </w:rPr>
        <w:t>Linku kryesor:</w:t>
      </w:r>
      <w:r>
        <w:rPr>
          <w:rFonts w:ascii="Times New Roman" w:hAnsi="Times New Roman" w:eastAsia="Times New Roman" w:cs="Times New Roman"/>
          <w:sz w:val="20"/>
          <w:szCs w:val="20"/>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b w:val="0"/>
          <w:bCs/>
          <w:color w:val="0000ff"/>
          <w:u w:color="auto" w:val="single"/>
        </w:rPr>
      </w:pPr>
      <w:hyperlink r:id="rId17" w:history="1">
        <w:r>
          <w:rPr>
            <w:rStyle w:val="char1"/>
            <w:rFonts w:eastAsia="Times New Roman"/>
            <w:b w:val="0"/>
            <w:bCs/>
          </w:rPr>
          <w:t>https://ourworldindata.org/coronavirus</w:t>
        </w:r>
      </w:hyperlink>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Times New Roman" w:cs="Times New Roman"/>
          <w:sz w:val="24"/>
          <w:szCs w:val="24"/>
        </w:rPr>
      </w:pPr>
      <w:r>
        <w:rPr>
          <w:rFonts w:ascii="Times New Roman" w:hAnsi="Times New Roman" w:eastAsia="Times New Roman" w:cs="Times New Roman"/>
          <w:sz w:val="24"/>
          <w:szCs w:val="24"/>
        </w:rPr>
        <w:t>Linku direkt për shkarkimin e dataset-it CSV:</w:t>
      </w:r>
    </w:p>
    <w:p>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b w:val="0"/>
          <w:bCs/>
          <w:color w:val="0000ff"/>
          <w:u w:color="auto" w:val="single"/>
        </w:rPr>
      </w:pPr>
      <w:hyperlink r:id="rId18" w:history="1">
        <w:r>
          <w:rPr>
            <w:rStyle w:val="char1"/>
            <w:rFonts w:eastAsia="Times New Roman"/>
            <w:b w:val="0"/>
            <w:bCs/>
          </w:rPr>
          <w:t>https://covid.ourworldindata.org/data/owid-covid-data.csv</w:t>
        </w:r>
      </w:hyperlink>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b w:val="0"/>
          <w:bCs/>
          <w:color w:val="0000ff"/>
          <w:u w:color="auto" w:val="single"/>
        </w:rPr>
      </w:pPr>
      <w:hyperlink r:id="rId18" w:history="1">
        <w:r>
          <w:rPr>
            <w:rStyle w:val="char1"/>
            <w:rFonts w:eastAsia="Times New Roman"/>
            <w:b w:val="0"/>
            <w:bCs/>
          </w:rPr>
        </w:r>
      </w:hyperlink>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rPr>
      </w:pPr>
      <w:r>
        <w:rPr>
          <w:rFonts w:eastAsia="Times New Roman"/>
          <w:b/>
        </w:rPr>
        <w:t>Vërejtje:</w:t>
      </w:r>
      <w:r>
        <w:rPr>
          <w:rFonts w:eastAsia="Times New Roman"/>
        </w:rPr>
        <w:t xml:space="preserve"> Our World in Data ka publikuar të dhëna dhe grafikë të COVID-19 për disa vite gjatë pandemisë. Në faqen e tyre ata theksojnë se kanë ofruar përditësime ditore për indikatorë të rëndësishëm dhe dataset-e globale për testimin dhe vaksinimin.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rPr>
      </w:pPr>
      <w:r>
        <w:rPr>
          <w:rFonts w:eastAsia="Times New Roman"/>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Times New Roman" w:cs="Times New Roman"/>
          <w:sz w:val="20"/>
          <w:szCs w:val="20"/>
        </w:rPr>
      </w:pPr>
      <w:r>
        <w:rPr>
          <w:rFonts w:ascii="Times New Roman" w:hAnsi="Times New Roman" w:eastAsia="Times New Roman" w:cs="Times New Roman"/>
          <w:sz w:val="20"/>
          <w:szCs w:val="20"/>
        </w:rPr>
        <w:t>Lista e Figurave të Përdorura në Dashboard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b/>
          <w:bCs/>
        </w:rPr>
      </w:pPr>
      <w:r>
        <w:rPr>
          <w:rFonts w:eastAsia="Times New Roman"/>
          <w:b/>
          <w:bCs/>
        </w:rPr>
        <w:t>Faqe 1</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rPr>
      </w:pPr>
      <w:r>
        <w:rPr>
          <w:rFonts w:eastAsia="Times New Roman"/>
        </w:rPr>
        <w:t>Grafiku 1: Paraqet rritjen kumulative të rasteve totale të COVID-19 në Kosovë gjatë periudhës 2020–2023.</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rPr>
      </w:pPr>
      <w:r>
        <w:rPr>
          <w:rFonts w:eastAsia="Times New Roman"/>
        </w:rPr>
        <w:t>Grafiku 2: Paraqet rritjen kumulative të vdekjeve totale nga COVID-19 në Kosovë gjatë periudhës 2020–2023.</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rPr>
      </w:pPr>
      <w:r>
        <w:rPr>
          <w:rFonts w:eastAsia="Times New Roman"/>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b/>
          <w:bCs/>
        </w:rPr>
      </w:pPr>
      <w:r>
        <w:rPr>
          <w:rFonts w:eastAsia="Times New Roman"/>
          <w:b/>
          <w:bCs/>
        </w:rPr>
        <w:t>Faqe 2</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rPr>
      </w:pPr>
      <w:r>
        <w:rPr>
          <w:rFonts w:eastAsia="Times New Roman"/>
        </w:rPr>
        <w:t>Grafiku 3: Paraqet rastet e reja ditore dhe mesataren lëvizëse 7-ditore.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rPr>
      </w:pPr>
      <w:r>
        <w:rPr>
          <w:rFonts w:eastAsia="Times New Roman"/>
        </w:rPr>
        <w:t>Grafiku 4: Paraqet progresin e vaksinimit në raport me popullsinë.</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rPr>
      </w:pPr>
      <w:r>
        <w:rPr>
          <w:rFonts w:eastAsia="Times New Roman"/>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b/>
          <w:bCs/>
        </w:rPr>
      </w:pPr>
      <w:r>
        <w:rPr>
          <w:rFonts w:eastAsia="Times New Roman"/>
          <w:b/>
          <w:bCs/>
        </w:rPr>
        <w:t>Faqe 3</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rPr>
      </w:pPr>
      <w:r>
        <w:rPr>
          <w:rFonts w:eastAsia="Times New Roman"/>
        </w:rPr>
        <w:t>Grafiku 5: Paraqet ndryshimin e papunësisë para, gjatë dhe pas pandemisë COVID-19.</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rPr>
      </w:pPr>
      <w:r>
        <w:rPr>
          <w:rFonts w:eastAsia="Times New Roman"/>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b/>
          <w:bCs/>
        </w:rPr>
      </w:pPr>
      <w:r>
        <w:rPr>
          <w:rFonts w:eastAsia="Times New Roman"/>
          <w:b/>
          <w:bCs/>
        </w:rPr>
        <w:t>Faqe 4</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rPr>
      </w:pPr>
      <w:r>
        <w:rPr>
          <w:rFonts w:eastAsia="Times New Roman"/>
        </w:rPr>
        <w:t>Grafiku 6: Paraqet ndikimin ekonomik të pandemisë përmes ndryshimit të GDP Growth për vitet 2019–2022.</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rPr>
      </w:pPr>
      <w:r>
        <w:rPr>
          <w:rFonts w:eastAsia="Times New Roman"/>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b/>
          <w:bCs/>
        </w:rPr>
      </w:pPr>
      <w:r>
        <w:rPr>
          <w:rFonts w:eastAsia="Times New Roman"/>
          <w:b/>
          <w:bCs/>
        </w:rPr>
        <w:t>Faqe 5</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rPr>
      </w:pPr>
      <w:r>
        <w:rPr>
          <w:rFonts w:eastAsia="Times New Roman"/>
        </w:rPr>
        <w:t>Grafiku 7: Paraqet ndikimin e pandemisë në arsim dhe kalimin nga mësimi fizik në mësimin online.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rPr>
      </w:pPr>
      <w:r>
        <w:rPr>
          <w:rFonts w:eastAsia="Times New Roman"/>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b/>
          <w:bCs/>
        </w:rPr>
      </w:pPr>
      <w:r>
        <w:rPr>
          <w:rFonts w:eastAsia="Times New Roman"/>
          <w:b/>
          <w:bCs/>
        </w:rPr>
        <w:t>Faqe 6</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rPr>
      </w:pPr>
      <w:r>
        <w:rPr>
          <w:rFonts w:eastAsia="Times New Roman"/>
        </w:rPr>
        <w:t>Grafiku 8: Paraqet matricën e korrelacionit ndërmjet variablave kryesore të dataset-it.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rPr>
      </w:pPr>
      <w:r>
        <w:rPr>
          <w:rFonts w:eastAsia="Times New Roman"/>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b/>
          <w:bCs/>
        </w:rPr>
      </w:pPr>
      <w:r>
        <w:rPr>
          <w:rFonts w:eastAsia="Times New Roman"/>
          <w:b/>
          <w:bCs/>
        </w:rPr>
        <w:t>Faqe 7</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rPr>
      </w:pPr>
      <w:r>
        <w:rPr>
          <w:rFonts w:eastAsia="Times New Roman"/>
        </w:rPr>
        <w:t>Grafiku 9: Paraqet parashikimin e rasteve totale për 7 ditët e ardhshme duke përdorur modelin Linear Regression.</w:t>
      </w:r>
    </w:p>
    <w:p>
      <w:pPr>
        <w:numPr>
          <w:ilvl w:val="0"/>
          <w:numId w:val="0"/>
        </w:numPr>
        <w:ind w:left="567" w:firstLine="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rPr>
      </w:pPr>
      <w:r>
        <w:rPr>
          <w:rFonts w:eastAsia="Times New Roman"/>
        </w:rPr>
      </w:r>
    </w:p>
    <w:sectPr>
      <w:footnotePr>
        <w:pos w:val="pageBottom"/>
        <w:numFmt w:val="decimal"/>
        <w:numStart w:val="1"/>
        <w:numRestart w:val="continuous"/>
      </w:footnotePr>
      <w:endnotePr>
        <w:pos w:val="docEnd"/>
        <w:numFmt w:val="lowerRoman"/>
        <w:numStart w:val="1"/>
        <w:numRestart w:val="continuous"/>
      </w:endnotePr>
      <w:type w:val="continuous"/>
      <w:pgSz w:h="16839" w:w="11907"/>
      <w:pgMar w:left="1134" w:top="1134" w:right="1134" w:bottom="1134"/>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360"/>
        </w:tabs>
        <w:ind w:left="360" w:hanging="360"/>
      </w:pPr>
      <w:rPr>
        <w:rFonts w:ascii="Wingdings" w:hAnsi="Wingdings" w:eastAsia="Wingdings" w:cs="Wingdings"/>
      </w:rPr>
    </w:lvl>
  </w:abstractNum>
  <w:abstractNum w:abstractNumId="2">
    <w:multiLevelType w:val="singleLevel"/>
    <w:name w:val="Bullet 2"/>
    <w:lvl w:ilvl="0">
      <w:numFmt w:val="bullet"/>
      <w:lvlText w:val=""/>
      <w:lvlJc w:val="left"/>
      <w:pPr>
        <w:tabs>
          <w:tab w:val="num" w:pos="283"/>
        </w:tabs>
        <w:ind w:left="283" w:hanging="283"/>
      </w:pPr>
      <w:rPr>
        <w:rFonts w:ascii="Wingdings" w:hAnsi="Wingdings" w:eastAsia="Wingdings" w:cs="Wingdings"/>
      </w:rPr>
    </w:lvl>
  </w:abstractNum>
  <w:abstractNum w:abstractNumId="3">
    <w:multiLevelType w:val="singleLevel"/>
    <w:name w:val="Bullet 3"/>
    <w:lvl w:ilvl="0">
      <w:numFmt w:val="bullet"/>
      <w:lvlText w:val=""/>
      <w:lvlJc w:val="left"/>
      <w:pPr>
        <w:tabs>
          <w:tab w:val="num" w:pos="567"/>
        </w:tabs>
        <w:ind w:left="567" w:hanging="567"/>
      </w:pPr>
      <w:rPr>
        <w:rFonts w:ascii="Wingdings" w:hAnsi="Wingdings" w:eastAsia="Wingdings" w:cs="Wingdings"/>
      </w:rPr>
    </w:lvl>
  </w:abstractNum>
  <w:abstractNum w:abstractNumId="4">
    <w:multiLevelType w:val="singleLevel"/>
    <w:name w:val="Bullet 4"/>
    <w:lvl w:ilvl="0">
      <w:start w:val="1"/>
      <w:numFmt w:val="decimal"/>
      <w:lvlText w:val="%1."/>
      <w:lvlJc w:val="left"/>
      <w:pPr>
        <w:tabs>
          <w:tab w:val="num" w:pos="360"/>
        </w:tabs>
        <w:ind w:left="360" w:hanging="360"/>
      </w:pPr>
    </w:lvl>
  </w:abstractNum>
  <w:abstractNum w:abstractNumId="5">
    <w:multiLevelType w:val="singleLevel"/>
    <w:name w:val="Bullet 5"/>
    <w:lvl w:ilvl="0">
      <w:numFmt w:val="bullet"/>
      <w:lvlText w:val=""/>
      <w:lvlJc w:val="left"/>
      <w:pPr>
        <w:tabs>
          <w:tab w:val="num" w:pos="360"/>
        </w:tabs>
        <w:ind w:left="360" w:hanging="360"/>
      </w:pPr>
      <w:rPr>
        <w:rFonts w:ascii="Wingdings" w:hAnsi="Wingdings" w:eastAsia="Wingdings" w:cs="Wingdings"/>
      </w:rPr>
    </w:lvl>
  </w:abstractNum>
  <w:num w:numId="1">
    <w:abstractNumId w:val="1"/>
  </w:num>
  <w:num w:numId="2">
    <w:abstractNumId w:val="2"/>
  </w:num>
  <w:num w:numId="3">
    <w:abstractNumId w:val="3"/>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08"/>
  <w:autoHyphenation w:val="1"/>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119"/>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2"/>
      <w:tmLastPosIdx w:val="12"/>
    </w:tmLastPosCaret>
    <w:tmLastPosAnchor>
      <w:tmLastPosPgfIdx w:val="0"/>
      <w:tmLastPosIdx w:val="0"/>
    </w:tmLastPosAnchor>
    <w:tmLastPosTblRect w:left="0" w:top="0" w:right="0" w:bottom="0"/>
  </w:tmLastPos>
  <w:tmAppRevision w:date="1778620610" w:val="1234"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gb"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character" w:styleId="char1">
    <w:name w:val="Hyperlink"/>
    <w:rPr>
      <w:color w:val="0000ff"/>
      <w:u w:color="auto" w:val="single"/>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gb"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character" w:styleId="char1">
    <w:name w:val="Hyperlink"/>
    <w:rPr>
      <w:color w:val="0000ff"/>
      <w:u w:color="auto" w:val="single"/>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hyperlink" Target="https://ourworldindata.org/coronavirus?utm_source=chatgpt.com" TargetMode="External"/><Relationship Id="rId18" Type="http://schemas.openxmlformats.org/officeDocument/2006/relationships/hyperlink" Target="https://covid.ourworldindata.org/data/owid-covid-data.csv" TargetMode="Externa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rev.1234</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2026-05-11T19:29:31Z</dcterms:created>
  <dcterms:modified xsi:type="dcterms:W3CDTF">2026-05-12T21:16:50Z</dcterms:modified>
</cp:coreProperties>
</file>