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pPr>
      <w:r>
        <w:rPr>
          <w:rFonts w:ascii="Arial" w:hAnsi="Arial"/>
          <w:b/>
          <w:color w:val="114477"/>
        </w:rPr>
        <w:t>🏥 HealthConnect AI — Raporti i Projektit Akademik</w:t>
      </w:r>
    </w:p>
    <w:p>
      <w:pPr>
        <w:spacing w:after="120" w:line="276" w:lineRule="auto"/>
      </w:pPr>
      <w:r/>
      <w:r>
        <w:rPr>
          <w:b/>
        </w:rPr>
        <w:t>Kursi</w:t>
      </w:r>
      <w:r>
        <w:t>: Laboratorike 2 (Programim) &amp; Modele të Machine Learning (MM)</w:t>
      </w:r>
    </w:p>
    <w:p>
      <w:pPr>
        <w:spacing w:after="120" w:line="276" w:lineRule="auto"/>
      </w:pPr>
      <w:r/>
      <w:r>
        <w:rPr>
          <w:b/>
        </w:rPr>
        <w:t>Institucioni</w:t>
      </w:r>
      <w:r>
        <w:t>: Universiteti për Biznes dhe Teknologji — UBT</w:t>
      </w:r>
    </w:p>
    <w:p>
      <w:pPr>
        <w:spacing w:after="120" w:line="276" w:lineRule="auto"/>
      </w:pPr>
      <w:r/>
      <w:r>
        <w:rPr>
          <w:b/>
        </w:rPr>
        <w:t>Viti Akademik</w:t>
      </w:r>
      <w:r>
        <w:t>: 2025-2026</w:t>
      </w:r>
    </w:p>
    <w:p>
      <w:pPr>
        <w:spacing w:after="120" w:line="276" w:lineRule="auto"/>
      </w:pPr>
      <w:r/>
      <w:r>
        <w:rPr>
          <w:b/>
        </w:rPr>
        <w:t>Ekipi i Projektit</w:t>
      </w:r>
      <w:r>
        <w:t>:</w:t>
      </w:r>
    </w:p>
    <w:p>
      <w:pPr>
        <w:pStyle w:val="ListBullet"/>
        <w:spacing w:after="60"/>
      </w:pPr>
      <w:r>
        <w:t xml:space="preserve">  </w:t>
      </w:r>
      <w:r>
        <w:rPr>
          <w:b/>
        </w:rPr>
        <w:t>Erdona Kadriolli</w:t>
      </w:r>
      <w:r>
        <w:t xml:space="preserve"> — </w:t>
      </w:r>
      <w:r>
        <w:rPr>
          <w:i/>
        </w:rPr>
        <w:t>Data &amp; ML Engineer</w:t>
      </w:r>
      <w:r>
        <w:t xml:space="preserve"> (Datasetet, ML Pipeline, OCR LEADTOOLS, API)</w:t>
      </w:r>
    </w:p>
    <w:p>
      <w:pPr>
        <w:pStyle w:val="ListBullet"/>
        <w:spacing w:after="60"/>
      </w:pPr>
      <w:r>
        <w:t xml:space="preserve">  </w:t>
      </w:r>
      <w:r>
        <w:rPr>
          <w:b/>
        </w:rPr>
        <w:t>Fatlum Syla</w:t>
      </w:r>
      <w:r>
        <w:t xml:space="preserve"> — </w:t>
      </w:r>
      <w:r>
        <w:rPr>
          <w:i/>
        </w:rPr>
        <w:t>Backend Developer</w:t>
      </w:r>
      <w:r>
        <w:t xml:space="preserve"> (FastAPI, Databaza, JWT, WebSockets)</w:t>
      </w:r>
    </w:p>
    <w:p>
      <w:pPr>
        <w:pStyle w:val="ListBullet"/>
        <w:spacing w:after="60"/>
      </w:pPr>
      <w:r>
        <w:t xml:space="preserve">  </w:t>
      </w:r>
      <w:r>
        <w:rPr>
          <w:b/>
        </w:rPr>
        <w:t>Yll Bytyqi</w:t>
      </w:r>
      <w:r>
        <w:t xml:space="preserve"> — </w:t>
      </w:r>
      <w:r>
        <w:rPr>
          <w:i/>
        </w:rPr>
        <w:t>Frontend Developer</w:t>
      </w:r>
      <w:r>
        <w:t xml:space="preserve"> (React + Vite, Dashboard, UI/UX, Vizualizimet)</w:t>
      </w:r>
    </w:p>
    <w:p>
      <w:pPr>
        <w:spacing w:after="240"/>
      </w:pPr>
    </w:p>
    <w:p>
      <w:pPr>
        <w:pStyle w:val="Heading1"/>
        <w:spacing w:before="360" w:after="120"/>
      </w:pPr>
      <w:r>
        <w:rPr>
          <w:rFonts w:ascii="Arial" w:hAnsi="Arial"/>
          <w:b/>
          <w:color w:val="225588"/>
        </w:rPr>
        <w:t>1. Hyrje (Introduction)</w:t>
      </w:r>
    </w:p>
    <w:p>
      <w:pPr>
        <w:spacing w:after="120" w:line="276" w:lineRule="auto"/>
      </w:pPr>
      <w:r>
        <w:t>Në epokën e dixhitalizimit të shëndetësisë, aftësia e individëve për të mbikëqyrur dhe kuptuar parametrat e tyre metabolikë në mënyrë të pavarur është bërë një domosdoshmëri. Shpeshherë, pacientët marrin rezultatet e analizave laboratorike nga klinikat, por e kanë të vështirë të interpretojnë vlerat pa ndihmën e menjëhershme të një mjeku. Kjo çon në vonesa në zbulimin e hershëm të rreziqeve shëndetësore ose në interpretime të gabuara përmes kërkimeve të pakontrolluara në internet.</w:t>
      </w:r>
    </w:p>
    <w:p>
      <w:pPr>
        <w:spacing w:after="120" w:line="276" w:lineRule="auto"/>
      </w:pPr>
      <w:r/>
      <w:r>
        <w:rPr>
          <w:b/>
        </w:rPr>
        <w:t>HealthConnect AI</w:t>
      </w:r>
      <w:r>
        <w:t xml:space="preserve"> është një platformë softuerike inovative, e përqendruar plotësisht te përdoruesi (personal-health-centric), e cila zgjidh këtë problem duke integruar </w:t>
      </w:r>
      <w:r>
        <w:rPr>
          <w:b/>
        </w:rPr>
        <w:t>Inteligjencën Artificiale (AI)</w:t>
      </w:r>
      <w:r>
        <w:t xml:space="preserve"> dhe </w:t>
      </w:r>
      <w:r>
        <w:rPr>
          <w:b/>
        </w:rPr>
        <w:t>Optic Character Recognition (OCR)</w:t>
      </w:r>
      <w:r>
        <w:t>. Sistemi mundëson:</w:t>
      </w:r>
    </w:p>
    <w:p>
      <w:pPr>
        <w:pStyle w:val="ListBullet"/>
        <w:spacing w:after="60"/>
      </w:pPr>
      <w:r>
        <w:t>Regjistrimin e sigurt të pacientëve dhe menaxhimin e profileve të tyre.</w:t>
      </w:r>
    </w:p>
    <w:p>
      <w:pPr>
        <w:spacing w:after="120" w:line="276" w:lineRule="auto"/>
      </w:pPr>
      <w:r>
        <w:t xml:space="preserve">2. Ngarkimin e fotove të analizave laboratorike dhe leximin automatik të tyre përmes </w:t>
      </w:r>
      <w:r>
        <w:rPr>
          <w:b/>
        </w:rPr>
        <w:t>LEADTOOLS OCR SDK</w:t>
      </w:r>
      <w:r>
        <w:t>.</w:t>
      </w:r>
    </w:p>
    <w:p>
      <w:pPr>
        <w:spacing w:after="120" w:line="276" w:lineRule="auto"/>
      </w:pPr>
      <w:r>
        <w:t>3. Parashikimin e menjëhershëm të rrezikut për diabet duke përdorur modele të trajnuara të Machine Learning.</w:t>
      </w:r>
    </w:p>
    <w:p>
      <w:pPr>
        <w:spacing w:after="120" w:line="276" w:lineRule="auto"/>
      </w:pPr>
      <w:r>
        <w:t>4. Ndarjen e përdoruesve në profile rreziku përmes algoritmeve të grupimit (Clustering).</w:t>
      </w:r>
    </w:p>
    <w:p>
      <w:pPr>
        <w:spacing w:after="120" w:line="276" w:lineRule="auto"/>
      </w:pPr>
      <w:r>
        <w:t>5. Ndërfaqe interaktive dygjuhëshe (Shqip dhe Anglisht) dhe komunikim në kohë reale (WebSockets).</w:t>
      </w:r>
    </w:p>
    <w:p>
      <w:pPr>
        <w:spacing w:after="120" w:line="276" w:lineRule="auto"/>
      </w:pPr>
      <w:r>
        <w:t>Ky raport dokumenton strukturën e datasetit të përdorur, metodologjinë shkencore për trajnimin dhe vlerësimin e modeleve ML, arkitekturën e backend-it dhe frontend-it, si dhe diskuton aspektet e sigurisë klinike dhe teknike të sistemit.</w:t>
      </w:r>
    </w:p>
    <w:p>
      <w:pPr>
        <w:spacing w:after="240"/>
      </w:pPr>
    </w:p>
    <w:p>
      <w:pPr>
        <w:pStyle w:val="Heading1"/>
        <w:spacing w:before="360" w:after="120"/>
      </w:pPr>
      <w:r>
        <w:rPr>
          <w:rFonts w:ascii="Arial" w:hAnsi="Arial"/>
          <w:b/>
          <w:color w:val="225588"/>
        </w:rPr>
        <w:t>2. Përshkrimi i Datasetit (Dataset Description)</w:t>
      </w:r>
    </w:p>
    <w:p>
      <w:pPr>
        <w:spacing w:after="120" w:line="276" w:lineRule="auto"/>
      </w:pPr>
      <w:r>
        <w:t xml:space="preserve">Projekti bazohet në datasetin e famshëm </w:t>
      </w:r>
      <w:r>
        <w:rPr>
          <w:b/>
        </w:rPr>
        <w:t>Pima Indians Diabetes Database</w:t>
      </w:r>
      <w:r>
        <w:t>, i cili është i disponueshëm fillimisht nga Instituti Kombëtar i Diabetit dhe Sëmundjeve të Veshkave (NIDDK) në SHBA.</w:t>
      </w:r>
    </w:p>
    <w:p>
      <w:pPr>
        <w:pStyle w:val="Heading2"/>
        <w:spacing w:before="240" w:after="80"/>
      </w:pPr>
      <w:r>
        <w:rPr>
          <w:rFonts w:ascii="Arial" w:hAnsi="Arial"/>
          <w:b/>
          <w:color w:val="336699"/>
        </w:rPr>
        <w:t>2.1 Struktura dhe Parametrat</w:t>
      </w:r>
    </w:p>
    <w:p>
      <w:pPr>
        <w:spacing w:after="120" w:line="276" w:lineRule="auto"/>
      </w:pPr>
      <w:r>
        <w:t xml:space="preserve">Dataseti përmban rekordet e </w:t>
      </w:r>
      <w:r>
        <w:rPr>
          <w:b/>
        </w:rPr>
        <w:t>768 pacientëve</w:t>
      </w:r>
      <w:r>
        <w:t xml:space="preserve"> (të gjitha femra të moshës mbi 21 vjeç me prejardhje nga popullata Pima) dhe përbëhet nga </w:t>
      </w:r>
      <w:r>
        <w:rPr>
          <w:b/>
        </w:rPr>
        <w:t>8 atribute (features) numerike</w:t>
      </w:r>
      <w:r>
        <w:t xml:space="preserve"> hyrëse dhe </w:t>
      </w:r>
      <w:r>
        <w:rPr>
          <w:b/>
        </w:rPr>
        <w:t>1 variabël target</w:t>
      </w:r>
      <w:r>
        <w:t xml:space="preserve"> (Outcome):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336699"/>
          </w:tcPr>
          <w:p>
            <w:pPr>
              <w:spacing w:before="80" w:after="80"/>
              <w:ind w:left="72"/>
            </w:pPr>
            <w:r/>
            <w:r>
              <w:rPr>
                <w:b/>
                <w:color w:val="FFFFFF"/>
                <w:sz w:val="21"/>
              </w:rPr>
              <w:t>Atributi</w:t>
            </w:r>
          </w:p>
        </w:tc>
        <w:tc>
          <w:tcPr>
            <w:tcW w:type="dxa" w:w="3120"/>
            <w:shd w:val="clear" w:color="auto" w:fill="336699"/>
          </w:tcPr>
          <w:p>
            <w:pPr>
              <w:spacing w:before="80" w:after="80"/>
              <w:ind w:left="72"/>
            </w:pPr>
            <w:r/>
            <w:r>
              <w:rPr>
                <w:b/>
                <w:color w:val="FFFFFF"/>
                <w:sz w:val="21"/>
              </w:rPr>
              <w:t>Përshkrimi Klinik</w:t>
            </w:r>
          </w:p>
        </w:tc>
        <w:tc>
          <w:tcPr>
            <w:tcW w:type="dxa" w:w="3120"/>
            <w:shd w:val="clear" w:color="auto" w:fill="336699"/>
          </w:tcPr>
          <w:p>
            <w:pPr>
              <w:spacing w:before="80" w:after="80"/>
              <w:ind w:left="72"/>
            </w:pPr>
            <w:r/>
            <w:r>
              <w:rPr>
                <w:b/>
                <w:color w:val="FFFFFF"/>
                <w:sz w:val="21"/>
              </w:rPr>
              <w:t>Lloji i të Dhënave</w:t>
            </w:r>
          </w:p>
        </w:tc>
      </w:tr>
      <w:tr>
        <w:tc>
          <w:tcPr>
            <w:tcW w:type="dxa" w:w="3120"/>
          </w:tcPr>
          <w:p>
            <w:pPr>
              <w:spacing w:before="80" w:after="80"/>
              <w:ind w:left="72"/>
            </w:pPr>
            <w:r>
              <w:rPr>
                <w:sz w:val="20"/>
              </w:rPr>
            </w:r>
            <w:r>
              <w:t>:---</w:t>
            </w:r>
          </w:p>
        </w:tc>
        <w:tc>
          <w:tcPr>
            <w:tcW w:type="dxa" w:w="3120"/>
          </w:tcPr>
          <w:p>
            <w:pPr>
              <w:spacing w:before="80" w:after="80"/>
              <w:ind w:left="72"/>
            </w:pPr>
            <w:r>
              <w:rPr>
                <w:sz w:val="20"/>
              </w:rPr>
            </w:r>
            <w:r>
              <w:t>:---</w:t>
            </w:r>
          </w:p>
        </w:tc>
        <w:tc>
          <w:tcPr>
            <w:tcW w:type="dxa" w:w="3120"/>
          </w:tcPr>
          <w:p>
            <w:pPr>
              <w:spacing w:before="80" w:after="80"/>
              <w:ind w:left="72"/>
            </w:pPr>
            <w:r>
              <w:rPr>
                <w:sz w:val="20"/>
              </w:rPr>
            </w:r>
            <w:r>
              <w:t>:---</w:t>
            </w:r>
          </w:p>
        </w:tc>
      </w:tr>
      <w:tr>
        <w:tc>
          <w:tcPr>
            <w:tcW w:type="dxa" w:w="3120"/>
            <w:shd w:val="clear" w:color="auto" w:fill="F2F5F9"/>
          </w:tcPr>
          <w:p>
            <w:pPr>
              <w:spacing w:before="80" w:after="80"/>
              <w:ind w:left="72"/>
            </w:pPr>
            <w:r>
              <w:rPr>
                <w:sz w:val="20"/>
              </w:rPr>
            </w:r>
            <w:r/>
            <w:r>
              <w:rPr>
                <w:b/>
              </w:rPr>
              <w:t>Pregnancies</w:t>
            </w:r>
            <w:r/>
          </w:p>
        </w:tc>
        <w:tc>
          <w:tcPr>
            <w:tcW w:type="dxa" w:w="3120"/>
            <w:shd w:val="clear" w:color="auto" w:fill="F2F5F9"/>
          </w:tcPr>
          <w:p>
            <w:pPr>
              <w:spacing w:before="80" w:after="80"/>
              <w:ind w:left="72"/>
            </w:pPr>
            <w:r>
              <w:rPr>
                <w:sz w:val="20"/>
              </w:rPr>
            </w:r>
            <w:r>
              <w:t>Numri i shtatzënive të kaluara</w:t>
            </w:r>
          </w:p>
        </w:tc>
        <w:tc>
          <w:tcPr>
            <w:tcW w:type="dxa" w:w="3120"/>
            <w:shd w:val="clear" w:color="auto" w:fill="F2F5F9"/>
          </w:tcPr>
          <w:p>
            <w:pPr>
              <w:spacing w:before="80" w:after="80"/>
              <w:ind w:left="72"/>
            </w:pPr>
            <w:r>
              <w:rPr>
                <w:sz w:val="20"/>
              </w:rPr>
            </w:r>
            <w:r>
              <w:t>Numerik (Integer)</w:t>
            </w:r>
          </w:p>
        </w:tc>
      </w:tr>
      <w:tr>
        <w:tc>
          <w:tcPr>
            <w:tcW w:type="dxa" w:w="3120"/>
          </w:tcPr>
          <w:p>
            <w:pPr>
              <w:spacing w:before="80" w:after="80"/>
              <w:ind w:left="72"/>
            </w:pPr>
            <w:r>
              <w:rPr>
                <w:sz w:val="20"/>
              </w:rPr>
            </w:r>
            <w:r/>
            <w:r>
              <w:rPr>
                <w:b/>
              </w:rPr>
              <w:t>Glucose</w:t>
            </w:r>
            <w:r/>
          </w:p>
        </w:tc>
        <w:tc>
          <w:tcPr>
            <w:tcW w:type="dxa" w:w="3120"/>
          </w:tcPr>
          <w:p>
            <w:pPr>
              <w:spacing w:before="80" w:after="80"/>
              <w:ind w:left="72"/>
            </w:pPr>
            <w:r>
              <w:rPr>
                <w:sz w:val="20"/>
              </w:rPr>
            </w:r>
            <w:r>
              <w:t>Koncentrimi i glukozës në gjak (2 orë pas testit oral të tolerancës)</w:t>
            </w:r>
          </w:p>
        </w:tc>
        <w:tc>
          <w:tcPr>
            <w:tcW w:type="dxa" w:w="3120"/>
          </w:tcPr>
          <w:p>
            <w:pPr>
              <w:spacing w:before="80" w:after="80"/>
              <w:ind w:left="72"/>
            </w:pPr>
            <w:r>
              <w:rPr>
                <w:sz w:val="20"/>
              </w:rPr>
            </w:r>
            <w:r>
              <w:t>Numerik (Float, mg/dL)</w:t>
            </w:r>
          </w:p>
        </w:tc>
      </w:tr>
      <w:tr>
        <w:tc>
          <w:tcPr>
            <w:tcW w:type="dxa" w:w="3120"/>
            <w:shd w:val="clear" w:color="auto" w:fill="F2F5F9"/>
          </w:tcPr>
          <w:p>
            <w:pPr>
              <w:spacing w:before="80" w:after="80"/>
              <w:ind w:left="72"/>
            </w:pPr>
            <w:r>
              <w:rPr>
                <w:sz w:val="20"/>
              </w:rPr>
            </w:r>
            <w:r/>
            <w:r>
              <w:rPr>
                <w:b/>
              </w:rPr>
              <w:t>BloodPressure</w:t>
            </w:r>
            <w:r/>
          </w:p>
        </w:tc>
        <w:tc>
          <w:tcPr>
            <w:tcW w:type="dxa" w:w="3120"/>
            <w:shd w:val="clear" w:color="auto" w:fill="F2F5F9"/>
          </w:tcPr>
          <w:p>
            <w:pPr>
              <w:spacing w:before="80" w:after="80"/>
              <w:ind w:left="72"/>
            </w:pPr>
            <w:r>
              <w:rPr>
                <w:sz w:val="20"/>
              </w:rPr>
            </w:r>
            <w:r>
              <w:t>Presioni diastolik i gjakut</w:t>
            </w:r>
          </w:p>
        </w:tc>
        <w:tc>
          <w:tcPr>
            <w:tcW w:type="dxa" w:w="3120"/>
            <w:shd w:val="clear" w:color="auto" w:fill="F2F5F9"/>
          </w:tcPr>
          <w:p>
            <w:pPr>
              <w:spacing w:before="80" w:after="80"/>
              <w:ind w:left="72"/>
            </w:pPr>
            <w:r>
              <w:rPr>
                <w:sz w:val="20"/>
              </w:rPr>
            </w:r>
            <w:r>
              <w:t>Numerik (Float, mm Hg)</w:t>
            </w:r>
          </w:p>
        </w:tc>
      </w:tr>
      <w:tr>
        <w:tc>
          <w:tcPr>
            <w:tcW w:type="dxa" w:w="3120"/>
          </w:tcPr>
          <w:p>
            <w:pPr>
              <w:spacing w:before="80" w:after="80"/>
              <w:ind w:left="72"/>
            </w:pPr>
            <w:r>
              <w:rPr>
                <w:sz w:val="20"/>
              </w:rPr>
            </w:r>
            <w:r/>
            <w:r>
              <w:rPr>
                <w:b/>
              </w:rPr>
              <w:t>SkinThickness</w:t>
            </w:r>
            <w:r/>
          </w:p>
        </w:tc>
        <w:tc>
          <w:tcPr>
            <w:tcW w:type="dxa" w:w="3120"/>
          </w:tcPr>
          <w:p>
            <w:pPr>
              <w:spacing w:before="80" w:after="80"/>
              <w:ind w:left="72"/>
            </w:pPr>
            <w:r>
              <w:rPr>
                <w:sz w:val="20"/>
              </w:rPr>
            </w:r>
            <w:r>
              <w:t>Trashësia e plikës së lëkurës mbi triceps</w:t>
            </w:r>
          </w:p>
        </w:tc>
        <w:tc>
          <w:tcPr>
            <w:tcW w:type="dxa" w:w="3120"/>
          </w:tcPr>
          <w:p>
            <w:pPr>
              <w:spacing w:before="80" w:after="80"/>
              <w:ind w:left="72"/>
            </w:pPr>
            <w:r>
              <w:rPr>
                <w:sz w:val="20"/>
              </w:rPr>
            </w:r>
            <w:r>
              <w:t>Numerik (Float, mm)</w:t>
            </w:r>
          </w:p>
        </w:tc>
      </w:tr>
      <w:tr>
        <w:tc>
          <w:tcPr>
            <w:tcW w:type="dxa" w:w="3120"/>
            <w:shd w:val="clear" w:color="auto" w:fill="F2F5F9"/>
          </w:tcPr>
          <w:p>
            <w:pPr>
              <w:spacing w:before="80" w:after="80"/>
              <w:ind w:left="72"/>
            </w:pPr>
            <w:r>
              <w:rPr>
                <w:sz w:val="20"/>
              </w:rPr>
            </w:r>
            <w:r/>
            <w:r>
              <w:rPr>
                <w:b/>
              </w:rPr>
              <w:t>Insulin</w:t>
            </w:r>
            <w:r/>
          </w:p>
        </w:tc>
        <w:tc>
          <w:tcPr>
            <w:tcW w:type="dxa" w:w="3120"/>
            <w:shd w:val="clear" w:color="auto" w:fill="F2F5F9"/>
          </w:tcPr>
          <w:p>
            <w:pPr>
              <w:spacing w:before="80" w:after="80"/>
              <w:ind w:left="72"/>
            </w:pPr>
            <w:r>
              <w:rPr>
                <w:sz w:val="20"/>
              </w:rPr>
            </w:r>
            <w:r>
              <w:t>Niveli i insulinës në serum (2 orë pas ngrënies)</w:t>
            </w:r>
          </w:p>
        </w:tc>
        <w:tc>
          <w:tcPr>
            <w:tcW w:type="dxa" w:w="3120"/>
            <w:shd w:val="clear" w:color="auto" w:fill="F2F5F9"/>
          </w:tcPr>
          <w:p>
            <w:pPr>
              <w:spacing w:before="80" w:after="80"/>
              <w:ind w:left="72"/>
            </w:pPr>
            <w:r>
              <w:rPr>
                <w:sz w:val="20"/>
              </w:rPr>
            </w:r>
            <w:r>
              <w:t>Numerik (Float, $\mu$U/ml)</w:t>
            </w:r>
          </w:p>
        </w:tc>
      </w:tr>
      <w:tr>
        <w:tc>
          <w:tcPr>
            <w:tcW w:type="dxa" w:w="3120"/>
          </w:tcPr>
          <w:p>
            <w:pPr>
              <w:spacing w:before="80" w:after="80"/>
              <w:ind w:left="72"/>
            </w:pPr>
            <w:r>
              <w:rPr>
                <w:sz w:val="20"/>
              </w:rPr>
            </w:r>
            <w:r/>
            <w:r>
              <w:rPr>
                <w:b/>
              </w:rPr>
              <w:t>BMI</w:t>
            </w:r>
            <w:r/>
          </w:p>
        </w:tc>
        <w:tc>
          <w:tcPr>
            <w:tcW w:type="dxa" w:w="3120"/>
          </w:tcPr>
          <w:p>
            <w:pPr>
              <w:spacing w:before="80" w:after="80"/>
              <w:ind w:left="72"/>
            </w:pPr>
            <w:r>
              <w:rPr>
                <w:sz w:val="20"/>
              </w:rPr>
            </w:r>
            <w:r>
              <w:t>Indeksi i Masës Trupore (pesha në kg / (gjatësia në m)$^2$)</w:t>
            </w:r>
          </w:p>
        </w:tc>
        <w:tc>
          <w:tcPr>
            <w:tcW w:type="dxa" w:w="3120"/>
          </w:tcPr>
          <w:p>
            <w:pPr>
              <w:spacing w:before="80" w:after="80"/>
              <w:ind w:left="72"/>
            </w:pPr>
            <w:r>
              <w:rPr>
                <w:sz w:val="20"/>
              </w:rPr>
            </w:r>
            <w:r>
              <w:t>Numerik (Float, kg/m$^2$)</w:t>
            </w:r>
          </w:p>
        </w:tc>
      </w:tr>
      <w:tr>
        <w:tc>
          <w:tcPr>
            <w:tcW w:type="dxa" w:w="3120"/>
            <w:shd w:val="clear" w:color="auto" w:fill="F2F5F9"/>
          </w:tcPr>
          <w:p>
            <w:pPr>
              <w:spacing w:before="80" w:after="80"/>
              <w:ind w:left="72"/>
            </w:pPr>
            <w:r>
              <w:rPr>
                <w:sz w:val="20"/>
              </w:rPr>
            </w:r>
            <w:r/>
            <w:r>
              <w:rPr>
                <w:b/>
              </w:rPr>
              <w:t>DiabetesPedigreeFunction</w:t>
            </w:r>
            <w:r/>
          </w:p>
        </w:tc>
        <w:tc>
          <w:tcPr>
            <w:tcW w:type="dxa" w:w="3120"/>
            <w:shd w:val="clear" w:color="auto" w:fill="F2F5F9"/>
          </w:tcPr>
          <w:p>
            <w:pPr>
              <w:spacing w:before="80" w:after="80"/>
              <w:ind w:left="72"/>
            </w:pPr>
            <w:r>
              <w:rPr>
                <w:sz w:val="20"/>
              </w:rPr>
            </w:r>
            <w:r>
              <w:t>Funksioni i trashëgimisë familjare të diabetit</w:t>
            </w:r>
          </w:p>
        </w:tc>
        <w:tc>
          <w:tcPr>
            <w:tcW w:type="dxa" w:w="3120"/>
            <w:shd w:val="clear" w:color="auto" w:fill="F2F5F9"/>
          </w:tcPr>
          <w:p>
            <w:pPr>
              <w:spacing w:before="80" w:after="80"/>
              <w:ind w:left="72"/>
            </w:pPr>
            <w:r>
              <w:rPr>
                <w:sz w:val="20"/>
              </w:rPr>
            </w:r>
            <w:r>
              <w:t>Numerik (Float)</w:t>
            </w:r>
          </w:p>
        </w:tc>
      </w:tr>
      <w:tr>
        <w:tc>
          <w:tcPr>
            <w:tcW w:type="dxa" w:w="3120"/>
          </w:tcPr>
          <w:p>
            <w:pPr>
              <w:spacing w:before="80" w:after="80"/>
              <w:ind w:left="72"/>
            </w:pPr>
            <w:r>
              <w:rPr>
                <w:sz w:val="20"/>
              </w:rPr>
            </w:r>
            <w:r/>
            <w:r>
              <w:rPr>
                <w:b/>
              </w:rPr>
              <w:t>Age</w:t>
            </w:r>
            <w:r/>
          </w:p>
        </w:tc>
        <w:tc>
          <w:tcPr>
            <w:tcW w:type="dxa" w:w="3120"/>
          </w:tcPr>
          <w:p>
            <w:pPr>
              <w:spacing w:before="80" w:after="80"/>
              <w:ind w:left="72"/>
            </w:pPr>
            <w:r>
              <w:rPr>
                <w:sz w:val="20"/>
              </w:rPr>
            </w:r>
            <w:r>
              <w:t>Mosha e pacientes</w:t>
            </w:r>
          </w:p>
        </w:tc>
        <w:tc>
          <w:tcPr>
            <w:tcW w:type="dxa" w:w="3120"/>
          </w:tcPr>
          <w:p>
            <w:pPr>
              <w:spacing w:before="80" w:after="80"/>
              <w:ind w:left="72"/>
            </w:pPr>
            <w:r>
              <w:rPr>
                <w:sz w:val="20"/>
              </w:rPr>
            </w:r>
            <w:r>
              <w:t>Numerik (Integer, vite)</w:t>
            </w:r>
          </w:p>
        </w:tc>
      </w:tr>
      <w:tr>
        <w:tc>
          <w:tcPr>
            <w:tcW w:type="dxa" w:w="3120"/>
            <w:shd w:val="clear" w:color="auto" w:fill="F2F5F9"/>
          </w:tcPr>
          <w:p>
            <w:pPr>
              <w:spacing w:before="80" w:after="80"/>
              <w:ind w:left="72"/>
            </w:pPr>
            <w:r>
              <w:rPr>
                <w:sz w:val="20"/>
              </w:rPr>
            </w:r>
            <w:r/>
            <w:r>
              <w:rPr>
                <w:b/>
              </w:rPr>
              <w:t>Outcome</w:t>
            </w:r>
            <w:r>
              <w:t xml:space="preserve"> (Target)</w:t>
            </w:r>
          </w:p>
        </w:tc>
        <w:tc>
          <w:tcPr>
            <w:tcW w:type="dxa" w:w="3120"/>
            <w:shd w:val="clear" w:color="auto" w:fill="F2F5F9"/>
          </w:tcPr>
          <w:p>
            <w:pPr>
              <w:spacing w:before="80" w:after="80"/>
              <w:ind w:left="72"/>
            </w:pPr>
            <w:r>
              <w:rPr>
                <w:sz w:val="20"/>
              </w:rPr>
            </w:r>
            <w:r>
              <w:t>Diagnoza e diabetit (0 = Jo diabetik, 1 = Diabetik)</w:t>
            </w:r>
          </w:p>
        </w:tc>
        <w:tc>
          <w:tcPr>
            <w:tcW w:type="dxa" w:w="3120"/>
            <w:shd w:val="clear" w:color="auto" w:fill="F2F5F9"/>
          </w:tcPr>
          <w:p>
            <w:pPr>
              <w:spacing w:before="80" w:after="80"/>
              <w:ind w:left="72"/>
            </w:pPr>
            <w:r>
              <w:rPr>
                <w:sz w:val="20"/>
              </w:rPr>
            </w:r>
            <w:r>
              <w:t>Kategorial (Binary: 0 ose 1)</w:t>
            </w:r>
          </w:p>
        </w:tc>
      </w:tr>
    </w:tbl>
    <w:p/>
    <w:p>
      <w:pPr>
        <w:pStyle w:val="Heading2"/>
        <w:spacing w:before="240" w:after="80"/>
      </w:pPr>
      <w:r>
        <w:rPr>
          <w:rFonts w:ascii="Arial" w:hAnsi="Arial"/>
          <w:b/>
          <w:color w:val="336699"/>
        </w:rPr>
        <w:t>2.2 Problematikat e Datasetit dhe Balanca e Klasave</w:t>
      </w:r>
    </w:p>
    <w:p>
      <w:pPr>
        <w:spacing w:after="120" w:line="276" w:lineRule="auto"/>
      </w:pPr>
      <w:r>
        <w:t>Gjatë inspektimit fillestar të datasetit (i realizuar në `ml/01_inspect_datasets.py`), u identifikuan dy sfida kryesore:</w:t>
      </w:r>
    </w:p>
    <w:p>
      <w:pPr>
        <w:pStyle w:val="ListBullet"/>
        <w:spacing w:after="60"/>
      </w:pPr>
      <w:r>
        <w:t xml:space="preserve"> </w:t>
      </w:r>
      <w:r>
        <w:rPr>
          <w:b/>
        </w:rPr>
        <w:t>Vlera zero joreale (Missing Values)</w:t>
      </w:r>
      <w:r>
        <w:t>: Disa kolona përmbajnë vlerën `0` në raste ku ajo është fizikisht e pamundur për një person të gjallë (p.sh., Glukoza = 0, Presioni i Gjakut = 0, BMI = 0, Insulinë = 0, Trashësi e Lëkurës = 0). Këto zero janë në të vërtetë vlera të munguara të koduara si 0.</w:t>
      </w:r>
    </w:p>
    <w:p>
      <w:pPr>
        <w:spacing w:after="120" w:line="276" w:lineRule="auto"/>
      </w:pPr>
      <w:r>
        <w:t xml:space="preserve">2.  </w:t>
      </w:r>
      <w:r>
        <w:rPr>
          <w:b/>
        </w:rPr>
        <w:t>Klasa të pabalancuara</w:t>
      </w:r>
      <w:r>
        <w:t>: Shpërndarja e variablës target është:</w:t>
      </w:r>
    </w:p>
    <w:p>
      <w:pPr>
        <w:pStyle w:val="ListBullet"/>
        <w:spacing w:after="60"/>
      </w:pPr>
      <w:r>
        <w:t xml:space="preserve">  </w:t>
      </w:r>
      <w:r>
        <w:rPr>
          <w:b/>
        </w:rPr>
        <w:t>Klasa 0 (Jo diabetik)</w:t>
      </w:r>
      <w:r>
        <w:t>: 500 pacientë (65.1%)</w:t>
      </w:r>
    </w:p>
    <w:p>
      <w:pPr>
        <w:pStyle w:val="ListBullet"/>
        <w:spacing w:after="60"/>
      </w:pPr>
      <w:r>
        <w:t xml:space="preserve">  </w:t>
      </w:r>
      <w:r>
        <w:rPr>
          <w:b/>
        </w:rPr>
        <w:t>Klasa 1 (Diabetik)</w:t>
      </w:r>
      <w:r>
        <w:t>: 268 pacientë (34.9%)</w:t>
      </w:r>
    </w:p>
    <w:p>
      <w:pPr>
        <w:spacing w:after="120" w:line="276" w:lineRule="auto"/>
      </w:pPr>
      <w:r>
        <w:t xml:space="preserve">Kjo pabalancë kërkon përdorimin e metrikës </w:t>
      </w:r>
      <w:r>
        <w:rPr>
          <w:b/>
        </w:rPr>
        <w:t>F1-Score</w:t>
      </w:r>
      <w:r>
        <w:t xml:space="preserve"> për vlerësimin e modeleve, pasi thjesht saktësia (Accuracy) mund të jetë mashtruese.</w:t>
      </w:r>
    </w:p>
    <w:p>
      <w:pPr>
        <w:spacing w:after="240"/>
      </w:pPr>
    </w:p>
    <w:p>
      <w:pPr>
        <w:pStyle w:val="Heading1"/>
        <w:spacing w:before="360" w:after="120"/>
      </w:pPr>
      <w:r>
        <w:rPr>
          <w:rFonts w:ascii="Arial" w:hAnsi="Arial"/>
          <w:b/>
          <w:color w:val="225588"/>
        </w:rPr>
        <w:t>3. Metodologjia (Methodology)</w:t>
      </w:r>
    </w:p>
    <w:p>
      <w:pPr>
        <w:spacing w:after="120" w:line="276" w:lineRule="auto"/>
      </w:pPr>
      <w:r>
        <w:t xml:space="preserve">Metodologjia e përdorur në këtë projekt ndjek një rrjedhë të strukturuar të ndarë në dy shtylla kryesore: </w:t>
      </w:r>
      <w:r>
        <w:rPr>
          <w:b/>
        </w:rPr>
        <w:t>Pipeline i Machine Learning</w:t>
      </w:r>
      <w:r>
        <w:t xml:space="preserve"> dhe </w:t>
      </w:r>
      <w:r>
        <w:rPr>
          <w:b/>
        </w:rPr>
        <w:t>Inxhinieria e Sistemit (Backend &amp; Frontend)</w:t>
      </w:r>
      <w:r>
        <w:t>.</w:t>
      </w:r>
    </w:p>
    <w:p>
      <w:pPr>
        <w:pStyle w:val="Heading2"/>
        <w:spacing w:before="240" w:after="80"/>
      </w:pPr>
      <w:r>
        <w:rPr>
          <w:rFonts w:ascii="Arial" w:hAnsi="Arial"/>
          <w:b/>
          <w:color w:val="336699"/>
        </w:rPr>
        <w:t>3.1 Pipeline i Machine Learning</w:t>
      </w:r>
    </w:p>
    <w:p>
      <w:pPr>
        <w:spacing w:after="120" w:line="276" w:lineRule="auto"/>
      </w:pPr>
      <w:r>
        <w:t>Rrjedha e punës me të dhënat dhe modelet ML ndjek hapat e mëposhtëm:</w:t>
      </w:r>
    </w:p>
    <w:p>
      <w:pPr>
        <w:spacing w:before="120" w:after="120"/>
        <w:ind w:left="720"/>
      </w:pPr>
      <w:r>
        <w:rPr>
          <w:rFonts w:ascii="Courier New" w:hAnsi="Courier New"/>
          <w:color w:val="555555"/>
          <w:sz w:val="19"/>
        </w:rPr>
        <w:t>graph TD</w:t>
        <w:br/>
        <w:t xml:space="preserve">    A[Dataseti Raw: diabetes.csv] --&gt; B[Zëvendësimi i Vlerave 0 me Median e Klasës]</w:t>
        <w:br/>
        <w:t xml:space="preserve">    B --&gt; C[IQR Capping për Outliers]</w:t>
        <w:br/>
        <w:t xml:space="preserve">    C --&gt; D[Ndarja e të dhënave: 80% Train / 20% Test]</w:t>
        <w:br/>
        <w:t xml:space="preserve">    D --&gt; E[Skalimi me StandardScaler]</w:t>
        <w:br/>
        <w:t xml:space="preserve">    E --&gt; F[GridSearchCV - Hyperparameter Tuning]</w:t>
        <w:br/>
        <w:t xml:space="preserve">    F --&gt; G[Trajnimi i 5 Modeleve Supervised]</w:t>
        <w:br/>
        <w:t xml:space="preserve">    E --&gt; H[K-Means Clustering per Rrezikun]</w:t>
        <w:br/>
        <w:t xml:space="preserve">    G --&gt; I[Stratified 5-Fold Cross-Validation]</w:t>
        <w:br/>
        <w:t xml:space="preserve">    I --&gt; J[Zgjedhja e Random Forest si Model Production]</w:t>
      </w:r>
    </w:p>
    <w:p>
      <w:pPr>
        <w:pStyle w:val="ListBullet"/>
        <w:spacing w:after="60"/>
      </w:pPr>
      <w:r>
        <w:t xml:space="preserve"> </w:t>
      </w:r>
      <w:r>
        <w:rPr>
          <w:b/>
        </w:rPr>
        <w:t>Zëvendësimi i Vlerave të Munguara</w:t>
      </w:r>
      <w:r>
        <w:t xml:space="preserve">: Në vend të fshirjes së rreshtave (gjë që do të zvogëlonte datasetin), vlerat 0 në kolonat kritike u zëvendësuan me </w:t>
      </w:r>
      <w:r>
        <w:rPr>
          <w:b/>
        </w:rPr>
        <w:t>medianën</w:t>
      </w:r>
      <w:r>
        <w:t xml:space="preserve"> e asaj kolone, të llogaritur specifikisht për secilën klasë target (0 ose 1). Kjo parandalon prishjen e shpërndarjes natyrale të të dhënave.</w:t>
      </w:r>
    </w:p>
    <w:p>
      <w:pPr>
        <w:spacing w:after="120" w:line="276" w:lineRule="auto"/>
      </w:pPr>
      <w:r>
        <w:t xml:space="preserve">2.  </w:t>
      </w:r>
      <w:r>
        <w:rPr>
          <w:b/>
        </w:rPr>
        <w:t>Trajtimi i Vlerave Ekstreme (Outliers)</w:t>
      </w:r>
      <w:r>
        <w:t xml:space="preserve">: U përdor metoda </w:t>
      </w:r>
      <w:r>
        <w:rPr>
          <w:b/>
        </w:rPr>
        <w:t>IQR (Interquartile Range)</w:t>
      </w:r>
      <w:r>
        <w:t>. Çdo vlerë jashtë kufijve:</w:t>
      </w:r>
    </w:p>
    <w:p>
      <w:pPr>
        <w:spacing w:after="120" w:line="276" w:lineRule="auto"/>
      </w:pPr>
      <w:r>
        <w:t>$$[Q_1 - 1.5 \times IQR, \;\; Q_3 + 1.5 \times IQR]$$</w:t>
      </w:r>
    </w:p>
    <w:p>
      <w:pPr>
        <w:spacing w:after="120" w:line="276" w:lineRule="auto"/>
      </w:pPr>
      <w:r>
        <w:t>u kufizua ("capped") në vlerën më të afërt të lejuar (duke përdorur funksionin `.clip()` në Pandas), në vend që të fshihej.</w:t>
      </w:r>
    </w:p>
    <w:p>
      <w:pPr>
        <w:spacing w:after="120" w:line="276" w:lineRule="auto"/>
      </w:pPr>
      <w:r>
        <w:t xml:space="preserve">3.  </w:t>
      </w:r>
      <w:r>
        <w:rPr>
          <w:b/>
        </w:rPr>
        <w:t>Skalimi i Veçorive</w:t>
      </w:r>
      <w:r>
        <w:t xml:space="preserve">: Meqenëse parametrat kanë shkallë të ndryshme (p.sh. Insulinë deri në 800, ndërsa Pedigree Score nën 2), u përdor </w:t>
      </w:r>
      <w:r>
        <w:rPr>
          <w:b/>
        </w:rPr>
        <w:t>StandardScaler</w:t>
      </w:r>
      <w:r>
        <w:t xml:space="preserve"> për t'i sjellë të gjitha kolonat në një shpërndarje standarde me mesatare 0 dhe devijim standard 1:</w:t>
      </w:r>
    </w:p>
    <w:p>
      <w:pPr>
        <w:spacing w:after="120" w:line="276" w:lineRule="auto"/>
      </w:pPr>
      <w:r>
        <w:t>$$z = \frac{x - \mu}{\sigma}$$</w:t>
      </w:r>
    </w:p>
    <w:p>
      <w:pPr>
        <w:spacing w:after="120" w:line="276" w:lineRule="auto"/>
      </w:pPr>
      <w:r>
        <w:t>Skaleri u trajnua (fitted) vetëm në setin e trajnimit për të shmangur rjedhjen e të dhënave (data leakage).</w:t>
      </w:r>
    </w:p>
    <w:p>
      <w:pPr>
        <w:spacing w:after="120" w:line="276" w:lineRule="auto"/>
      </w:pPr>
      <w:r>
        <w:t xml:space="preserve">4.  </w:t>
      </w:r>
      <w:r>
        <w:rPr>
          <w:b/>
        </w:rPr>
        <w:t>Modelet e Trajnuara</w:t>
      </w:r>
      <w:r>
        <w:t>: U trajnuan pesë arkitektura të ndryshme:</w:t>
      </w:r>
    </w:p>
    <w:p>
      <w:pPr>
        <w:pStyle w:val="ListBullet"/>
        <w:spacing w:after="60"/>
      </w:pPr>
      <w:r>
        <w:t xml:space="preserve">  </w:t>
      </w:r>
      <w:r>
        <w:rPr>
          <w:b/>
        </w:rPr>
        <w:t>Random Forest Classifier</w:t>
      </w:r>
      <w:r>
        <w:t>: Model ansambël me 100 pemë vendimi.</w:t>
      </w:r>
    </w:p>
    <w:p>
      <w:pPr>
        <w:pStyle w:val="ListBullet"/>
        <w:spacing w:after="60"/>
      </w:pPr>
      <w:r>
        <w:t xml:space="preserve">  </w:t>
      </w:r>
      <w:r>
        <w:rPr>
          <w:b/>
        </w:rPr>
        <w:t>K-Nearest Neighbors (kNN)</w:t>
      </w:r>
      <w:r>
        <w:t>: Bazuar në distancën Euklidiane me $k=5$.</w:t>
      </w:r>
    </w:p>
    <w:p>
      <w:pPr>
        <w:pStyle w:val="ListBullet"/>
        <w:spacing w:after="60"/>
      </w:pPr>
      <w:r>
        <w:t xml:space="preserve">  </w:t>
      </w:r>
      <w:r>
        <w:rPr>
          <w:b/>
        </w:rPr>
        <w:t>Logistic Regression</w:t>
      </w:r>
      <w:r>
        <w:t>: Model linear klasik si baseline.</w:t>
      </w:r>
    </w:p>
    <w:p>
      <w:pPr>
        <w:pStyle w:val="ListBullet"/>
        <w:spacing w:after="60"/>
      </w:pPr>
      <w:r>
        <w:t xml:space="preserve">  </w:t>
      </w:r>
      <w:r>
        <w:rPr>
          <w:b/>
        </w:rPr>
        <w:t>MLP (Multi-Layer Perceptron) 1</w:t>
      </w:r>
      <w:r>
        <w:t>: Rrjetë neurale me një shtresë të fshehur (64 neurone).</w:t>
      </w:r>
    </w:p>
    <w:p>
      <w:pPr>
        <w:pStyle w:val="ListBullet"/>
        <w:spacing w:after="60"/>
      </w:pPr>
      <w:r>
        <w:t xml:space="preserve">  </w:t>
      </w:r>
      <w:r>
        <w:rPr>
          <w:b/>
        </w:rPr>
        <w:t>MLP (Multi-Layer Perceptron) 2</w:t>
      </w:r>
      <w:r>
        <w:t>: Rrjetë neurale e thellë me tri shtresa të fshehura (128-64-32 neurone).</w:t>
      </w:r>
    </w:p>
    <w:p>
      <w:pPr>
        <w:spacing w:after="120" w:line="276" w:lineRule="auto"/>
      </w:pPr>
      <w:r>
        <w:t xml:space="preserve">5.  </w:t>
      </w:r>
      <w:r>
        <w:rPr>
          <w:b/>
        </w:rPr>
        <w:t>GridSearchCV dhe Cross-Validation</w:t>
      </w:r>
      <w:r>
        <w:t xml:space="preserve">: U realizua optimizimi i hiperparametrave përmes kërkimit sistematik dhe vlerësimit me </w:t>
      </w:r>
      <w:r>
        <w:rPr>
          <w:b/>
        </w:rPr>
        <w:t>Stratified 5-Fold Cross-Validation</w:t>
      </w:r>
      <w:r>
        <w:t xml:space="preserve"> për të garantuar që modelet nuk janë të mbidetajuara (overfitted).</w:t>
      </w:r>
    </w:p>
    <w:p>
      <w:pPr>
        <w:spacing w:after="120" w:line="276" w:lineRule="auto"/>
      </w:pPr>
      <w:r>
        <w:t xml:space="preserve">6.  </w:t>
      </w:r>
      <w:r>
        <w:rPr>
          <w:b/>
        </w:rPr>
        <w:t>Grupimi Unsupervised (K-Means)</w:t>
      </w:r>
      <w:r>
        <w:t xml:space="preserve">: Meqenëse rreziku metabolik nuk është gjithmonë binar, u përdor algoritmi </w:t>
      </w:r>
      <w:r>
        <w:rPr>
          <w:b/>
        </w:rPr>
        <w:t>K-Means Clustering</w:t>
      </w:r>
      <w:r>
        <w:t xml:space="preserve"> për të grupuar pacientët në 3 nivele klinike rreziku pa përdorur etiketat fillestare. Përzgjedhja e $K=3$ u verifikua përmes metodës </w:t>
      </w:r>
      <w:r>
        <w:rPr>
          <w:b/>
        </w:rPr>
        <w:t>Elbow</w:t>
      </w:r>
      <w:r>
        <w:t xml:space="preserve"> dhe pikëve </w:t>
      </w:r>
      <w:r>
        <w:rPr>
          <w:b/>
        </w:rPr>
        <w:t>Silhouette</w:t>
      </w:r>
      <w:r>
        <w:t>.</w:t>
      </w:r>
    </w:p>
    <w:p>
      <w:pPr>
        <w:pStyle w:val="Heading2"/>
        <w:spacing w:before="240" w:after="80"/>
      </w:pPr>
      <w:r>
        <w:rPr>
          <w:rFonts w:ascii="Arial" w:hAnsi="Arial"/>
          <w:b/>
          <w:color w:val="336699"/>
        </w:rPr>
        <w:t>3.2 Arkitektura e Backend-it (FastAPI)</w:t>
      </w:r>
    </w:p>
    <w:p>
      <w:pPr>
        <w:spacing w:after="120" w:line="276" w:lineRule="auto"/>
      </w:pPr>
      <w:r>
        <w:t xml:space="preserve">Backend-i është ndërtuar me </w:t>
      </w:r>
      <w:r>
        <w:rPr>
          <w:b/>
        </w:rPr>
        <w:t>FastAPI (Python 3.10+)</w:t>
      </w:r>
      <w:r>
        <w:t xml:space="preserve"> dhe ndjek parimin e arkitekturës me tri shtresa:</w:t>
      </w:r>
    </w:p>
    <w:p>
      <w:pPr>
        <w:pStyle w:val="ListBullet"/>
        <w:spacing w:after="60"/>
      </w:pPr>
      <w:r>
        <w:t xml:space="preserve">  </w:t>
      </w:r>
      <w:r>
        <w:rPr>
          <w:b/>
        </w:rPr>
        <w:t>Controllers (Routes)</w:t>
      </w:r>
      <w:r>
        <w:t>: Menaxhojnë kërkesat HTTP dhe lidhjet WebSocket.</w:t>
      </w:r>
    </w:p>
    <w:p>
      <w:pPr>
        <w:pStyle w:val="ListBullet"/>
        <w:spacing w:after="60"/>
      </w:pPr>
      <w:r>
        <w:t xml:space="preserve">  </w:t>
      </w:r>
      <w:r>
        <w:rPr>
          <w:b/>
        </w:rPr>
        <w:t>Services</w:t>
      </w:r>
      <w:r>
        <w:t>: Mbajnë logjikën e biznesit (p.sh. `AuthService` për tokenat, `OCRService` për leximin e imazheve).</w:t>
      </w:r>
    </w:p>
    <w:p>
      <w:pPr>
        <w:pStyle w:val="ListBullet"/>
        <w:spacing w:after="60"/>
      </w:pPr>
      <w:r>
        <w:t xml:space="preserve">  </w:t>
      </w:r>
      <w:r>
        <w:rPr>
          <w:b/>
        </w:rPr>
        <w:t>Repositories</w:t>
      </w:r>
      <w:r>
        <w:t xml:space="preserve">: Ndërveprojnë me databazën përmes </w:t>
      </w:r>
      <w:r>
        <w:rPr>
          <w:b/>
        </w:rPr>
        <w:t>SQLAlchemy ORM</w:t>
      </w:r>
      <w:r>
        <w:t>.</w:t>
      </w:r>
    </w:p>
    <w:p>
      <w:pPr>
        <w:pStyle w:val="Heading3"/>
        <w:spacing w:before="120" w:after="40"/>
      </w:pPr>
      <w:r>
        <w:rPr>
          <w:rFonts w:ascii="Arial" w:hAnsi="Arial"/>
          <w:b/>
          <w:color w:val="4477AA"/>
        </w:rPr>
        <w:t>Integrimi i LEADTOOLS OCR SDK (Pjesa Inovative)</w:t>
      </w:r>
    </w:p>
    <w:p>
      <w:pPr>
        <w:spacing w:after="120" w:line="276" w:lineRule="auto"/>
      </w:pPr>
      <w:r>
        <w:t xml:space="preserve">Një nga veçoritë më të fuqishme të backend-it është integrimi i </w:t>
      </w:r>
      <w:r>
        <w:rPr>
          <w:b/>
        </w:rPr>
        <w:t>LEADTOOLS OCR SDK v23</w:t>
      </w:r>
      <w:r>
        <w:t>. Procesi i leximit të analizave laboratorike kryhet si vijon:</w:t>
      </w:r>
    </w:p>
    <w:p>
      <w:pPr>
        <w:pStyle w:val="ListBullet"/>
        <w:spacing w:after="60"/>
      </w:pPr>
      <w:r>
        <w:t>Përdoruesi ngarkon një foto të analizave (JPEG/PNG/PDF).</w:t>
      </w:r>
    </w:p>
    <w:p>
      <w:pPr>
        <w:spacing w:after="120" w:line="276" w:lineRule="auto"/>
      </w:pPr>
      <w:r>
        <w:t>2. Backend-i e ruan imazhin përkohësisht në një dosje temp.</w:t>
      </w:r>
    </w:p>
    <w:p>
      <w:pPr>
        <w:spacing w:after="120" w:line="276" w:lineRule="auto"/>
      </w:pPr>
      <w:r>
        <w:t xml:space="preserve">3. Thërritet motori i </w:t>
      </w:r>
      <w:r>
        <w:rPr>
          <w:b/>
        </w:rPr>
        <w:t>OcrEngineManager.CreateEngine(OcrEngineType.LEAD)</w:t>
      </w:r>
      <w:r>
        <w:t xml:space="preserve"> i cili lexon tekstin nga imazhi lokalisht.</w:t>
      </w:r>
    </w:p>
    <w:p>
      <w:pPr>
        <w:spacing w:after="120" w:line="276" w:lineRule="auto"/>
      </w:pPr>
      <w:r>
        <w:t>4. Teksti i nxjerrë procesohet përmes shprehjeve të rregullta (Regex) të cilat përmbajnë etiketa në disa gjuhë (shqip, anglisht, gjermanisht, italisht). Për shembull, "sheqeri në gjak" ose "glukoza" mapohen automatikisht në fushën `Glucose`.</w:t>
      </w:r>
    </w:p>
    <w:p>
      <w:pPr>
        <w:spacing w:after="120" w:line="276" w:lineRule="auto"/>
      </w:pPr>
      <w:r>
        <w:t>5. Fushat e gjetura plotësojnë automatikisht formularin në Frontend, duke i lejuar përdoruesit të bëjë korrigjime përpara se të dërgojë të dhënat për parashikim.</w:t>
      </w:r>
    </w:p>
    <w:p>
      <w:pPr>
        <w:spacing w:after="120" w:line="276" w:lineRule="auto"/>
      </w:pPr>
      <w:r>
        <w:t xml:space="preserve">6. Në rast se SDK nuk është e instaluar në makinën e zhvillimit (p.sh. gjatë testimit lokal pa licencë), sistemi kalon automatikisht në </w:t>
      </w:r>
      <w:r>
        <w:rPr>
          <w:b/>
        </w:rPr>
        <w:t>OCR_DEMO_FALLBACK</w:t>
      </w:r>
      <w:r>
        <w:t xml:space="preserve"> duke kthyer një set të dhënash shembull për të parandaluar bllokimin e aplikacionit.</w:t>
      </w:r>
    </w:p>
    <w:p>
      <w:pPr>
        <w:pStyle w:val="Heading3"/>
        <w:spacing w:before="120" w:after="40"/>
      </w:pPr>
      <w:r>
        <w:rPr>
          <w:rFonts w:ascii="Arial" w:hAnsi="Arial"/>
          <w:b/>
          <w:color w:val="4477AA"/>
        </w:rPr>
        <w:t>Siguria dhe Autorizimi</w:t>
      </w:r>
    </w:p>
    <w:p>
      <w:pPr>
        <w:spacing w:after="120" w:line="276" w:lineRule="auto"/>
      </w:pPr>
      <w:r>
        <w:t>Sistemi përdor një skemë të avancuar sigurie:</w:t>
      </w:r>
    </w:p>
    <w:p>
      <w:pPr>
        <w:pStyle w:val="ListBullet"/>
        <w:spacing w:after="60"/>
      </w:pPr>
      <w:r>
        <w:t xml:space="preserve">  </w:t>
      </w:r>
      <w:r>
        <w:rPr>
          <w:b/>
        </w:rPr>
        <w:t>JWT Access Tokens</w:t>
      </w:r>
      <w:r>
        <w:t>: Jetëgjatësi prej 30 minutash.</w:t>
      </w:r>
    </w:p>
    <w:p>
      <w:pPr>
        <w:pStyle w:val="ListBullet"/>
        <w:spacing w:after="60"/>
      </w:pPr>
      <w:r>
        <w:t xml:space="preserve">  </w:t>
      </w:r>
      <w:r>
        <w:rPr>
          <w:b/>
        </w:rPr>
        <w:t>Refresh Tokens me Rotation</w:t>
      </w:r>
      <w:r>
        <w:t>: Sa herë që kërkohet një access token i ri, refresh token-i i vjetër anulohet dhe lëshohet një i ri. Kjo parandalon sulmet e tipit "replay".</w:t>
      </w:r>
    </w:p>
    <w:p>
      <w:pPr>
        <w:pStyle w:val="ListBullet"/>
        <w:spacing w:after="60"/>
      </w:pPr>
      <w:r>
        <w:t xml:space="preserve">  </w:t>
      </w:r>
      <w:r>
        <w:rPr>
          <w:b/>
        </w:rPr>
        <w:t>Role-Based Access Control (RBAC)</w:t>
      </w:r>
      <w:r>
        <w:t>: Kontroll i qasjes bazuar në role (`admin`, `doctor`, `patient`) përmes dekoratorëve të FastAPI.</w:t>
      </w:r>
    </w:p>
    <w:p>
      <w:pPr>
        <w:spacing w:after="240"/>
      </w:pPr>
    </w:p>
    <w:p>
      <w:pPr>
        <w:pStyle w:val="Heading1"/>
        <w:spacing w:before="360" w:after="120"/>
      </w:pPr>
      <w:r>
        <w:rPr>
          <w:rFonts w:ascii="Arial" w:hAnsi="Arial"/>
          <w:b/>
          <w:color w:val="225588"/>
        </w:rPr>
        <w:t>4. Rezultatet (Results)</w:t>
      </w:r>
    </w:p>
    <w:p>
      <w:pPr>
        <w:pStyle w:val="Heading2"/>
        <w:spacing w:before="240" w:after="80"/>
      </w:pPr>
      <w:r>
        <w:rPr>
          <w:rFonts w:ascii="Arial" w:hAnsi="Arial"/>
          <w:b/>
          <w:color w:val="336699"/>
        </w:rPr>
        <w:t>4.1 Krahasimi i Modeleve Supervised (Klasifikimi)</w:t>
      </w:r>
    </w:p>
    <w:p>
      <w:pPr>
        <w:spacing w:after="120" w:line="276" w:lineRule="auto"/>
      </w:pPr>
      <w:r>
        <w:t>Pas trajnimit dhe vlerësimit me të dhënat e testit (20% e pashikuar e datasetit), metrikat e performancës për të 5 modelet paraqiten si më poshtë:</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336699"/>
          </w:tcPr>
          <w:p>
            <w:pPr>
              <w:spacing w:before="80" w:after="80"/>
              <w:ind w:left="72"/>
            </w:pPr>
            <w:r/>
            <w:r>
              <w:rPr>
                <w:b/>
                <w:color w:val="FFFFFF"/>
                <w:sz w:val="21"/>
              </w:rPr>
              <w:t>Modeli</w:t>
            </w:r>
          </w:p>
        </w:tc>
        <w:tc>
          <w:tcPr>
            <w:tcW w:type="dxa" w:w="1560"/>
            <w:shd w:val="clear" w:color="auto" w:fill="336699"/>
          </w:tcPr>
          <w:p>
            <w:pPr>
              <w:spacing w:before="80" w:after="80"/>
              <w:ind w:left="72"/>
            </w:pPr>
            <w:r/>
            <w:r>
              <w:rPr>
                <w:b/>
                <w:color w:val="FFFFFF"/>
                <w:sz w:val="21"/>
              </w:rPr>
              <w:t>Saktësia (Accuracy)</w:t>
            </w:r>
          </w:p>
        </w:tc>
        <w:tc>
          <w:tcPr>
            <w:tcW w:type="dxa" w:w="1560"/>
            <w:shd w:val="clear" w:color="auto" w:fill="336699"/>
          </w:tcPr>
          <w:p>
            <w:pPr>
              <w:spacing w:before="80" w:after="80"/>
              <w:ind w:left="72"/>
            </w:pPr>
            <w:r/>
            <w:r>
              <w:rPr>
                <w:b/>
                <w:color w:val="FFFFFF"/>
                <w:sz w:val="21"/>
              </w:rPr>
              <w:t>Precision</w:t>
            </w:r>
          </w:p>
        </w:tc>
        <w:tc>
          <w:tcPr>
            <w:tcW w:type="dxa" w:w="1560"/>
            <w:shd w:val="clear" w:color="auto" w:fill="336699"/>
          </w:tcPr>
          <w:p>
            <w:pPr>
              <w:spacing w:before="80" w:after="80"/>
              <w:ind w:left="72"/>
            </w:pPr>
            <w:r/>
            <w:r>
              <w:rPr>
                <w:b/>
                <w:color w:val="FFFFFF"/>
                <w:sz w:val="21"/>
              </w:rPr>
              <w:t>Recall</w:t>
            </w:r>
          </w:p>
        </w:tc>
        <w:tc>
          <w:tcPr>
            <w:tcW w:type="dxa" w:w="1560"/>
            <w:shd w:val="clear" w:color="auto" w:fill="336699"/>
          </w:tcPr>
          <w:p>
            <w:pPr>
              <w:spacing w:before="80" w:after="80"/>
              <w:ind w:left="72"/>
            </w:pPr>
            <w:r/>
            <w:r>
              <w:rPr>
                <w:b/>
                <w:color w:val="FFFFFF"/>
                <w:sz w:val="21"/>
              </w:rPr>
              <w:t>F1-Score</w:t>
            </w:r>
          </w:p>
        </w:tc>
        <w:tc>
          <w:tcPr>
            <w:tcW w:type="dxa" w:w="1560"/>
            <w:shd w:val="clear" w:color="auto" w:fill="336699"/>
          </w:tcPr>
          <w:p>
            <w:pPr>
              <w:spacing w:before="80" w:after="80"/>
              <w:ind w:left="72"/>
            </w:pPr>
            <w:r/>
            <w:r>
              <w:rPr>
                <w:b/>
                <w:color w:val="FFFFFF"/>
                <w:sz w:val="21"/>
              </w:rPr>
              <w:t>Statusi</w:t>
            </w:r>
          </w:p>
        </w:tc>
      </w:tr>
      <w:tr>
        <w:tc>
          <w:tcPr>
            <w:tcW w:type="dxa" w:w="1560"/>
          </w:tcPr>
          <w:p>
            <w:pPr>
              <w:spacing w:before="80" w:after="80"/>
              <w:ind w:left="72"/>
            </w:pPr>
            <w:r>
              <w:rPr>
                <w:sz w:val="20"/>
              </w:rPr>
            </w:r>
            <w:r>
              <w:t>:---</w:t>
            </w:r>
          </w:p>
        </w:tc>
        <w:tc>
          <w:tcPr>
            <w:tcW w:type="dxa" w:w="1560"/>
          </w:tcPr>
          <w:p>
            <w:pPr>
              <w:spacing w:before="80" w:after="80"/>
              <w:ind w:left="72"/>
            </w:pPr>
            <w:r>
              <w:rPr>
                <w:sz w:val="20"/>
              </w:rPr>
            </w:r>
            <w:r>
              <w:t>:---:</w:t>
            </w:r>
          </w:p>
        </w:tc>
        <w:tc>
          <w:tcPr>
            <w:tcW w:type="dxa" w:w="1560"/>
          </w:tcPr>
          <w:p>
            <w:pPr>
              <w:spacing w:before="80" w:after="80"/>
              <w:ind w:left="72"/>
            </w:pPr>
            <w:r>
              <w:rPr>
                <w:sz w:val="20"/>
              </w:rPr>
            </w:r>
            <w:r>
              <w:t>:---:</w:t>
            </w:r>
          </w:p>
        </w:tc>
        <w:tc>
          <w:tcPr>
            <w:tcW w:type="dxa" w:w="1560"/>
          </w:tcPr>
          <w:p>
            <w:pPr>
              <w:spacing w:before="80" w:after="80"/>
              <w:ind w:left="72"/>
            </w:pPr>
            <w:r>
              <w:rPr>
                <w:sz w:val="20"/>
              </w:rPr>
            </w:r>
            <w:r>
              <w:t>:---:</w:t>
            </w:r>
          </w:p>
        </w:tc>
        <w:tc>
          <w:tcPr>
            <w:tcW w:type="dxa" w:w="1560"/>
          </w:tcPr>
          <w:p>
            <w:pPr>
              <w:spacing w:before="80" w:after="80"/>
              <w:ind w:left="72"/>
            </w:pPr>
            <w:r>
              <w:rPr>
                <w:sz w:val="20"/>
              </w:rPr>
            </w:r>
            <w:r>
              <w:t>:---:</w:t>
            </w:r>
          </w:p>
        </w:tc>
        <w:tc>
          <w:tcPr>
            <w:tcW w:type="dxa" w:w="1560"/>
          </w:tcPr>
          <w:p>
            <w:pPr>
              <w:spacing w:before="80" w:after="80"/>
              <w:ind w:left="72"/>
            </w:pPr>
            <w:r>
              <w:rPr>
                <w:sz w:val="20"/>
              </w:rPr>
            </w:r>
            <w:r>
              <w:t>:---</w:t>
            </w:r>
          </w:p>
        </w:tc>
      </w:tr>
      <w:tr>
        <w:tc>
          <w:tcPr>
            <w:tcW w:type="dxa" w:w="1560"/>
            <w:shd w:val="clear" w:color="auto" w:fill="F2F5F9"/>
          </w:tcPr>
          <w:p>
            <w:pPr>
              <w:spacing w:before="80" w:after="80"/>
              <w:ind w:left="72"/>
            </w:pPr>
            <w:r>
              <w:rPr>
                <w:sz w:val="20"/>
              </w:rPr>
            </w:r>
            <w:r/>
            <w:r>
              <w:rPr>
                <w:b/>
              </w:rPr>
              <w:t>Random Forest</w:t>
            </w:r>
            <w:r>
              <w:t xml:space="preserve"> ⭐</w:t>
            </w:r>
          </w:p>
        </w:tc>
        <w:tc>
          <w:tcPr>
            <w:tcW w:type="dxa" w:w="1560"/>
            <w:shd w:val="clear" w:color="auto" w:fill="F2F5F9"/>
          </w:tcPr>
          <w:p>
            <w:pPr>
              <w:spacing w:before="80" w:after="80"/>
              <w:ind w:left="72"/>
            </w:pPr>
            <w:r>
              <w:rPr>
                <w:sz w:val="20"/>
              </w:rPr>
            </w:r>
            <w:r/>
            <w:r>
              <w:rPr>
                <w:b/>
              </w:rPr>
              <w:t>85.71%</w:t>
            </w:r>
            <w:r/>
          </w:p>
        </w:tc>
        <w:tc>
          <w:tcPr>
            <w:tcW w:type="dxa" w:w="1560"/>
            <w:shd w:val="clear" w:color="auto" w:fill="F2F5F9"/>
          </w:tcPr>
          <w:p>
            <w:pPr>
              <w:spacing w:before="80" w:after="80"/>
              <w:ind w:left="72"/>
            </w:pPr>
            <w:r>
              <w:rPr>
                <w:sz w:val="20"/>
              </w:rPr>
            </w:r>
            <w:r/>
            <w:r>
              <w:rPr>
                <w:b/>
              </w:rPr>
              <w:t>0.8269</w:t>
            </w:r>
            <w:r/>
          </w:p>
        </w:tc>
        <w:tc>
          <w:tcPr>
            <w:tcW w:type="dxa" w:w="1560"/>
            <w:shd w:val="clear" w:color="auto" w:fill="F2F5F9"/>
          </w:tcPr>
          <w:p>
            <w:pPr>
              <w:spacing w:before="80" w:after="80"/>
              <w:ind w:left="72"/>
            </w:pPr>
            <w:r>
              <w:rPr>
                <w:sz w:val="20"/>
              </w:rPr>
            </w:r>
            <w:r/>
            <w:r>
              <w:rPr>
                <w:b/>
              </w:rPr>
              <w:t>0.7544</w:t>
            </w:r>
            <w:r/>
          </w:p>
        </w:tc>
        <w:tc>
          <w:tcPr>
            <w:tcW w:type="dxa" w:w="1560"/>
            <w:shd w:val="clear" w:color="auto" w:fill="F2F5F9"/>
          </w:tcPr>
          <w:p>
            <w:pPr>
              <w:spacing w:before="80" w:after="80"/>
              <w:ind w:left="72"/>
            </w:pPr>
            <w:r>
              <w:rPr>
                <w:sz w:val="20"/>
              </w:rPr>
            </w:r>
            <w:r/>
            <w:r>
              <w:rPr>
                <w:b/>
              </w:rPr>
              <w:t>0.7890</w:t>
            </w:r>
            <w:r/>
          </w:p>
        </w:tc>
        <w:tc>
          <w:tcPr>
            <w:tcW w:type="dxa" w:w="1560"/>
            <w:shd w:val="clear" w:color="auto" w:fill="F2F5F9"/>
          </w:tcPr>
          <w:p>
            <w:pPr>
              <w:spacing w:before="80" w:after="80"/>
              <w:ind w:left="72"/>
            </w:pPr>
            <w:r>
              <w:rPr>
                <w:sz w:val="20"/>
              </w:rPr>
            </w:r>
            <w:r/>
            <w:r>
              <w:rPr>
                <w:b/>
              </w:rPr>
              <w:t>Zgjedhur për Production</w:t>
            </w:r>
            <w:r/>
          </w:p>
        </w:tc>
      </w:tr>
      <w:tr>
        <w:tc>
          <w:tcPr>
            <w:tcW w:type="dxa" w:w="1560"/>
          </w:tcPr>
          <w:p>
            <w:pPr>
              <w:spacing w:before="80" w:after="80"/>
              <w:ind w:left="72"/>
            </w:pPr>
            <w:r>
              <w:rPr>
                <w:sz w:val="20"/>
              </w:rPr>
            </w:r>
            <w:r/>
            <w:r>
              <w:rPr>
                <w:b/>
              </w:rPr>
              <w:t>k-NN (k=5)</w:t>
            </w:r>
            <w:r/>
          </w:p>
        </w:tc>
        <w:tc>
          <w:tcPr>
            <w:tcW w:type="dxa" w:w="1560"/>
          </w:tcPr>
          <w:p>
            <w:pPr>
              <w:spacing w:before="80" w:after="80"/>
              <w:ind w:left="72"/>
            </w:pPr>
            <w:r>
              <w:rPr>
                <w:sz w:val="20"/>
              </w:rPr>
            </w:r>
            <w:r>
              <w:t>84.42%</w:t>
            </w:r>
          </w:p>
        </w:tc>
        <w:tc>
          <w:tcPr>
            <w:tcW w:type="dxa" w:w="1560"/>
          </w:tcPr>
          <w:p>
            <w:pPr>
              <w:spacing w:before="80" w:after="80"/>
              <w:ind w:left="72"/>
            </w:pPr>
            <w:r>
              <w:rPr>
                <w:sz w:val="20"/>
              </w:rPr>
            </w:r>
            <w:r>
              <w:t>0.8200</w:t>
            </w:r>
          </w:p>
        </w:tc>
        <w:tc>
          <w:tcPr>
            <w:tcW w:type="dxa" w:w="1560"/>
          </w:tcPr>
          <w:p>
            <w:pPr>
              <w:spacing w:before="80" w:after="80"/>
              <w:ind w:left="72"/>
            </w:pPr>
            <w:r>
              <w:rPr>
                <w:sz w:val="20"/>
              </w:rPr>
            </w:r>
            <w:r>
              <w:t>0.7193</w:t>
            </w:r>
          </w:p>
        </w:tc>
        <w:tc>
          <w:tcPr>
            <w:tcW w:type="dxa" w:w="1560"/>
          </w:tcPr>
          <w:p>
            <w:pPr>
              <w:spacing w:before="80" w:after="80"/>
              <w:ind w:left="72"/>
            </w:pPr>
            <w:r>
              <w:rPr>
                <w:sz w:val="20"/>
              </w:rPr>
            </w:r>
            <w:r>
              <w:t>0.7664</w:t>
            </w:r>
          </w:p>
        </w:tc>
        <w:tc>
          <w:tcPr>
            <w:tcW w:type="dxa" w:w="1560"/>
          </w:tcPr>
          <w:p>
            <w:pPr>
              <w:spacing w:before="80" w:after="80"/>
              <w:ind w:left="72"/>
            </w:pPr>
            <w:r>
              <w:rPr>
                <w:sz w:val="20"/>
              </w:rPr>
            </w:r>
            <w:r>
              <w:t>Refuzuar</w:t>
            </w:r>
          </w:p>
        </w:tc>
      </w:tr>
      <w:tr>
        <w:tc>
          <w:tcPr>
            <w:tcW w:type="dxa" w:w="1560"/>
            <w:shd w:val="clear" w:color="auto" w:fill="F2F5F9"/>
          </w:tcPr>
          <w:p>
            <w:pPr>
              <w:spacing w:before="80" w:after="80"/>
              <w:ind w:left="72"/>
            </w:pPr>
            <w:r>
              <w:rPr>
                <w:sz w:val="20"/>
              </w:rPr>
            </w:r>
            <w:r/>
            <w:r>
              <w:rPr>
                <w:b/>
              </w:rPr>
              <w:t>MLP Arkitektura 2</w:t>
            </w:r>
            <w:r/>
          </w:p>
        </w:tc>
        <w:tc>
          <w:tcPr>
            <w:tcW w:type="dxa" w:w="1560"/>
            <w:shd w:val="clear" w:color="auto" w:fill="F2F5F9"/>
          </w:tcPr>
          <w:p>
            <w:pPr>
              <w:spacing w:before="80" w:after="80"/>
              <w:ind w:left="72"/>
            </w:pPr>
            <w:r>
              <w:rPr>
                <w:sz w:val="20"/>
              </w:rPr>
            </w:r>
            <w:r>
              <w:t>83.12%</w:t>
            </w:r>
          </w:p>
        </w:tc>
        <w:tc>
          <w:tcPr>
            <w:tcW w:type="dxa" w:w="1560"/>
            <w:shd w:val="clear" w:color="auto" w:fill="F2F5F9"/>
          </w:tcPr>
          <w:p>
            <w:pPr>
              <w:spacing w:before="80" w:after="80"/>
              <w:ind w:left="72"/>
            </w:pPr>
            <w:r>
              <w:rPr>
                <w:sz w:val="20"/>
              </w:rPr>
            </w:r>
            <w:r>
              <w:t>0.7925</w:t>
            </w:r>
          </w:p>
        </w:tc>
        <w:tc>
          <w:tcPr>
            <w:tcW w:type="dxa" w:w="1560"/>
            <w:shd w:val="clear" w:color="auto" w:fill="F2F5F9"/>
          </w:tcPr>
          <w:p>
            <w:pPr>
              <w:spacing w:before="80" w:after="80"/>
              <w:ind w:left="72"/>
            </w:pPr>
            <w:r>
              <w:rPr>
                <w:sz w:val="20"/>
              </w:rPr>
            </w:r>
            <w:r>
              <w:t>0.7368</w:t>
            </w:r>
          </w:p>
        </w:tc>
        <w:tc>
          <w:tcPr>
            <w:tcW w:type="dxa" w:w="1560"/>
            <w:shd w:val="clear" w:color="auto" w:fill="F2F5F9"/>
          </w:tcPr>
          <w:p>
            <w:pPr>
              <w:spacing w:before="80" w:after="80"/>
              <w:ind w:left="72"/>
            </w:pPr>
            <w:r>
              <w:rPr>
                <w:sz w:val="20"/>
              </w:rPr>
            </w:r>
            <w:r>
              <w:t>0.7636</w:t>
            </w:r>
          </w:p>
        </w:tc>
        <w:tc>
          <w:tcPr>
            <w:tcW w:type="dxa" w:w="1560"/>
            <w:shd w:val="clear" w:color="auto" w:fill="F2F5F9"/>
          </w:tcPr>
          <w:p>
            <w:pPr>
              <w:spacing w:before="80" w:after="80"/>
              <w:ind w:left="72"/>
            </w:pPr>
            <w:r>
              <w:rPr>
                <w:sz w:val="20"/>
              </w:rPr>
            </w:r>
            <w:r>
              <w:t>Refuzuar</w:t>
            </w:r>
          </w:p>
        </w:tc>
      </w:tr>
      <w:tr>
        <w:tc>
          <w:tcPr>
            <w:tcW w:type="dxa" w:w="1560"/>
          </w:tcPr>
          <w:p>
            <w:pPr>
              <w:spacing w:before="80" w:after="80"/>
              <w:ind w:left="72"/>
            </w:pPr>
            <w:r>
              <w:rPr>
                <w:sz w:val="20"/>
              </w:rPr>
            </w:r>
            <w:r/>
            <w:r>
              <w:rPr>
                <w:b/>
              </w:rPr>
              <w:t>Logistic Regression</w:t>
            </w:r>
            <w:r/>
          </w:p>
        </w:tc>
        <w:tc>
          <w:tcPr>
            <w:tcW w:type="dxa" w:w="1560"/>
          </w:tcPr>
          <w:p>
            <w:pPr>
              <w:spacing w:before="80" w:after="80"/>
              <w:ind w:left="72"/>
            </w:pPr>
            <w:r>
              <w:rPr>
                <w:sz w:val="20"/>
              </w:rPr>
            </w:r>
            <w:r>
              <w:t>75.32%</w:t>
            </w:r>
          </w:p>
        </w:tc>
        <w:tc>
          <w:tcPr>
            <w:tcW w:type="dxa" w:w="1560"/>
          </w:tcPr>
          <w:p>
            <w:pPr>
              <w:spacing w:before="80" w:after="80"/>
              <w:ind w:left="72"/>
            </w:pPr>
            <w:r>
              <w:rPr>
                <w:sz w:val="20"/>
              </w:rPr>
            </w:r>
            <w:r>
              <w:t>0.6939</w:t>
            </w:r>
          </w:p>
        </w:tc>
        <w:tc>
          <w:tcPr>
            <w:tcW w:type="dxa" w:w="1560"/>
          </w:tcPr>
          <w:p>
            <w:pPr>
              <w:spacing w:before="80" w:after="80"/>
              <w:ind w:left="72"/>
            </w:pPr>
            <w:r>
              <w:rPr>
                <w:sz w:val="20"/>
              </w:rPr>
            </w:r>
            <w:r>
              <w:t>0.5965</w:t>
            </w:r>
          </w:p>
        </w:tc>
        <w:tc>
          <w:tcPr>
            <w:tcW w:type="dxa" w:w="1560"/>
          </w:tcPr>
          <w:p>
            <w:pPr>
              <w:spacing w:before="80" w:after="80"/>
              <w:ind w:left="72"/>
            </w:pPr>
            <w:r>
              <w:rPr>
                <w:sz w:val="20"/>
              </w:rPr>
            </w:r>
            <w:r>
              <w:t>0.6415</w:t>
            </w:r>
          </w:p>
        </w:tc>
        <w:tc>
          <w:tcPr>
            <w:tcW w:type="dxa" w:w="1560"/>
          </w:tcPr>
          <w:p>
            <w:pPr>
              <w:spacing w:before="80" w:after="80"/>
              <w:ind w:left="72"/>
            </w:pPr>
            <w:r>
              <w:rPr>
                <w:sz w:val="20"/>
              </w:rPr>
            </w:r>
            <w:r>
              <w:t>Baseline</w:t>
            </w:r>
          </w:p>
        </w:tc>
      </w:tr>
      <w:tr>
        <w:tc>
          <w:tcPr>
            <w:tcW w:type="dxa" w:w="1560"/>
            <w:shd w:val="clear" w:color="auto" w:fill="F2F5F9"/>
          </w:tcPr>
          <w:p>
            <w:pPr>
              <w:spacing w:before="80" w:after="80"/>
              <w:ind w:left="72"/>
            </w:pPr>
            <w:r>
              <w:rPr>
                <w:sz w:val="20"/>
              </w:rPr>
            </w:r>
            <w:r/>
            <w:r>
              <w:rPr>
                <w:b/>
              </w:rPr>
              <w:t>MLP Arkitektura 1</w:t>
            </w:r>
            <w:r/>
          </w:p>
        </w:tc>
        <w:tc>
          <w:tcPr>
            <w:tcW w:type="dxa" w:w="1560"/>
            <w:shd w:val="clear" w:color="auto" w:fill="F2F5F9"/>
          </w:tcPr>
          <w:p>
            <w:pPr>
              <w:spacing w:before="80" w:after="80"/>
              <w:ind w:left="72"/>
            </w:pPr>
            <w:r>
              <w:rPr>
                <w:sz w:val="20"/>
              </w:rPr>
            </w:r>
            <w:r>
              <w:t>74.68%</w:t>
            </w:r>
          </w:p>
        </w:tc>
        <w:tc>
          <w:tcPr>
            <w:tcW w:type="dxa" w:w="1560"/>
            <w:shd w:val="clear" w:color="auto" w:fill="F2F5F9"/>
          </w:tcPr>
          <w:p>
            <w:pPr>
              <w:spacing w:before="80" w:after="80"/>
              <w:ind w:left="72"/>
            </w:pPr>
            <w:r>
              <w:rPr>
                <w:sz w:val="20"/>
              </w:rPr>
            </w:r>
            <w:r>
              <w:t>0.6735</w:t>
            </w:r>
          </w:p>
        </w:tc>
        <w:tc>
          <w:tcPr>
            <w:tcW w:type="dxa" w:w="1560"/>
            <w:shd w:val="clear" w:color="auto" w:fill="F2F5F9"/>
          </w:tcPr>
          <w:p>
            <w:pPr>
              <w:spacing w:before="80" w:after="80"/>
              <w:ind w:left="72"/>
            </w:pPr>
            <w:r>
              <w:rPr>
                <w:sz w:val="20"/>
              </w:rPr>
            </w:r>
            <w:r>
              <w:t>0.5789</w:t>
            </w:r>
          </w:p>
        </w:tc>
        <w:tc>
          <w:tcPr>
            <w:tcW w:type="dxa" w:w="1560"/>
            <w:shd w:val="clear" w:color="auto" w:fill="F2F5F9"/>
          </w:tcPr>
          <w:p>
            <w:pPr>
              <w:spacing w:before="80" w:after="80"/>
              <w:ind w:left="72"/>
            </w:pPr>
            <w:r>
              <w:rPr>
                <w:sz w:val="20"/>
              </w:rPr>
            </w:r>
            <w:r>
              <w:t>0.6226</w:t>
            </w:r>
          </w:p>
        </w:tc>
        <w:tc>
          <w:tcPr>
            <w:tcW w:type="dxa" w:w="1560"/>
            <w:shd w:val="clear" w:color="auto" w:fill="F2F5F9"/>
          </w:tcPr>
          <w:p>
            <w:pPr>
              <w:spacing w:before="80" w:after="80"/>
              <w:ind w:left="72"/>
            </w:pPr>
            <w:r>
              <w:rPr>
                <w:sz w:val="20"/>
              </w:rPr>
            </w:r>
            <w:r>
              <w:t>Refuzuar</w:t>
            </w:r>
          </w:p>
        </w:tc>
      </w:tr>
    </w:tbl>
    <w:p/>
    <w:p>
      <w:pPr>
        <w:spacing w:after="120" w:line="276" w:lineRule="auto"/>
      </w:pPr>
      <w:r/>
      <w:r>
        <w:rPr>
          <w:i/>
        </w:rPr>
        <w:t>Random Forest doli modeli më i mirë me një F1-Score prej ~0.79 dhe saktësi prej 85.71%, duke treguar ekuilibër të shkëlqyer midis Precision (minimizimi i alarmeve të rreme) dhe Recall (kapja e rasteve reale të diabetit).</w:t>
      </w:r>
      <w:r/>
    </w:p>
    <w:p>
      <w:pPr>
        <w:pStyle w:val="Heading2"/>
        <w:spacing w:before="240" w:after="80"/>
      </w:pPr>
      <w:r>
        <w:rPr>
          <w:rFonts w:ascii="Arial" w:hAnsi="Arial"/>
          <w:b/>
          <w:color w:val="336699"/>
        </w:rPr>
        <w:t>4.2 Rezultatet e Grupimit K-Means (Unsupervised)</w:t>
      </w:r>
    </w:p>
    <w:p>
      <w:pPr>
        <w:spacing w:after="120" w:line="276" w:lineRule="auto"/>
      </w:pPr>
      <w:r>
        <w:t>Algoritmi K-Means ndau me sukses pacientët në 3 grupe rreziku shëndetësor të cilat përputhen me treguesit klinikë:</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336699"/>
          </w:tcPr>
          <w:p>
            <w:pPr>
              <w:spacing w:before="80" w:after="80"/>
              <w:ind w:left="72"/>
            </w:pPr>
            <w:r/>
            <w:r>
              <w:rPr>
                <w:b/>
                <w:color w:val="FFFFFF"/>
                <w:sz w:val="21"/>
              </w:rPr>
              <w:t>Grupi (Cluster)</w:t>
            </w:r>
          </w:p>
        </w:tc>
        <w:tc>
          <w:tcPr>
            <w:tcW w:type="dxa" w:w="2340"/>
            <w:shd w:val="clear" w:color="auto" w:fill="336699"/>
          </w:tcPr>
          <w:p>
            <w:pPr>
              <w:spacing w:before="80" w:after="80"/>
              <w:ind w:left="72"/>
            </w:pPr>
            <w:r/>
            <w:r>
              <w:rPr>
                <w:b/>
                <w:color w:val="FFFFFF"/>
                <w:sz w:val="21"/>
              </w:rPr>
              <w:t>Përqindja e Pacientëve</w:t>
            </w:r>
          </w:p>
        </w:tc>
        <w:tc>
          <w:tcPr>
            <w:tcW w:type="dxa" w:w="2340"/>
            <w:shd w:val="clear" w:color="auto" w:fill="336699"/>
          </w:tcPr>
          <w:p>
            <w:pPr>
              <w:spacing w:before="80" w:after="80"/>
              <w:ind w:left="72"/>
            </w:pPr>
            <w:r/>
            <w:r>
              <w:rPr>
                <w:b/>
                <w:color w:val="FFFFFF"/>
                <w:sz w:val="21"/>
              </w:rPr>
              <w:t>% e Diabetikëve Realë</w:t>
            </w:r>
          </w:p>
        </w:tc>
        <w:tc>
          <w:tcPr>
            <w:tcW w:type="dxa" w:w="2340"/>
            <w:shd w:val="clear" w:color="auto" w:fill="336699"/>
          </w:tcPr>
          <w:p>
            <w:pPr>
              <w:spacing w:before="80" w:after="80"/>
              <w:ind w:left="72"/>
            </w:pPr>
            <w:r/>
            <w:r>
              <w:rPr>
                <w:b/>
                <w:color w:val="FFFFFF"/>
                <w:sz w:val="21"/>
              </w:rPr>
              <w:t>Profili Klinik i Grupit</w:t>
            </w:r>
          </w:p>
        </w:tc>
      </w:tr>
      <w:tr>
        <w:tc>
          <w:tcPr>
            <w:tcW w:type="dxa" w:w="2340"/>
          </w:tcPr>
          <w:p>
            <w:pPr>
              <w:spacing w:before="80" w:after="80"/>
              <w:ind w:left="72"/>
            </w:pPr>
            <w:r>
              <w:rPr>
                <w:sz w:val="20"/>
              </w:rPr>
            </w:r>
            <w:r>
              <w:t>:---</w:t>
            </w:r>
          </w:p>
        </w:tc>
        <w:tc>
          <w:tcPr>
            <w:tcW w:type="dxa" w:w="2340"/>
          </w:tcPr>
          <w:p>
            <w:pPr>
              <w:spacing w:before="80" w:after="80"/>
              <w:ind w:left="72"/>
            </w:pPr>
            <w:r>
              <w:rPr>
                <w:sz w:val="20"/>
              </w:rPr>
            </w:r>
            <w:r>
              <w:t>:---:</w:t>
            </w:r>
          </w:p>
        </w:tc>
        <w:tc>
          <w:tcPr>
            <w:tcW w:type="dxa" w:w="2340"/>
          </w:tcPr>
          <w:p>
            <w:pPr>
              <w:spacing w:before="80" w:after="80"/>
              <w:ind w:left="72"/>
            </w:pPr>
            <w:r>
              <w:rPr>
                <w:sz w:val="20"/>
              </w:rPr>
            </w:r>
            <w:r>
              <w:t>:---:</w:t>
            </w:r>
          </w:p>
        </w:tc>
        <w:tc>
          <w:tcPr>
            <w:tcW w:type="dxa" w:w="2340"/>
          </w:tcPr>
          <w:p>
            <w:pPr>
              <w:spacing w:before="80" w:after="80"/>
              <w:ind w:left="72"/>
            </w:pPr>
            <w:r>
              <w:rPr>
                <w:sz w:val="20"/>
              </w:rPr>
            </w:r>
            <w:r>
              <w:t>:---</w:t>
            </w:r>
          </w:p>
        </w:tc>
      </w:tr>
      <w:tr>
        <w:tc>
          <w:tcPr>
            <w:tcW w:type="dxa" w:w="2340"/>
            <w:shd w:val="clear" w:color="auto" w:fill="F2F5F9"/>
          </w:tcPr>
          <w:p>
            <w:pPr>
              <w:spacing w:before="80" w:after="80"/>
              <w:ind w:left="72"/>
            </w:pPr>
            <w:r>
              <w:rPr>
                <w:sz w:val="20"/>
              </w:rPr>
            </w:r>
            <w:r/>
            <w:r>
              <w:rPr>
                <w:b/>
              </w:rPr>
              <w:t>Rrezik i Ulët</w:t>
            </w:r>
            <w:r/>
          </w:p>
        </w:tc>
        <w:tc>
          <w:tcPr>
            <w:tcW w:type="dxa" w:w="2340"/>
            <w:shd w:val="clear" w:color="auto" w:fill="F2F5F9"/>
          </w:tcPr>
          <w:p>
            <w:pPr>
              <w:spacing w:before="80" w:after="80"/>
              <w:ind w:left="72"/>
            </w:pPr>
            <w:r>
              <w:rPr>
                <w:sz w:val="20"/>
              </w:rPr>
            </w:r>
            <w:r>
              <w:t>41.9%</w:t>
            </w:r>
          </w:p>
        </w:tc>
        <w:tc>
          <w:tcPr>
            <w:tcW w:type="dxa" w:w="2340"/>
            <w:shd w:val="clear" w:color="auto" w:fill="F2F5F9"/>
          </w:tcPr>
          <w:p>
            <w:pPr>
              <w:spacing w:before="80" w:after="80"/>
              <w:ind w:left="72"/>
            </w:pPr>
            <w:r>
              <w:rPr>
                <w:sz w:val="20"/>
              </w:rPr>
            </w:r>
            <w:r>
              <w:t>8.1%</w:t>
            </w:r>
          </w:p>
        </w:tc>
        <w:tc>
          <w:tcPr>
            <w:tcW w:type="dxa" w:w="2340"/>
            <w:shd w:val="clear" w:color="auto" w:fill="F2F5F9"/>
          </w:tcPr>
          <w:p>
            <w:pPr>
              <w:spacing w:before="80" w:after="80"/>
              <w:ind w:left="72"/>
            </w:pPr>
            <w:r>
              <w:rPr>
                <w:sz w:val="20"/>
              </w:rPr>
            </w:r>
            <w:r>
              <w:t>Glukozë e ulët, BMI normale, moshë e re.</w:t>
            </w:r>
          </w:p>
        </w:tc>
      </w:tr>
      <w:tr>
        <w:tc>
          <w:tcPr>
            <w:tcW w:type="dxa" w:w="2340"/>
          </w:tcPr>
          <w:p>
            <w:pPr>
              <w:spacing w:before="80" w:after="80"/>
              <w:ind w:left="72"/>
            </w:pPr>
            <w:r>
              <w:rPr>
                <w:sz w:val="20"/>
              </w:rPr>
            </w:r>
            <w:r/>
            <w:r>
              <w:rPr>
                <w:b/>
              </w:rPr>
              <w:t>Rrezik Mesatar</w:t>
            </w:r>
            <w:r/>
          </w:p>
        </w:tc>
        <w:tc>
          <w:tcPr>
            <w:tcW w:type="dxa" w:w="2340"/>
          </w:tcPr>
          <w:p>
            <w:pPr>
              <w:spacing w:before="80" w:after="80"/>
              <w:ind w:left="72"/>
            </w:pPr>
            <w:r>
              <w:rPr>
                <w:sz w:val="20"/>
              </w:rPr>
            </w:r>
            <w:r>
              <w:t>31.1%</w:t>
            </w:r>
          </w:p>
        </w:tc>
        <w:tc>
          <w:tcPr>
            <w:tcW w:type="dxa" w:w="2340"/>
          </w:tcPr>
          <w:p>
            <w:pPr>
              <w:spacing w:before="80" w:after="80"/>
              <w:ind w:left="72"/>
            </w:pPr>
            <w:r>
              <w:rPr>
                <w:sz w:val="20"/>
              </w:rPr>
            </w:r>
            <w:r>
              <w:t>53.1%</w:t>
            </w:r>
          </w:p>
        </w:tc>
        <w:tc>
          <w:tcPr>
            <w:tcW w:type="dxa" w:w="2340"/>
          </w:tcPr>
          <w:p>
            <w:pPr>
              <w:spacing w:before="80" w:after="80"/>
              <w:ind w:left="72"/>
            </w:pPr>
            <w:r>
              <w:rPr>
                <w:sz w:val="20"/>
              </w:rPr>
            </w:r>
            <w:r>
              <w:t>Glukozë mesatare, BMI në kufi të mbipeshës, insulinë mesatare.</w:t>
            </w:r>
          </w:p>
        </w:tc>
      </w:tr>
      <w:tr>
        <w:tc>
          <w:tcPr>
            <w:tcW w:type="dxa" w:w="2340"/>
            <w:shd w:val="clear" w:color="auto" w:fill="F2F5F9"/>
          </w:tcPr>
          <w:p>
            <w:pPr>
              <w:spacing w:before="80" w:after="80"/>
              <w:ind w:left="72"/>
            </w:pPr>
            <w:r>
              <w:rPr>
                <w:sz w:val="20"/>
              </w:rPr>
            </w:r>
            <w:r/>
            <w:r>
              <w:rPr>
                <w:b/>
              </w:rPr>
              <w:t>Rrezik i Lartë</w:t>
            </w:r>
            <w:r/>
          </w:p>
        </w:tc>
        <w:tc>
          <w:tcPr>
            <w:tcW w:type="dxa" w:w="2340"/>
            <w:shd w:val="clear" w:color="auto" w:fill="F2F5F9"/>
          </w:tcPr>
          <w:p>
            <w:pPr>
              <w:spacing w:before="80" w:after="80"/>
              <w:ind w:left="72"/>
            </w:pPr>
            <w:r>
              <w:rPr>
                <w:sz w:val="20"/>
              </w:rPr>
            </w:r>
            <w:r>
              <w:t>27.0%</w:t>
            </w:r>
          </w:p>
        </w:tc>
        <w:tc>
          <w:tcPr>
            <w:tcW w:type="dxa" w:w="2340"/>
            <w:shd w:val="clear" w:color="auto" w:fill="F2F5F9"/>
          </w:tcPr>
          <w:p>
            <w:pPr>
              <w:spacing w:before="80" w:after="80"/>
              <w:ind w:left="72"/>
            </w:pPr>
            <w:r>
              <w:rPr>
                <w:sz w:val="20"/>
              </w:rPr>
            </w:r>
            <w:r>
              <w:t>55.6%</w:t>
            </w:r>
          </w:p>
        </w:tc>
        <w:tc>
          <w:tcPr>
            <w:tcW w:type="dxa" w:w="2340"/>
            <w:shd w:val="clear" w:color="auto" w:fill="F2F5F9"/>
          </w:tcPr>
          <w:p>
            <w:pPr>
              <w:spacing w:before="80" w:after="80"/>
              <w:ind w:left="72"/>
            </w:pPr>
            <w:r>
              <w:rPr>
                <w:sz w:val="20"/>
              </w:rPr>
            </w:r>
            <w:r>
              <w:t>Glukozë shumë e lartë, BMI e lartë, moshë më e shtyrë.</w:t>
            </w:r>
          </w:p>
        </w:tc>
      </w:tr>
    </w:tbl>
    <w:p/>
    <w:p>
      <w:pPr>
        <w:spacing w:after="120" w:line="276" w:lineRule="auto"/>
      </w:pPr>
      <w:r>
        <w:t xml:space="preserve">Silhouette score i K-Means ishte </w:t>
      </w:r>
      <w:r>
        <w:rPr>
          <w:b/>
        </w:rPr>
        <w:t>0.3122</w:t>
      </w:r>
      <w:r>
        <w:t>, gjë që tregon se grupet janë mjaftueshëm të ndara dhe kanë kuptueshmëri të lartë klinike.</w:t>
      </w:r>
    </w:p>
    <w:p>
      <w:pPr>
        <w:pStyle w:val="Heading2"/>
        <w:spacing w:before="240" w:after="80"/>
      </w:pPr>
      <w:r>
        <w:rPr>
          <w:rFonts w:ascii="Arial" w:hAnsi="Arial"/>
          <w:b/>
          <w:color w:val="336699"/>
        </w:rPr>
        <w:t>4.3 Grafikët e Gjeneruar</w:t>
      </w:r>
    </w:p>
    <w:p>
      <w:pPr>
        <w:spacing w:after="120" w:line="276" w:lineRule="auto"/>
      </w:pPr>
      <w:r>
        <w:t>Gjatë hapit `ml/06_visualizations.py`, u gjeneruan 5 grafikë profesionalë të cilët janë ruajtur në dosjen `visualizations/`:</w:t>
      </w:r>
    </w:p>
    <w:p>
      <w:pPr>
        <w:pStyle w:val="ListBullet"/>
        <w:spacing w:after="60"/>
      </w:pPr>
      <w:r>
        <w:t xml:space="preserve"> </w:t>
      </w:r>
      <w:r>
        <w:rPr>
          <w:b/>
        </w:rPr>
        <w:t>`confusion_matrix_diabetes.png`</w:t>
      </w:r>
      <w:r>
        <w:t>: Heatmap i matricës së konfuzionit për modelin Random Forest, duke treguar True Positives, True Negatives, False Positives dhe False Negatives.</w:t>
      </w:r>
    </w:p>
    <w:p>
      <w:pPr>
        <w:spacing w:after="120" w:line="276" w:lineRule="auto"/>
      </w:pPr>
      <w:r>
        <w:t xml:space="preserve">2.  </w:t>
      </w:r>
      <w:r>
        <w:rPr>
          <w:b/>
        </w:rPr>
        <w:t>`model_comparison.png`</w:t>
      </w:r>
      <w:r>
        <w:t>: Grafik shtyllë (Bar Chart) që krahason të 5 modelet për të 4 metrikat kryesore.</w:t>
      </w:r>
    </w:p>
    <w:p>
      <w:pPr>
        <w:spacing w:after="120" w:line="276" w:lineRule="auto"/>
      </w:pPr>
      <w:r>
        <w:t xml:space="preserve">3.  </w:t>
      </w:r>
      <w:r>
        <w:rPr>
          <w:b/>
        </w:rPr>
        <w:t>`kmeans_clusters.png`</w:t>
      </w:r>
      <w:r>
        <w:t>: Shpërndarja e pacientëve në hapësirën 2D pas aplikimit të metodës PCA (Principal Component Analysis) për reduktimin e dimensioneve, ku secili grup vizualizohet me ngjyrë të veçantë.</w:t>
      </w:r>
    </w:p>
    <w:p>
      <w:pPr>
        <w:spacing w:after="120" w:line="276" w:lineRule="auto"/>
      </w:pPr>
      <w:r>
        <w:t xml:space="preserve">4.  </w:t>
      </w:r>
      <w:r>
        <w:rPr>
          <w:b/>
        </w:rPr>
        <w:t>`feature_importance.png`</w:t>
      </w:r>
      <w:r>
        <w:t>: Renditja e faktorëve që ndikojnë më shumë në parashikimin e diabetit (ku Glukoza dhe BMI dominojnë si treguesit më të rëndësishëm).</w:t>
      </w:r>
    </w:p>
    <w:p>
      <w:pPr>
        <w:spacing w:after="120" w:line="276" w:lineRule="auto"/>
      </w:pPr>
      <w:r>
        <w:t xml:space="preserve">5.  </w:t>
      </w:r>
      <w:r>
        <w:rPr>
          <w:b/>
        </w:rPr>
        <w:t>`metrics_radar.png`</w:t>
      </w:r>
      <w:r>
        <w:t>: Radar chart (Spider chart) që krahason modelet në mënyrë vizuale përgjatë metrikave.</w:t>
      </w:r>
    </w:p>
    <w:p>
      <w:pPr>
        <w:spacing w:after="240"/>
      </w:pPr>
    </w:p>
    <w:p>
      <w:pPr>
        <w:pStyle w:val="Heading1"/>
        <w:spacing w:before="360" w:after="120"/>
      </w:pPr>
      <w:r>
        <w:rPr>
          <w:rFonts w:ascii="Arial" w:hAnsi="Arial"/>
          <w:b/>
          <w:color w:val="225588"/>
        </w:rPr>
        <w:t>5. Diskutimi (Discussion)</w:t>
      </w:r>
    </w:p>
    <w:p>
      <w:pPr>
        <w:pStyle w:val="Heading2"/>
        <w:spacing w:before="240" w:after="80"/>
      </w:pPr>
      <w:r>
        <w:rPr>
          <w:rFonts w:ascii="Arial" w:hAnsi="Arial"/>
          <w:b/>
          <w:color w:val="336699"/>
        </w:rPr>
        <w:t>5.1 Rregullat e Sigurisë Klinike (Clinical Overrides)</w:t>
      </w:r>
    </w:p>
    <w:p>
      <w:pPr>
        <w:spacing w:after="120" w:line="276" w:lineRule="auto"/>
      </w:pPr>
      <w:r>
        <w:t xml:space="preserve">Një problem i madh me modelet e pastra të Machine Learning është se ato mund të dështojnë në raste ekstreme kritike për shkak të kufizimeve të datasetit të trajnimit. Për shembull, nëse një pacient ka një nivel jashtëzakonisht të ulët të glukozës (nën 70 mg/dL), kjo tregon </w:t>
      </w:r>
      <w:r>
        <w:rPr>
          <w:b/>
        </w:rPr>
        <w:t>Hipoglikemi</w:t>
      </w:r>
      <w:r>
        <w:t xml:space="preserve"> (një gjendje urgjente mjekësore që mund të çojë në koma). Modeli ML mund ta klasifikojë këtë si rrezik 0% për diabet sepse glukoza është e ulët, duke mos e parë si rrezik.</w:t>
      </w:r>
    </w:p>
    <w:p>
      <w:pPr>
        <w:spacing w:after="120" w:line="276" w:lineRule="auto"/>
      </w:pPr>
      <w:r>
        <w:t xml:space="preserve">Për të adresuar këtë, në `ml_controller.py` u implementua një </w:t>
      </w:r>
      <w:r>
        <w:rPr>
          <w:b/>
        </w:rPr>
        <w:t>Clinical Override</w:t>
      </w:r>
      <w:r>
        <w:t>:</w:t>
      </w:r>
    </w:p>
    <w:p>
      <w:pPr>
        <w:pStyle w:val="ListBullet"/>
        <w:spacing w:after="60"/>
      </w:pPr>
      <w:r>
        <w:t xml:space="preserve">  Nëse `Glucose &lt; 70` dhe `Glucose &gt; 0`, sistemi automatikisht e anashkalon parashikimin e modelit ML, e klasifikon rastin si </w:t>
      </w:r>
      <w:r>
        <w:rPr>
          <w:b/>
        </w:rPr>
        <w:t>Rrezik i Lartë (Hipoglikemi)</w:t>
      </w:r>
      <w:r>
        <w:t xml:space="preserve">, kthen probabilitet 1.0 dhe shfaq një mesazh të kuq urgjent: </w:t>
      </w:r>
      <w:r>
        <w:rPr>
          <w:i/>
        </w:rPr>
        <w:t>"Rrezik i Lartë! Vlerat e glukozës janë shumë të ulëta... Rekomandohet kontroll i menjëhershëm mjekësor."</w:t>
      </w:r>
      <w:r/>
    </w:p>
    <w:p>
      <w:pPr>
        <w:spacing w:after="120" w:line="276" w:lineRule="auto"/>
      </w:pPr>
      <w:r>
        <w:t>Kjo garanton se aplikacioni nuk është thjesht një eksperiment matematikor, por një mjet shëndetësor i sigurt.</w:t>
      </w:r>
    </w:p>
    <w:p>
      <w:pPr>
        <w:pStyle w:val="Heading2"/>
        <w:spacing w:before="240" w:after="80"/>
      </w:pPr>
      <w:r>
        <w:rPr>
          <w:rFonts w:ascii="Arial" w:hAnsi="Arial"/>
          <w:b/>
          <w:color w:val="336699"/>
        </w:rPr>
        <w:t>5.2 Rëndësia e OCR Lokale me LEADTOOLS</w:t>
      </w:r>
    </w:p>
    <w:p>
      <w:pPr>
        <w:spacing w:after="120" w:line="276" w:lineRule="auto"/>
      </w:pPr>
      <w:r>
        <w:t xml:space="preserve">Shumë projekte përdorin API të jashtme (si Google Cloud Vision ose OpenAI) për detyrat OCR. Megjithatë, përdorimi i </w:t>
      </w:r>
      <w:r>
        <w:rPr>
          <w:b/>
        </w:rPr>
        <w:t>LEADTOOLS OCR SDK</w:t>
      </w:r>
      <w:r>
        <w:t xml:space="preserve"> lokal sjell disa avantazhe të jashtëzakonshme për aplikacionet mjekësore:</w:t>
      </w:r>
    </w:p>
    <w:p>
      <w:pPr>
        <w:pStyle w:val="ListBullet"/>
        <w:spacing w:after="60"/>
      </w:pPr>
      <w:r>
        <w:t xml:space="preserve">  </w:t>
      </w:r>
      <w:r>
        <w:rPr>
          <w:b/>
        </w:rPr>
        <w:t>Privatësia e të Dhënave (Compliance)</w:t>
      </w:r>
      <w:r>
        <w:t>: Të dhënat e pacientit dhe imazhet e analizave nuk dërgohen kurrë te serverët e palëve të treta në internet. OCR-ja kryhet tërësisht brenda rrjetit lokal të aplikacionit. Kjo përputhet me standardet si HIPAA.</w:t>
      </w:r>
    </w:p>
    <w:p>
      <w:pPr>
        <w:pStyle w:val="ListBullet"/>
        <w:spacing w:after="60"/>
      </w:pPr>
      <w:r>
        <w:t xml:space="preserve">  </w:t>
      </w:r>
      <w:r>
        <w:rPr>
          <w:b/>
        </w:rPr>
        <w:t>Gjuhët e Përziera</w:t>
      </w:r>
      <w:r>
        <w:t>: Parseri i ndërtuar mund të dallojë terma si "shtatzani", "tensioni diastolik" ose "sheqeri" pa pasur nevojë për përkthim paraprak, duke e bërë sistemin mjaft fleksibël për tregun lokal.</w:t>
      </w:r>
    </w:p>
    <w:p>
      <w:pPr>
        <w:spacing w:after="240"/>
      </w:pPr>
    </w:p>
    <w:p>
      <w:pPr>
        <w:pStyle w:val="Heading1"/>
        <w:spacing w:before="360" w:after="120"/>
      </w:pPr>
      <w:r>
        <w:rPr>
          <w:rFonts w:ascii="Arial" w:hAnsi="Arial"/>
          <w:b/>
          <w:color w:val="225588"/>
        </w:rPr>
        <w:t>6. Përfundimi (Conclusion)</w:t>
      </w:r>
    </w:p>
    <w:p>
      <w:pPr>
        <w:spacing w:after="120" w:line="276" w:lineRule="auto"/>
      </w:pPr>
      <w:r>
        <w:t xml:space="preserve">Projekti </w:t>
      </w:r>
      <w:r>
        <w:rPr>
          <w:b/>
        </w:rPr>
        <w:t>HealthConnect AI</w:t>
      </w:r>
      <w:r>
        <w:t xml:space="preserve"> demonstron me sukses integrimin e suksesshëm të shkencës së të dhënave (Data Science), inteligjencës artificiale dhe zhvillimit modern të softuerit në shërbim të shëndetit personal.</w:t>
      </w:r>
    </w:p>
    <w:p>
      <w:pPr>
        <w:pStyle w:val="Heading2"/>
        <w:spacing w:before="240" w:after="80"/>
      </w:pPr>
      <w:r>
        <w:rPr>
          <w:rFonts w:ascii="Arial" w:hAnsi="Arial"/>
          <w:b/>
          <w:color w:val="336699"/>
        </w:rPr>
        <w:t>Pikat Kryesore të Mësuara:</w:t>
      </w:r>
    </w:p>
    <w:p>
      <w:pPr>
        <w:pStyle w:val="ListBullet"/>
        <w:spacing w:after="60"/>
      </w:pPr>
      <w:r>
        <w:t xml:space="preserve"> </w:t>
      </w:r>
      <w:r>
        <w:rPr>
          <w:b/>
        </w:rPr>
        <w:t>MLOps dhe Pastrimi i të Dhënave</w:t>
      </w:r>
      <w:r>
        <w:t>: Rëndësia e pastrimit të të dhënave (Outliers dhe missing values) është po aq e lartë sa vetë zgjedhja e algoritmit. Zëvendësimi i vlerave zero me medianën e klases dhe capping i outliers përmirësuan ndjeshëm stabilitetin e modelit.</w:t>
      </w:r>
    </w:p>
    <w:p>
      <w:pPr>
        <w:spacing w:after="120" w:line="276" w:lineRule="auto"/>
      </w:pPr>
      <w:r>
        <w:t xml:space="preserve">2.  </w:t>
      </w:r>
      <w:r>
        <w:rPr>
          <w:b/>
        </w:rPr>
        <w:t>Zhvillimi Full-Stack</w:t>
      </w:r>
      <w:r>
        <w:t>: Integrimi i një modeli ML në një backend FastAPI që komunikon me një frontend React përmes JWT tokens tregoi rëndësinë e standardizimit të API-ve.</w:t>
      </w:r>
    </w:p>
    <w:p>
      <w:pPr>
        <w:spacing w:after="120" w:line="276" w:lineRule="auto"/>
      </w:pPr>
      <w:r>
        <w:t xml:space="preserve">3.  </w:t>
      </w:r>
      <w:r>
        <w:rPr>
          <w:b/>
        </w:rPr>
        <w:t>Bashkëpunimi në Ekip</w:t>
      </w:r>
      <w:r>
        <w:t>: Ndarja e punës në ML (Erdona), Backend (Fatlumi) dhe Frontend (Ylli) duke përdorur Git mundësoi zhvillimin paralel të një sistemi kompleks me 24 tabela dhe integrim OCR.</w:t>
      </w:r>
    </w:p>
    <w:p>
      <w:pPr>
        <w:spacing w:after="120" w:line="276" w:lineRule="auto"/>
      </w:pPr>
      <w:r>
        <w:t>Sistemi është plotësisht i ekzekutueshëm, i dokumentuar mirë dhe i gatshëm për prezantim akademik.</w:t>
      </w:r>
    </w:p>
    <w:p>
      <w:pPr>
        <w:spacing w:after="240"/>
      </w:pPr>
    </w:p>
    <w:p>
      <w:pPr>
        <w:pStyle w:val="Heading1"/>
        <w:spacing w:before="360" w:after="120"/>
      </w:pPr>
      <w:r>
        <w:rPr>
          <w:rFonts w:ascii="Arial" w:hAnsi="Arial"/>
          <w:b/>
          <w:color w:val="225588"/>
        </w:rPr>
        <w:t>7. Referencat (References)</w:t>
      </w:r>
    </w:p>
    <w:p>
      <w:pPr>
        <w:pStyle w:val="ListBullet"/>
        <w:spacing w:after="60"/>
      </w:pPr>
      <w:r>
        <w:t xml:space="preserve"> </w:t>
      </w:r>
      <w:r>
        <w:rPr>
          <w:b/>
        </w:rPr>
        <w:t>Smith, J. W., Everhart, J. E., Dickson, W. C., Knowler, W. C., &amp; Johannes, R. S. (1988)</w:t>
      </w:r>
      <w:r>
        <w:t xml:space="preserve">. </w:t>
      </w:r>
      <w:r>
        <w:rPr>
          <w:i/>
        </w:rPr>
        <w:t>Using the ADAP learning algorithm to forecast the onset of diabetes mellitus</w:t>
      </w:r>
      <w:r>
        <w:t>. In Proceedings of the Symposium on Computer Applications and Medical Care (p. 261). IEEE Computer Society Press. (Dataseti origjinal Pima Indians).</w:t>
      </w:r>
    </w:p>
    <w:p>
      <w:pPr>
        <w:spacing w:after="120" w:line="276" w:lineRule="auto"/>
      </w:pPr>
      <w:r>
        <w:t xml:space="preserve">2.  </w:t>
      </w:r>
      <w:r>
        <w:rPr>
          <w:b/>
        </w:rPr>
        <w:t>FastAPI Documentation</w:t>
      </w:r>
      <w:r>
        <w:t xml:space="preserve">. </w:t>
      </w:r>
      <w:r>
        <w:rPr>
          <w:i/>
        </w:rPr>
        <w:t>Interactive API documentation and web framework</w:t>
      </w:r>
      <w:r>
        <w:t>. https://fastapi.tiangolo.com/</w:t>
      </w:r>
    </w:p>
    <w:p>
      <w:pPr>
        <w:spacing w:after="120" w:line="276" w:lineRule="auto"/>
      </w:pPr>
      <w:r>
        <w:t xml:space="preserve">3.  </w:t>
      </w:r>
      <w:r>
        <w:rPr>
          <w:b/>
        </w:rPr>
        <w:t>Scikit-Learn Documentation</w:t>
      </w:r>
      <w:r>
        <w:t xml:space="preserve">. </w:t>
      </w:r>
      <w:r>
        <w:rPr>
          <w:i/>
        </w:rPr>
        <w:t>Machine Learning in Python</w:t>
      </w:r>
      <w:r>
        <w:t>. https://scikit-learn.org/stable/</w:t>
      </w:r>
    </w:p>
    <w:p>
      <w:pPr>
        <w:spacing w:after="120" w:line="276" w:lineRule="auto"/>
      </w:pPr>
      <w:r>
        <w:t xml:space="preserve">4.  </w:t>
      </w:r>
      <w:r>
        <w:rPr>
          <w:b/>
        </w:rPr>
        <w:t>LEADTOOLS OCR SDK Documentation</w:t>
      </w:r>
      <w:r>
        <w:t xml:space="preserve">. </w:t>
      </w:r>
      <w:r>
        <w:rPr>
          <w:i/>
        </w:rPr>
        <w:t>OcrEngine and Document Writer configurations for Python</w:t>
      </w:r>
      <w:r>
        <w:t>. https://www.leadtools.com/help/leadtools/v23/dh/to/ocr-overview.html</w:t>
      </w:r>
    </w:p>
    <w:p>
      <w:pPr>
        <w:spacing w:after="120" w:line="276" w:lineRule="auto"/>
      </w:pPr>
      <w:r>
        <w:t xml:space="preserve">5.  </w:t>
      </w:r>
      <w:r>
        <w:rPr>
          <w:b/>
        </w:rPr>
        <w:t>SQLAlchemy 2.0 ORM Documentation</w:t>
      </w:r>
      <w:r>
        <w:t xml:space="preserve">. </w:t>
      </w:r>
      <w:r>
        <w:rPr>
          <w:i/>
        </w:rPr>
        <w:t>Mapping Python Classes to Relational Databases</w:t>
      </w:r>
      <w:r>
        <w:t>. https://docs.sqlalchemy.org/en/20/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