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41B4" w:rsidRPr="00B77D54" w:rsidRDefault="009441B4" w:rsidP="00667E8C">
      <w:pPr>
        <w:rPr>
          <w:rFonts w:cs="David"/>
          <w:b/>
          <w:bCs/>
          <w:rtl/>
        </w:rPr>
      </w:pPr>
      <w:r w:rsidRPr="00B77D54">
        <w:rPr>
          <w:rFonts w:cs="David" w:hint="cs"/>
          <w:b/>
          <w:bCs/>
          <w:rtl/>
        </w:rPr>
        <w:t xml:space="preserve">ב"ה                                                                                                                                                                 </w:t>
      </w:r>
      <w:r w:rsidR="00667E8C" w:rsidRPr="00B77D54">
        <w:rPr>
          <w:rFonts w:cs="David" w:hint="cs"/>
          <w:b/>
          <w:bCs/>
          <w:rtl/>
        </w:rPr>
        <w:t>ג</w:t>
      </w:r>
      <w:r w:rsidRPr="00B77D54">
        <w:rPr>
          <w:rFonts w:cs="David" w:hint="cs"/>
          <w:b/>
          <w:bCs/>
          <w:rtl/>
        </w:rPr>
        <w:t xml:space="preserve"> </w:t>
      </w:r>
      <w:r w:rsidR="00667E8C" w:rsidRPr="00B77D54">
        <w:rPr>
          <w:rFonts w:cs="David" w:hint="cs"/>
          <w:b/>
          <w:bCs/>
          <w:rtl/>
        </w:rPr>
        <w:t>אלול</w:t>
      </w:r>
      <w:r w:rsidRPr="00B77D54">
        <w:rPr>
          <w:rFonts w:cs="David" w:hint="cs"/>
          <w:b/>
          <w:bCs/>
          <w:rtl/>
        </w:rPr>
        <w:t xml:space="preserve"> </w:t>
      </w:r>
      <w:r w:rsidR="00667E8C" w:rsidRPr="00B77D54">
        <w:rPr>
          <w:rFonts w:cs="David" w:hint="cs"/>
          <w:b/>
          <w:bCs/>
          <w:rtl/>
        </w:rPr>
        <w:t>תשפו</w:t>
      </w:r>
      <w:r w:rsidRPr="00B77D54">
        <w:rPr>
          <w:rFonts w:cs="David" w:hint="cs"/>
          <w:b/>
          <w:bCs/>
          <w:rtl/>
        </w:rPr>
        <w:t xml:space="preserve">          16.8.2026</w:t>
      </w:r>
    </w:p>
    <w:p w:rsidR="009441B4" w:rsidRPr="00B77D54" w:rsidRDefault="009441B4" w:rsidP="009441B4">
      <w:pPr>
        <w:rPr>
          <w:rFonts w:cs="David"/>
          <w:b/>
          <w:bCs/>
        </w:rPr>
      </w:pPr>
    </w:p>
    <w:p w:rsidR="009441B4" w:rsidRPr="00B77D54" w:rsidRDefault="009441B4" w:rsidP="009441B4">
      <w:pPr>
        <w:jc w:val="center"/>
        <w:rPr>
          <w:rFonts w:cs="David"/>
          <w:b/>
          <w:bCs/>
          <w:sz w:val="28"/>
          <w:szCs w:val="28"/>
          <w:rtl/>
        </w:rPr>
      </w:pPr>
      <w:r w:rsidRPr="00B77D54">
        <w:rPr>
          <w:rFonts w:cs="David" w:hint="cs"/>
          <w:b/>
          <w:bCs/>
          <w:sz w:val="28"/>
          <w:szCs w:val="28"/>
          <w:rtl/>
        </w:rPr>
        <w:t xml:space="preserve">פרשת שופטים </w:t>
      </w:r>
    </w:p>
    <w:p w:rsidR="009441B4" w:rsidRPr="009441B4" w:rsidRDefault="009441B4" w:rsidP="009441B4">
      <w:pPr>
        <w:outlineLvl w:val="0"/>
        <w:rPr>
          <w:rFonts w:ascii="Times New Roman" w:eastAsia="Times New Roman" w:hAnsi="Times New Roman" w:cs="David"/>
          <w:b/>
          <w:bCs/>
          <w:kern w:val="36"/>
          <w:sz w:val="48"/>
          <w:szCs w:val="48"/>
        </w:rPr>
      </w:pPr>
      <w:r w:rsidRPr="009441B4">
        <w:rPr>
          <w:rFonts w:ascii="Times New Roman" w:eastAsia="Times New Roman" w:hAnsi="Times New Roman" w:cs="David"/>
          <w:b/>
          <w:bCs/>
          <w:kern w:val="36"/>
          <w:sz w:val="48"/>
          <w:szCs w:val="48"/>
          <w:rtl/>
        </w:rPr>
        <w:t>פרשת שופטים – מסמך היסוד של הנהגת ישראל</w:t>
      </w:r>
    </w:p>
    <w:p w:rsidR="009441B4" w:rsidRPr="00B77D54" w:rsidRDefault="009441B4" w:rsidP="009441B4">
      <w:pPr>
        <w:rPr>
          <w:rFonts w:cs="David"/>
          <w:b/>
          <w:bCs/>
          <w:sz w:val="24"/>
          <w:szCs w:val="24"/>
          <w:rtl/>
        </w:rPr>
      </w:pPr>
    </w:p>
    <w:p w:rsidR="009441B4" w:rsidRPr="00B77D54" w:rsidRDefault="009441B4" w:rsidP="009441B4">
      <w:pPr>
        <w:spacing w:after="0"/>
        <w:jc w:val="center"/>
        <w:rPr>
          <w:rFonts w:cs="David"/>
          <w:sz w:val="28"/>
          <w:szCs w:val="28"/>
          <w:rtl/>
        </w:rPr>
      </w:pPr>
      <w:r w:rsidRPr="00B77D54">
        <w:rPr>
          <w:rFonts w:cs="David" w:hint="cs"/>
          <w:sz w:val="28"/>
          <w:szCs w:val="28"/>
          <w:rtl/>
        </w:rPr>
        <w:t>ראובן זילברמן</w:t>
      </w:r>
    </w:p>
    <w:p w:rsidR="009441B4" w:rsidRDefault="003C3711" w:rsidP="009441B4">
      <w:pPr>
        <w:spacing w:after="0"/>
        <w:jc w:val="center"/>
        <w:rPr>
          <w:rFonts w:cs="David" w:hint="cs"/>
          <w:sz w:val="24"/>
          <w:szCs w:val="24"/>
          <w:rtl/>
        </w:rPr>
      </w:pPr>
      <w:hyperlink r:id="rId4" w:history="1">
        <w:r w:rsidR="009441B4" w:rsidRPr="00B77D54">
          <w:rPr>
            <w:rStyle w:val="Hyperlink"/>
            <w:rFonts w:cs="David"/>
            <w:sz w:val="24"/>
            <w:szCs w:val="24"/>
          </w:rPr>
          <w:t>reuven49@walla.co.il</w:t>
        </w:r>
      </w:hyperlink>
    </w:p>
    <w:p w:rsidR="00A7536F" w:rsidRPr="00B77D54" w:rsidRDefault="00A7536F" w:rsidP="00A7536F">
      <w:pPr>
        <w:spacing w:after="0"/>
        <w:rPr>
          <w:rFonts w:cs="David"/>
          <w:sz w:val="24"/>
          <w:szCs w:val="24"/>
          <w:rtl/>
        </w:rPr>
      </w:pPr>
    </w:p>
    <w:p w:rsidR="009441B4" w:rsidRPr="00A7536F" w:rsidRDefault="00A7536F" w:rsidP="00A7536F">
      <w:pPr>
        <w:spacing w:after="0"/>
        <w:rPr>
          <w:rFonts w:cs="David"/>
          <w:sz w:val="24"/>
          <w:szCs w:val="24"/>
          <w:rtl/>
        </w:rPr>
      </w:pPr>
      <w:r>
        <w:rPr>
          <w:rFonts w:cs="David" w:hint="cs"/>
          <w:sz w:val="24"/>
          <w:szCs w:val="24"/>
          <w:rtl/>
        </w:rPr>
        <w:t xml:space="preserve">מאמר זה נכתב על דעתי הפרטית לאחר </w:t>
      </w:r>
      <w:proofErr w:type="spellStart"/>
      <w:r>
        <w:rPr>
          <w:rFonts w:cs="David" w:hint="cs"/>
          <w:sz w:val="24"/>
          <w:szCs w:val="24"/>
          <w:rtl/>
        </w:rPr>
        <w:t>עייון</w:t>
      </w:r>
      <w:proofErr w:type="spellEnd"/>
      <w:r>
        <w:rPr>
          <w:rFonts w:cs="David" w:hint="cs"/>
          <w:sz w:val="24"/>
          <w:szCs w:val="24"/>
          <w:rtl/>
        </w:rPr>
        <w:t xml:space="preserve"> בכתובים ודברי חכמים.</w:t>
      </w:r>
      <w:r w:rsidRPr="00A7536F">
        <w:rPr>
          <w:rtl/>
        </w:rPr>
        <w:t xml:space="preserve"> </w:t>
      </w:r>
      <w:r w:rsidRPr="00A7536F">
        <w:rPr>
          <w:rFonts w:cs="David"/>
          <w:sz w:val="24"/>
          <w:szCs w:val="24"/>
          <w:rtl/>
        </w:rPr>
        <w:t xml:space="preserve">זו </w:t>
      </w:r>
      <w:r w:rsidRPr="00A7536F">
        <w:rPr>
          <w:rStyle w:val="a3"/>
          <w:rFonts w:cs="David"/>
          <w:sz w:val="24"/>
          <w:szCs w:val="24"/>
          <w:rtl/>
        </w:rPr>
        <w:t>קריאה פרשנית אפשרית</w:t>
      </w:r>
      <w:r w:rsidRPr="00A7536F">
        <w:rPr>
          <w:rFonts w:cs="David"/>
          <w:sz w:val="24"/>
          <w:szCs w:val="24"/>
          <w:rtl/>
        </w:rPr>
        <w:t xml:space="preserve"> ולא טענה שהפשט היחיד הוא כך. למשל: "מאמר זה מציע הסתכלות פרשנית הרואה בפרשת שופטים מסמך יסוד להנהגת ישראל</w:t>
      </w:r>
      <w:r w:rsidRPr="00A7536F">
        <w:rPr>
          <w:rFonts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 xml:space="preserve">פרשת שופטים מציגה לכאורה אוסף של מצוות העוסקות בתחומים שונים: מערכת המשפט, המלך, הכוהנים </w:t>
      </w:r>
      <w:proofErr w:type="spellStart"/>
      <w:r w:rsidRPr="009441B4">
        <w:rPr>
          <w:rFonts w:ascii="Times New Roman" w:eastAsia="Times New Roman" w:hAnsi="Times New Roman" w:cs="David"/>
          <w:sz w:val="24"/>
          <w:szCs w:val="24"/>
          <w:rtl/>
        </w:rPr>
        <w:t>והלוויים</w:t>
      </w:r>
      <w:proofErr w:type="spellEnd"/>
      <w:r w:rsidRPr="009441B4">
        <w:rPr>
          <w:rFonts w:ascii="Times New Roman" w:eastAsia="Times New Roman" w:hAnsi="Times New Roman" w:cs="David"/>
          <w:sz w:val="24"/>
          <w:szCs w:val="24"/>
          <w:rtl/>
        </w:rPr>
        <w:t>, הנביא, ערי המקלט, עגלה ערופה ודיני המלחמה. אולם עיון במבנה הפרשה, בלשון הציוויים ובתוכן המעשי של המצוות מעלה אפשרות לקריאה רחבה יותר: הפרשה בנויה כמסמך יסוד של עקרונות הנהגת ישראל</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אחד היסודות המרכזיים לקריאה זו הוא צורת הפנייה של התורה. לאורך פרשת שופטים מופיעים ציוויים רבים בלשון יחיד: "שופטים ושוטרים תיתן לך", "שלוש ערים תבדיל לך", "תכין לך הדרך", "צדק צדק תרדוף". לשון זו מעוררת שאלה: האם התורה פונה כאן אל כל יחיד מישראל, או אל מי שנושא באחריות להנהגת העם</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 xml:space="preserve">שאלה זו מתחזקת כאשר בוחנים את תוכן המצוות. רבות מן הפעולות המתוארות בפרשה אינן פעולות שאדם פרטי יכול לבצע. מינוי שופטים ושוטרים בכל שערי הארץ, הקמת מערכת משפט, הבדלת ערי מקלט, הכנת דרכים, הפעלת מוסדות הזקנים והשופטים בעגלה ערופה, הסדרת מעמד הכוהנים </w:t>
      </w:r>
      <w:proofErr w:type="spellStart"/>
      <w:r w:rsidRPr="009441B4">
        <w:rPr>
          <w:rFonts w:ascii="Times New Roman" w:eastAsia="Times New Roman" w:hAnsi="Times New Roman" w:cs="David"/>
          <w:sz w:val="24"/>
          <w:szCs w:val="24"/>
          <w:rtl/>
        </w:rPr>
        <w:t>והלוויים</w:t>
      </w:r>
      <w:proofErr w:type="spellEnd"/>
      <w:r w:rsidRPr="009441B4">
        <w:rPr>
          <w:rFonts w:ascii="Times New Roman" w:eastAsia="Times New Roman" w:hAnsi="Times New Roman" w:cs="David"/>
          <w:sz w:val="24"/>
          <w:szCs w:val="24"/>
          <w:rtl/>
        </w:rPr>
        <w:t xml:space="preserve"> וניהול ענייני המלחמה – כל אלה דורשים סמכות ציבורית ומערכת שלטונית</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מתוך כך עולה ההצעה הפרשנית כי לשון היחיד בפרשה אינה מקרית. ייתכן שהתורה פונה אל בעל האחריות הלאומית – אל המלך והנהגת המדינה – ומציגה בפניהם את עקרונות היסוד שעל פיהם יש לבנות את הממלכה</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במרכז פרשת המלך נאמר</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proofErr w:type="gramStart"/>
      <w:r w:rsidRPr="009441B4">
        <w:rPr>
          <w:rFonts w:ascii="Times New Roman" w:eastAsia="Times New Roman" w:hAnsi="Times New Roman" w:cs="David"/>
          <w:sz w:val="24"/>
          <w:szCs w:val="24"/>
        </w:rPr>
        <w:t>"</w:t>
      </w:r>
      <w:r w:rsidRPr="009441B4">
        <w:rPr>
          <w:rFonts w:ascii="Times New Roman" w:eastAsia="Times New Roman" w:hAnsi="Times New Roman" w:cs="David"/>
          <w:sz w:val="24"/>
          <w:szCs w:val="24"/>
          <w:rtl/>
        </w:rPr>
        <w:t xml:space="preserve">וכשבתו על כיסא ממלכתו וכתב לו את משנה התורה הזאת על ספר... והייתה עמו וקרא בו כל ימי חייו" (דברים י"ז, </w:t>
      </w:r>
      <w:proofErr w:type="spellStart"/>
      <w:r w:rsidRPr="009441B4">
        <w:rPr>
          <w:rFonts w:ascii="Times New Roman" w:eastAsia="Times New Roman" w:hAnsi="Times New Roman" w:cs="David"/>
          <w:sz w:val="24"/>
          <w:szCs w:val="24"/>
          <w:rtl/>
        </w:rPr>
        <w:t>י"ח–י"ט</w:t>
      </w:r>
      <w:proofErr w:type="spellEnd"/>
      <w:r w:rsidRPr="00B77D54">
        <w:rPr>
          <w:rFonts w:ascii="Times New Roman" w:eastAsia="Times New Roman" w:hAnsi="Times New Roman" w:cs="David" w:hint="cs"/>
          <w:sz w:val="24"/>
          <w:szCs w:val="24"/>
          <w:rtl/>
        </w:rPr>
        <w:t>)</w:t>
      </w:r>
      <w:r w:rsidRPr="009441B4">
        <w:rPr>
          <w:rFonts w:ascii="Times New Roman" w:eastAsia="Times New Roman" w:hAnsi="Times New Roman" w:cs="David"/>
          <w:sz w:val="24"/>
          <w:szCs w:val="24"/>
        </w:rPr>
        <w:t>.</w:t>
      </w:r>
      <w:proofErr w:type="gramEnd"/>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ניתן להציע כי "משנה התורה הזאת" אינה רק הוראה טכנית לכתוב ספר תורה, אלא מסמך יסוד שעל פיו המלך לומד כיצד להנהיג. פרשת שופטים מציגה את ראשי הפרקים, והמלך נדרש ללמוד אותם, לשנן אותם ולפתח מהם מערכת הנהגה מעשית</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הפרשה פותחת בציווי על מערכת המשפט</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proofErr w:type="gramStart"/>
      <w:r w:rsidRPr="009441B4">
        <w:rPr>
          <w:rFonts w:ascii="Times New Roman" w:eastAsia="Times New Roman" w:hAnsi="Times New Roman" w:cs="David"/>
          <w:sz w:val="24"/>
          <w:szCs w:val="24"/>
        </w:rPr>
        <w:t>"</w:t>
      </w:r>
      <w:r w:rsidRPr="009441B4">
        <w:rPr>
          <w:rFonts w:ascii="Times New Roman" w:eastAsia="Times New Roman" w:hAnsi="Times New Roman" w:cs="David"/>
          <w:sz w:val="24"/>
          <w:szCs w:val="24"/>
          <w:rtl/>
        </w:rPr>
        <w:t>שופטים ושוטרים תיתן לך בכל שעריך אשר ה' אלוהיך נותן לך לשבטיך ושפטו את העם משפט צדק" (דברים ט"ז, י"ח</w:t>
      </w:r>
      <w:r w:rsidRPr="00B77D54">
        <w:rPr>
          <w:rFonts w:ascii="Times New Roman" w:eastAsia="Times New Roman" w:hAnsi="Times New Roman" w:cs="David" w:hint="cs"/>
          <w:sz w:val="24"/>
          <w:szCs w:val="24"/>
          <w:rtl/>
        </w:rPr>
        <w:t>)</w:t>
      </w:r>
      <w:r w:rsidRPr="009441B4">
        <w:rPr>
          <w:rFonts w:ascii="Times New Roman" w:eastAsia="Times New Roman" w:hAnsi="Times New Roman" w:cs="David"/>
          <w:sz w:val="24"/>
          <w:szCs w:val="24"/>
        </w:rPr>
        <w:t>.</w:t>
      </w:r>
      <w:proofErr w:type="gramEnd"/>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הקמת מערכת משפט אינה יכולה להיות מעשה של אדם פרטי. היא דורשת מינוי בעלי תפקידים, ארגון המדינה והבטחת פעולתה של מערכת הצדק. לכן האחריות להקמת מערכת זו שייכת להנהגה</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lastRenderedPageBreak/>
        <w:t>מיד לאחר מכן מופיעה האזהרה</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Pr>
        <w:t>"</w:t>
      </w:r>
      <w:r w:rsidRPr="009441B4">
        <w:rPr>
          <w:rFonts w:ascii="Times New Roman" w:eastAsia="Times New Roman" w:hAnsi="Times New Roman" w:cs="David"/>
          <w:sz w:val="24"/>
          <w:szCs w:val="24"/>
          <w:rtl/>
        </w:rPr>
        <w:t>לא תטה משפט, לא תכיר פנים ולא תיקח שוחד, כי השוחד יעוור עיני חכמים ויסלף דברי צדיקים" (דברים ט"ז, י"ט</w:t>
      </w:r>
      <w:r w:rsidRPr="00B77D54">
        <w:rPr>
          <w:rFonts w:ascii="Times New Roman" w:eastAsia="Times New Roman" w:hAnsi="Times New Roman" w:cs="David" w:hint="cs"/>
          <w:sz w:val="24"/>
          <w:szCs w:val="24"/>
          <w:rtl/>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השוחד אינו רק פגם מוסרי של דיין יחיד. הוא סכנה לעצם קיומה של מערכת המשפט. לכן מוטלת על ההנהגה האחריות להבטיח שהשופטים לא ייקחו שוחד, שלא יהיה עיוות דין ושמערכת המשפט תישאר נקייה</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מכאן מקבל הפסוק</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Pr>
        <w:t>"</w:t>
      </w:r>
      <w:r w:rsidRPr="009441B4">
        <w:rPr>
          <w:rFonts w:ascii="Times New Roman" w:eastAsia="Times New Roman" w:hAnsi="Times New Roman" w:cs="David"/>
          <w:sz w:val="24"/>
          <w:szCs w:val="24"/>
          <w:rtl/>
        </w:rPr>
        <w:t xml:space="preserve">צדק </w:t>
      </w:r>
      <w:proofErr w:type="spellStart"/>
      <w:r w:rsidRPr="009441B4">
        <w:rPr>
          <w:rFonts w:ascii="Times New Roman" w:eastAsia="Times New Roman" w:hAnsi="Times New Roman" w:cs="David"/>
          <w:sz w:val="24"/>
          <w:szCs w:val="24"/>
          <w:rtl/>
        </w:rPr>
        <w:t>צדק</w:t>
      </w:r>
      <w:proofErr w:type="spellEnd"/>
      <w:r w:rsidRPr="009441B4">
        <w:rPr>
          <w:rFonts w:ascii="Times New Roman" w:eastAsia="Times New Roman" w:hAnsi="Times New Roman" w:cs="David"/>
          <w:sz w:val="24"/>
          <w:szCs w:val="24"/>
          <w:rtl/>
        </w:rPr>
        <w:t xml:space="preserve"> תרדוף" (דברים ט"ז, כ</w:t>
      </w:r>
      <w:r w:rsidRPr="009441B4">
        <w:rPr>
          <w:rFonts w:ascii="Times New Roman" w:eastAsia="Times New Roman" w:hAnsi="Times New Roman" w:cs="David"/>
          <w:sz w:val="24"/>
          <w:szCs w:val="24"/>
        </w:rPr>
        <w:t>'</w:t>
      </w:r>
      <w:r w:rsidRPr="00B77D54">
        <w:rPr>
          <w:rFonts w:ascii="Times New Roman" w:eastAsia="Times New Roman" w:hAnsi="Times New Roman" w:cs="David" w:hint="cs"/>
          <w:sz w:val="24"/>
          <w:szCs w:val="24"/>
          <w:rtl/>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משמעות רחבה של אחריות ציבורית. אין מדובר רק בדרישה מהאדם הפרטי להיות צודק, אלא בחובה של הנהגת המדינה לבנות מערכת שמאפשרת לצדק להתקיים בפועל</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גם מצוות ערי המקלט מחזקת תפיסה זו</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Pr>
        <w:t>"</w:t>
      </w:r>
      <w:r w:rsidRPr="009441B4">
        <w:rPr>
          <w:rFonts w:ascii="Times New Roman" w:eastAsia="Times New Roman" w:hAnsi="Times New Roman" w:cs="David"/>
          <w:sz w:val="24"/>
          <w:szCs w:val="24"/>
          <w:rtl/>
        </w:rPr>
        <w:t>שלוש ערים תבדיל לך בתוך ארצך" (דברים י"ט, ב</w:t>
      </w:r>
      <w:r w:rsidRPr="009441B4">
        <w:rPr>
          <w:rFonts w:ascii="Times New Roman" w:eastAsia="Times New Roman" w:hAnsi="Times New Roman" w:cs="David"/>
          <w:sz w:val="24"/>
          <w:szCs w:val="24"/>
        </w:rPr>
        <w:t>'</w:t>
      </w:r>
      <w:r w:rsidRPr="00B77D54">
        <w:rPr>
          <w:rFonts w:ascii="Times New Roman" w:eastAsia="Times New Roman" w:hAnsi="Times New Roman" w:cs="David"/>
          <w:sz w:val="24"/>
          <w:szCs w:val="24"/>
        </w:rPr>
        <w:t>(</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ובהמשך</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Pr>
        <w:t>"</w:t>
      </w:r>
      <w:r w:rsidRPr="009441B4">
        <w:rPr>
          <w:rFonts w:ascii="Times New Roman" w:eastAsia="Times New Roman" w:hAnsi="Times New Roman" w:cs="David"/>
          <w:sz w:val="24"/>
          <w:szCs w:val="24"/>
          <w:rtl/>
        </w:rPr>
        <w:t>תכין לך הדרך" (דברים י"ט, ג</w:t>
      </w:r>
      <w:r w:rsidRPr="009441B4">
        <w:rPr>
          <w:rFonts w:ascii="Times New Roman" w:eastAsia="Times New Roman" w:hAnsi="Times New Roman" w:cs="David"/>
          <w:sz w:val="24"/>
          <w:szCs w:val="24"/>
        </w:rPr>
        <w:t>'</w:t>
      </w:r>
      <w:r w:rsidRPr="00B77D54">
        <w:rPr>
          <w:rFonts w:ascii="Times New Roman" w:eastAsia="Times New Roman" w:hAnsi="Times New Roman" w:cs="David"/>
          <w:sz w:val="24"/>
          <w:szCs w:val="24"/>
        </w:rPr>
        <w:t>(</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הקמת ערי מקלט, הכנת הדרכים והסדרת המערכת שתגן על מי שנקלע למצב של הריגה בשגגה אינן יכולות להתבצע על ידי אדם פרטי. הן דורשות תכנון לאומי, משאבים וסמכות שלטונית</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כך גם בפרשת עגלה ערופה</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Pr>
        <w:t>"</w:t>
      </w:r>
      <w:r w:rsidRPr="009441B4">
        <w:rPr>
          <w:rFonts w:ascii="Times New Roman" w:eastAsia="Times New Roman" w:hAnsi="Times New Roman" w:cs="David"/>
          <w:sz w:val="24"/>
          <w:szCs w:val="24"/>
          <w:rtl/>
        </w:rPr>
        <w:t>ויצאו זקניך ושופטיך ומדדו אל הערים אשר סביבות החלל" (דברים כ"א, ב</w:t>
      </w:r>
      <w:r w:rsidRPr="009441B4">
        <w:rPr>
          <w:rFonts w:ascii="Times New Roman" w:eastAsia="Times New Roman" w:hAnsi="Times New Roman" w:cs="David"/>
          <w:sz w:val="24"/>
          <w:szCs w:val="24"/>
        </w:rPr>
        <w:t>'</w:t>
      </w:r>
      <w:r w:rsidRPr="00B77D54">
        <w:rPr>
          <w:rFonts w:ascii="Times New Roman" w:eastAsia="Times New Roman" w:hAnsi="Times New Roman" w:cs="David"/>
          <w:sz w:val="24"/>
          <w:szCs w:val="24"/>
        </w:rPr>
        <w:t>(</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הפסוק מתאר הפעלה של מערכת ציבורית: זקנים, שופטים, זקני העיר והכוהנים. אדם פרטי אינו יכול לצוות על מערכת זו לפעול. מדובר באחריות של מוסדות המדינה להתמודד עם מצב שבו נמצא חלל ולא נודע מי הכהו</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 xml:space="preserve">גם מעמד הכוהנים </w:t>
      </w:r>
      <w:proofErr w:type="spellStart"/>
      <w:r w:rsidRPr="009441B4">
        <w:rPr>
          <w:rFonts w:ascii="Times New Roman" w:eastAsia="Times New Roman" w:hAnsi="Times New Roman" w:cs="David"/>
          <w:sz w:val="24"/>
          <w:szCs w:val="24"/>
          <w:rtl/>
        </w:rPr>
        <w:t>והלוויים</w:t>
      </w:r>
      <w:proofErr w:type="spellEnd"/>
      <w:r w:rsidRPr="009441B4">
        <w:rPr>
          <w:rFonts w:ascii="Times New Roman" w:eastAsia="Times New Roman" w:hAnsi="Times New Roman" w:cs="David"/>
          <w:sz w:val="24"/>
          <w:szCs w:val="24"/>
          <w:rtl/>
        </w:rPr>
        <w:t>, סמכות הנביא ודיני המלחמה משתלבים באותה תמונה. כל אחד מן התחומים האלה דורש הנהגה מסודרת ואחריות לאומית</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לפי קריאה זו, פרשת שופטים אינה רק אוסף של מצוות נפרדות, אלא תכנית הנהגה. היא מציגה את היסודות שעליהם עומדת מדינה בישראל: משפט צדק, מערכת נקייה משוחד, אחריות ציבורית, מוסדות הנהגה, הגנה על האדם וניהול ענייני המדינה</w:t>
      </w:r>
      <w:r w:rsidRPr="009441B4">
        <w:rPr>
          <w:rFonts w:ascii="Times New Roman" w:eastAsia="Times New Roman" w:hAnsi="Times New Roman" w:cs="David"/>
          <w:sz w:val="24"/>
          <w:szCs w:val="24"/>
        </w:rPr>
        <w:t>.</w:t>
      </w:r>
    </w:p>
    <w:p w:rsidR="009441B4" w:rsidRPr="009441B4" w:rsidRDefault="009441B4" w:rsidP="009441B4">
      <w:pPr>
        <w:rPr>
          <w:rFonts w:ascii="Times New Roman" w:eastAsia="Times New Roman" w:hAnsi="Times New Roman" w:cs="David"/>
          <w:sz w:val="24"/>
          <w:szCs w:val="24"/>
        </w:rPr>
      </w:pPr>
      <w:r w:rsidRPr="009441B4">
        <w:rPr>
          <w:rFonts w:ascii="Times New Roman" w:eastAsia="Times New Roman" w:hAnsi="Times New Roman" w:cs="David"/>
          <w:sz w:val="24"/>
          <w:szCs w:val="24"/>
          <w:rtl/>
        </w:rPr>
        <w:t>המלך, כאשר הוא כותב את "משנה התורה הזאת", אינו רק מעתיק ספר. הוא מקבל עליו את העקרונות המופיעים בפרשה, קורא בהם כל ימי חייו ופועל על פיהם. כך ניתן לראות בפרשת שופטים מסמך יסוד רעיוני למלוכה בישראל – ראשי פרקים שהמלך נדרש להפוך לשיטת הנהגה מעשית</w:t>
      </w:r>
      <w:r w:rsidRPr="009441B4">
        <w:rPr>
          <w:rFonts w:ascii="Times New Roman" w:eastAsia="Times New Roman" w:hAnsi="Times New Roman" w:cs="David"/>
          <w:sz w:val="24"/>
          <w:szCs w:val="24"/>
        </w:rPr>
        <w:t>.</w:t>
      </w:r>
    </w:p>
    <w:p w:rsidR="009441B4" w:rsidRPr="00B77D54" w:rsidRDefault="009441B4" w:rsidP="009441B4">
      <w:pPr>
        <w:rPr>
          <w:rFonts w:cs="David"/>
          <w:rtl/>
        </w:rPr>
      </w:pPr>
    </w:p>
    <w:p w:rsidR="009441B4" w:rsidRPr="00B77D54" w:rsidRDefault="009441B4" w:rsidP="009441B4">
      <w:pPr>
        <w:rPr>
          <w:rFonts w:cs="David"/>
        </w:rPr>
      </w:pPr>
    </w:p>
    <w:sectPr w:rsidR="009441B4" w:rsidRPr="00B77D54" w:rsidSect="009441B4">
      <w:pgSz w:w="11906" w:h="16838"/>
      <w:pgMar w:top="709" w:right="707" w:bottom="1440" w:left="1134"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441B4"/>
    <w:rsid w:val="003C3711"/>
    <w:rsid w:val="00541A6C"/>
    <w:rsid w:val="00614FFA"/>
    <w:rsid w:val="00667E8C"/>
    <w:rsid w:val="009441B4"/>
    <w:rsid w:val="00A47FC7"/>
    <w:rsid w:val="00A7536F"/>
    <w:rsid w:val="00B256AA"/>
    <w:rsid w:val="00B77D5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56AA"/>
    <w:pPr>
      <w:bidi/>
    </w:pPr>
  </w:style>
  <w:style w:type="paragraph" w:styleId="1">
    <w:name w:val="heading 1"/>
    <w:basedOn w:val="a"/>
    <w:link w:val="10"/>
    <w:uiPriority w:val="9"/>
    <w:qFormat/>
    <w:rsid w:val="009441B4"/>
    <w:pPr>
      <w:bidi w:val="0"/>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441B4"/>
    <w:rPr>
      <w:rFonts w:ascii="Times New Roman" w:eastAsia="Times New Roman" w:hAnsi="Times New Roman" w:cs="Times New Roman"/>
      <w:b/>
      <w:bCs/>
      <w:kern w:val="36"/>
      <w:sz w:val="48"/>
      <w:szCs w:val="48"/>
    </w:rPr>
  </w:style>
  <w:style w:type="paragraph" w:styleId="NormalWeb">
    <w:name w:val="Normal (Web)"/>
    <w:basedOn w:val="a"/>
    <w:uiPriority w:val="99"/>
    <w:semiHidden/>
    <w:unhideWhenUsed/>
    <w:rsid w:val="009441B4"/>
    <w:pPr>
      <w:bidi w:val="0"/>
    </w:pPr>
    <w:rPr>
      <w:rFonts w:ascii="Times New Roman" w:eastAsia="Times New Roman" w:hAnsi="Times New Roman" w:cs="Times New Roman"/>
      <w:sz w:val="24"/>
      <w:szCs w:val="24"/>
    </w:rPr>
  </w:style>
  <w:style w:type="character" w:styleId="Hyperlink">
    <w:name w:val="Hyperlink"/>
    <w:basedOn w:val="a0"/>
    <w:uiPriority w:val="99"/>
    <w:unhideWhenUsed/>
    <w:rsid w:val="009441B4"/>
    <w:rPr>
      <w:color w:val="0000FF" w:themeColor="hyperlink"/>
      <w:u w:val="single"/>
    </w:rPr>
  </w:style>
  <w:style w:type="character" w:customStyle="1" w:styleId="from">
    <w:name w:val="from"/>
    <w:basedOn w:val="a0"/>
    <w:rsid w:val="009441B4"/>
  </w:style>
  <w:style w:type="character" w:customStyle="1" w:styleId="pasuk">
    <w:name w:val="pasuk"/>
    <w:basedOn w:val="a0"/>
    <w:rsid w:val="009441B4"/>
  </w:style>
  <w:style w:type="character" w:styleId="a3">
    <w:name w:val="Strong"/>
    <w:basedOn w:val="a0"/>
    <w:uiPriority w:val="22"/>
    <w:qFormat/>
    <w:rsid w:val="00A7536F"/>
    <w:rPr>
      <w:b/>
      <w:bCs/>
    </w:rPr>
  </w:style>
</w:styles>
</file>

<file path=word/webSettings.xml><?xml version="1.0" encoding="utf-8"?>
<w:webSettings xmlns:r="http://schemas.openxmlformats.org/officeDocument/2006/relationships" xmlns:w="http://schemas.openxmlformats.org/wordprocessingml/2006/main">
  <w:divs>
    <w:div w:id="169361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euven49@walla.co.i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650</Words>
  <Characters>3252</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5</cp:revision>
  <dcterms:created xsi:type="dcterms:W3CDTF">2026-08-16T14:32:00Z</dcterms:created>
  <dcterms:modified xsi:type="dcterms:W3CDTF">2026-08-16T15:00:00Z</dcterms:modified>
</cp:coreProperties>
</file>