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7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1"/>
          <w:szCs w:val="21"/>
          <w:rtl w:val="true"/>
        </w:rPr>
      </w:r>
    </w:p>
    <w:p>
      <w:pPr>
        <w:pStyle w:val="style0"/>
        <w:shd w:fill="FFFFFF" w:val="clear"/>
        <w:spacing w:after="0" w:before="0" w:line="360" w:lineRule="auto"/>
        <w:jc w:val="right"/>
      </w:pPr>
      <w:r>
        <w:rPr>
          <w:rFonts w:ascii="Arial" w:cs="David" w:eastAsia="Times New Roman" w:hAnsi="Arial"/>
          <w:color w:val="222222"/>
          <w:sz w:val="24"/>
          <w:szCs w:val="24"/>
          <w:rtl w:val="true"/>
        </w:rPr>
        <w:t>‏</w:t>
      </w:r>
      <w:r>
        <w:rPr>
          <w:rFonts w:ascii="Arial" w:cs="David" w:eastAsia="Times New Roman" w:hAnsi="Arial"/>
          <w:color w:val="222222"/>
          <w:sz w:val="24"/>
          <w:szCs w:val="24"/>
        </w:rPr>
        <w:t>05/12/2012</w:t>
      </w:r>
    </w:p>
    <w:p>
      <w:pPr>
        <w:pStyle w:val="style0"/>
        <w:shd w:fill="FFFFFF" w:val="clear"/>
        <w:spacing w:after="0" w:before="0" w:line="100" w:lineRule="atLeast"/>
        <w:jc w:val="right"/>
      </w:pPr>
      <w:r>
        <w:rPr>
          <w:rFonts w:ascii="Arial" w:cs="David" w:eastAsia="Times New Roman" w:hAnsi="Arial"/>
          <w:color w:val="222222"/>
          <w:sz w:val="24"/>
          <w:szCs w:val="24"/>
          <w:rtl w:val="true"/>
        </w:rPr>
        <w:t>‏</w:t>
      </w:r>
      <w:r>
        <w:rPr>
          <w:rFonts w:ascii="Arial" w:cs="David" w:eastAsia="Times New Roman" w:hAnsi="Arial"/>
          <w:color w:val="222222"/>
          <w:sz w:val="24"/>
          <w:sz w:val="24"/>
          <w:szCs w:val="24"/>
          <w:rtl w:val="true"/>
        </w:rPr>
        <w:t>כ</w:t>
      </w:r>
      <w:r>
        <w:rPr>
          <w:rFonts w:ascii="Arial" w:cs="David" w:eastAsia="Times New Roman" w:hAnsi="Arial"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color w:val="222222"/>
          <w:sz w:val="24"/>
          <w:sz w:val="24"/>
          <w:szCs w:val="24"/>
          <w:rtl w:val="true"/>
        </w:rPr>
        <w:t>א</w:t>
      </w:r>
      <w:r>
        <w:rPr>
          <w:rFonts w:ascii="Arial" w:cs="David" w:eastAsia="Times New Roman" w:hAnsi="Arial"/>
          <w:color w:val="222222"/>
          <w:sz w:val="24"/>
          <w:szCs w:val="24"/>
          <w:rtl w:val="true"/>
        </w:rPr>
        <w:t>/</w:t>
      </w:r>
      <w:r>
        <w:rPr>
          <w:rFonts w:ascii="Arial" w:cs="David" w:eastAsia="Times New Roman" w:hAnsi="Arial"/>
          <w:color w:val="222222"/>
          <w:sz w:val="24"/>
          <w:sz w:val="24"/>
          <w:szCs w:val="24"/>
          <w:rtl w:val="true"/>
        </w:rPr>
        <w:t>כסלו</w:t>
      </w:r>
      <w:r>
        <w:rPr>
          <w:rFonts w:ascii="Arial" w:cs="David" w:eastAsia="Times New Roman" w:hAnsi="Arial"/>
          <w:color w:val="222222"/>
          <w:sz w:val="24"/>
          <w:szCs w:val="24"/>
          <w:rtl w:val="true"/>
        </w:rPr>
        <w:t>/</w:t>
      </w:r>
      <w:r>
        <w:rPr>
          <w:rFonts w:ascii="Arial" w:cs="David" w:eastAsia="Times New Roman" w:hAnsi="Arial"/>
          <w:color w:val="222222"/>
          <w:sz w:val="24"/>
          <w:sz w:val="24"/>
          <w:szCs w:val="24"/>
          <w:rtl w:val="true"/>
        </w:rPr>
        <w:t>תשע</w:t>
      </w:r>
      <w:r>
        <w:rPr>
          <w:rFonts w:ascii="Arial" w:cs="David" w:eastAsia="Times New Roman" w:hAnsi="Arial"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color w:val="222222"/>
          <w:sz w:val="24"/>
          <w:sz w:val="24"/>
          <w:szCs w:val="24"/>
          <w:rtl w:val="true"/>
        </w:rPr>
        <w:t>ג</w:t>
      </w:r>
    </w:p>
    <w:p>
      <w:pPr>
        <w:pStyle w:val="style0"/>
        <w:shd w:fill="FFFFFF" w:val="clear"/>
        <w:spacing w:after="0" w:before="0" w:line="360" w:lineRule="auto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עבור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: </w:t>
        <w:tab/>
        <w:t>_________________________</w:t>
      </w:r>
    </w:p>
    <w:p>
      <w:pPr>
        <w:pStyle w:val="style0"/>
        <w:shd w:fill="FFFFFF" w:val="clear"/>
        <w:spacing w:after="0" w:before="0" w:line="360" w:lineRule="auto"/>
        <w:ind w:firstLine="720" w:left="0" w:right="0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יו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ר מפלגת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______________ </w:t>
      </w:r>
    </w:p>
    <w:p>
      <w:pPr>
        <w:pStyle w:val="style0"/>
        <w:shd w:fill="FFFFFF" w:val="clear"/>
        <w:spacing w:after="0" w:before="0" w:line="360" w:lineRule="auto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360" w:lineRule="auto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מאת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: </w:t>
        <w:tab/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הרב סולוביצ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'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יק אליהו </w:t>
      </w:r>
    </w:p>
    <w:p>
      <w:pPr>
        <w:pStyle w:val="style0"/>
        <w:shd w:fill="FFFFFF" w:val="clear"/>
        <w:spacing w:after="0" w:before="0" w:line="360" w:lineRule="auto"/>
        <w:ind w:firstLine="720" w:left="0" w:right="0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יו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ר הקבוצה לבנקאות יהודית </w:t>
      </w:r>
    </w:p>
    <w:p>
      <w:pPr>
        <w:pStyle w:val="style0"/>
        <w:shd w:fill="FFFFFF" w:val="clear"/>
        <w:spacing w:after="0" w:before="0"/>
        <w:ind w:firstLine="720" w:left="0" w:right="0"/>
      </w:pPr>
      <w:r>
        <w:rPr>
          <w:rFonts w:ascii="Arial" w:cs="David" w:eastAsia="Times New Roman" w:hAnsi="Arial"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100" w:lineRule="atLeast"/>
        <w:ind w:firstLine="720" w:left="0" w:right="0"/>
      </w:pPr>
      <w:r>
        <w:rPr>
          <w:rFonts w:ascii="Arial" w:cs="David" w:eastAsia="Times New Roman" w:hAnsi="Arial"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100" w:lineRule="atLeast"/>
        <w:jc w:val="center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הנידון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 xml:space="preserve">: </w:t>
      </w: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 xml:space="preserve">הצעה להכרזה על מגעים להקמה של בנק 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>'</w:t>
      </w: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איגוד אשראי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>'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/>
          <w:bCs/>
          <w:i/>
          <w:i/>
          <w:iCs/>
          <w:color w:val="222222"/>
          <w:sz w:val="24"/>
          <w:sz w:val="24"/>
          <w:szCs w:val="24"/>
          <w:rtl w:val="true"/>
        </w:rPr>
        <w:t>אנו שולחים הצעה זו לכל המפלגות בישראל</w:t>
      </w:r>
      <w:r>
        <w:rPr>
          <w:rFonts w:ascii="Arial" w:cs="David" w:eastAsia="Times New Roman" w:hAnsi="Arial"/>
          <w:b/>
          <w:bCs/>
          <w:i/>
          <w:i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i/>
          <w:i/>
          <w:iCs/>
          <w:color w:val="222222"/>
          <w:sz w:val="24"/>
          <w:sz w:val="24"/>
          <w:szCs w:val="24"/>
          <w:rtl w:val="true"/>
        </w:rPr>
        <w:t>ומתכוונים לפרסם את התשובות שנקבל</w:t>
      </w:r>
      <w:r>
        <w:rPr>
          <w:rFonts w:ascii="Arial" w:cs="David" w:eastAsia="Times New Roman" w:hAnsi="Arial"/>
          <w:b/>
          <w:bCs/>
          <w:i/>
          <w:iCs/>
          <w:color w:val="222222"/>
          <w:sz w:val="24"/>
          <w:szCs w:val="24"/>
          <w:rtl w:val="true"/>
        </w:rPr>
        <w:t>.</w:t>
      </w:r>
    </w:p>
    <w:p>
      <w:pPr>
        <w:pStyle w:val="style0"/>
        <w:shd w:fill="FFFFFF" w:val="clear"/>
        <w:spacing w:after="0" w:before="0" w:line="100" w:lineRule="atLeast"/>
      </w:pPr>
      <w:r>
        <w:rPr>
          <w:rtl w:val="true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tl w:val="true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 xml:space="preserve">הזעם הציבורי 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יש זעם עצום בציבור על יוקר עמלות הבנקים שבא לידי ביטוי על הכרזת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יום הזעם על הבנקים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"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והפצה של מיילים ופוסטים ססגוניים נגד מערכת הבנקאות היקרה בישראל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.</w:t>
      </w:r>
    </w:p>
    <w:p>
      <w:pPr>
        <w:pStyle w:val="style0"/>
        <w:shd w:fill="FFFFFF" w:val="clear"/>
        <w:spacing w:after="0" w:before="0" w:line="360" w:lineRule="auto"/>
        <w:jc w:val="both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360" w:lineRule="auto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העניין היהודי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 xml:space="preserve">: </w:t>
      </w:r>
    </w:p>
    <w:p>
      <w:pPr>
        <w:pStyle w:val="style0"/>
        <w:shd w:fill="FFFFFF" w:val="clear"/>
        <w:spacing w:after="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התורה דורשת מערכת פיננסית המבוססת על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לא תקח מאחיך נשך ותרבית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".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משפחה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ab/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ממוצעת בישראל נסחטת על ידי מערכת הבנקאות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בניגוד לרוח התורה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</w:p>
    <w:p>
      <w:pPr>
        <w:pStyle w:val="style0"/>
        <w:shd w:fill="FFFFFF" w:val="clear"/>
        <w:spacing w:after="0" w:before="0" w:line="360" w:lineRule="auto"/>
        <w:jc w:val="both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360" w:lineRule="auto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בנקאות אסלאמית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 xml:space="preserve">: </w:t>
      </w:r>
    </w:p>
    <w:p>
      <w:pPr>
        <w:pStyle w:val="style0"/>
        <w:shd w:fill="FFFFFF" w:val="clear"/>
        <w:spacing w:after="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ההלכה המוסלמית – בעקבות היהדות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אוסרת לקיחת ריבית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הבנקאות האיסלאמית בארצות ערב – ובאירופה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מבוססת על מערכת שותפות במקום הלוואות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להלן כתבה בכלכליסט תחת הכותרת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: 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מאז פרשת הליבור והמשבר העולמי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רבים נוהרים לבנקאות השמרנית הזו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שנחשבת לפחות מסוכנת ויותר חברתית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". </w:t>
      </w:r>
    </w:p>
    <w:p>
      <w:pPr>
        <w:pStyle w:val="style0"/>
        <w:shd w:fill="FFFFFF" w:val="clear"/>
        <w:spacing w:after="0" w:before="0" w:line="360" w:lineRule="auto"/>
        <w:ind w:hanging="0" w:left="720" w:right="0"/>
        <w:jc w:val="both"/>
      </w:pPr>
      <w:hyperlink r:id="rId2">
        <w:r>
          <w:rPr>
            <w:rStyle w:val="style16"/>
            <w:rFonts w:ascii="Arial" w:cs="David" w:eastAsia="Times New Roman" w:hAnsi="Arial"/>
            <w:b/>
            <w:bCs/>
            <w:color w:val="222222"/>
            <w:sz w:val="20"/>
            <w:szCs w:val="20"/>
          </w:rPr>
          <w:t>http://www.calcalist.co.il/markets/articles/0,7340,L-3588073,00.html</w:t>
        </w:r>
      </w:hyperlink>
    </w:p>
    <w:p>
      <w:pPr>
        <w:pStyle w:val="style0"/>
        <w:shd w:fill="FFFFFF" w:val="clear"/>
        <w:spacing w:after="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360" w:lineRule="auto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כאן בישראל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 xml:space="preserve">: </w:t>
      </w:r>
    </w:p>
    <w:p>
      <w:pPr>
        <w:pStyle w:val="style0"/>
        <w:shd w:fill="FFFFFF" w:val="clear"/>
        <w:spacing w:after="0" w:before="0" w:line="360" w:lineRule="auto"/>
        <w:ind w:hanging="0" w:left="720" w:right="0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בעקבות המלצות הביניים של ועדת זקן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קמו קבוצה של כלכלנים תחת האיגוד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שלנו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"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הפועלים במרץ רב להקמה של בנק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'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איגוד אשראי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'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שיתן אשראי זול בעמלות מופחתות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להלן כמה לינקים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: </w:t>
      </w:r>
    </w:p>
    <w:p>
      <w:pPr>
        <w:pStyle w:val="style0"/>
        <w:shd w:fill="FFFFFF" w:val="clear"/>
        <w:spacing w:after="0" w:before="0" w:line="360" w:lineRule="auto"/>
        <w:ind w:hanging="0" w:left="720" w:right="0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ראיון אצל גבי גזית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: </w:t>
      </w:r>
      <w:hyperlink r:id="rId3">
        <w:r>
          <w:rPr>
            <w:rStyle w:val="style16"/>
            <w:rFonts w:ascii="Times New Roman" w:cs="David" w:eastAsia="Times New Roman" w:hAnsi="Times New Roman"/>
            <w:b/>
            <w:bCs/>
            <w:sz w:val="18"/>
            <w:szCs w:val="18"/>
          </w:rPr>
          <w:t>www.103.fm/programs/Media.aspx?ZrqvnVq=FJGMHF&amp;c41t4nzVQ=EE</w:t>
        </w:r>
      </w:hyperlink>
    </w:p>
    <w:p>
      <w:pPr>
        <w:pStyle w:val="style0"/>
        <w:shd w:fill="FFFFFF" w:val="clear"/>
        <w:spacing w:after="0" w:before="0" w:line="360" w:lineRule="auto"/>
        <w:ind w:firstLine="720" w:left="0" w:right="0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כתבה במעריב</w:t>
      </w:r>
      <w:r>
        <w:rPr>
          <w:rFonts w:ascii="Times New Roman" w:cs="David" w:eastAsia="Times New Roman" w:hAnsi="Times New Roman"/>
          <w:color w:val="500050"/>
          <w:sz w:val="24"/>
          <w:szCs w:val="24"/>
          <w:rtl w:val="true"/>
        </w:rPr>
        <w:t xml:space="preserve">: </w:t>
      </w:r>
      <w:hyperlink r:id="rId4">
        <w:r>
          <w:rPr>
            <w:rStyle w:val="style16"/>
            <w:rFonts w:ascii="Times New Roman" w:cs="David" w:eastAsia="Times New Roman" w:hAnsi="Times New Roman"/>
            <w:sz w:val="20"/>
            <w:szCs w:val="20"/>
          </w:rPr>
          <w:t>www.nrg.co.il/online/54/ART2/412/780.html?hp=54&amp;cat=869&amp;loc=6</w:t>
        </w:r>
      </w:hyperlink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הקבוצה לבנקאות יהודית</w:t>
      </w:r>
      <w:r>
        <w:rPr>
          <w:rFonts w:ascii="Arial" w:cs="David" w:eastAsia="Times New Roman" w:hAnsi="Arial"/>
          <w:b/>
          <w:bCs/>
          <w:color w:val="222222"/>
          <w:sz w:val="28"/>
          <w:szCs w:val="28"/>
          <w:rtl w:val="true"/>
        </w:rPr>
        <w:t xml:space="preserve">: 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הקבוצה מורכבת מרבנים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כלכלנים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אנשי אקדמיה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אנשי ציבור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ות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ח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שלמעלה משנה פועלים בפיתוח מודלים כלכליים לבנקאות מלאה מופחתת עמלות וללא ריבית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חברי הקבוצה נפגשו עם הפיקוח על הבנקים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וניכרת התקדמות רצינית בפיתוחם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/>
          <w:bCs/>
          <w:color w:val="222222"/>
          <w:sz w:val="28"/>
          <w:sz w:val="28"/>
          <w:szCs w:val="28"/>
          <w:rtl w:val="true"/>
        </w:rPr>
        <w:t>הצעתנו למפלגה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</w:r>
    </w:p>
    <w:p>
      <w:pPr>
        <w:pStyle w:val="style0"/>
        <w:shd w:fill="FFFFFF" w:val="clear"/>
        <w:spacing w:after="12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מערכת הבחירות הקרובה תתמקד בתחום הכלכלי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-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חברתי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זוהי הזדמנות לקדם רעיונות גדולים בקנה מידה הסטורי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אנו רואים בעיני רוחנו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שמה שכחלון עשה בתקשורת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bookmarkStart w:id="0" w:name="__DdeLink__114_1980449534"/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_____________</w:t>
      </w:r>
      <w:bookmarkEnd w:id="0"/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 יעשה בבנקאות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</w:p>
    <w:p>
      <w:pPr>
        <w:pStyle w:val="style0"/>
        <w:shd w:fill="FFFFFF" w:val="clear"/>
        <w:spacing w:after="12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אנו רואים בעיני רוחנו את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_____________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מאגד סביבו אנשי כלכלה בכירים ומפורסמים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ומכריז על התארגנות להקמה של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>"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בנק חברתי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".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למותר לציין את הכח והעוצמה שבנק כזה יוסיף למפלגה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</w:p>
    <w:p>
      <w:pPr>
        <w:pStyle w:val="style0"/>
        <w:shd w:fill="FFFFFF" w:val="clear"/>
        <w:spacing w:after="12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 xml:space="preserve">הייחודיות של מפלגת 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____________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היא בכך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שיש לה ציבור למאות אלפיו שיעבור לעבוד עם הבנק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וכן יש לה יכולת להשפיע על שינויי חקיקה הנדרשים להקמת בנק כזה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. </w:t>
      </w:r>
    </w:p>
    <w:p>
      <w:pPr>
        <w:pStyle w:val="style0"/>
        <w:shd w:fill="FFFFFF" w:val="clear"/>
        <w:spacing w:after="120" w:before="0" w:line="360" w:lineRule="auto"/>
        <w:ind w:hanging="0" w:left="720" w:right="0"/>
        <w:jc w:val="both"/>
      </w:pP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מעל הכל</w:t>
      </w:r>
      <w:r>
        <w:rPr>
          <w:rFonts w:ascii="Arial" w:cs="David" w:eastAsia="Times New Roman" w:hAnsi="Arial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Arial" w:cs="David" w:eastAsia="Times New Roman" w:hAnsi="Arial"/>
          <w:b/>
          <w:b/>
          <w:bCs/>
          <w:color w:val="222222"/>
          <w:sz w:val="24"/>
          <w:sz w:val="24"/>
          <w:szCs w:val="24"/>
          <w:rtl w:val="true"/>
        </w:rPr>
        <w:t>עומד כאן ה</w:t>
      </w: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>עניין היהודי ההיסטורי של בנקאות יהודית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 xml:space="preserve">ברוח הצוו האלוקי 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>לא תקח מאחיך נשך ותרבית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 xml:space="preserve">". ____________ </w:t>
      </w: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 xml:space="preserve">תהפוך את המושג 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>"</w:t>
      </w: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>בנקאות יהודית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 xml:space="preserve">" </w:t>
      </w: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>ממושג אניטשימי למושג חברתי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>.</w:t>
      </w:r>
    </w:p>
    <w:p>
      <w:pPr>
        <w:pStyle w:val="style0"/>
        <w:shd w:fill="FFFFFF" w:val="clear"/>
        <w:spacing w:after="120" w:before="0" w:line="360" w:lineRule="auto"/>
        <w:ind w:hanging="0" w:left="720" w:right="284"/>
        <w:jc w:val="left"/>
      </w:pPr>
      <w:r>
        <w:rPr>
          <w:rFonts w:ascii="Times New Roman" w:cs="David" w:eastAsia="Times New Roman" w:hAnsi="Times New Roman"/>
          <w:b/>
          <w:b/>
          <w:bCs/>
          <w:color w:val="222222"/>
          <w:sz w:val="24"/>
          <w:sz w:val="24"/>
          <w:szCs w:val="24"/>
          <w:rtl w:val="true"/>
        </w:rPr>
        <w:t>בכבוד רב</w:t>
      </w: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>,</w:t>
      </w:r>
    </w:p>
    <w:p>
      <w:pPr>
        <w:pStyle w:val="style0"/>
        <w:shd w:fill="FFFFFF" w:val="clear"/>
        <w:spacing w:after="120" w:before="0" w:line="360" w:lineRule="auto"/>
        <w:ind w:hanging="0" w:left="0" w:right="0"/>
        <w:jc w:val="left"/>
      </w:pPr>
      <w:r>
        <w:rPr>
          <w:rFonts w:ascii="Times New Roman" w:cs="David" w:eastAsia="Times New Roman" w:hAnsi="Times New Roman"/>
          <w:b/>
          <w:bCs/>
          <w:color w:val="222222"/>
          <w:sz w:val="24"/>
          <w:szCs w:val="24"/>
          <w:rtl w:val="true"/>
        </w:rPr>
        <w:t>______________</w:t>
      </w:r>
    </w:p>
    <w:sectPr>
      <w:headerReference r:id="rId5" w:type="default"/>
      <w:footerReference r:id="rId6" w:type="default"/>
      <w:type w:val="nextPage"/>
      <w:pgSz w:h="16838" w:w="11906"/>
      <w:pgMar w:bottom="1440" w:footer="708" w:gutter="0" w:header="708" w:left="1800" w:right="1800" w:top="2097"/>
      <w:pgNumType w:fmt="decimal"/>
      <w:formProt w:val="false"/>
      <w:textDirection w:val="lrTb"/>
      <w:bidi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hd w:fill="FFFFFF" w:val="clear"/>
      <w:spacing w:after="0" w:before="0" w:line="100" w:lineRule="atLeast"/>
      <w:jc w:val="center"/>
    </w:pPr>
    <w:r>
      <w:rPr>
        <w:rFonts w:ascii="Arial" w:cs="David" w:eastAsia="Times New Roman" w:hAnsi="Arial"/>
        <w:color w:val="222222"/>
        <w:sz w:val="24"/>
        <w:sz w:val="24"/>
        <w:szCs w:val="24"/>
        <w:rtl w:val="true"/>
      </w:rPr>
      <w:t xml:space="preserve">הקבוצה לבנקאות יהודית </w:t>
    </w:r>
    <w:hyperlink r:id="rId7">
      <w:r>
        <w:rPr>
          <w:rStyle w:val="style16"/>
          <w:rFonts w:ascii="Arial" w:cs="David" w:eastAsia="Times New Roman" w:hAnsi="Arial"/>
          <w:sz w:val="24"/>
          <w:szCs w:val="24"/>
        </w:rPr>
        <w:t>jewishbanking@googlegroups.com</w:t>
      </w:r>
    </w:hyperlink>
    <w:r>
      <w:rPr>
        <w:rFonts w:ascii="Arial" w:cs="David" w:eastAsia="Times New Roman" w:hAnsi="Arial"/>
        <w:color w:val="222222"/>
        <w:sz w:val="24"/>
        <w:szCs w:val="24"/>
        <w:rtl w:val="true"/>
      </w:rPr>
      <w:t xml:space="preserve"> </w:t>
      <w:br/>
    </w:r>
    <w:r>
      <w:rPr>
        <w:rFonts w:ascii="Arial" w:cs="David" w:eastAsia="Times New Roman" w:hAnsi="Arial"/>
        <w:color w:val="222222"/>
        <w:sz w:val="24"/>
        <w:sz w:val="24"/>
        <w:szCs w:val="24"/>
        <w:rtl w:val="true"/>
      </w:rPr>
      <w:t>טל</w:t>
    </w:r>
    <w:r>
      <w:rPr>
        <w:rFonts w:ascii="Arial" w:cs="David" w:eastAsia="Times New Roman" w:hAnsi="Arial"/>
        <w:color w:val="222222"/>
        <w:sz w:val="24"/>
        <w:szCs w:val="24"/>
        <w:rtl w:val="true"/>
      </w:rPr>
      <w:t xml:space="preserve">': </w:t>
    </w:r>
    <w:r>
      <w:rPr>
        <w:rFonts w:ascii="Arial" w:cs="David" w:eastAsia="Times New Roman" w:hAnsi="Arial"/>
        <w:color w:val="222222"/>
        <w:sz w:val="24"/>
        <w:szCs w:val="24"/>
      </w:rPr>
      <w:t>052-3370575</w:t>
    </w:r>
  </w:p>
  <w:p>
    <w:pPr>
      <w:pStyle w:val="style27"/>
      <w:jc w:val="center"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>
        <w:rtl w:val="true"/>
      </w:rPr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1420495</wp:posOffset>
          </wp:positionH>
          <wp:positionV relativeFrom="line">
            <wp:posOffset>-1270</wp:posOffset>
          </wp:positionV>
          <wp:extent cx="2574925" cy="882650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4925" cy="882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bidi/>
      <w:spacing w:after="200" w:before="0" w:line="276" w:lineRule="auto"/>
      <w:jc w:val="right"/>
    </w:pPr>
    <w:rPr>
      <w:rFonts w:ascii="Calibri" w:cs="Calibri" w:eastAsia="WenQuanYi Micro Hei" w:hAnsi="Calibri"/>
      <w:color w:val="auto"/>
      <w:sz w:val="22"/>
      <w:szCs w:val="22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טקסט בלונים תו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כותרת עליונה תו"/>
    <w:basedOn w:val="style15"/>
    <w:next w:val="style18"/>
    <w:rPr/>
  </w:style>
  <w:style w:styleId="style19" w:type="character">
    <w:name w:val="כותרת תחתונה תו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DejaVu Sans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DejaVu Sans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DejaVu Sans"/>
    </w:rPr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6" w:type="paragraph">
    <w:name w:val="Header"/>
    <w:basedOn w:val="style0"/>
    <w:next w:val="style26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lcalist.co.il/markets/articles/0,7340,L-3588073,00.html" TargetMode="External"/><Relationship Id="rId3" Type="http://schemas.openxmlformats.org/officeDocument/2006/relationships/hyperlink" Target="http://www.103.fm/programs/Media.aspx?ZrqvnVq=FJGMHF&amp;c41t4nzVQ=EE" TargetMode="External"/><Relationship Id="rId4" Type="http://schemas.openxmlformats.org/officeDocument/2006/relationships/hyperlink" Target="http://www.nrg.co.il/online/54/ART2/412/780.html?hp=54&amp;cat=869&amp;loc=6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jewishbanking@googlegroups.com" TargetMode="External"/><Relationship Id="rId8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2012-12-05T15:44:00.00Z</dcterms:created>
  <dc:creator>אליהו</dc:creator>
  <cp:lastModifiedBy>אליהו</cp:lastModifiedBy>
  <cp:lastPrinted>2012-12-05T16:24:00.00Z</cp:lastPrinted>
  <dcterms:modified xsi:type="dcterms:W3CDTF">2012-12-05T16:25:00.00Z</dcterms:modified>
  <cp:revision>1</cp:revision>
</cp:coreProperties>
</file>