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323" w:rsidRDefault="00ED2323">
      <w:pPr>
        <w:pStyle w:val="TTBf"/>
        <w:widowControl/>
      </w:pPr>
    </w:p>
    <w:p w:rsidR="00AD0EEF" w:rsidRDefault="009628A4">
      <w:pPr>
        <w:pStyle w:val="TTB10"/>
        <w:widowControl/>
        <w:rPr>
          <w:lang w:val="en-US"/>
        </w:rPr>
      </w:pPr>
      <w:r>
        <w:t>Схема состава поезда №405/406</w:t>
      </w:r>
      <w:r w:rsidR="00AD0EEF" w:rsidRPr="00AD0EEF">
        <w:t xml:space="preserve"> </w:t>
      </w:r>
      <w:r>
        <w:t>в сообщении Бишкек 2 – Шу</w:t>
      </w:r>
      <w:r w:rsidR="00AD0EEF" w:rsidRPr="00AD0EEF">
        <w:t xml:space="preserve"> </w:t>
      </w:r>
    </w:p>
    <w:p w:rsidR="00ED2323" w:rsidRPr="00AD0EEF" w:rsidRDefault="00AD0EEF">
      <w:pPr>
        <w:pStyle w:val="TTB10"/>
        <w:widowControl/>
      </w:pPr>
      <w:bookmarkStart w:id="0" w:name="_GoBack"/>
      <w:bookmarkEnd w:id="0"/>
      <w:r w:rsidRPr="00AD0EEF">
        <w:t>на график движения поездов на 2024/2025 годы</w:t>
      </w:r>
    </w:p>
    <w:p w:rsidR="00B6650F" w:rsidRDefault="00B6650F">
      <w:pPr>
        <w:pStyle w:val="TTB10"/>
        <w:widowControl/>
      </w:pPr>
      <w:r>
        <w:t>Перевозчик КРГ</w:t>
      </w:r>
    </w:p>
    <w:p w:rsidR="00ED2323" w:rsidRDefault="00ED2323">
      <w:pPr>
        <w:pStyle w:val="TTB10"/>
        <w:widowControl/>
      </w:pPr>
    </w:p>
    <w:tbl>
      <w:tblPr>
        <w:tblW w:w="10546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0"/>
        <w:gridCol w:w="909"/>
        <w:gridCol w:w="3546"/>
        <w:gridCol w:w="819"/>
        <w:gridCol w:w="818"/>
        <w:gridCol w:w="818"/>
        <w:gridCol w:w="819"/>
        <w:gridCol w:w="1727"/>
      </w:tblGrid>
      <w:tr w:rsidR="00ED2323" w:rsidTr="00B6650F">
        <w:trPr>
          <w:tblHeader/>
        </w:trPr>
        <w:tc>
          <w:tcPr>
            <w:tcW w:w="1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ED2323" w:rsidRDefault="009628A4">
            <w:pPr>
              <w:pStyle w:val="TTB5"/>
              <w:widowControl/>
            </w:pPr>
            <w:r>
              <w:t xml:space="preserve">Порядковый </w:t>
            </w:r>
            <w:r>
              <w:br/>
              <w:t>№</w:t>
            </w:r>
            <w:r>
              <w:br/>
              <w:t>вагона</w:t>
            </w:r>
          </w:p>
        </w:tc>
        <w:tc>
          <w:tcPr>
            <w:tcW w:w="9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ED2323" w:rsidRDefault="009628A4">
            <w:pPr>
              <w:pStyle w:val="TTB5"/>
              <w:widowControl/>
            </w:pPr>
            <w:r>
              <w:br/>
              <w:t>Тип</w:t>
            </w:r>
            <w:r>
              <w:br/>
              <w:t>вагона</w:t>
            </w:r>
          </w:p>
        </w:tc>
        <w:tc>
          <w:tcPr>
            <w:tcW w:w="3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ED2323" w:rsidRDefault="009628A4">
            <w:pPr>
              <w:pStyle w:val="TTB5"/>
              <w:widowControl/>
            </w:pPr>
            <w:r>
              <w:br/>
              <w:t>Пункты обращения вагона</w:t>
            </w:r>
          </w:p>
        </w:tc>
        <w:tc>
          <w:tcPr>
            <w:tcW w:w="32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5"/>
              <w:widowControl/>
            </w:pPr>
            <w:r>
              <w:t>Число мест</w:t>
            </w:r>
          </w:p>
        </w:tc>
        <w:tc>
          <w:tcPr>
            <w:tcW w:w="1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ED2323" w:rsidRDefault="009628A4">
            <w:pPr>
              <w:pStyle w:val="TTB5"/>
              <w:widowControl/>
            </w:pPr>
            <w:r>
              <w:t>Количество составов</w:t>
            </w:r>
            <w:r>
              <w:br/>
              <w:t>в обороте,</w:t>
            </w:r>
            <w:r>
              <w:br/>
              <w:t>владелец и приписка вагона</w:t>
            </w:r>
          </w:p>
        </w:tc>
      </w:tr>
      <w:tr w:rsidR="00ED2323" w:rsidTr="00B6650F">
        <w:trPr>
          <w:tblHeader/>
        </w:trPr>
        <w:tc>
          <w:tcPr>
            <w:tcW w:w="1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ED2323" w:rsidRDefault="00ED2323"/>
        </w:tc>
        <w:tc>
          <w:tcPr>
            <w:tcW w:w="9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ED2323" w:rsidRDefault="00ED2323"/>
        </w:tc>
        <w:tc>
          <w:tcPr>
            <w:tcW w:w="35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ED2323" w:rsidRDefault="00ED2323"/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5"/>
              <w:widowControl/>
            </w:pPr>
            <w:r>
              <w:t>СВ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B6650F">
            <w:pPr>
              <w:pStyle w:val="TTB5"/>
              <w:widowControl/>
            </w:pPr>
            <w:r>
              <w:t>КУП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B6650F">
            <w:pPr>
              <w:pStyle w:val="TTB5"/>
              <w:widowControl/>
            </w:pPr>
            <w:r>
              <w:t>ПЛ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B6650F">
            <w:pPr>
              <w:pStyle w:val="TTB5"/>
              <w:widowControl/>
            </w:pPr>
            <w:r>
              <w:t>ОБЩ</w:t>
            </w:r>
          </w:p>
        </w:tc>
        <w:tc>
          <w:tcPr>
            <w:tcW w:w="17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ED2323" w:rsidRDefault="00ED2323"/>
        </w:tc>
      </w:tr>
      <w:tr w:rsidR="00ED2323" w:rsidTr="00B6650F"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 xml:space="preserve"> </w:t>
            </w:r>
          </w:p>
        </w:tc>
        <w:tc>
          <w:tcPr>
            <w:tcW w:w="9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 xml:space="preserve"> </w:t>
            </w:r>
          </w:p>
        </w:tc>
        <w:tc>
          <w:tcPr>
            <w:tcW w:w="354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 xml:space="preserve"> </w:t>
            </w:r>
          </w:p>
        </w:tc>
        <w:tc>
          <w:tcPr>
            <w:tcW w:w="8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 xml:space="preserve"> 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 xml:space="preserve"> 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 xml:space="preserve"> </w:t>
            </w:r>
          </w:p>
        </w:tc>
        <w:tc>
          <w:tcPr>
            <w:tcW w:w="8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 xml:space="preserve"> </w:t>
            </w:r>
          </w:p>
        </w:tc>
        <w:tc>
          <w:tcPr>
            <w:tcW w:w="17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 xml:space="preserve"> </w:t>
            </w:r>
          </w:p>
        </w:tc>
      </w:tr>
      <w:tr w:rsidR="00ED2323" w:rsidTr="00B6650F"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B6650F">
            <w:pPr>
              <w:pStyle w:val="TTB"/>
              <w:widowControl/>
            </w:pPr>
            <w:r>
              <w:t>9</w:t>
            </w:r>
            <w:r w:rsidR="009628A4">
              <w:t>ф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 w:rsidP="00B6650F">
            <w:pPr>
              <w:pStyle w:val="TTB1"/>
              <w:widowControl/>
              <w:jc w:val="center"/>
            </w:pPr>
            <w:r>
              <w:t>Бишкек–Казань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>–</w:t>
            </w:r>
          </w:p>
        </w:tc>
        <w:tc>
          <w:tcPr>
            <w:tcW w:w="1727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ED2323" w:rsidRDefault="009628A4">
            <w:pPr>
              <w:pStyle w:val="TTB"/>
              <w:widowControl/>
            </w:pPr>
            <w:r>
              <w:t>Один состав ВЧД КРГ на ЭПТ и ЭО, скорость следования до 120 км/ч</w:t>
            </w:r>
          </w:p>
        </w:tc>
      </w:tr>
      <w:tr w:rsidR="00ED2323" w:rsidTr="00B6650F"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 w:rsidP="00B6650F">
            <w:pPr>
              <w:pStyle w:val="TTB"/>
              <w:widowControl/>
            </w:pPr>
            <w:r>
              <w:t>1</w:t>
            </w:r>
            <w:r w:rsidR="00B6650F"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>К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B6650F">
            <w:pPr>
              <w:pStyle w:val="TTB1"/>
              <w:widowControl/>
              <w:jc w:val="center"/>
            </w:pPr>
            <w:r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>36/2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>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ED2323" w:rsidRDefault="00ED2323"/>
        </w:tc>
      </w:tr>
      <w:tr w:rsidR="00B6650F" w:rsidTr="00B6650F"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11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КР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jc w:val="center"/>
            </w:pPr>
            <w:r w:rsidRPr="002954FC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26/10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B6650F" w:rsidRDefault="00B6650F" w:rsidP="00B6650F"/>
        </w:tc>
      </w:tr>
      <w:tr w:rsidR="00B6650F" w:rsidTr="00B6650F"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12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jc w:val="center"/>
            </w:pPr>
            <w:r w:rsidRPr="002954FC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B6650F" w:rsidRDefault="00B6650F" w:rsidP="00B6650F"/>
        </w:tc>
      </w:tr>
      <w:tr w:rsidR="00B6650F" w:rsidTr="00B6650F"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13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jc w:val="center"/>
            </w:pPr>
            <w:r w:rsidRPr="002954FC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50/4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B6650F" w:rsidRDefault="00B6650F" w:rsidP="00B6650F"/>
        </w:tc>
      </w:tr>
      <w:tr w:rsidR="00B6650F" w:rsidTr="00B6650F"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14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jc w:val="center"/>
            </w:pPr>
            <w:r w:rsidRPr="002954FC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B6650F" w:rsidRDefault="00B6650F" w:rsidP="00B6650F"/>
        </w:tc>
      </w:tr>
      <w:tr w:rsidR="00B6650F" w:rsidTr="00B6650F"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15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jc w:val="center"/>
            </w:pPr>
            <w:r w:rsidRPr="002954FC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B6650F" w:rsidRDefault="00B6650F" w:rsidP="00B6650F"/>
        </w:tc>
      </w:tr>
      <w:tr w:rsidR="00B6650F" w:rsidTr="00B6650F"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16ф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jc w:val="center"/>
            </w:pPr>
            <w:r w:rsidRPr="002954FC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B6650F" w:rsidRDefault="00B6650F" w:rsidP="00B6650F"/>
        </w:tc>
      </w:tr>
      <w:tr w:rsidR="00B6650F" w:rsidTr="00B6650F"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17ф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jc w:val="center"/>
            </w:pPr>
            <w:r w:rsidRPr="002954FC">
              <w:t>-«-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B6650F" w:rsidRDefault="00B6650F" w:rsidP="00B6650F">
            <w:pPr>
              <w:pStyle w:val="TTB"/>
              <w:widowControl/>
            </w:pPr>
            <w:r>
              <w:t>–</w:t>
            </w:r>
          </w:p>
        </w:tc>
        <w:tc>
          <w:tcPr>
            <w:tcW w:w="172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  <w:vAlign w:val="center"/>
          </w:tcPr>
          <w:p w:rsidR="00B6650F" w:rsidRDefault="00B6650F" w:rsidP="00B6650F"/>
        </w:tc>
      </w:tr>
      <w:tr w:rsidR="00ED2323" w:rsidTr="00B6650F">
        <w:tc>
          <w:tcPr>
            <w:tcW w:w="1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>70</w:t>
            </w:r>
          </w:p>
          <w:p w:rsidR="00ED2323" w:rsidRDefault="009628A4">
            <w:pPr>
              <w:pStyle w:val="TTB"/>
              <w:widowControl/>
            </w:pPr>
            <w:r>
              <w:t>71</w:t>
            </w:r>
          </w:p>
          <w:p w:rsidR="00ED2323" w:rsidRDefault="009628A4">
            <w:pPr>
              <w:pStyle w:val="TTB"/>
              <w:widowControl/>
            </w:pPr>
            <w:r>
              <w:t>72</w:t>
            </w:r>
          </w:p>
          <w:p w:rsidR="00B6650F" w:rsidRDefault="00B6650F">
            <w:pPr>
              <w:pStyle w:val="TTB"/>
              <w:widowControl/>
            </w:pPr>
            <w:r>
              <w:t>73</w:t>
            </w:r>
          </w:p>
        </w:tc>
        <w:tc>
          <w:tcPr>
            <w:tcW w:w="9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>Б</w:t>
            </w:r>
          </w:p>
          <w:p w:rsidR="00ED2323" w:rsidRDefault="009628A4">
            <w:pPr>
              <w:pStyle w:val="TTB"/>
              <w:widowControl/>
            </w:pPr>
            <w:r>
              <w:t>Б</w:t>
            </w:r>
          </w:p>
          <w:p w:rsidR="00ED2323" w:rsidRDefault="009628A4">
            <w:pPr>
              <w:pStyle w:val="TTB"/>
              <w:widowControl/>
            </w:pPr>
            <w:r>
              <w:t>Б</w:t>
            </w:r>
          </w:p>
          <w:p w:rsidR="00B6650F" w:rsidRDefault="00B6650F">
            <w:pPr>
              <w:pStyle w:val="TTB"/>
              <w:widowControl/>
            </w:pPr>
            <w:r>
              <w:t>Б</w:t>
            </w:r>
          </w:p>
        </w:tc>
        <w:tc>
          <w:tcPr>
            <w:tcW w:w="35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>Екатеринбург – Бишкек</w:t>
            </w:r>
          </w:p>
          <w:p w:rsidR="00B6650F" w:rsidRDefault="00B6650F" w:rsidP="00B6650F">
            <w:pPr>
              <w:pStyle w:val="TTB"/>
              <w:widowControl/>
            </w:pPr>
            <w:r>
              <w:t>Екатеринбург – Бишкек</w:t>
            </w:r>
          </w:p>
          <w:p w:rsidR="00B6650F" w:rsidRDefault="00B6650F" w:rsidP="00B6650F">
            <w:pPr>
              <w:pStyle w:val="TTB"/>
              <w:widowControl/>
            </w:pPr>
            <w:r>
              <w:t>Екатеринбург – Бишкек</w:t>
            </w:r>
          </w:p>
          <w:p w:rsidR="00B6650F" w:rsidRDefault="00B6650F" w:rsidP="00B6650F">
            <w:pPr>
              <w:pStyle w:val="TTB"/>
              <w:widowControl/>
            </w:pPr>
            <w:r>
              <w:t>Екатеринбург – Бишкек</w:t>
            </w:r>
          </w:p>
        </w:tc>
        <w:tc>
          <w:tcPr>
            <w:tcW w:w="8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>-</w:t>
            </w:r>
          </w:p>
          <w:p w:rsidR="00ED2323" w:rsidRDefault="009628A4">
            <w:pPr>
              <w:pStyle w:val="TTB"/>
              <w:widowControl/>
            </w:pPr>
            <w:r>
              <w:t>-</w:t>
            </w:r>
          </w:p>
          <w:p w:rsidR="00ED2323" w:rsidRDefault="009628A4">
            <w:pPr>
              <w:pStyle w:val="TTB"/>
              <w:widowControl/>
            </w:pPr>
            <w:r>
              <w:t>-</w:t>
            </w:r>
          </w:p>
          <w:p w:rsidR="00B6650F" w:rsidRDefault="00B6650F">
            <w:pPr>
              <w:pStyle w:val="TTB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>-</w:t>
            </w:r>
          </w:p>
          <w:p w:rsidR="00ED2323" w:rsidRDefault="009628A4">
            <w:pPr>
              <w:pStyle w:val="TTB"/>
              <w:widowControl/>
            </w:pPr>
            <w:r>
              <w:t>-</w:t>
            </w:r>
          </w:p>
          <w:p w:rsidR="00ED2323" w:rsidRDefault="009628A4">
            <w:pPr>
              <w:pStyle w:val="TTB"/>
              <w:widowControl/>
            </w:pPr>
            <w:r>
              <w:t>-</w:t>
            </w:r>
          </w:p>
          <w:p w:rsidR="00B6650F" w:rsidRDefault="00B6650F">
            <w:pPr>
              <w:pStyle w:val="TTB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>-</w:t>
            </w:r>
          </w:p>
          <w:p w:rsidR="00ED2323" w:rsidRDefault="009628A4">
            <w:pPr>
              <w:pStyle w:val="TTB"/>
              <w:widowControl/>
            </w:pPr>
            <w:r>
              <w:t>-</w:t>
            </w:r>
          </w:p>
          <w:p w:rsidR="00ED2323" w:rsidRDefault="009628A4">
            <w:pPr>
              <w:pStyle w:val="TTB"/>
              <w:widowControl/>
            </w:pPr>
            <w:r>
              <w:t>-</w:t>
            </w:r>
          </w:p>
          <w:p w:rsidR="00B6650F" w:rsidRDefault="00B6650F">
            <w:pPr>
              <w:pStyle w:val="TTB"/>
              <w:widowControl/>
            </w:pPr>
            <w:r>
              <w:t>-</w:t>
            </w:r>
          </w:p>
        </w:tc>
        <w:tc>
          <w:tcPr>
            <w:tcW w:w="8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>-</w:t>
            </w:r>
          </w:p>
          <w:p w:rsidR="00ED2323" w:rsidRDefault="009628A4">
            <w:pPr>
              <w:pStyle w:val="TTB"/>
              <w:widowControl/>
            </w:pPr>
            <w:r>
              <w:t>-</w:t>
            </w:r>
          </w:p>
          <w:p w:rsidR="00ED2323" w:rsidRDefault="009628A4">
            <w:pPr>
              <w:pStyle w:val="TTB"/>
              <w:widowControl/>
            </w:pPr>
            <w:r>
              <w:t>-</w:t>
            </w:r>
          </w:p>
          <w:p w:rsidR="00B6650F" w:rsidRDefault="00B6650F">
            <w:pPr>
              <w:pStyle w:val="TTB"/>
              <w:widowControl/>
            </w:pPr>
            <w:r>
              <w:t>-</w:t>
            </w:r>
          </w:p>
        </w:tc>
        <w:tc>
          <w:tcPr>
            <w:tcW w:w="1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</w:pPr>
            <w:r>
              <w:t>Собственный</w:t>
            </w:r>
          </w:p>
          <w:p w:rsidR="00ED2323" w:rsidRDefault="009628A4">
            <w:pPr>
              <w:pStyle w:val="TTB"/>
              <w:widowControl/>
            </w:pPr>
            <w:r>
              <w:t>Собственный</w:t>
            </w:r>
          </w:p>
          <w:p w:rsidR="00ED2323" w:rsidRDefault="009628A4">
            <w:pPr>
              <w:pStyle w:val="TTB"/>
              <w:widowControl/>
            </w:pPr>
            <w:r>
              <w:t>Собственный</w:t>
            </w:r>
          </w:p>
          <w:p w:rsidR="00B6650F" w:rsidRDefault="00B6650F">
            <w:pPr>
              <w:pStyle w:val="TTB"/>
              <w:widowControl/>
            </w:pPr>
            <w:r>
              <w:t>Собственный</w:t>
            </w:r>
          </w:p>
        </w:tc>
      </w:tr>
      <w:tr w:rsidR="00ED2323" w:rsidTr="00B6650F">
        <w:tc>
          <w:tcPr>
            <w:tcW w:w="5545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И Т О Г О:</w:t>
            </w:r>
          </w:p>
        </w:tc>
        <w:tc>
          <w:tcPr>
            <w:tcW w:w="8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–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62/14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362/14</w:t>
            </w:r>
          </w:p>
        </w:tc>
        <w:tc>
          <w:tcPr>
            <w:tcW w:w="8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–</w:t>
            </w:r>
          </w:p>
        </w:tc>
        <w:tc>
          <w:tcPr>
            <w:tcW w:w="17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9628A4">
            <w:pPr>
              <w:pStyle w:val="TTB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424/28</w:t>
            </w:r>
          </w:p>
        </w:tc>
      </w:tr>
      <w:tr w:rsidR="00ED2323" w:rsidTr="00B6650F">
        <w:trPr>
          <w:trHeight w:val="61"/>
        </w:trPr>
        <w:tc>
          <w:tcPr>
            <w:tcW w:w="554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ED2323">
            <w:pPr>
              <w:pStyle w:val="TTB"/>
              <w:widowControl/>
              <w:spacing w:before="60" w:after="60"/>
              <w:jc w:val="left"/>
              <w:rPr>
                <w:b/>
              </w:rPr>
            </w:pPr>
          </w:p>
        </w:tc>
        <w:tc>
          <w:tcPr>
            <w:tcW w:w="8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ED2323">
            <w:pPr>
              <w:pStyle w:val="TTB"/>
              <w:widowControl/>
              <w:spacing w:before="60" w:after="60"/>
              <w:rPr>
                <w:b/>
              </w:rPr>
            </w:pP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ED2323">
            <w:pPr>
              <w:pStyle w:val="TTB"/>
              <w:widowControl/>
              <w:spacing w:before="60" w:after="60"/>
              <w:rPr>
                <w:b/>
              </w:rPr>
            </w:pP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ED2323">
            <w:pPr>
              <w:pStyle w:val="TTB"/>
              <w:widowControl/>
              <w:spacing w:before="60" w:after="60"/>
              <w:rPr>
                <w:b/>
              </w:rPr>
            </w:pPr>
          </w:p>
        </w:tc>
        <w:tc>
          <w:tcPr>
            <w:tcW w:w="8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ED2323">
            <w:pPr>
              <w:pStyle w:val="TTB"/>
              <w:widowControl/>
              <w:spacing w:before="60" w:after="60"/>
              <w:rPr>
                <w:b/>
              </w:rPr>
            </w:pPr>
          </w:p>
        </w:tc>
        <w:tc>
          <w:tcPr>
            <w:tcW w:w="17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28" w:type="dxa"/>
            </w:tcMar>
          </w:tcPr>
          <w:p w:rsidR="00ED2323" w:rsidRDefault="00ED2323">
            <w:pPr>
              <w:pStyle w:val="TTB"/>
              <w:widowControl/>
              <w:spacing w:before="60" w:after="60"/>
              <w:rPr>
                <w:b/>
              </w:rPr>
            </w:pPr>
          </w:p>
        </w:tc>
      </w:tr>
    </w:tbl>
    <w:p w:rsidR="00ED2323" w:rsidRDefault="00ED2323">
      <w:pPr>
        <w:pStyle w:val="TTBf"/>
        <w:widowControl/>
        <w:rPr>
          <w:b/>
        </w:rPr>
      </w:pPr>
    </w:p>
    <w:p w:rsidR="00ED2323" w:rsidRDefault="009628A4">
      <w:pPr>
        <w:widowControl/>
        <w:spacing w:line="216" w:lineRule="auto"/>
        <w:ind w:firstLine="284"/>
        <w:jc w:val="both"/>
      </w:pPr>
      <w:r>
        <w:rPr>
          <w:b/>
        </w:rPr>
        <w:t xml:space="preserve">1. Поезд № 405/406 Бишкек-Шу (далее Шу-Казань-Шу </w:t>
      </w:r>
      <w:r w:rsidR="00645DDF">
        <w:rPr>
          <w:b/>
        </w:rPr>
        <w:t xml:space="preserve">пассажирский </w:t>
      </w:r>
      <w:proofErr w:type="spellStart"/>
      <w:r>
        <w:rPr>
          <w:b/>
        </w:rPr>
        <w:t>двухгруппный</w:t>
      </w:r>
      <w:proofErr w:type="spellEnd"/>
      <w:r>
        <w:rPr>
          <w:b/>
        </w:rPr>
        <w:t xml:space="preserve"> </w:t>
      </w:r>
      <w:r w:rsidR="00645DDF">
        <w:rPr>
          <w:b/>
        </w:rPr>
        <w:t>со скорым</w:t>
      </w:r>
      <w:r>
        <w:rPr>
          <w:b/>
        </w:rPr>
        <w:t xml:space="preserve"> поезд № 113/114 Алматы/Бишкек - Казань, круглогодичный, один раз в неделю </w:t>
      </w:r>
      <w:r>
        <w:t>отправлением из Бишкека  с 15/12 – 24 года по 7/1</w:t>
      </w:r>
      <w:r w:rsidR="00B6650F">
        <w:t xml:space="preserve">2-25 года по воскресеньям, </w:t>
      </w:r>
      <w:proofErr w:type="spellStart"/>
      <w:r w:rsidR="00B6650F">
        <w:t>пере</w:t>
      </w:r>
      <w:r>
        <w:t>прицепкой</w:t>
      </w:r>
      <w:proofErr w:type="spellEnd"/>
      <w:r>
        <w:t xml:space="preserve"> в Шу по понедельникам с 16/12-24 года по 8/12-25 года к </w:t>
      </w:r>
      <w:proofErr w:type="spellStart"/>
      <w:r>
        <w:t>двухгруппному</w:t>
      </w:r>
      <w:proofErr w:type="spellEnd"/>
      <w:r>
        <w:t xml:space="preserve"> скорому поезду № 113 сообщением Алматы/Бишкек - Казань, оборотом Казани с 18/12 – 24 года по 10/12-25 года  по средам в составе </w:t>
      </w:r>
      <w:proofErr w:type="spellStart"/>
      <w:r>
        <w:t>двухгруппного</w:t>
      </w:r>
      <w:proofErr w:type="spellEnd"/>
      <w:r>
        <w:t xml:space="preserve"> скорого поезда № 114 сообщением Казань - Бишкек/Алматы, прибытием и отцепкой по ст. Шу с 21/12-24 года по 13/12-25 года по субботам, прибытием в Бишкек в те же сутки. 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rPr>
          <w:b/>
        </w:rPr>
        <w:t>2. Нумерация вагонов в пути следования:</w:t>
      </w:r>
      <w:r>
        <w:t xml:space="preserve"> указана при следовании из Бишкека до Турксиб с «хвоста», с Турксиб от до Нур-Султан </w:t>
      </w:r>
      <w:proofErr w:type="spellStart"/>
      <w:r>
        <w:t>Нурлы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 с «головы» поезда, от Нур-Султан </w:t>
      </w:r>
      <w:proofErr w:type="spellStart"/>
      <w:r>
        <w:t>Нурлы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 до Казани с «хвоста». С Казани до ст. Нур-Султан </w:t>
      </w:r>
      <w:proofErr w:type="spellStart"/>
      <w:r>
        <w:t>Нурлы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 с «головы» поезда, от Нур-Султан </w:t>
      </w:r>
      <w:proofErr w:type="spellStart"/>
      <w:r>
        <w:t>Нурлы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 до Турксиб с «хвоста», с </w:t>
      </w:r>
      <w:proofErr w:type="spellStart"/>
      <w:r>
        <w:t>Турксиба</w:t>
      </w:r>
      <w:proofErr w:type="spellEnd"/>
      <w:r>
        <w:t xml:space="preserve"> до Бишкека с «головы».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rPr>
          <w:b/>
        </w:rPr>
        <w:t>3. Максимально допустимая длина поезда по участкам следования (вагоны 24,5 м):</w:t>
      </w:r>
      <w:r>
        <w:t xml:space="preserve"> Бишкек-Шу - 9 вагонов, Алматы - Петропавловск - 19 вагонов, Петропавловск - Казань - 17 вагонов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rPr>
          <w:b/>
        </w:rPr>
        <w:t>4. Установленная схема поезда по участкам следования (состав сформирован из вагонов длиной 24,5 м):</w:t>
      </w:r>
      <w:r>
        <w:t xml:space="preserve"> Бишкек - Шу - 9 вагонов, Алматы - Петропавловск - 19 вагонов, Петропавловск - Казань - 17 вагонов.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rPr>
          <w:b/>
        </w:rPr>
        <w:t>5. Станции изменения направления движения:</w:t>
      </w:r>
      <w:r>
        <w:t xml:space="preserve"> Турксиб, Нур-Султан </w:t>
      </w:r>
      <w:proofErr w:type="spellStart"/>
      <w:r>
        <w:t>Нурлы</w:t>
      </w:r>
      <w:proofErr w:type="spellEnd"/>
      <w:r>
        <w:t xml:space="preserve"> </w:t>
      </w:r>
      <w:proofErr w:type="spellStart"/>
      <w:r>
        <w:t>жол</w:t>
      </w:r>
      <w:proofErr w:type="spellEnd"/>
      <w:r>
        <w:t xml:space="preserve">; </w:t>
      </w:r>
      <w:r>
        <w:rPr>
          <w:b/>
        </w:rPr>
        <w:t>изменение нумерации:</w:t>
      </w:r>
      <w:r>
        <w:t xml:space="preserve"> Турксиб, Моинты.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rPr>
          <w:b/>
        </w:rPr>
        <w:t>6. Станции смены локомотивов:</w:t>
      </w:r>
      <w:r>
        <w:t xml:space="preserve"> Турксиб, Шу, Караганды-пасс, Нур-Султан </w:t>
      </w:r>
      <w:proofErr w:type="spellStart"/>
      <w:r>
        <w:t>Нурлы</w:t>
      </w:r>
      <w:proofErr w:type="spellEnd"/>
      <w:r>
        <w:t xml:space="preserve"> </w:t>
      </w:r>
      <w:proofErr w:type="spellStart"/>
      <w:r>
        <w:t>жол</w:t>
      </w:r>
      <w:proofErr w:type="spellEnd"/>
      <w:r>
        <w:t>, Кокшетау-1, Петропавловск, Екатеринбург – Пасс., Дружинино.</w:t>
      </w:r>
    </w:p>
    <w:p w:rsidR="00ED2323" w:rsidRDefault="009628A4">
      <w:pPr>
        <w:widowControl/>
        <w:spacing w:line="216" w:lineRule="auto"/>
        <w:ind w:firstLine="284"/>
        <w:jc w:val="both"/>
        <w:rPr>
          <w:i/>
        </w:rPr>
      </w:pPr>
      <w:r>
        <w:rPr>
          <w:b/>
        </w:rPr>
        <w:t xml:space="preserve">7. Станции смены локомотивных бригад без смены локомотива: </w:t>
      </w:r>
      <w:r>
        <w:t xml:space="preserve">Сарышаган, Акадыр, Караганды, Нур Султан </w:t>
      </w:r>
      <w:proofErr w:type="spellStart"/>
      <w:r>
        <w:t>Нурлы</w:t>
      </w:r>
      <w:proofErr w:type="spellEnd"/>
      <w:r>
        <w:t xml:space="preserve"> </w:t>
      </w:r>
      <w:proofErr w:type="spellStart"/>
      <w:r>
        <w:t>жол</w:t>
      </w:r>
      <w:proofErr w:type="spellEnd"/>
      <w:r>
        <w:t>, Курган.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rPr>
          <w:b/>
        </w:rPr>
        <w:t>8. Станции снабжения поезда водой:</w:t>
      </w:r>
      <w:r>
        <w:t xml:space="preserve"> Бишкек-2, Шу, Караганды-пасс., Петропавловск, Екатеринбург-пасс., Казань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rPr>
          <w:b/>
        </w:rPr>
        <w:t>9. Станции снабжения топливом:</w:t>
      </w:r>
      <w:r>
        <w:t xml:space="preserve"> Бишкек-2, Шу, Караганды-пасс., Казань.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rPr>
          <w:b/>
        </w:rPr>
        <w:t>10. Станции обслуживания ЭЧТК:</w:t>
      </w:r>
      <w:r>
        <w:t xml:space="preserve"> нет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rPr>
          <w:b/>
        </w:rPr>
        <w:t xml:space="preserve">11. Станции сбора </w:t>
      </w:r>
      <w:r w:rsidR="00B6650F">
        <w:rPr>
          <w:b/>
        </w:rPr>
        <w:t>твердых коммунальных отходов (</w:t>
      </w:r>
      <w:r>
        <w:rPr>
          <w:b/>
        </w:rPr>
        <w:t>Т</w:t>
      </w:r>
      <w:r w:rsidR="00B6650F">
        <w:rPr>
          <w:b/>
        </w:rPr>
        <w:t>К</w:t>
      </w:r>
      <w:r>
        <w:rPr>
          <w:b/>
        </w:rPr>
        <w:t>О</w:t>
      </w:r>
      <w:r w:rsidR="00B6650F">
        <w:rPr>
          <w:b/>
        </w:rPr>
        <w:t>)</w:t>
      </w:r>
      <w:r>
        <w:rPr>
          <w:b/>
        </w:rPr>
        <w:t xml:space="preserve"> и шлака: </w:t>
      </w:r>
      <w:r>
        <w:t>Бишкек-2, Турксиб, Шу, Сары-Шаган, Акадыр, Жарык, Караганды, Кокшетау-1, Дружинино, Казань</w:t>
      </w:r>
    </w:p>
    <w:p w:rsidR="00ED2323" w:rsidRDefault="009628A4">
      <w:pPr>
        <w:widowControl/>
        <w:spacing w:line="216" w:lineRule="auto"/>
        <w:ind w:firstLine="284"/>
        <w:jc w:val="both"/>
        <w:rPr>
          <w:b/>
        </w:rPr>
      </w:pPr>
      <w:r>
        <w:rPr>
          <w:b/>
        </w:rPr>
        <w:t>12. Выделяются места: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t>- для отдыха проводников все двухместные купе и дополнительно в вагоне пор. № 1</w:t>
      </w:r>
      <w:r w:rsidR="005F597F">
        <w:t>1</w:t>
      </w:r>
      <w:r>
        <w:t xml:space="preserve"> КР места с 1 по 4.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t>- для отдыха ЛНП и ПЭМ в вагоне пор. № 1</w:t>
      </w:r>
      <w:r w:rsidR="005F597F">
        <w:t>1</w:t>
      </w:r>
      <w:r>
        <w:t xml:space="preserve"> КР места с 5 по 8. 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t>- оперативный резерв ЛНП в обоих направлениях в вагоне пор. № 1</w:t>
      </w:r>
      <w:r w:rsidR="005F597F">
        <w:t>1</w:t>
      </w:r>
      <w:r>
        <w:t xml:space="preserve"> места 9 и 10, в вагоне пор. № 1</w:t>
      </w:r>
      <w:r w:rsidR="005F597F">
        <w:t>3</w:t>
      </w:r>
      <w:r>
        <w:t xml:space="preserve"> </w:t>
      </w:r>
      <w:proofErr w:type="spellStart"/>
      <w:r>
        <w:t>пл</w:t>
      </w:r>
      <w:proofErr w:type="spellEnd"/>
      <w:r>
        <w:t xml:space="preserve"> места 3, 4 (установить бронь 26 без снятия).</w:t>
      </w:r>
    </w:p>
    <w:p w:rsidR="00ED2323" w:rsidRDefault="009628A4">
      <w:pPr>
        <w:widowControl/>
        <w:spacing w:line="216" w:lineRule="auto"/>
        <w:ind w:firstLine="284"/>
        <w:jc w:val="both"/>
        <w:rPr>
          <w:b/>
        </w:rPr>
      </w:pPr>
      <w:r>
        <w:t>- во всех плацкартных вагонах места с 1 по 52 для пассажиров, места 53,54 для хранения постельных принадлежностей.</w:t>
      </w:r>
      <w:r>
        <w:rPr>
          <w:b/>
        </w:rPr>
        <w:t xml:space="preserve"> 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rPr>
          <w:b/>
        </w:rPr>
        <w:t xml:space="preserve">- </w:t>
      </w:r>
      <w:r>
        <w:t>во всех плацкартных вагонах класс обслуживания 3У, в купейных вагонах 2Л.</w:t>
      </w:r>
    </w:p>
    <w:p w:rsidR="00ED2323" w:rsidRDefault="009628A4">
      <w:pPr>
        <w:widowControl/>
        <w:spacing w:line="216" w:lineRule="auto"/>
        <w:ind w:firstLine="284"/>
        <w:jc w:val="both"/>
        <w:rPr>
          <w:b/>
        </w:rPr>
      </w:pPr>
      <w:r>
        <w:rPr>
          <w:b/>
        </w:rPr>
        <w:t xml:space="preserve">13. Переменный трафарет: </w:t>
      </w:r>
      <w:r>
        <w:t xml:space="preserve">нет 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rPr>
          <w:b/>
        </w:rPr>
        <w:lastRenderedPageBreak/>
        <w:t>14. Вагоны повышенной комфортности:</w:t>
      </w:r>
      <w:r>
        <w:t xml:space="preserve"> нет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rPr>
          <w:b/>
        </w:rPr>
        <w:t>15. Беспересадочные вагоны:</w:t>
      </w:r>
      <w:r>
        <w:t xml:space="preserve"> нет. 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rPr>
          <w:b/>
        </w:rPr>
        <w:t>16. Прицепные вагоны:</w:t>
      </w:r>
      <w:r>
        <w:t xml:space="preserve"> нет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rPr>
          <w:b/>
        </w:rPr>
        <w:t xml:space="preserve">17. Прочие вагоны: </w:t>
      </w:r>
      <w:r>
        <w:t xml:space="preserve">Собственные багажные вагоны </w:t>
      </w:r>
      <w:proofErr w:type="spellStart"/>
      <w:r>
        <w:t>нр</w:t>
      </w:r>
      <w:proofErr w:type="spellEnd"/>
      <w:r>
        <w:t>. 70, 71, 72</w:t>
      </w:r>
      <w:r w:rsidR="00B6650F">
        <w:t>, 73</w:t>
      </w:r>
      <w:r>
        <w:t xml:space="preserve"> курсируют за счет не курсирующих факультативных вагонов, в пределах максимально допустимой длины поезда, отправлением из Екатеринбурга в хвосте поезда, прибытием Бишкек в хвосте поезда, отправлением из Бишкека в голове поезда, прибытием Екатеринбург в голове поезда, включаются по согласованию и отдельному указанию АО «ФПК».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rPr>
          <w:b/>
        </w:rPr>
        <w:t xml:space="preserve">18. Факультативные вагоны: </w:t>
      </w:r>
      <w:r w:rsidR="00B6650F">
        <w:t>пор. № 9</w:t>
      </w:r>
      <w:r>
        <w:t xml:space="preserve"> К</w:t>
      </w:r>
      <w:r w:rsidR="00B6650F">
        <w:t>УП 36/2,16,17-</w:t>
      </w:r>
      <w:r>
        <w:t xml:space="preserve">ПЛ 52/2 включаются в состав поезда при увеличении пассажиропотока и исключаются при его уменьшении, с объявлением об исключении не менее чем за 5 суток до отправления поезда. </w:t>
      </w:r>
    </w:p>
    <w:p w:rsidR="00ED2323" w:rsidRDefault="009628A4">
      <w:pPr>
        <w:widowControl/>
        <w:spacing w:line="216" w:lineRule="auto"/>
        <w:ind w:firstLine="284"/>
        <w:jc w:val="both"/>
      </w:pPr>
      <w:r>
        <w:rPr>
          <w:b/>
        </w:rPr>
        <w:t>19. Станции пограничного контроля:</w:t>
      </w:r>
      <w:r>
        <w:t xml:space="preserve"> Каинды, </w:t>
      </w:r>
      <w:proofErr w:type="spellStart"/>
      <w:r>
        <w:t>Чальдовар</w:t>
      </w:r>
      <w:proofErr w:type="spellEnd"/>
      <w:r>
        <w:t>, Петропавловск, Петухово.</w:t>
      </w:r>
    </w:p>
    <w:p w:rsidR="00ED2323" w:rsidRDefault="00ED2323">
      <w:pPr>
        <w:widowControl/>
        <w:spacing w:line="216" w:lineRule="auto"/>
        <w:ind w:firstLine="284"/>
        <w:jc w:val="both"/>
      </w:pPr>
    </w:p>
    <w:p w:rsidR="00ED2323" w:rsidRDefault="00ED2323">
      <w:pPr>
        <w:widowControl/>
        <w:spacing w:line="216" w:lineRule="auto"/>
        <w:ind w:firstLine="284"/>
        <w:jc w:val="both"/>
      </w:pPr>
    </w:p>
    <w:p w:rsidR="00ED2323" w:rsidRDefault="00ED2323">
      <w:pPr>
        <w:widowControl/>
        <w:spacing w:line="216" w:lineRule="auto"/>
        <w:ind w:firstLine="284"/>
        <w:jc w:val="both"/>
      </w:pPr>
    </w:p>
    <w:sectPr w:rsidR="00ED2323">
      <w:headerReference w:type="default" r:id="rId7"/>
      <w:footerReference w:type="default" r:id="rId8"/>
      <w:pgSz w:w="11906" w:h="16838"/>
      <w:pgMar w:top="850" w:right="680" w:bottom="680" w:left="680" w:header="624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F86" w:rsidRDefault="00CC2F86">
      <w:r>
        <w:separator/>
      </w:r>
    </w:p>
  </w:endnote>
  <w:endnote w:type="continuationSeparator" w:id="0">
    <w:p w:rsidR="00CC2F86" w:rsidRDefault="00CC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323" w:rsidRDefault="009628A4">
    <w:pPr>
      <w:pStyle w:val="TTBd"/>
      <w:widowControl/>
    </w:pPr>
    <w:r>
      <w:t xml:space="preserve">- </w:t>
    </w:r>
    <w:r>
      <w:fldChar w:fldCharType="begin"/>
    </w:r>
    <w:r>
      <w:instrText xml:space="preserve">PAGE </w:instrText>
    </w:r>
    <w:r>
      <w:fldChar w:fldCharType="separate"/>
    </w:r>
    <w:r w:rsidR="00AD0EEF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F86" w:rsidRDefault="00CC2F86">
      <w:r>
        <w:separator/>
      </w:r>
    </w:p>
  </w:footnote>
  <w:footnote w:type="continuationSeparator" w:id="0">
    <w:p w:rsidR="00CC2F86" w:rsidRDefault="00CC2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323" w:rsidRDefault="009628A4">
    <w:pPr>
      <w:pStyle w:val="TTB7"/>
      <w:widowControl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23"/>
    <w:rsid w:val="002F0114"/>
    <w:rsid w:val="005F597F"/>
    <w:rsid w:val="00645DDF"/>
    <w:rsid w:val="00791538"/>
    <w:rsid w:val="00815556"/>
    <w:rsid w:val="009628A4"/>
    <w:rsid w:val="00AD0EEF"/>
    <w:rsid w:val="00B6650F"/>
    <w:rsid w:val="00CC2F86"/>
    <w:rsid w:val="00ED2323"/>
    <w:rsid w:val="00F0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widowControl w:val="0"/>
    </w:pPr>
    <w:rPr>
      <w:rFonts w:ascii="Times New Roman" w:hAnsi="Times New Roman"/>
      <w:sz w:val="22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2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Balloon Text"/>
    <w:basedOn w:val="a"/>
    <w:link w:val="a4"/>
    <w:rPr>
      <w:rFonts w:ascii="Segoe UI" w:hAnsi="Segoe UI"/>
      <w:sz w:val="18"/>
    </w:rPr>
  </w:style>
  <w:style w:type="character" w:customStyle="1" w:styleId="a4">
    <w:name w:val="Текст выноски Знак"/>
    <w:basedOn w:val="1"/>
    <w:link w:val="a3"/>
    <w:rPr>
      <w:rFonts w:ascii="Segoe UI" w:hAnsi="Segoe UI"/>
      <w:sz w:val="1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TTB">
    <w:name w:val="TTB:схема центр"/>
    <w:link w:val="TTB0"/>
    <w:pPr>
      <w:widowControl w:val="0"/>
      <w:jc w:val="center"/>
    </w:pPr>
    <w:rPr>
      <w:rFonts w:ascii="Times New Roman" w:hAnsi="Times New Roman"/>
      <w:sz w:val="22"/>
    </w:rPr>
  </w:style>
  <w:style w:type="character" w:customStyle="1" w:styleId="TTB0">
    <w:name w:val="TTB:схема центр"/>
    <w:link w:val="TTB"/>
    <w:rPr>
      <w:rFonts w:ascii="Times New Roman" w:hAnsi="Times New Roman"/>
      <w:sz w:val="22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TTB1">
    <w:name w:val="TTB:схема влево"/>
    <w:link w:val="TTB2"/>
    <w:pPr>
      <w:widowControl w:val="0"/>
    </w:pPr>
    <w:rPr>
      <w:rFonts w:ascii="Times New Roman" w:hAnsi="Times New Roman"/>
      <w:sz w:val="22"/>
    </w:rPr>
  </w:style>
  <w:style w:type="character" w:customStyle="1" w:styleId="TTB2">
    <w:name w:val="TTB:схема влево"/>
    <w:link w:val="TTB1"/>
    <w:rPr>
      <w:rFonts w:ascii="Times New Roman" w:hAnsi="Times New Roman"/>
      <w:sz w:val="22"/>
    </w:rPr>
  </w:style>
  <w:style w:type="paragraph" w:customStyle="1" w:styleId="TTB3">
    <w:name w:val="TTB:назначение"/>
    <w:link w:val="TTB4"/>
    <w:pPr>
      <w:widowControl w:val="0"/>
      <w:tabs>
        <w:tab w:val="right" w:pos="10456"/>
      </w:tabs>
      <w:spacing w:before="60" w:after="60"/>
    </w:pPr>
    <w:rPr>
      <w:rFonts w:ascii="Times New Roman" w:hAnsi="Times New Roman"/>
      <w:b/>
      <w:sz w:val="22"/>
    </w:rPr>
  </w:style>
  <w:style w:type="character" w:customStyle="1" w:styleId="TTB4">
    <w:name w:val="TTB:назначение"/>
    <w:link w:val="TTB3"/>
    <w:rPr>
      <w:rFonts w:ascii="Times New Roman" w:hAnsi="Times New Roman"/>
      <w:b/>
      <w:sz w:val="22"/>
    </w:rPr>
  </w:style>
  <w:style w:type="paragraph" w:customStyle="1" w:styleId="TTB5">
    <w:name w:val="TTB:ячейка заголовка"/>
    <w:link w:val="TTB6"/>
    <w:pPr>
      <w:widowControl w:val="0"/>
      <w:spacing w:before="60" w:line="192" w:lineRule="auto"/>
      <w:jc w:val="center"/>
    </w:pPr>
    <w:rPr>
      <w:rFonts w:ascii="Times New Roman" w:hAnsi="Times New Roman"/>
      <w:sz w:val="22"/>
    </w:rPr>
  </w:style>
  <w:style w:type="character" w:customStyle="1" w:styleId="TTB6">
    <w:name w:val="TTB:ячейка заголовка"/>
    <w:link w:val="TTB5"/>
    <w:rPr>
      <w:rFonts w:ascii="Times New Roman" w:hAnsi="Times New Roman"/>
      <w:sz w:val="22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TTB7">
    <w:name w:val="TTB:загол"/>
    <w:link w:val="TTB8"/>
    <w:pPr>
      <w:widowControl w:val="0"/>
      <w:tabs>
        <w:tab w:val="center" w:pos="5229"/>
        <w:tab w:val="right" w:pos="10456"/>
      </w:tabs>
      <w:jc w:val="both"/>
    </w:pPr>
    <w:rPr>
      <w:rFonts w:ascii="Times New Roman" w:hAnsi="Times New Roman"/>
      <w:b/>
      <w:sz w:val="22"/>
    </w:rPr>
  </w:style>
  <w:style w:type="character" w:customStyle="1" w:styleId="TTB8">
    <w:name w:val="TTB:загол"/>
    <w:link w:val="TTB7"/>
    <w:rPr>
      <w:rFonts w:ascii="Times New Roman" w:hAnsi="Times New Roman"/>
      <w:b/>
      <w:sz w:val="22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TTB9">
    <w:name w:val="TTB:дорога"/>
    <w:link w:val="TTBa"/>
    <w:pPr>
      <w:widowControl w:val="0"/>
      <w:spacing w:before="60"/>
      <w:jc w:val="center"/>
    </w:pPr>
    <w:rPr>
      <w:rFonts w:ascii="Times New Roman" w:hAnsi="Times New Roman"/>
      <w:b/>
      <w:sz w:val="22"/>
    </w:rPr>
  </w:style>
  <w:style w:type="character" w:customStyle="1" w:styleId="TTBa">
    <w:name w:val="TTB:дорога"/>
    <w:link w:val="TTB9"/>
    <w:rPr>
      <w:rFonts w:ascii="Times New Roman" w:hAnsi="Times New Roman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TTBb">
    <w:name w:val="TTB:РП"/>
    <w:link w:val="TTBc"/>
    <w:pPr>
      <w:widowControl w:val="0"/>
      <w:tabs>
        <w:tab w:val="left" w:leader="dot" w:pos="2835"/>
      </w:tabs>
      <w:spacing w:line="216" w:lineRule="auto"/>
    </w:pPr>
    <w:rPr>
      <w:rFonts w:ascii="Times New Roman" w:hAnsi="Times New Roman"/>
      <w:sz w:val="22"/>
    </w:rPr>
  </w:style>
  <w:style w:type="character" w:customStyle="1" w:styleId="TTBc">
    <w:name w:val="TTB:РП"/>
    <w:link w:val="TTBb"/>
    <w:rPr>
      <w:rFonts w:ascii="Times New Roman" w:hAnsi="Times New Roman"/>
      <w:sz w:val="22"/>
    </w:rPr>
  </w:style>
  <w:style w:type="paragraph" w:customStyle="1" w:styleId="12">
    <w:name w:val="Гиперссылка1"/>
    <w:basedOn w:val="13"/>
    <w:link w:val="a5"/>
    <w:rPr>
      <w:color w:val="0000FF"/>
      <w:u w:val="single"/>
    </w:rPr>
  </w:style>
  <w:style w:type="character" w:styleId="a5">
    <w:name w:val="Hyperlink"/>
    <w:basedOn w:val="a0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TTB10">
    <w:name w:val="TTB:загол1"/>
    <w:link w:val="TTB11"/>
    <w:pPr>
      <w:widowControl w:val="0"/>
      <w:jc w:val="center"/>
    </w:pPr>
    <w:rPr>
      <w:rFonts w:ascii="Times New Roman" w:hAnsi="Times New Roman"/>
      <w:b/>
      <w:sz w:val="22"/>
    </w:rPr>
  </w:style>
  <w:style w:type="character" w:customStyle="1" w:styleId="TTB11">
    <w:name w:val="TTB:загол1"/>
    <w:link w:val="TTB10"/>
    <w:rPr>
      <w:rFonts w:ascii="Times New Roman" w:hAnsi="Times New Roman"/>
      <w:b/>
      <w:sz w:val="22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TTBd">
    <w:name w:val="TTB:номер страницы"/>
    <w:link w:val="TTBe"/>
    <w:pPr>
      <w:widowControl w:val="0"/>
      <w:jc w:val="center"/>
    </w:pPr>
    <w:rPr>
      <w:rFonts w:ascii="Times New Roman" w:hAnsi="Times New Roman"/>
      <w:i/>
      <w:sz w:val="22"/>
    </w:rPr>
  </w:style>
  <w:style w:type="character" w:customStyle="1" w:styleId="TTBe">
    <w:name w:val="TTB:номер страницы"/>
    <w:link w:val="TTBd"/>
    <w:rPr>
      <w:rFonts w:ascii="Times New Roman" w:hAnsi="Times New Roman"/>
      <w:i/>
      <w:sz w:val="22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TTBf">
    <w:name w:val="TTB:текст"/>
    <w:link w:val="TTBf0"/>
    <w:pPr>
      <w:widowControl w:val="0"/>
      <w:spacing w:line="216" w:lineRule="auto"/>
      <w:ind w:firstLine="284"/>
      <w:jc w:val="both"/>
    </w:pPr>
    <w:rPr>
      <w:rFonts w:ascii="Times New Roman" w:hAnsi="Times New Roman"/>
      <w:sz w:val="22"/>
    </w:rPr>
  </w:style>
  <w:style w:type="character" w:customStyle="1" w:styleId="TTBf0">
    <w:name w:val="TTB:текст"/>
    <w:link w:val="TTBf"/>
    <w:rPr>
      <w:rFonts w:ascii="Times New Roman" w:hAnsi="Times New Roman"/>
      <w:sz w:val="22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TTBf1">
    <w:name w:val="TTB:общее время"/>
    <w:link w:val="TTBf2"/>
    <w:pPr>
      <w:widowControl w:val="0"/>
      <w:tabs>
        <w:tab w:val="center" w:pos="5229"/>
        <w:tab w:val="right" w:pos="10456"/>
      </w:tabs>
      <w:spacing w:before="120" w:after="60"/>
    </w:pPr>
    <w:rPr>
      <w:rFonts w:ascii="Times New Roman" w:hAnsi="Times New Roman"/>
      <w:b/>
      <w:sz w:val="22"/>
    </w:rPr>
  </w:style>
  <w:style w:type="character" w:customStyle="1" w:styleId="TTBf2">
    <w:name w:val="TTB:общее время"/>
    <w:link w:val="TTBf1"/>
    <w:rPr>
      <w:rFonts w:ascii="Times New Roman" w:hAnsi="Times New Roman"/>
      <w:b/>
      <w:sz w:val="22"/>
    </w:rPr>
  </w:style>
  <w:style w:type="paragraph" w:customStyle="1" w:styleId="TTBf3">
    <w:name w:val="TTB:время"/>
    <w:link w:val="TTBf4"/>
    <w:pPr>
      <w:widowControl w:val="0"/>
      <w:spacing w:line="216" w:lineRule="auto"/>
      <w:jc w:val="right"/>
    </w:pPr>
    <w:rPr>
      <w:rFonts w:ascii="Times New Roman" w:hAnsi="Times New Roman"/>
      <w:sz w:val="22"/>
    </w:rPr>
  </w:style>
  <w:style w:type="character" w:customStyle="1" w:styleId="TTBf4">
    <w:name w:val="TTB:время"/>
    <w:link w:val="TTBf3"/>
    <w:rPr>
      <w:rFonts w:ascii="Times New Roman" w:hAnsi="Times New Roman"/>
      <w:sz w:val="22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Название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customStyle="1" w:styleId="TTBf5">
    <w:name w:val="TTB:периодичность"/>
    <w:link w:val="TTBf6"/>
    <w:pPr>
      <w:widowControl w:val="0"/>
      <w:jc w:val="center"/>
    </w:pPr>
    <w:rPr>
      <w:rFonts w:ascii="Times New Roman" w:hAnsi="Times New Roman"/>
      <w:sz w:val="22"/>
    </w:rPr>
  </w:style>
  <w:style w:type="character" w:customStyle="1" w:styleId="TTBf6">
    <w:name w:val="TTB:периодичность"/>
    <w:link w:val="TTBf5"/>
    <w:rPr>
      <w:rFonts w:ascii="Times New Roman" w:hAnsi="Times New Roman"/>
      <w:sz w:val="22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widowControl w:val="0"/>
    </w:pPr>
    <w:rPr>
      <w:rFonts w:ascii="Times New Roman" w:hAnsi="Times New Roman"/>
      <w:sz w:val="22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2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Balloon Text"/>
    <w:basedOn w:val="a"/>
    <w:link w:val="a4"/>
    <w:rPr>
      <w:rFonts w:ascii="Segoe UI" w:hAnsi="Segoe UI"/>
      <w:sz w:val="18"/>
    </w:rPr>
  </w:style>
  <w:style w:type="character" w:customStyle="1" w:styleId="a4">
    <w:name w:val="Текст выноски Знак"/>
    <w:basedOn w:val="1"/>
    <w:link w:val="a3"/>
    <w:rPr>
      <w:rFonts w:ascii="Segoe UI" w:hAnsi="Segoe UI"/>
      <w:sz w:val="1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TTB">
    <w:name w:val="TTB:схема центр"/>
    <w:link w:val="TTB0"/>
    <w:pPr>
      <w:widowControl w:val="0"/>
      <w:jc w:val="center"/>
    </w:pPr>
    <w:rPr>
      <w:rFonts w:ascii="Times New Roman" w:hAnsi="Times New Roman"/>
      <w:sz w:val="22"/>
    </w:rPr>
  </w:style>
  <w:style w:type="character" w:customStyle="1" w:styleId="TTB0">
    <w:name w:val="TTB:схема центр"/>
    <w:link w:val="TTB"/>
    <w:rPr>
      <w:rFonts w:ascii="Times New Roman" w:hAnsi="Times New Roman"/>
      <w:sz w:val="22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TTB1">
    <w:name w:val="TTB:схема влево"/>
    <w:link w:val="TTB2"/>
    <w:pPr>
      <w:widowControl w:val="0"/>
    </w:pPr>
    <w:rPr>
      <w:rFonts w:ascii="Times New Roman" w:hAnsi="Times New Roman"/>
      <w:sz w:val="22"/>
    </w:rPr>
  </w:style>
  <w:style w:type="character" w:customStyle="1" w:styleId="TTB2">
    <w:name w:val="TTB:схема влево"/>
    <w:link w:val="TTB1"/>
    <w:rPr>
      <w:rFonts w:ascii="Times New Roman" w:hAnsi="Times New Roman"/>
      <w:sz w:val="22"/>
    </w:rPr>
  </w:style>
  <w:style w:type="paragraph" w:customStyle="1" w:styleId="TTB3">
    <w:name w:val="TTB:назначение"/>
    <w:link w:val="TTB4"/>
    <w:pPr>
      <w:widowControl w:val="0"/>
      <w:tabs>
        <w:tab w:val="right" w:pos="10456"/>
      </w:tabs>
      <w:spacing w:before="60" w:after="60"/>
    </w:pPr>
    <w:rPr>
      <w:rFonts w:ascii="Times New Roman" w:hAnsi="Times New Roman"/>
      <w:b/>
      <w:sz w:val="22"/>
    </w:rPr>
  </w:style>
  <w:style w:type="character" w:customStyle="1" w:styleId="TTB4">
    <w:name w:val="TTB:назначение"/>
    <w:link w:val="TTB3"/>
    <w:rPr>
      <w:rFonts w:ascii="Times New Roman" w:hAnsi="Times New Roman"/>
      <w:b/>
      <w:sz w:val="22"/>
    </w:rPr>
  </w:style>
  <w:style w:type="paragraph" w:customStyle="1" w:styleId="TTB5">
    <w:name w:val="TTB:ячейка заголовка"/>
    <w:link w:val="TTB6"/>
    <w:pPr>
      <w:widowControl w:val="0"/>
      <w:spacing w:before="60" w:line="192" w:lineRule="auto"/>
      <w:jc w:val="center"/>
    </w:pPr>
    <w:rPr>
      <w:rFonts w:ascii="Times New Roman" w:hAnsi="Times New Roman"/>
      <w:sz w:val="22"/>
    </w:rPr>
  </w:style>
  <w:style w:type="character" w:customStyle="1" w:styleId="TTB6">
    <w:name w:val="TTB:ячейка заголовка"/>
    <w:link w:val="TTB5"/>
    <w:rPr>
      <w:rFonts w:ascii="Times New Roman" w:hAnsi="Times New Roman"/>
      <w:sz w:val="22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TTB7">
    <w:name w:val="TTB:загол"/>
    <w:link w:val="TTB8"/>
    <w:pPr>
      <w:widowControl w:val="0"/>
      <w:tabs>
        <w:tab w:val="center" w:pos="5229"/>
        <w:tab w:val="right" w:pos="10456"/>
      </w:tabs>
      <w:jc w:val="both"/>
    </w:pPr>
    <w:rPr>
      <w:rFonts w:ascii="Times New Roman" w:hAnsi="Times New Roman"/>
      <w:b/>
      <w:sz w:val="22"/>
    </w:rPr>
  </w:style>
  <w:style w:type="character" w:customStyle="1" w:styleId="TTB8">
    <w:name w:val="TTB:загол"/>
    <w:link w:val="TTB7"/>
    <w:rPr>
      <w:rFonts w:ascii="Times New Roman" w:hAnsi="Times New Roman"/>
      <w:b/>
      <w:sz w:val="22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TTB9">
    <w:name w:val="TTB:дорога"/>
    <w:link w:val="TTBa"/>
    <w:pPr>
      <w:widowControl w:val="0"/>
      <w:spacing w:before="60"/>
      <w:jc w:val="center"/>
    </w:pPr>
    <w:rPr>
      <w:rFonts w:ascii="Times New Roman" w:hAnsi="Times New Roman"/>
      <w:b/>
      <w:sz w:val="22"/>
    </w:rPr>
  </w:style>
  <w:style w:type="character" w:customStyle="1" w:styleId="TTBa">
    <w:name w:val="TTB:дорога"/>
    <w:link w:val="TTB9"/>
    <w:rPr>
      <w:rFonts w:ascii="Times New Roman" w:hAnsi="Times New Roman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TTBb">
    <w:name w:val="TTB:РП"/>
    <w:link w:val="TTBc"/>
    <w:pPr>
      <w:widowControl w:val="0"/>
      <w:tabs>
        <w:tab w:val="left" w:leader="dot" w:pos="2835"/>
      </w:tabs>
      <w:spacing w:line="216" w:lineRule="auto"/>
    </w:pPr>
    <w:rPr>
      <w:rFonts w:ascii="Times New Roman" w:hAnsi="Times New Roman"/>
      <w:sz w:val="22"/>
    </w:rPr>
  </w:style>
  <w:style w:type="character" w:customStyle="1" w:styleId="TTBc">
    <w:name w:val="TTB:РП"/>
    <w:link w:val="TTBb"/>
    <w:rPr>
      <w:rFonts w:ascii="Times New Roman" w:hAnsi="Times New Roman"/>
      <w:sz w:val="22"/>
    </w:rPr>
  </w:style>
  <w:style w:type="paragraph" w:customStyle="1" w:styleId="12">
    <w:name w:val="Гиперссылка1"/>
    <w:basedOn w:val="13"/>
    <w:link w:val="a5"/>
    <w:rPr>
      <w:color w:val="0000FF"/>
      <w:u w:val="single"/>
    </w:rPr>
  </w:style>
  <w:style w:type="character" w:styleId="a5">
    <w:name w:val="Hyperlink"/>
    <w:basedOn w:val="a0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TTB10">
    <w:name w:val="TTB:загол1"/>
    <w:link w:val="TTB11"/>
    <w:pPr>
      <w:widowControl w:val="0"/>
      <w:jc w:val="center"/>
    </w:pPr>
    <w:rPr>
      <w:rFonts w:ascii="Times New Roman" w:hAnsi="Times New Roman"/>
      <w:b/>
      <w:sz w:val="22"/>
    </w:rPr>
  </w:style>
  <w:style w:type="character" w:customStyle="1" w:styleId="TTB11">
    <w:name w:val="TTB:загол1"/>
    <w:link w:val="TTB10"/>
    <w:rPr>
      <w:rFonts w:ascii="Times New Roman" w:hAnsi="Times New Roman"/>
      <w:b/>
      <w:sz w:val="22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customStyle="1" w:styleId="TTBd">
    <w:name w:val="TTB:номер страницы"/>
    <w:link w:val="TTBe"/>
    <w:pPr>
      <w:widowControl w:val="0"/>
      <w:jc w:val="center"/>
    </w:pPr>
    <w:rPr>
      <w:rFonts w:ascii="Times New Roman" w:hAnsi="Times New Roman"/>
      <w:i/>
      <w:sz w:val="22"/>
    </w:rPr>
  </w:style>
  <w:style w:type="character" w:customStyle="1" w:styleId="TTBe">
    <w:name w:val="TTB:номер страницы"/>
    <w:link w:val="TTBd"/>
    <w:rPr>
      <w:rFonts w:ascii="Times New Roman" w:hAnsi="Times New Roman"/>
      <w:i/>
      <w:sz w:val="22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TTBf">
    <w:name w:val="TTB:текст"/>
    <w:link w:val="TTBf0"/>
    <w:pPr>
      <w:widowControl w:val="0"/>
      <w:spacing w:line="216" w:lineRule="auto"/>
      <w:ind w:firstLine="284"/>
      <w:jc w:val="both"/>
    </w:pPr>
    <w:rPr>
      <w:rFonts w:ascii="Times New Roman" w:hAnsi="Times New Roman"/>
      <w:sz w:val="22"/>
    </w:rPr>
  </w:style>
  <w:style w:type="character" w:customStyle="1" w:styleId="TTBf0">
    <w:name w:val="TTB:текст"/>
    <w:link w:val="TTBf"/>
    <w:rPr>
      <w:rFonts w:ascii="Times New Roman" w:hAnsi="Times New Roman"/>
      <w:sz w:val="22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TTBf1">
    <w:name w:val="TTB:общее время"/>
    <w:link w:val="TTBf2"/>
    <w:pPr>
      <w:widowControl w:val="0"/>
      <w:tabs>
        <w:tab w:val="center" w:pos="5229"/>
        <w:tab w:val="right" w:pos="10456"/>
      </w:tabs>
      <w:spacing w:before="120" w:after="60"/>
    </w:pPr>
    <w:rPr>
      <w:rFonts w:ascii="Times New Roman" w:hAnsi="Times New Roman"/>
      <w:b/>
      <w:sz w:val="22"/>
    </w:rPr>
  </w:style>
  <w:style w:type="character" w:customStyle="1" w:styleId="TTBf2">
    <w:name w:val="TTB:общее время"/>
    <w:link w:val="TTBf1"/>
    <w:rPr>
      <w:rFonts w:ascii="Times New Roman" w:hAnsi="Times New Roman"/>
      <w:b/>
      <w:sz w:val="22"/>
    </w:rPr>
  </w:style>
  <w:style w:type="paragraph" w:customStyle="1" w:styleId="TTBf3">
    <w:name w:val="TTB:время"/>
    <w:link w:val="TTBf4"/>
    <w:pPr>
      <w:widowControl w:val="0"/>
      <w:spacing w:line="216" w:lineRule="auto"/>
      <w:jc w:val="right"/>
    </w:pPr>
    <w:rPr>
      <w:rFonts w:ascii="Times New Roman" w:hAnsi="Times New Roman"/>
      <w:sz w:val="22"/>
    </w:rPr>
  </w:style>
  <w:style w:type="character" w:customStyle="1" w:styleId="TTBf4">
    <w:name w:val="TTB:время"/>
    <w:link w:val="TTBf3"/>
    <w:rPr>
      <w:rFonts w:ascii="Times New Roman" w:hAnsi="Times New Roman"/>
      <w:sz w:val="22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Название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customStyle="1" w:styleId="TTBf5">
    <w:name w:val="TTB:периодичность"/>
    <w:link w:val="TTBf6"/>
    <w:pPr>
      <w:widowControl w:val="0"/>
      <w:jc w:val="center"/>
    </w:pPr>
    <w:rPr>
      <w:rFonts w:ascii="Times New Roman" w:hAnsi="Times New Roman"/>
      <w:sz w:val="22"/>
    </w:rPr>
  </w:style>
  <w:style w:type="character" w:customStyle="1" w:styleId="TTBf6">
    <w:name w:val="TTB:периодичность"/>
    <w:link w:val="TTBf5"/>
    <w:rPr>
      <w:rFonts w:ascii="Times New Roman" w:hAnsi="Times New Roman"/>
      <w:sz w:val="22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Sagintaeva_A</cp:lastModifiedBy>
  <cp:revision>6</cp:revision>
  <dcterms:created xsi:type="dcterms:W3CDTF">2024-09-05T11:52:00Z</dcterms:created>
  <dcterms:modified xsi:type="dcterms:W3CDTF">2024-11-14T07:11:00Z</dcterms:modified>
</cp:coreProperties>
</file>