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rPr>
          <w:b/>
        </w:rPr>
        <w:t>Ponto Zero de Projeto</w:t>
      </w:r>
    </w:p>
    <w:p>
      <w:pPr>
        <w:spacing w:after="160"/>
        <w:jc w:val="center"/>
      </w:pPr>
      <w:r>
        <w:rPr>
          <w:color w:val="585858"/>
          <w:sz w:val="24"/>
        </w:rPr>
        <w:t>Briefing mestre para preenchimento do PROJECT-INIT por 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0368"/>
      </w:tblGrid>
      <w:tr>
        <w:tc>
          <w:tcPr>
            <w:tcW w:type="dxa" w:w="103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 xml:space="preserve">Objetivo: </w:t>
            </w:r>
            <w:r>
              <w:t xml:space="preserve">entregar este documento para a IA e instruí-la a converter o conteúdo em </w:t>
            </w:r>
            <w:r>
              <w:rPr>
                <w:b/>
              </w:rPr>
              <w:t>sdd/PROJECT-INIT-lite.md</w:t>
            </w:r>
            <w:r>
              <w:t xml:space="preserve"> e, quando necessário, expandir para </w:t>
            </w:r>
            <w:r>
              <w:rPr>
                <w:b/>
              </w:rPr>
              <w:t>sdd/PROJECT-INIT.md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84"/>
        <w:gridCol w:w="5184"/>
      </w:tblGrid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r>
              <w:rPr>
                <w:b/>
              </w:rPr>
              <w:t>Nome do projeto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[preencher]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[preencher]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[dd/mm/aaaa]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r>
              <w:rPr>
                <w:b/>
              </w:rPr>
              <w:t>Status do briefing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Rascunho / Em refinamento / Aprovado para bootstrap</w:t>
            </w:r>
          </w:p>
        </w:tc>
      </w:tr>
    </w:tbl>
    <w:p>
      <w:pPr>
        <w:pStyle w:val="Heading1"/>
        <w:spacing w:before="120" w:after="40"/>
      </w:pPr>
      <w:r>
        <w:t>Como usar com IA</w:t>
      </w:r>
    </w:p>
    <w:p>
      <w:pPr>
        <w:pStyle w:val="ListBullet"/>
        <w:spacing w:after="0"/>
      </w:pPr>
      <w:r>
        <w:t>Preencha este documento com linguagem direta e observável.</w:t>
      </w:r>
    </w:p>
    <w:p>
      <w:pPr>
        <w:pStyle w:val="ListBullet"/>
        <w:spacing w:after="0"/>
      </w:pPr>
      <w:r>
        <w:t>Entregue o conteúdo à IA junto com o IGNITION-PROMPT da pasta sdd.</w:t>
      </w:r>
    </w:p>
    <w:p>
      <w:pPr>
        <w:pStyle w:val="ListBullet"/>
        <w:spacing w:after="0"/>
      </w:pPr>
      <w:r>
        <w:t>Peça para a IA converter este briefing em PROJECT-INIT-lite.md e, se houver base suficiente, completar PROJECT-INIT.md, contexto, SPEC inicial, review e plano.</w:t>
      </w:r>
    </w:p>
    <w:p>
      <w:pPr>
        <w:pStyle w:val="ListBullet"/>
        <w:spacing w:after="0"/>
      </w:pPr>
      <w:r>
        <w:t>Se algum bloco crítico estiver incompleto, a IA deve fazer apenas perguntas de alto impacto antes de seguir.</w:t>
      </w:r>
    </w:p>
    <w:p>
      <w:pPr>
        <w:pStyle w:val="Heading1"/>
        <w:spacing w:before="120" w:after="40"/>
      </w:pPr>
      <w:r>
        <w:t>1. Resumo Executivo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84"/>
        <w:gridCol w:w="5184"/>
      </w:tblGrid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</w:rPr>
              <w:t>O que será construído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Ex.: Plataforma web para controle de propostas comerciais com fluxo de aprovação.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</w:rPr>
              <w:t>Para quem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Ex.: Equipe comercial, gestores e diretoria.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</w:rPr>
              <w:t>Problema central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Ex.: O processo atual depende de planilhas e mensagens soltas, causando retrabalho e baixa previsibilidade.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Ex.: Reduzir o tempo de aprovação e centralizar histórico, status e responsabilidades.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</w:rPr>
              <w:t>Por que isso importa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Ex.: O processo comercial perde velocidade e visibilidade operacional sem um fluxo único.</w:t>
            </w:r>
          </w:p>
        </w:tc>
      </w:tr>
    </w:tbl>
    <w:p>
      <w:pPr>
        <w:pStyle w:val="Heading1"/>
        <w:spacing w:before="120" w:after="40"/>
      </w:pPr>
      <w:r>
        <w:t>2. Escopo Inicial e MVP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84"/>
        <w:gridCol w:w="5184"/>
      </w:tblGrid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</w:rPr>
              <w:t>Objetivo principal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Ex.: Permitir criação, revisão, aprovação e rastreio de propostas em um único sistema.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</w:rPr>
              <w:t>MVP obrigatório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Ex.: Cadastro de propostas, workflow de aprovação, histórico, autenticação e painel de status.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</w:rPr>
              <w:t>Importante, mas pode vir depois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Ex.: Assinatura digital, integrações avançadas, BI e automações de e-mail.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</w:rPr>
              <w:t>Fora de escopo agora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Ex.: App mobile nativo, CRM completo, billing e gestão financeira.</w:t>
            </w:r>
          </w:p>
        </w:tc>
      </w:tr>
    </w:tbl>
    <w:p>
      <w:pPr>
        <w:pStyle w:val="Heading1"/>
        <w:spacing w:before="120" w:after="40"/>
      </w:pPr>
      <w:r>
        <w:t>3. Fluxos Principais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D9E8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Fluxo</w:t>
            </w:r>
          </w:p>
        </w:tc>
        <w:tc>
          <w:tcPr>
            <w:tcW w:type="dxa" w:w="2592"/>
            <w:shd w:fill="D9E8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Ator</w:t>
            </w:r>
          </w:p>
        </w:tc>
        <w:tc>
          <w:tcPr>
            <w:tcW w:type="dxa" w:w="2592"/>
            <w:shd w:fill="D9E8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2592"/>
            <w:shd w:fill="D9E8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Criar proposta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Comercial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Nova oportunidade aprovada internamente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Proposta registrada e enviada para revisão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Revisar proposta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Gestor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Proposta pendente de validação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Aprovada, ajustada ou devolvida com comentários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Aprovar proposta final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Diretoria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Proposta acima do limite de autonomia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Decisão final registrada com trilha de auditoria</w:t>
            </w:r>
          </w:p>
        </w:tc>
      </w:tr>
    </w:tbl>
    <w:p>
      <w:pPr>
        <w:pStyle w:val="Heading1"/>
        <w:spacing w:before="120" w:after="40"/>
      </w:pPr>
      <w:r>
        <w:t>4. Regras de Negócio e Dados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84"/>
        <w:gridCol w:w="5184"/>
      </w:tblGrid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</w:rPr>
              <w:t>Regra de negócio 1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Ex.: Toda proposta acima de R$ 50.000 exige aprovação da diretoria.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</w:rPr>
              <w:t>Regra de negócio 2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Ex.: Apenas o autor e o gestor podem editar uma proposta antes da aprovação final.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</w:rPr>
              <w:t>Regra de negócio 3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Ex.: Toda mudança de status deve gerar histórico auditável.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</w:rPr>
              <w:t>Entidades principais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Ex.: Usuário, Proposta, Etapa de aprovação, Comentário, Histórico.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</w:rPr>
              <w:t>Sensibilidade dos dados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Ex.: Dados internos comerciais; valores e condições contratuais são sensíveis.</w:t>
            </w:r>
          </w:p>
        </w:tc>
      </w:tr>
    </w:tbl>
    <w:p>
      <w:pPr>
        <w:pStyle w:val="Heading1"/>
        <w:spacing w:before="120" w:after="40"/>
      </w:pPr>
      <w:r>
        <w:t>5. Contexto Técnico Inicial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84"/>
        <w:gridCol w:w="5184"/>
      </w:tblGrid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</w:rPr>
              <w:t>Categoria do sistema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Web App corporativo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</w:rPr>
              <w:t>Linguagem principal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Ex.: PHP, TypeScript ou Python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</w:rPr>
              <w:t>Framework principal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Ex.: Laravel, Next.js, FastAPI, NestJS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</w:rPr>
              <w:t>Banco de dados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Ex.: PostgreSQL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</w:rPr>
              <w:t>Interface principal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Ex.: Web responsiva para desktop e tablet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</w:rPr>
              <w:t>Integrações externas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Ex.: SMTP, ERP, CRM, assinatura digital ou Nenhuma por enquanto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</w:rPr>
              <w:t>Restrições técnicas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Ex.: Deve rodar em ambiente cloud, ter logs e trilha de auditoria</w:t>
            </w:r>
          </w:p>
        </w:tc>
      </w:tr>
    </w:tbl>
    <w:p>
      <w:pPr>
        <w:pStyle w:val="Heading1"/>
        <w:spacing w:before="120" w:after="40"/>
      </w:pPr>
      <w:r>
        <w:t>6. Riscos, Restrições e Critérios de Sucesso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84"/>
        <w:gridCol w:w="5184"/>
      </w:tblGrid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</w:rPr>
              <w:t>Riscos principais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Ex.: regra de aprovação mal definida, integração externa instável, prazo agressivo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</w:rPr>
              <w:t>Restrições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Ex.: orçamento limitado, equipe pequena, dependência de validação da diretoria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</w:rPr>
              <w:t>O que precisa funcionar no MVP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Ex.: cadastro, revisão, aprovação, histórico e autenticação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</w:rPr>
              <w:t>Como saber que deu certo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Ex.: tempo de aprovação reduzido em 40% e visibilidade total do pipeline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</w:rPr>
              <w:t>Falha de entrega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Ex.: sistema sem trilha de auditoria, sem governança de status ou sem regra de aprovação confiável</w:t>
            </w:r>
          </w:p>
        </w:tc>
      </w:tr>
    </w:tbl>
    <w:p>
      <w:pPr>
        <w:pStyle w:val="Heading1"/>
        <w:spacing w:before="120" w:after="40"/>
      </w:pPr>
      <w:r>
        <w:t>7. Prompt de Entrega para a IA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0368"/>
      </w:tblGrid>
      <w:tr>
        <w:tc>
          <w:tcPr>
            <w:tcW w:type="dxa" w:w="10368"/>
            <w:shd w:fill="F8F4E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i/>
              </w:rPr>
              <w:t>Com base neste documento, preencha sdd/PROJECT-INIT-lite.md e, se houver suficiência, expanda para sdd/PROJECT-INIT.md. Depois inicie o bootstrap documental usando sdd/IGNITION-PROMPT.md, criando contexto, SPEC inicial, review, plano, contratos e testes nas pastas corretas. Não implemente código antes da aprovação humana dos artefatos gerados.</w:t>
            </w:r>
          </w:p>
        </w:tc>
      </w:tr>
    </w:tbl>
    <w:p>
      <w:pPr>
        <w:spacing w:before="120" w:after="0"/>
      </w:pPr>
      <w:r>
        <w:rPr>
          <w:b/>
        </w:rPr>
        <w:t xml:space="preserve">Dica prática: </w:t>
      </w:r>
      <w:r>
        <w:t>quanto mais concreto este briefing estiver, menos perguntas a IA precisará fazer e melhor será a primeira SPEC.</w:t>
      </w:r>
    </w:p>
    <w:sectPr w:rsidR="00FC693F" w:rsidRPr="0006063C" w:rsidSect="00034616">
      <w:footerReference w:type="default" r:id="rId9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Ponto Zero de Projeto • Base para PROJECT-INIT e bootstrap SDD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338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338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