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HomeWidgets – Documentation (Combined)</w:t>
      </w:r>
    </w:p>
    <w:p>
      <w:pPr>
        <w:pStyle w:val="Heading1"/>
      </w:pPr>
      <w:r>
        <w:t>Part 1: HomeWidgets Test Documentation</w:t>
      </w:r>
    </w:p>
    <w:p>
      <w:r>
        <w:t>Purpose: The HomeWidgets class is a TestNG-based automation suite (extends AMTestBase) designed to validate different homepage widgets. Each widget (Product Support, Announcements, Market Barometer, Database Updates, etc.) is represented as a constant, and test methods ensure the API responses are correct and consistent.</w:t>
      </w:r>
    </w:p>
    <w:p>
      <w:pPr>
        <w:pStyle w:val="Heading2"/>
      </w:pPr>
      <w:r>
        <w:t>Widget Identifiers</w:t>
      </w:r>
    </w:p>
    <w:p>
      <w:r>
        <w:t>Markets=12, MarketBarometer_Direct=13, DatabaseUpdates_Direct=16, Alerts_Direct=17, ProductSupport=18, AnalystReports=10, ImportSummary=60, Tasks=53, RecentClientsAndProspects=5, etc.</w:t>
      </w:r>
    </w:p>
    <w:p>
      <w:pPr>
        <w:pStyle w:val="Heading2"/>
      </w:pPr>
      <w:r>
        <w:t>APIs Under Test</w:t>
      </w:r>
    </w:p>
    <w:p>
      <w:r>
        <w:t>The tests interact mainly with:</w:t>
        <w:br/>
        <w:t>- home.widgetInfo → fetches widget-specific data</w:t>
        <w:br/>
        <w:t>- home.homePage → retrieves overall homepage widgets and their state</w:t>
        <w:br/>
        <w:t>- Custom endpoints via Api.of(id: "...")</w:t>
        <w:br/>
        <w:br/>
        <w:t>Test flow: build request → call API → extract response → parse JSON/XML → assert results.</w:t>
      </w:r>
    </w:p>
    <w:p>
      <w:pPr>
        <w:pStyle w:val="Heading2"/>
      </w:pPr>
      <w:r>
        <w:t>Major Test Methods (Examples)</w:t>
      </w:r>
    </w:p>
    <w:p>
      <w:r>
        <w:t>- testProductSupport → verifies Product Support widget API</w:t>
        <w:br/>
        <w:t>- clearHomeWidget / getDefaultWidgets → ensures widgets reset &amp; defaults enabled</w:t>
        <w:br/>
        <w:t>- enableWidgets / validateWidgets → enables and validates widgets</w:t>
        <w:br/>
        <w:t>- testQuickstart, testAlerts, testAnalystReports, testImportSummary, testPracticeSummary</w:t>
        <w:br/>
        <w:t>- testRecentClientsAndProspects, testSecurityAnalysis, testMarketBarometerWidget_Direct/Office</w:t>
        <w:br/>
        <w:t>- testDatabaseUpdate_Direct/Office, multiple testAnnouncement methods, testMorningstarMarketUpdate, testMorningstarResearch</w:t>
      </w:r>
    </w:p>
    <w:p>
      <w:pPr>
        <w:pStyle w:val="Heading2"/>
      </w:pPr>
      <w:r>
        <w:t>Test Scenarios</w:t>
      </w:r>
    </w:p>
    <w:p>
      <w:r>
        <w:t>Positive cases: API returns 200, default widgets enabled, non-empty JSON/XML, expected tags present.</w:t>
        <w:br/>
        <w:t>Negative cases: invalid XML handled by substring, unknown product → RuntimeException, disabled widgets tested gracefully.</w:t>
        <w:br/>
        <w:t>Reconfiguration: widgets can be cleared, enabled, validated for different states.</w:t>
      </w:r>
    </w:p>
    <w:p>
      <w:pPr>
        <w:pStyle w:val="Heading2"/>
      </w:pPr>
      <w:r>
        <w:t>Tools &amp; Frameworks</w:t>
      </w:r>
    </w:p>
    <w:p>
      <w:r>
        <w:t>TestNG, RestAssured, JSON/XML parsing, TemplateUtil, Assert library.</w:t>
      </w:r>
    </w:p>
    <w:p>
      <w:pPr>
        <w:pStyle w:val="Heading2"/>
      </w:pPr>
      <w:r>
        <w:t>High-Level Summary</w:t>
      </w:r>
    </w:p>
    <w:p>
      <w:r>
        <w:t>Validates end-to-end functionality of homepage widgets: API availability, data structure, content validation, and state management (clear/enable/defaults).</w:t>
      </w:r>
    </w:p>
    <w:p>
      <w:r>
        <w:br w:type="page"/>
      </w:r>
    </w:p>
    <w:p>
      <w:pPr>
        <w:pStyle w:val="Heading1"/>
      </w:pPr>
      <w:r>
        <w:t>Part 2: HomeWidgets Detailed Explanation</w:t>
      </w:r>
    </w:p>
    <w:p>
      <w:r>
        <w:t>The HomeWidgets suite verifies homepage widgets for multiple Morningstar products (DIRECT, OFFICE_US/UK). Widgets are identified by numeric IDs and tested via REST endpoints, using FreeMarker templates for request bodies. Responses are validated with JSON/XML parsers.</w:t>
      </w:r>
    </w:p>
    <w:p>
      <w:pPr>
        <w:pStyle w:val="Heading2"/>
      </w:pPr>
      <w:r>
        <w:t>Key Technologies</w:t>
      </w:r>
    </w:p>
    <w:p>
      <w:r>
        <w:t>TestNG, RestAssured, JSON (org.json), XmlPath, FreeMarker, LogListener, CacheManager.</w:t>
      </w:r>
    </w:p>
    <w:p>
      <w:pPr>
        <w:pStyle w:val="Heading2"/>
      </w:pPr>
      <w:r>
        <w:t>High-Level API Flow</w:t>
      </w:r>
    </w:p>
    <w:p>
      <w:r>
        <w:t>1. Select widget ID</w:t>
        <w:br/>
        <w:t>2. Build request body via TemplateUtil</w:t>
        <w:br/>
        <w:t>3. Call API using Api.of(id)</w:t>
        <w:br/>
        <w:t>4. Extract response</w:t>
        <w:br/>
        <w:t>5. Assert HTTP 200, content-type, not-null, and size checks</w:t>
      </w:r>
    </w:p>
    <w:p>
      <w:pPr>
        <w:pStyle w:val="Heading2"/>
      </w:pPr>
      <w:r>
        <w:t>Notable Implementation Details</w:t>
      </w:r>
    </w:p>
    <w:p>
      <w:r>
        <w:t>• Logging listener</w:t>
        <w:br/>
        <w:t>• Widget constants map names to IDs</w:t>
        <w:br/>
        <w:t>• selectWidgetIds() chooses correct widgets for product</w:t>
        <w:br/>
        <w:t>• Invalid XML char handled with substring</w:t>
        <w:br/>
        <w:t>• Product-specific widget lists (_Direct, _Office, _Office_UK)</w:t>
      </w:r>
    </w:p>
    <w:p>
      <w:pPr>
        <w:pStyle w:val="Heading2"/>
      </w:pPr>
      <w:r>
        <w:t>Test Methods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Widget / Area</w:t>
            </w:r>
          </w:p>
        </w:tc>
        <w:tc>
          <w:tcPr>
            <w:tcW w:type="dxa" w:w="2160"/>
          </w:tcPr>
          <w:p>
            <w:r>
              <w:t>Goal</w:t>
            </w:r>
          </w:p>
        </w:tc>
        <w:tc>
          <w:tcPr>
            <w:tcW w:type="dxa" w:w="2160"/>
          </w:tcPr>
          <w:p>
            <w:r>
              <w:t>Assertions</w:t>
            </w:r>
          </w:p>
        </w:tc>
      </w:tr>
      <w:tr>
        <w:tc>
          <w:tcPr>
            <w:tcW w:type="dxa" w:w="2160"/>
          </w:tcPr>
          <w:p>
            <w:r>
              <w:t>testProductSupport</w:t>
            </w:r>
          </w:p>
        </w:tc>
        <w:tc>
          <w:tcPr>
            <w:tcW w:type="dxa" w:w="2160"/>
          </w:tcPr>
          <w:p>
            <w:r>
              <w:t>ProductSupport</w:t>
            </w:r>
          </w:p>
        </w:tc>
        <w:tc>
          <w:tcPr>
            <w:tcW w:type="dxa" w:w="2160"/>
          </w:tcPr>
          <w:p>
            <w:r>
              <w:t>Widget availability</w:t>
            </w:r>
          </w:p>
        </w:tc>
        <w:tc>
          <w:tcPr>
            <w:tcW w:type="dxa" w:w="2160"/>
          </w:tcPr>
          <w:p>
            <w:r>
              <w:t>Response JSON not null</w:t>
            </w:r>
          </w:p>
        </w:tc>
      </w:tr>
      <w:tr>
        <w:tc>
          <w:tcPr>
            <w:tcW w:type="dxa" w:w="2160"/>
          </w:tcPr>
          <w:p>
            <w:r>
              <w:t>getDefaultWidgets</w:t>
            </w:r>
          </w:p>
        </w:tc>
        <w:tc>
          <w:tcPr>
            <w:tcW w:type="dxa" w:w="2160"/>
          </w:tcPr>
          <w:p>
            <w:r>
              <w:t>Home page defaults</w:t>
            </w:r>
          </w:p>
        </w:tc>
        <w:tc>
          <w:tcPr>
            <w:tcW w:type="dxa" w:w="2160"/>
          </w:tcPr>
          <w:p>
            <w:r>
              <w:t>Check defaults enabled</w:t>
            </w:r>
          </w:p>
        </w:tc>
        <w:tc>
          <w:tcPr>
            <w:tcW w:type="dxa" w:w="2160"/>
          </w:tcPr>
          <w:p>
            <w:r>
              <w:t>Status=200, XML parsed</w:t>
            </w:r>
          </w:p>
        </w:tc>
      </w:tr>
      <w:tr>
        <w:tc>
          <w:tcPr>
            <w:tcW w:type="dxa" w:w="2160"/>
          </w:tcPr>
          <w:p>
            <w:r>
              <w:t>testAnalystReports</w:t>
            </w:r>
          </w:p>
        </w:tc>
        <w:tc>
          <w:tcPr>
            <w:tcW w:type="dxa" w:w="2160"/>
          </w:tcPr>
          <w:p>
            <w:r>
              <w:t>AnalystReports</w:t>
            </w:r>
          </w:p>
        </w:tc>
        <w:tc>
          <w:tcPr>
            <w:tcW w:type="dxa" w:w="2160"/>
          </w:tcPr>
          <w:p>
            <w:r>
              <w:t>Validate Analyst Reports</w:t>
            </w:r>
          </w:p>
        </w:tc>
        <w:tc>
          <w:tcPr>
            <w:tcW w:type="dxa" w:w="2160"/>
          </w:tcPr>
          <w:p>
            <w:r>
              <w:t>Contains tag 'Analyst Reports'</w:t>
            </w:r>
          </w:p>
        </w:tc>
      </w:tr>
      <w:tr>
        <w:tc>
          <w:tcPr>
            <w:tcW w:type="dxa" w:w="2160"/>
          </w:tcPr>
          <w:p>
            <w:r>
              <w:t>testSecurityAnalysis</w:t>
            </w:r>
          </w:p>
        </w:tc>
        <w:tc>
          <w:tcPr>
            <w:tcW w:type="dxa" w:w="2160"/>
          </w:tcPr>
          <w:p>
            <w:r>
              <w:t>SecurityAnalysis</w:t>
            </w:r>
          </w:p>
        </w:tc>
        <w:tc>
          <w:tcPr>
            <w:tcW w:type="dxa" w:w="2160"/>
          </w:tcPr>
          <w:p>
            <w:r>
              <w:t>Validate Security Analysis</w:t>
            </w:r>
          </w:p>
        </w:tc>
        <w:tc>
          <w:tcPr>
            <w:tcW w:type="dxa" w:w="2160"/>
          </w:tcPr>
          <w:p>
            <w:r>
              <w:t>reports.size()==expected</w:t>
            </w:r>
          </w:p>
        </w:tc>
      </w:tr>
      <w:tr>
        <w:tc>
          <w:tcPr>
            <w:tcW w:type="dxa" w:w="2160"/>
          </w:tcPr>
          <w:p>
            <w:r>
              <w:t>testMarketBarometerWidget_Direct</w:t>
            </w:r>
          </w:p>
        </w:tc>
        <w:tc>
          <w:tcPr>
            <w:tcW w:type="dxa" w:w="2160"/>
          </w:tcPr>
          <w:p>
            <w:r>
              <w:t>MarketBarometer</w:t>
            </w:r>
          </w:p>
        </w:tc>
        <w:tc>
          <w:tcPr>
            <w:tcW w:type="dxa" w:w="2160"/>
          </w:tcPr>
          <w:p>
            <w:r>
              <w:t>Validate Barometer</w:t>
            </w:r>
          </w:p>
        </w:tc>
        <w:tc>
          <w:tcPr>
            <w:tcW w:type="dxa" w:w="2160"/>
          </w:tcPr>
          <w:p>
            <w:r>
              <w:t>JSON path not null; count check</w:t>
            </w:r>
          </w:p>
        </w:tc>
      </w:tr>
      <w:tr>
        <w:tc>
          <w:tcPr>
            <w:tcW w:type="dxa" w:w="2160"/>
          </w:tcPr>
          <w:p>
            <w:r>
              <w:t>testDatabaseUpdate_Direct</w:t>
            </w:r>
          </w:p>
        </w:tc>
        <w:tc>
          <w:tcPr>
            <w:tcW w:type="dxa" w:w="2160"/>
          </w:tcPr>
          <w:p>
            <w:r>
              <w:t>DatabaseUpdates</w:t>
            </w:r>
          </w:p>
        </w:tc>
        <w:tc>
          <w:tcPr>
            <w:tcW w:type="dxa" w:w="2160"/>
          </w:tcPr>
          <w:p>
            <w:r>
              <w:t>Validate updates</w:t>
            </w:r>
          </w:p>
        </w:tc>
        <w:tc>
          <w:tcPr>
            <w:tcW w:type="dxa" w:w="2160"/>
          </w:tcPr>
          <w:p>
            <w:r>
              <w:t>Articles not null</w:t>
            </w:r>
          </w:p>
        </w:tc>
      </w:tr>
      <w:tr>
        <w:tc>
          <w:tcPr>
            <w:tcW w:type="dxa" w:w="2160"/>
          </w:tcPr>
          <w:p>
            <w:r>
              <w:t>testAnnouncement*</w:t>
            </w:r>
          </w:p>
        </w:tc>
        <w:tc>
          <w:tcPr>
            <w:tcW w:type="dxa" w:w="2160"/>
          </w:tcPr>
          <w:p>
            <w:r>
              <w:t>Announcement</w:t>
            </w:r>
          </w:p>
        </w:tc>
        <w:tc>
          <w:tcPr>
            <w:tcW w:type="dxa" w:w="2160"/>
          </w:tcPr>
          <w:p>
            <w:r>
              <w:t>Validate variants</w:t>
            </w:r>
          </w:p>
        </w:tc>
        <w:tc>
          <w:tcPr>
            <w:tcW w:type="dxa" w:w="2160"/>
          </w:tcPr>
          <w:p>
            <w:r>
              <w:t>JSONArray length == 10</w:t>
            </w:r>
          </w:p>
        </w:tc>
      </w:tr>
    </w:tbl>
    <w:p>
      <w:pPr>
        <w:pStyle w:val="Heading2"/>
      </w:pPr>
      <w:r>
        <w:t>Response Handling</w:t>
      </w:r>
    </w:p>
    <w:p>
      <w:r>
        <w:t>• Status 200 and correct content-type</w:t>
        <w:br/>
        <w:t>• JSON/Xml parsing with trimming</w:t>
        <w:br/>
        <w:t>• Assertions on size, not-null, string contains</w:t>
      </w:r>
    </w:p>
    <w:p>
      <w:pPr>
        <w:pStyle w:val="Heading2"/>
      </w:pPr>
      <w:r>
        <w:t>Templates &amp; Request Bodies</w:t>
      </w:r>
    </w:p>
    <w:p>
      <w:r>
        <w:t>Widget.ftl, SelectHomeWidgets.ftl, WidgetTemplate.ftl, inline XML for widget list and restore layout.</w:t>
      </w:r>
    </w:p>
    <w:p>
      <w:pPr>
        <w:pStyle w:val="Heading2"/>
      </w:pPr>
      <w:r>
        <w:t>Parameters &amp; Test Data</w:t>
      </w:r>
    </w:p>
    <w:p>
      <w:r>
        <w:t>prefList includes entries, region, investmenttype, exclude, preferredid, secid, filter, sortby.</w:t>
      </w:r>
    </w:p>
    <w:p>
      <w:pPr>
        <w:pStyle w:val="Heading2"/>
      </w:pPr>
      <w:r>
        <w:t>Grouping &amp; Order</w:t>
      </w:r>
    </w:p>
    <w:p>
      <w:r>
        <w:t>Grouped by product/priority; uses dependsOnMethods; some Office/UK tests disabled.</w:t>
      </w:r>
    </w:p>
    <w:p>
      <w:pPr>
        <w:pStyle w:val="Heading2"/>
      </w:pPr>
      <w:r>
        <w:t>Edge Cases</w:t>
      </w:r>
    </w:p>
    <w:p>
      <w:r>
        <w:t>Invalid XML leading char trimmed; unknown product → RuntimeException; empty feed checks.</w:t>
      </w:r>
    </w:p>
    <w:p>
      <w:pPr>
        <w:pStyle w:val="Heading2"/>
      </w:pPr>
      <w:r>
        <w:t>Human-Readable Scenario Summary</w:t>
      </w:r>
    </w:p>
    <w:p>
      <w:r>
        <w:t>• Default widgets appear after reset (Announcement &amp; Product Support)</w:t>
        <w:br/>
        <w:t>• Widgets can be cleared, enabled, validated</w:t>
        <w:br/>
        <w:t>• Feeds (Announcements, Alerts, Reports, Markets, Database Updates) return correct data</w:t>
        <w:br/>
        <w:t>• Counts match expectations</w:t>
        <w:br/>
        <w:t>• Announcements always return 10 items across sources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