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28"/>
          <w:szCs w:val="28"/>
        </w:rPr>
        <w:t xml:space="preserve">CENG 476 – Introduction to Deep Learning</w:t>
      </w:r>
    </w:p>
    <w:p>
      <w:pPr>
        <w:spacing w:after="600"/>
        <w:jc w:val="center"/>
      </w:pPr>
      <w:r>
        <w:rPr>
          <w:b/>
          <w:bCs/>
          <w:color w:val="1F4E79"/>
          <w:sz w:val="36"/>
          <w:szCs w:val="36"/>
        </w:rPr>
        <w:t xml:space="preserve">Real-Time Garbage Classification Using YOLO</w:t>
      </w:r>
    </w:p>
    <w:p>
      <w:pPr>
        <w:spacing w:after="800"/>
        <w:jc w:val="center"/>
      </w:pPr>
      <w:r>
        <w:rPr>
          <w:i/>
          <w:iCs/>
          <w:sz w:val="22"/>
          <w:szCs w:val="22"/>
        </w:rPr>
        <w:t xml:space="preserve">Deep Learning Project Report — Summer Term 2025-2026</w:t>
      </w:r>
    </w:p>
    <w:p>
      <w:pPr>
        <w:spacing w:after="200"/>
      </w:pPr>
      <w:r>
        <w:rPr>
          <w:i/>
          <w:iCs/>
          <w:color w:val="666666"/>
          <w:sz w:val="20"/>
          <w:szCs w:val="20"/>
        </w:rPr>
        <w:t xml:space="preserve">[INSTRUCTION] Add group members' names and student IDs here.</w:t>
      </w:r>
    </w:p>
    <w:p>
      <w:pPr>
        <w:pBdr>
          <w:bottom w:val="single" w:color="CCCCCC" w:sz="4"/>
        </w:pBdr>
        <w:spacing w:after="200"/>
      </w:pPr>
      <w:r>
        <w:rPr>
          <w:i/>
          <w:iCs/>
          <w:color w:val="999999"/>
        </w:rPr>
        <w:t xml:space="preserve">Group Members: ...</w:t>
      </w:r>
    </w:p>
    <w:p>
      <w:pPr>
        <w:pBdr>
          <w:bottom w:val="single" w:color="CCCCCC" w:sz="4"/>
        </w:pBdr>
        <w:spacing w:after="200"/>
      </w:pPr>
      <w:r>
        <w:rPr>
          <w:i/>
          <w:iCs/>
          <w:color w:val="999999"/>
        </w:rPr>
        <w:t xml:space="preserve">Date: ...</w:t>
      </w:r>
    </w:p>
    <w:p>
      <w:r>
        <w:br w:type="page"/>
      </w:r>
    </w:p>
    <w:p>
      <w:pPr>
        <w:pStyle w:val="Heading1"/>
        <w:outlineLvl w:val="0"/>
      </w:pPr>
      <w:r>
        <w:t xml:space="preserve">Table of Contents</w:t>
      </w:r>
    </w:p>
    <w:p>
      <w:pPr>
        <w:spacing w:after="200"/>
      </w:pPr>
      <w:r>
        <w:rPr>
          <w:i/>
          <w:iCs/>
          <w:color w:val="666666"/>
          <w:sz w:val="20"/>
          <w:szCs w:val="20"/>
        </w:rPr>
        <w:t xml:space="preserve">[INSTRUCTION] Right-click this area in Word and select 'Update Field' to generate an automatic table of contents (headings are already tagged with Heading styles).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outlineLvl w:val="0"/>
      </w:pPr>
      <w:r>
        <w:t xml:space="preserve">1. Introduction</w:t>
      </w:r>
    </w:p>
    <w:p>
      <w:pPr>
        <w:spacing w:after="200"/>
        <w:jc w:val="both"/>
      </w:pPr>
      <w:r>
        <w:t xml:space="preserve">Effective waste sorting is a critical bottleneck in recycling systems: contamination from misclassified waste significantly reduces the efficiency of downstream recycling processes, while manual sorting is labor-intensive, slow, and inconsistent. Automating waste classification — particularly in a way that operates in real time — has direct practical value for applications such as smart recycling bins, automated sorting conveyor belts, and waste-collection robotics, where decisions must be made instantly as objects pass through the system.</w:t>
      </w:r>
    </w:p>
    <w:p>
      <w:pPr>
        <w:spacing w:after="200"/>
        <w:jc w:val="both"/>
      </w:pPr>
      <w:r>
        <w:t xml:space="preserve">This project addresses waste classification as an object detection task: given an image, the goal is to simultaneously localize (via bounding boxes) and classify waste items into one of six categories — BIODEGRADABLE, CARDBOARD, GLASS, METAL, PAPER, and PLASTIC. Unlike simple image classification, this formulation allows multiple waste items to be detected and identified within a single frame, which is necessary for realistic, real-time deployment scenarios.</w:t>
      </w:r>
    </w:p>
    <w:p>
      <w:pPr>
        <w:spacing w:after="200"/>
        <w:jc w:val="both"/>
      </w:pPr>
      <w:r>
        <w:t xml:space="preserve">The dataset used is a publicly available garbage classification dataset sourced from Roboflow Universe, consisting of 10,464 annotated images across the six target classes. A central goal of this project was not only to achieve reasonable detection accuracy, but to do so with an architecture and training pipeline suitable for real-time inference, and to critically evaluate the design choices made throughout — including a significant, unplanned detour into dataset quality verification, described in detail in Section 5.3.</w:t>
      </w:r>
    </w:p>
    <w:p>
      <w:pPr>
        <w:pStyle w:val="Heading1"/>
        <w:outlineLvl w:val="0"/>
      </w:pPr>
      <w:r>
        <w:t xml:space="preserve">2. Related Work / Baseline (Optional)</w:t>
      </w:r>
    </w:p>
    <w:p>
      <w:pPr>
        <w:spacing w:after="200"/>
        <w:jc w:val="both"/>
      </w:pPr>
      <w:r>
        <w:t xml:space="preserve">Object detection has been dominated in recent years by two broad families of approaches: two-stage detectors (e.g., Faster R-CNN), which first propose candidate regions and then classify them, and single-stage detectors (e.g., the YOLO family, SSD), which predict bounding boxes and class probabilities directly in a single forward pass. Single-stage detectors are generally preferred for real-time applications due to their substantially lower inference latency, at a historically modest cost in accuracy compared to two-stage methods — though this gap has narrowed considerably in recent YOLO versions. This project builds on YOLOv8, part of the actively maintained Ultralytics YOLO family, which combines the speed of single-stage detection with a modernized, anchor-free prediction head and an efficient CSPDarknet-based backbone.</w:t>
      </w:r>
    </w:p>
    <w:p>
      <w:pPr>
        <w:spacing w:after="200"/>
        <w:jc w:val="both"/>
      </w:pPr>
      <w:r>
        <w:t xml:space="preserve">No formal benchmark comparison against published literature results was performed for this specific dataset, as no standardized benchmark for this particular Roboflow dataset was found. Instead, the pretrained COCO-based YOLOv8n model, fine-tuned on the original (uncorrected) data split, served as an informal initial baseline (test mAP50 = 0.433), against which all subsequent improvements were measured.</w:t>
      </w:r>
    </w:p>
    <w:p>
      <w:pPr>
        <w:pStyle w:val="Heading1"/>
        <w:outlineLvl w:val="0"/>
      </w:pPr>
      <w:r>
        <w:t xml:space="preserve">3. Proposed Method</w:t>
      </w:r>
    </w:p>
    <w:p>
      <w:pPr>
        <w:pStyle w:val="Heading2"/>
        <w:outlineLvl w:val="1"/>
      </w:pPr>
      <w:r>
        <w:t xml:space="preserve">3.1 Model Architecture</w:t>
      </w:r>
    </w:p>
    <w:p>
      <w:pPr>
        <w:spacing w:after="200"/>
        <w:jc w:val="both"/>
      </w:pPr>
      <w:r>
        <w:t xml:space="preserve">The model is built on YOLOv8n, a single-stage, anchor-free object detection architecture, initialized with COCO-pretrained weights (transfer learning) and then fine-tuned on the garbage classification dataset. The architecture was further customized by adding Dropout layers to the detection head — a modification not present in the standard YOLOv8n configuration — making the final model a hybrid, custom architecture rather than an off-the-shelf notebook solution.</w:t>
      </w:r>
    </w:p>
    <w:p>
      <w:pPr>
        <w:spacing w:after="200"/>
        <w:jc w:val="both"/>
      </w:pPr>
      <w:r>
        <w:t xml:space="preserve">The network takes a 416x416x3 RGB image as input, matching the native resolution of the dataset and avoiding unnecessary upscaling. The output consists of bounding box coordinates, an objectness score, and class probabilities for the 6 target classes (BIODEGRADABLE, CARDBOARD, GLASS, METAL, PAPER, PLASTIC).</w:t>
      </w:r>
    </w:p>
    <w:p>
      <w:pPr>
        <w:spacing w:after="200"/>
        <w:jc w:val="both"/>
      </w:pPr>
      <w:r>
        <w:t xml:space="preserve">Structurally, the model consists of two main parts. The backbone (CSPDarknet) progressively downsamples the input through five stages of Conv + C2f blocks, ending with an SPPF (Spatial Pyramid Pooling - Fast) module, producing feature maps at three scales (P3, P4, P5) for detecting small, medium, and large objects respectively. The head combines these feature maps through a top-down and bottom-up path (FPN + PAN), fusing high-level semantic information with fine-grained spatial detail. In total, the fused model contains 73 layers (76 with the added Dropout layers), including 57 convolutional blocks. A high-level diagram of this architecture is shown in Figure X.</w:t>
      </w:r>
    </w:p>
    <w:p>
      <w:pPr>
        <w:spacing w:after="200"/>
        <w:jc w:val="both"/>
      </w:pPr>
      <w:r>
        <w:t xml:space="preserve">This architecture was selected because its single-stage design offers a strong trade-off between accuracy and inference speed, making it well-suited to the real-time detection goal of this project. Transfer learning from COCO-pretrained weights was used because the dataset (10,464 images) is relatively small for training a detection model from scratch; leveraging pretrained low- and mid-level visual features significantly accelerated convergence and improved stability during training.</w:t>
      </w:r>
    </w:p>
    <w:p>
      <w:pPr>
        <w:pBdr>
          <w:top w:val="single" w:color="1F4E79" w:sz="6"/>
          <w:bottom w:val="single" w:color="1F4E79" w:sz="6"/>
          <w:left w:val="single" w:color="1F4E79" w:sz="6"/>
          <w:right w:val="single" w:color="1F4E79" w:sz="6"/>
        </w:pBdr>
        <w:spacing w:after="150" w:before="150"/>
        <w:jc w:val="center"/>
      </w:pPr>
      <w:r>
        <w:rPr>
          <w:b/>
          <w:bCs/>
          <w:color w:val="1F4E79"/>
        </w:rPr>
        <w:t xml:space="preserve">[IMAGE PLACEHOLDER: architecture_diagram.png — High-level architecture diagram]</w:t>
      </w:r>
    </w:p>
    <w:p>
      <w:pPr>
        <w:pStyle w:val="Heading2"/>
        <w:outlineLvl w:val="1"/>
      </w:pPr>
      <w:r>
        <w:t xml:space="preserve">3.2 Regularization Techniques</w:t>
      </w:r>
    </w:p>
    <w:p>
      <w:pPr>
        <w:spacing w:after="200"/>
        <w:jc w:val="both"/>
      </w:pPr>
      <w:r>
        <w:t xml:space="preserve">Batch Normalization. Every convolutional block in YOLOv8n follows a Conv -&gt; BatchNorm -&gt; SiLU pattern, meaning BN is applied after each convolution and before activation, across all five backbone stages and every C2f block in the head. BN is expected to be particularly beneficial in this project because: (1) the dataset contains images with varying lighting conditions and backgrounds (waste items photographed in different settings), and BN normalizes internal activation distributions at each layer, stabilizing learning against this variability; (2) in a transfer-learning setting, BN helps the activation statistics inherited from the pretrained COCO weights adapt more smoothly to the new dataset; (3) the smooth, stable decrease in training loss observed across all experiments (see Section 5) is consistent with BN mitigating gradient instability.</w:t>
      </w:r>
    </w:p>
    <w:p>
      <w:pPr>
        <w:spacing w:after="200"/>
        <w:jc w:val="both"/>
      </w:pPr>
      <w:r>
        <w:t xml:space="preserve">Dropout. Dropout layers (p = 0.2) were added after each of the three scale-specific feature maps (P3, P4, P5), immediately before the Detect head. This placement was chosen deliberately: applying dropout in the backbone risks corrupting low-level feature extraction (edges, textures), whereas applying it right before the final prediction regularizes the high-level representation without disturbing earlier feature learning. Only a single dropout rate (0.2) was tested due to time constraints. Result: contrary to the initial hypothesis, adding dropout decreased performance on both the validation and test sets (test mAP50: 0.641 -&gt; 0.616; test mAP50-95: 0.448 -&gt; 0.424), a consistent drop observed across nearly all classes. This is discussed further in the overfitting/underfitting analysis below.</w:t>
      </w:r>
    </w:p>
    <w:p>
      <w:pPr>
        <w:spacing w:after="200"/>
        <w:jc w:val="both"/>
      </w:pPr>
      <w:r>
        <w:t xml:space="preserve">Other Regularization (Weight Decay &amp; Data Augmentation). L2 regularization was applied implicitly through the AdamW optimizer's weight decay parameter (0.0005, Ultralytics' default). In addition, YOLOv8's default data augmentation pipeline was active during all training runs: mosaic augmentation, random HSV color jittering, horizontal flipping, and low-probability Albumentations transforms (Blur, MedianBlur, ToGray, CLAHE). These techniques were not toggled on/off as a separate ablation due to time constraints, but their presence is a contributing factor to the generally stable training curves observed.</w:t>
      </w:r>
    </w:p>
    <w:p>
      <w:pPr>
        <w:spacing w:after="200"/>
        <w:jc w:val="both"/>
      </w:pPr>
      <w:r>
        <w:t xml:space="preserve">Overfitting / Underfitting Analysis. Figure X shows the training and validation loss curves for the baseline model. The training and validation box loss curves remain close throughout training (final values 1.110 vs. 1.077, respectively), with no significant divergence - indicating that the baseline model does not exhibit strong overfitting. This observation directly explains the counterintuitive Dropout result above: since overfitting was already limited, adding dropout served mainly to reduce the model's effective capacity, pushing it toward mild underfitting rather than improving generalization. No signs of severe underfitting (e.g., stagnant or increasing loss) were observed in any experiment; all models continued to improve until their respective epoch budgets were reached.</w:t>
      </w:r>
    </w:p>
    <w:p>
      <w:pPr>
        <w:pBdr>
          <w:top w:val="single" w:color="1F4E79" w:sz="6"/>
          <w:bottom w:val="single" w:color="1F4E79" w:sz="6"/>
          <w:left w:val="single" w:color="1F4E79" w:sz="6"/>
          <w:right w:val="single" w:color="1F4E79" w:sz="6"/>
        </w:pBdr>
        <w:spacing w:after="150" w:before="150"/>
        <w:jc w:val="center"/>
      </w:pPr>
      <w:r>
        <w:rPr>
          <w:b/>
          <w:bCs/>
          <w:color w:val="1F4E79"/>
        </w:rPr>
        <w:t xml:space="preserve">[IMAGE PLACEHOLDER: baseline_epoch_curves.png — Train/Val loss and mAP curves]</w:t>
      </w:r>
    </w:p>
    <w:p>
      <w:pPr>
        <w:pStyle w:val="Heading2"/>
        <w:outlineLvl w:val="1"/>
      </w:pPr>
      <w:r>
        <w:t xml:space="preserve">3.3 Optimizer and Training Strategy</w:t>
      </w:r>
    </w:p>
    <w:p>
      <w:pPr>
        <w:spacing w:after="200"/>
        <w:jc w:val="both"/>
      </w:pPr>
      <w:r>
        <w:t xml:space="preserve">Optimizer. The baseline model was trained using Ultralytics' automatic optimizer selection (optimizer=auto), which selected AdamW with a learning rate of 0.001 and momentum (beta1) of 0.9. To evaluate whether this choice was appropriate, a second experiment was run using SGD (lr0=0.01, momentum=0.937 - YOLO's standard SGD defaults) under otherwise identical settings. On the test set, SGD achieved a slightly lower mAP50 (0.625 vs. 0.641 for AdamW). However, this comparison is not fully fair: due to time constraints, the SGD experiment was trained for only 40 epochs (vs. 60 for the AdamW baseline), and its validation mAP50 curve was still trending upward at the final epoch, whereas AdamW had already plateaued. This suggests SGD may have closed or even reversed the gap given equal training time - a limitation acknowledged in Section 6.2.</w:t>
      </w:r>
    </w:p>
    <w:p>
      <w:pPr>
        <w:spacing w:after="200"/>
        <w:jc w:val="both"/>
      </w:pPr>
      <w:r>
        <w:t xml:space="preserve">Learning Rate Scheduler. A Cosine Annealing learning rate scheduler was tested against AdamW with no scheduler (baseline). Under otherwise identical settings (40 epochs), the cosine scheduler run achieved a test mAP50 of 0.636 - nearly matching the baseline's 60-epoch result of 0.641, a difference of only 0.005. The scheduler run also showed a markedly smoother, more stable validation mAP curve in its final epochs compared to the baseline. This demonstrates that a cosine learning rate schedule substantially improves training efficiency, achieving comparable performance with 33% fewer epochs.</w:t>
      </w:r>
    </w:p>
    <w:p>
      <w:pPr>
        <w:spacing w:after="300"/>
        <w:jc w:val="both"/>
      </w:pPr>
      <w:r>
        <w:t xml:space="preserve">Early Stopping. Early stopping monitored Ultralytics' default fitness metric (a weighted combination of mAP50 and mAP50-95) on the validation set. Patience was set to 15 epochs for the 60-epoch experiments and 10 epochs for the 40-epoch ablations. In practice, early stopping was never triggered - all models trained for their full epoch budget, with performance plateauing (baseline, dropout) or still slowly improving (SGD) by the final epoch. This suggests the chosen epoch budgets were reasonably well-calibrated, though a longer budget for SGD in particular may have yielded further gains.</w:t>
      </w:r>
    </w:p>
    <w:p>
      <w:pPr>
        <w:pStyle w:val="Heading2"/>
        <w:outlineLvl w:val="1"/>
      </w:pPr>
      <w:r>
        <w:t xml:space="preserve">3.4 Activation Functions</w:t>
      </w:r>
    </w:p>
    <w:p>
      <w:pPr>
        <w:spacing w:after="200"/>
        <w:jc w:val="both"/>
      </w:pPr>
      <w:r>
        <w:t xml:space="preserve">The hidden layers of the network use the SiLU (Sigmoid Linear Unit / Swish) activation function, YOLOv8's default choice. This was directly verified by inspecting the trained model: 56 of the model's 57 convolutional blocks use SiLU activation; the single exception is the final 1x1 convolution in the Detect head, which is left without an activation function since it outputs raw prediction values (bounding box regression targets) rather than passing through a subsequent layer.</w:t>
      </w:r>
    </w:p>
    <w:p>
      <w:pPr>
        <w:spacing w:after="200"/>
        <w:jc w:val="both"/>
      </w:pPr>
      <w:r>
        <w:t xml:space="preserve">SiLU was deemed appropriate for the hidden layers because, unlike ReLU, it does not completely zero out negative inputs - instead providing a smooth, non-monotonic transition - which helps mitigate the "dying neuron" problem and improves gradient flow in deep convolutional architectures such as this one. In the output layer, sigmoid activation is applied independently to the objectness score and each of the 6 class probabilities. Sigmoid was chosen over softmax because object detection requires each class to be evaluated independently (an image region could plausibly belong to multiple overlapping considerations), whereas softmax enforces a mutually-exclusive, single-label assumption better suited to standard image classification. No alternative activation functions were experimentally compared in this project due to time constraints.</w:t>
      </w:r>
    </w:p>
    <w:p>
      <w:r>
        <w:br w:type="page"/>
      </w:r>
    </w:p>
    <w:p>
      <w:pPr>
        <w:pStyle w:val="Heading1"/>
        <w:outlineLvl w:val="0"/>
      </w:pPr>
      <w:r>
        <w:t xml:space="preserve">4. Experimental Setup</w:t>
      </w:r>
    </w:p>
    <w:p>
      <w:pPr>
        <w:pStyle w:val="Heading2"/>
        <w:outlineLvl w:val="1"/>
      </w:pPr>
      <w:r>
        <w:t xml:space="preserve">4.1 Data Split</w:t>
      </w:r>
    </w:p>
    <w:p>
      <w:pPr>
        <w:spacing w:after="200"/>
        <w:jc w:val="both"/>
      </w:pPr>
      <w:r>
        <w:t xml:space="preserve">The dataset used in this project was downloaded from Roboflow with a pre-defined train/valid/test split. However, an initial inspection revealed a severe class distribution inconsistency in this original split: the GLASS class had zero examples in the test set, while the PAPER class was represented by only 33 instances (15 images) in the validation set — a number disproportionately low compared to its 2,981 instances in the training set. This inconsistency indicated that the original split was not created with class balance in mind.</w:t>
      </w:r>
    </w:p>
    <w:p>
      <w:pPr>
        <w:spacing w:after="200"/>
        <w:jc w:val="both"/>
      </w:pPr>
      <w:r>
        <w:t xml:space="preserve">To address this issue, all images from the train/valid/test sets were pooled together, and a new stratified 70/15/15 split was created independently for each class's image set. This approach guarantees that every class is proportionally represented in all three subsets.</w:t>
      </w:r>
    </w:p>
    <w:p>
      <w:pPr>
        <w:spacing w:after="150"/>
        <w:jc w:val="both"/>
      </w:pPr>
      <w:r>
        <w:t xml:space="preserve">The impact of this correction became clear when the same model was evaluated on both the original and the corrected split: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E2F3" w:val="clear"/>
          </w:tcPr>
          <w:p>
            <w:r>
              <w:rPr>
                <w:b/>
                <w:bCs/>
                <w:sz w:val="20"/>
                <w:szCs w:val="20"/>
              </w:rPr>
              <w:t xml:space="preserve">Metric</w:t>
            </w:r>
          </w:p>
        </w:tc>
        <w:tc>
          <w:tcPr>
            <w:tcW w:type="dxa" w:w="3200"/>
            <w:shd w:fill="D9E2F3" w:val="clear"/>
          </w:tcPr>
          <w:p>
            <w:r>
              <w:rPr>
                <w:b/>
                <w:bCs/>
                <w:sz w:val="20"/>
                <w:szCs w:val="20"/>
              </w:rPr>
              <w:t xml:space="preserve">Original Split</w:t>
            </w:r>
          </w:p>
        </w:tc>
        <w:tc>
          <w:tcPr>
            <w:tcW w:type="dxa" w:w="3200"/>
            <w:shd w:fill="D9E2F3" w:val="clear"/>
          </w:tcPr>
          <w:p>
            <w:r>
              <w:rPr>
                <w:b/>
                <w:bCs/>
                <w:sz w:val="20"/>
                <w:szCs w:val="20"/>
              </w:rPr>
              <w:t xml:space="preserve">Corrected Split</w:t>
            </w:r>
          </w:p>
        </w:tc>
      </w:tr>
      <w:tr>
        <w:tc>
          <w:tcPr>
            <w:tcW w:type="dxa" w:w="3200"/>
          </w:tcPr>
          <w:p>
            <w:r>
              <w:rPr>
                <w:b w:val="false"/>
                <w:bCs w:val="false"/>
                <w:sz w:val="20"/>
                <w:szCs w:val="20"/>
              </w:rPr>
              <w:t xml:space="preserve">GLASS test instance count</w:t>
            </w:r>
          </w:p>
        </w:tc>
        <w:tc>
          <w:tcPr>
            <w:tcW w:type="dxa" w:w="3200"/>
          </w:tcPr>
          <w:p>
            <w:r>
              <w:rPr>
                <w:b w:val="false"/>
                <w:bCs w:val="false"/>
                <w:sz w:val="20"/>
                <w:szCs w:val="20"/>
              </w:rPr>
              <w:t xml:space="preserve">0</w:t>
            </w:r>
          </w:p>
        </w:tc>
        <w:tc>
          <w:tcPr>
            <w:tcW w:type="dxa" w:w="3200"/>
          </w:tcPr>
          <w:p>
            <w:r>
              <w:rPr>
                <w:b w:val="false"/>
                <w:bCs w:val="false"/>
                <w:sz w:val="20"/>
                <w:szCs w:val="20"/>
              </w:rPr>
              <w:t xml:space="preserve">1,262</w:t>
            </w:r>
          </w:p>
        </w:tc>
      </w:tr>
      <w:tr>
        <w:tc>
          <w:tcPr>
            <w:tcW w:type="dxa" w:w="3200"/>
          </w:tcPr>
          <w:p>
            <w:r>
              <w:rPr>
                <w:b w:val="false"/>
                <w:bCs w:val="false"/>
                <w:sz w:val="20"/>
                <w:szCs w:val="20"/>
              </w:rPr>
              <w:t xml:space="preserve">PAPER validation instance count</w:t>
            </w:r>
          </w:p>
        </w:tc>
        <w:tc>
          <w:tcPr>
            <w:tcW w:type="dxa" w:w="3200"/>
          </w:tcPr>
          <w:p>
            <w:r>
              <w:rPr>
                <w:b w:val="false"/>
                <w:bCs w:val="false"/>
                <w:sz w:val="20"/>
                <w:szCs w:val="20"/>
              </w:rPr>
              <w:t xml:space="preserve">33</w:t>
            </w:r>
          </w:p>
        </w:tc>
        <w:tc>
          <w:tcPr>
            <w:tcW w:type="dxa" w:w="3200"/>
          </w:tcPr>
          <w:p>
            <w:r>
              <w:rPr>
                <w:b w:val="false"/>
                <w:bCs w:val="false"/>
                <w:sz w:val="20"/>
                <w:szCs w:val="20"/>
              </w:rPr>
              <w:t xml:space="preserve">616</w:t>
            </w:r>
          </w:p>
        </w:tc>
      </w:tr>
      <w:tr>
        <w:tc>
          <w:tcPr>
            <w:tcW w:type="dxa" w:w="3200"/>
          </w:tcPr>
          <w:p>
            <w:r>
              <w:rPr>
                <w:b w:val="false"/>
                <w:bCs w:val="false"/>
                <w:sz w:val="20"/>
                <w:szCs w:val="20"/>
              </w:rPr>
              <w:t xml:space="preserve">Test mAP50</w:t>
            </w:r>
          </w:p>
        </w:tc>
        <w:tc>
          <w:tcPr>
            <w:tcW w:type="dxa" w:w="3200"/>
          </w:tcPr>
          <w:p>
            <w:r>
              <w:rPr>
                <w:b w:val="false"/>
                <w:bCs w:val="false"/>
                <w:sz w:val="20"/>
                <w:szCs w:val="20"/>
              </w:rPr>
              <w:t xml:space="preserve">0.433</w:t>
            </w:r>
          </w:p>
        </w:tc>
        <w:tc>
          <w:tcPr>
            <w:tcW w:type="dxa" w:w="3200"/>
          </w:tcPr>
          <w:p>
            <w:r>
              <w:rPr>
                <w:b w:val="false"/>
                <w:bCs w:val="false"/>
                <w:sz w:val="20"/>
                <w:szCs w:val="20"/>
              </w:rPr>
              <w:t xml:space="preserve">0.641</w:t>
            </w:r>
          </w:p>
        </w:tc>
      </w:tr>
    </w:tbl>
    <w:p>
      <w:pPr>
        <w:spacing w:after="200"/>
      </w:pPr>
    </w:p>
    <w:p>
      <w:pPr>
        <w:spacing w:after="300"/>
        <w:jc w:val="both"/>
      </w:pPr>
      <w:r>
        <w:t xml:space="preserve">Final split: 7,321 training images, 1,568 validation images, and 1,575 test images (10,464 images in total, corresponding to approximately 50,985 / 10,567 / 11,434 object instances respectively).</w:t>
      </w:r>
    </w:p>
    <w:p>
      <w:pPr>
        <w:pStyle w:val="Heading2"/>
        <w:outlineLvl w:val="1"/>
      </w:pPr>
      <w:r>
        <w:t xml:space="preserve">4.2 Data Preprocessing</w:t>
      </w:r>
    </w:p>
    <w:p>
      <w:pPr>
        <w:spacing w:after="300"/>
        <w:jc w:val="both"/>
      </w:pPr>
      <w:r>
        <w:t xml:space="preserve">All images were resized to 416x416 pixels while preserving aspect ratio (letterbox resizing). This resolution was chosen to match the dataset's native resolution (416x416), avoiding unnecessary upscaling. During training, Ultralytics YOLOv8's default data augmentation pipeline was applied: mosaic augmentation, random HSV color-space jittering (hue, saturation, brightness), horizontal flipping, and, with low probability, Albumentations-based transforms including Blur, MedianBlur, ToGray, and CLAHE.</w:t>
      </w:r>
    </w:p>
    <w:p>
      <w:pPr>
        <w:pStyle w:val="Heading2"/>
        <w:outlineLvl w:val="1"/>
      </w:pPr>
      <w:r>
        <w:t xml:space="preserve">4.3 Training Details</w:t>
      </w:r>
    </w:p>
    <w:p>
      <w:pPr>
        <w:spacing w:after="300"/>
        <w:jc w:val="both"/>
      </w:pPr>
      <w:r>
        <w:t xml:space="preserve">Model training was performed on Google Colab using an NVIDIA A100 GPU (80GB VRAM) with the Ultralytics YOLOv8 (v8.4.x) framework. A batch size of 32 and a fixed random seed of 42 were used across all experiments to ensure reproducibility. The Baseline and Dropout experiments were trained for 60 epochs; due to time constraints, the optimizer (SGD) and scheduler (Cosine Annealing) ablation experiments were trained for 40 epochs.</w:t>
      </w:r>
    </w:p>
    <w:p>
      <w:pPr>
        <w:pStyle w:val="Heading2"/>
        <w:outlineLvl w:val="1"/>
      </w:pPr>
      <w:r>
        <w:t xml:space="preserve">4.4 Early Stopping</w:t>
      </w:r>
    </w:p>
    <w:p>
      <w:pPr>
        <w:spacing w:after="200"/>
        <w:jc w:val="both"/>
      </w:pPr>
      <w:r>
        <w:t xml:space="preserve">Early stopping was configured to automatically halt training if validation performance (Ultralytics' default fitness metric, a weighted combination of mAP50-95 and mAP50) did not improve for a specified number of epochs. The patience value was set to 15 for the 60-epoch experiments and 10 for the 40-epoch experiments. Early stopping was not actually triggered in any of the experiments; all models trained for the full specified number of epochs, by which point performance metrics had plateaued or were approaching a plateau (see Section 5.3).</w:t>
      </w:r>
    </w:p>
    <w:p>
      <w:pPr>
        <w:pStyle w:val="Heading1"/>
        <w:outlineLvl w:val="0"/>
      </w:pPr>
      <w:r>
        <w:t xml:space="preserve">5. Results and Discussion</w:t>
      </w:r>
    </w:p>
    <w:p>
      <w:pPr>
        <w:pStyle w:val="Heading2"/>
        <w:outlineLvl w:val="1"/>
      </w:pPr>
      <w:r>
        <w:t xml:space="preserve">5.1 Performance Metrics</w:t>
      </w:r>
    </w:p>
    <w:p>
      <w:pPr>
        <w:spacing w:after="150"/>
        <w:jc w:val="both"/>
      </w:pPr>
      <w:r>
        <w:t xml:space="preserve">Table X summarizes the test-set performance of all four experiments. Table Y presents the per-class breakdown for the baseline model, including the derived F1-score (macro F1 = 0.633). Figures X, Y, and Z show the confusion matrix, precision-recall curve, and cross-experiment comparison respectively.</w:t>
      </w:r>
    </w:p>
    <w:p>
      <w:pPr>
        <w:spacing w:after="200"/>
        <w:jc w:val="both"/>
      </w:pPr>
      <w:r>
        <w:t xml:space="preserve">Note on ROC/AUC: a standard ROC/AUC curve was not used, as it is not a conventional metric for object detection tasks (where predictions include both localization and classification). Instead, the Precision-Recall curve — the standard metric for detection tasks in this scenario — is reported.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400"/>
      </w:tblGrid>
      <w:tr>
        <w:tc>
          <w:tcPr>
            <w:tcW w:type="dxa" w:w="1800"/>
            <w:shd w:fill="D9E2F3" w:val="clear"/>
          </w:tcPr>
          <w:p>
            <w:r>
              <w:rPr>
                <w:b/>
                <w:bCs/>
                <w:sz w:val="20"/>
                <w:szCs w:val="20"/>
              </w:rPr>
              <w:t xml:space="preserve">Experiment</w:t>
            </w:r>
          </w:p>
        </w:tc>
        <w:tc>
          <w:tcPr>
            <w:tcW w:type="dxa" w:w="1400"/>
            <w:shd w:fill="D9E2F3" w:val="clear"/>
          </w:tcPr>
          <w:p>
            <w:r>
              <w:rPr>
                <w:b/>
                <w:bCs/>
                <w:sz w:val="20"/>
                <w:szCs w:val="20"/>
              </w:rPr>
              <w:t xml:space="preserve">Epoch</w:t>
            </w:r>
          </w:p>
        </w:tc>
        <w:tc>
          <w:tcPr>
            <w:tcW w:type="dxa" w:w="1400"/>
            <w:shd w:fill="D9E2F3" w:val="clear"/>
          </w:tcPr>
          <w:p>
            <w:r>
              <w:rPr>
                <w:b/>
                <w:bCs/>
                <w:sz w:val="20"/>
                <w:szCs w:val="20"/>
              </w:rPr>
              <w:t xml:space="preserve">Precision</w:t>
            </w:r>
          </w:p>
        </w:tc>
        <w:tc>
          <w:tcPr>
            <w:tcW w:type="dxa" w:w="1400"/>
            <w:shd w:fill="D9E2F3" w:val="clear"/>
          </w:tcPr>
          <w:p>
            <w:r>
              <w:rPr>
                <w:b/>
                <w:bCs/>
                <w:sz w:val="20"/>
                <w:szCs w:val="20"/>
              </w:rPr>
              <w:t xml:space="preserve">Recall</w:t>
            </w:r>
          </w:p>
        </w:tc>
        <w:tc>
          <w:tcPr>
            <w:tcW w:type="dxa" w:w="1400"/>
            <w:shd w:fill="D9E2F3" w:val="clear"/>
          </w:tcPr>
          <w:p>
            <w:r>
              <w:rPr>
                <w:b/>
                <w:bCs/>
                <w:sz w:val="20"/>
                <w:szCs w:val="20"/>
              </w:rPr>
              <w:t xml:space="preserve">mAP50</w:t>
            </w:r>
          </w:p>
        </w:tc>
        <w:tc>
          <w:tcPr>
            <w:tcW w:type="dxa" w:w="1400"/>
            <w:shd w:fill="D9E2F3" w:val="clear"/>
          </w:tcPr>
          <w:p>
            <w:r>
              <w:rPr>
                <w:b/>
                <w:bCs/>
                <w:sz w:val="20"/>
                <w:szCs w:val="20"/>
              </w:rPr>
              <w:t xml:space="preserve">mAP50-95</w:t>
            </w:r>
          </w:p>
        </w:tc>
      </w:tr>
      <w:tr>
        <w:tc>
          <w:tcPr>
            <w:tcW w:type="dxa" w:w="1800"/>
          </w:tcPr>
          <w:p>
            <w:r>
              <w:rPr>
                <w:b w:val="false"/>
                <w:bCs w:val="false"/>
                <w:sz w:val="20"/>
                <w:szCs w:val="20"/>
              </w:rPr>
              <w:t xml:space="preserve">Baseline</w:t>
            </w:r>
          </w:p>
        </w:tc>
        <w:tc>
          <w:tcPr>
            <w:tcW w:type="dxa" w:w="1400"/>
          </w:tcPr>
          <w:p>
            <w:r>
              <w:rPr>
                <w:b w:val="false"/>
                <w:bCs w:val="false"/>
                <w:sz w:val="20"/>
                <w:szCs w:val="20"/>
              </w:rPr>
              <w:t xml:space="preserve">60</w:t>
            </w:r>
          </w:p>
        </w:tc>
        <w:tc>
          <w:tcPr>
            <w:tcW w:type="dxa" w:w="1400"/>
          </w:tcPr>
          <w:p>
            <w:r>
              <w:rPr>
                <w:b w:val="false"/>
                <w:bCs w:val="false"/>
                <w:sz w:val="20"/>
                <w:szCs w:val="20"/>
              </w:rPr>
              <w:t xml:space="preserve">0.732</w:t>
            </w:r>
          </w:p>
        </w:tc>
        <w:tc>
          <w:tcPr>
            <w:tcW w:type="dxa" w:w="1400"/>
          </w:tcPr>
          <w:p>
            <w:r>
              <w:rPr>
                <w:b w:val="false"/>
                <w:bCs w:val="false"/>
                <w:sz w:val="20"/>
                <w:szCs w:val="20"/>
              </w:rPr>
              <w:t xml:space="preserve">0.560</w:t>
            </w:r>
          </w:p>
        </w:tc>
        <w:tc>
          <w:tcPr>
            <w:tcW w:type="dxa" w:w="1400"/>
          </w:tcPr>
          <w:p>
            <w:r>
              <w:rPr>
                <w:b w:val="false"/>
                <w:bCs w:val="false"/>
                <w:sz w:val="20"/>
                <w:szCs w:val="20"/>
              </w:rPr>
              <w:t xml:space="preserve">0.641</w:t>
            </w:r>
          </w:p>
        </w:tc>
        <w:tc>
          <w:tcPr>
            <w:tcW w:type="dxa" w:w="1400"/>
          </w:tcPr>
          <w:p>
            <w:r>
              <w:rPr>
                <w:b w:val="false"/>
                <w:bCs w:val="false"/>
                <w:sz w:val="20"/>
                <w:szCs w:val="20"/>
              </w:rPr>
              <w:t xml:space="preserve">0.448</w:t>
            </w:r>
          </w:p>
        </w:tc>
      </w:tr>
      <w:tr>
        <w:tc>
          <w:tcPr>
            <w:tcW w:type="dxa" w:w="1800"/>
          </w:tcPr>
          <w:p>
            <w:r>
              <w:rPr>
                <w:b w:val="false"/>
                <w:bCs w:val="false"/>
                <w:sz w:val="20"/>
                <w:szCs w:val="20"/>
              </w:rPr>
              <w:t xml:space="preserve">Dropout=0.2</w:t>
            </w:r>
          </w:p>
        </w:tc>
        <w:tc>
          <w:tcPr>
            <w:tcW w:type="dxa" w:w="1400"/>
          </w:tcPr>
          <w:p>
            <w:r>
              <w:rPr>
                <w:b w:val="false"/>
                <w:bCs w:val="false"/>
                <w:sz w:val="20"/>
                <w:szCs w:val="20"/>
              </w:rPr>
              <w:t xml:space="preserve">60</w:t>
            </w:r>
          </w:p>
        </w:tc>
        <w:tc>
          <w:tcPr>
            <w:tcW w:type="dxa" w:w="1400"/>
          </w:tcPr>
          <w:p>
            <w:r>
              <w:rPr>
                <w:b w:val="false"/>
                <w:bCs w:val="false"/>
                <w:sz w:val="20"/>
                <w:szCs w:val="20"/>
              </w:rPr>
              <w:t xml:space="preserve">0.722</w:t>
            </w:r>
          </w:p>
        </w:tc>
        <w:tc>
          <w:tcPr>
            <w:tcW w:type="dxa" w:w="1400"/>
          </w:tcPr>
          <w:p>
            <w:r>
              <w:rPr>
                <w:b w:val="false"/>
                <w:bCs w:val="false"/>
                <w:sz w:val="20"/>
                <w:szCs w:val="20"/>
              </w:rPr>
              <w:t xml:space="preserve">0.540</w:t>
            </w:r>
          </w:p>
        </w:tc>
        <w:tc>
          <w:tcPr>
            <w:tcW w:type="dxa" w:w="1400"/>
          </w:tcPr>
          <w:p>
            <w:r>
              <w:rPr>
                <w:b w:val="false"/>
                <w:bCs w:val="false"/>
                <w:sz w:val="20"/>
                <w:szCs w:val="20"/>
              </w:rPr>
              <w:t xml:space="preserve">0.616</w:t>
            </w:r>
          </w:p>
        </w:tc>
        <w:tc>
          <w:tcPr>
            <w:tcW w:type="dxa" w:w="1400"/>
          </w:tcPr>
          <w:p>
            <w:r>
              <w:rPr>
                <w:b w:val="false"/>
                <w:bCs w:val="false"/>
                <w:sz w:val="20"/>
                <w:szCs w:val="20"/>
              </w:rPr>
              <w:t xml:space="preserve">0.424</w:t>
            </w:r>
          </w:p>
        </w:tc>
      </w:tr>
      <w:tr>
        <w:tc>
          <w:tcPr>
            <w:tcW w:type="dxa" w:w="1800"/>
          </w:tcPr>
          <w:p>
            <w:r>
              <w:rPr>
                <w:b w:val="false"/>
                <w:bCs w:val="false"/>
                <w:sz w:val="20"/>
                <w:szCs w:val="20"/>
              </w:rPr>
              <w:t xml:space="preserve">SGD</w:t>
            </w:r>
          </w:p>
        </w:tc>
        <w:tc>
          <w:tcPr>
            <w:tcW w:type="dxa" w:w="1400"/>
          </w:tcPr>
          <w:p>
            <w:r>
              <w:rPr>
                <w:b w:val="false"/>
                <w:bCs w:val="false"/>
                <w:sz w:val="20"/>
                <w:szCs w:val="20"/>
              </w:rPr>
              <w:t xml:space="preserve">40</w:t>
            </w:r>
          </w:p>
        </w:tc>
        <w:tc>
          <w:tcPr>
            <w:tcW w:type="dxa" w:w="1400"/>
          </w:tcPr>
          <w:p>
            <w:r>
              <w:rPr>
                <w:b w:val="false"/>
                <w:bCs w:val="false"/>
                <w:sz w:val="20"/>
                <w:szCs w:val="20"/>
              </w:rPr>
              <w:t xml:space="preserve">0.717</w:t>
            </w:r>
          </w:p>
        </w:tc>
        <w:tc>
          <w:tcPr>
            <w:tcW w:type="dxa" w:w="1400"/>
          </w:tcPr>
          <w:p>
            <w:r>
              <w:rPr>
                <w:b w:val="false"/>
                <w:bCs w:val="false"/>
                <w:sz w:val="20"/>
                <w:szCs w:val="20"/>
              </w:rPr>
              <w:t xml:space="preserve">0.550</w:t>
            </w:r>
          </w:p>
        </w:tc>
        <w:tc>
          <w:tcPr>
            <w:tcW w:type="dxa" w:w="1400"/>
          </w:tcPr>
          <w:p>
            <w:r>
              <w:rPr>
                <w:b w:val="false"/>
                <w:bCs w:val="false"/>
                <w:sz w:val="20"/>
                <w:szCs w:val="20"/>
              </w:rPr>
              <w:t xml:space="preserve">0.625</w:t>
            </w:r>
          </w:p>
        </w:tc>
        <w:tc>
          <w:tcPr>
            <w:tcW w:type="dxa" w:w="1400"/>
          </w:tcPr>
          <w:p>
            <w:r>
              <w:rPr>
                <w:b w:val="false"/>
                <w:bCs w:val="false"/>
                <w:sz w:val="20"/>
                <w:szCs w:val="20"/>
              </w:rPr>
              <w:t xml:space="preserve">0.433</w:t>
            </w:r>
          </w:p>
        </w:tc>
      </w:tr>
      <w:tr>
        <w:tc>
          <w:tcPr>
            <w:tcW w:type="dxa" w:w="1800"/>
          </w:tcPr>
          <w:p>
            <w:r>
              <w:rPr>
                <w:b w:val="false"/>
                <w:bCs w:val="false"/>
                <w:sz w:val="20"/>
                <w:szCs w:val="20"/>
              </w:rPr>
              <w:t xml:space="preserve">Cosine Scheduler</w:t>
            </w:r>
          </w:p>
        </w:tc>
        <w:tc>
          <w:tcPr>
            <w:tcW w:type="dxa" w:w="1400"/>
          </w:tcPr>
          <w:p>
            <w:r>
              <w:rPr>
                <w:b w:val="false"/>
                <w:bCs w:val="false"/>
                <w:sz w:val="20"/>
                <w:szCs w:val="20"/>
              </w:rPr>
              <w:t xml:space="preserve">40</w:t>
            </w:r>
          </w:p>
        </w:tc>
        <w:tc>
          <w:tcPr>
            <w:tcW w:type="dxa" w:w="1400"/>
          </w:tcPr>
          <w:p>
            <w:r>
              <w:rPr>
                <w:b w:val="false"/>
                <w:bCs w:val="false"/>
                <w:sz w:val="20"/>
                <w:szCs w:val="20"/>
              </w:rPr>
              <w:t xml:space="preserve">0.725</w:t>
            </w:r>
          </w:p>
        </w:tc>
        <w:tc>
          <w:tcPr>
            <w:tcW w:type="dxa" w:w="1400"/>
          </w:tcPr>
          <w:p>
            <w:r>
              <w:rPr>
                <w:b w:val="false"/>
                <w:bCs w:val="false"/>
                <w:sz w:val="20"/>
                <w:szCs w:val="20"/>
              </w:rPr>
              <w:t xml:space="preserve">0.557</w:t>
            </w:r>
          </w:p>
        </w:tc>
        <w:tc>
          <w:tcPr>
            <w:tcW w:type="dxa" w:w="1400"/>
          </w:tcPr>
          <w:p>
            <w:r>
              <w:rPr>
                <w:b w:val="false"/>
                <w:bCs w:val="false"/>
                <w:sz w:val="20"/>
                <w:szCs w:val="20"/>
              </w:rPr>
              <w:t xml:space="preserve">0.636</w:t>
            </w:r>
          </w:p>
        </w:tc>
        <w:tc>
          <w:tcPr>
            <w:tcW w:type="dxa" w:w="1400"/>
          </w:tcPr>
          <w:p>
            <w:r>
              <w:rPr>
                <w:b w:val="false"/>
                <w:bCs w:val="false"/>
                <w:sz w:val="20"/>
                <w:szCs w:val="20"/>
              </w:rPr>
              <w:t xml:space="preserve">0.440</w:t>
            </w:r>
          </w:p>
        </w:tc>
      </w:tr>
    </w:tbl>
    <w:p>
      <w:pPr>
        <w:spacing w:after="200"/>
      </w:pPr>
    </w:p>
    <w:p>
      <w:pPr>
        <w:spacing w:after="150"/>
      </w:pPr>
      <w:r>
        <w:t xml:space="preserve">Per-class results (baseline model, test set):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tblGrid>
      <w:tr>
        <w:tc>
          <w:tcPr>
            <w:tcW w:type="dxa" w:w="2200"/>
            <w:shd w:fill="D9E2F3" w:val="clear"/>
          </w:tcPr>
          <w:p>
            <w:r>
              <w:rPr>
                <w:b/>
                <w:bCs/>
                <w:sz w:val="20"/>
                <w:szCs w:val="20"/>
              </w:rPr>
              <w:t xml:space="preserve">Class</w:t>
            </w:r>
          </w:p>
        </w:tc>
        <w:tc>
          <w:tcPr>
            <w:tcW w:type="dxa" w:w="1600"/>
            <w:shd w:fill="D9E2F3" w:val="clear"/>
          </w:tcPr>
          <w:p>
            <w:r>
              <w:rPr>
                <w:b/>
                <w:bCs/>
                <w:sz w:val="20"/>
                <w:szCs w:val="20"/>
              </w:rPr>
              <w:t xml:space="preserve">Precision</w:t>
            </w:r>
          </w:p>
        </w:tc>
        <w:tc>
          <w:tcPr>
            <w:tcW w:type="dxa" w:w="1600"/>
            <w:shd w:fill="D9E2F3" w:val="clear"/>
          </w:tcPr>
          <w:p>
            <w:r>
              <w:rPr>
                <w:b/>
                <w:bCs/>
                <w:sz w:val="20"/>
                <w:szCs w:val="20"/>
              </w:rPr>
              <w:t xml:space="preserve">Recall</w:t>
            </w:r>
          </w:p>
        </w:tc>
        <w:tc>
          <w:tcPr>
            <w:tcW w:type="dxa" w:w="1600"/>
            <w:shd w:fill="D9E2F3" w:val="clear"/>
          </w:tcPr>
          <w:p>
            <w:r>
              <w:rPr>
                <w:b/>
                <w:bCs/>
                <w:sz w:val="20"/>
                <w:szCs w:val="20"/>
              </w:rPr>
              <w:t xml:space="preserve">mAP50</w:t>
            </w:r>
          </w:p>
        </w:tc>
        <w:tc>
          <w:tcPr>
            <w:tcW w:type="dxa" w:w="1600"/>
            <w:shd w:fill="D9E2F3" w:val="clear"/>
          </w:tcPr>
          <w:p>
            <w:r>
              <w:rPr>
                <w:b/>
                <w:bCs/>
                <w:sz w:val="20"/>
                <w:szCs w:val="20"/>
              </w:rPr>
              <w:t xml:space="preserve">F1-Score</w:t>
            </w:r>
          </w:p>
        </w:tc>
      </w:tr>
      <w:tr>
        <w:tc>
          <w:tcPr>
            <w:tcW w:type="dxa" w:w="2200"/>
          </w:tcPr>
          <w:p>
            <w:r>
              <w:rPr>
                <w:b w:val="false"/>
                <w:bCs w:val="false"/>
                <w:sz w:val="20"/>
                <w:szCs w:val="20"/>
              </w:rPr>
              <w:t xml:space="preserve">BIODEGRADABLE</w:t>
            </w:r>
          </w:p>
        </w:tc>
        <w:tc>
          <w:tcPr>
            <w:tcW w:type="dxa" w:w="1600"/>
          </w:tcPr>
          <w:p>
            <w:r>
              <w:rPr>
                <w:b w:val="false"/>
                <w:bCs w:val="false"/>
                <w:sz w:val="20"/>
                <w:szCs w:val="20"/>
              </w:rPr>
              <w:t xml:space="preserve">0.810</w:t>
            </w:r>
          </w:p>
        </w:tc>
        <w:tc>
          <w:tcPr>
            <w:tcW w:type="dxa" w:w="1600"/>
          </w:tcPr>
          <w:p>
            <w:r>
              <w:rPr>
                <w:b w:val="false"/>
                <w:bCs w:val="false"/>
                <w:sz w:val="20"/>
                <w:szCs w:val="20"/>
              </w:rPr>
              <w:t xml:space="preserve">0.517</w:t>
            </w:r>
          </w:p>
        </w:tc>
        <w:tc>
          <w:tcPr>
            <w:tcW w:type="dxa" w:w="1600"/>
          </w:tcPr>
          <w:p>
            <w:r>
              <w:rPr>
                <w:b w:val="false"/>
                <w:bCs w:val="false"/>
                <w:sz w:val="20"/>
                <w:szCs w:val="20"/>
              </w:rPr>
              <w:t xml:space="preserve">0.640</w:t>
            </w:r>
          </w:p>
        </w:tc>
        <w:tc>
          <w:tcPr>
            <w:tcW w:type="dxa" w:w="1600"/>
          </w:tcPr>
          <w:p>
            <w:r>
              <w:rPr>
                <w:b w:val="false"/>
                <w:bCs w:val="false"/>
                <w:sz w:val="20"/>
                <w:szCs w:val="20"/>
              </w:rPr>
              <w:t xml:space="preserve">0.631</w:t>
            </w:r>
          </w:p>
        </w:tc>
      </w:tr>
      <w:tr>
        <w:tc>
          <w:tcPr>
            <w:tcW w:type="dxa" w:w="2200"/>
          </w:tcPr>
          <w:p>
            <w:r>
              <w:rPr>
                <w:b w:val="false"/>
                <w:bCs w:val="false"/>
                <w:sz w:val="20"/>
                <w:szCs w:val="20"/>
              </w:rPr>
              <w:t xml:space="preserve">CARDBOARD</w:t>
            </w:r>
          </w:p>
        </w:tc>
        <w:tc>
          <w:tcPr>
            <w:tcW w:type="dxa" w:w="1600"/>
          </w:tcPr>
          <w:p>
            <w:r>
              <w:rPr>
                <w:b w:val="false"/>
                <w:bCs w:val="false"/>
                <w:sz w:val="20"/>
                <w:szCs w:val="20"/>
              </w:rPr>
              <w:t xml:space="preserve">0.707</w:t>
            </w:r>
          </w:p>
        </w:tc>
        <w:tc>
          <w:tcPr>
            <w:tcW w:type="dxa" w:w="1600"/>
          </w:tcPr>
          <w:p>
            <w:r>
              <w:rPr>
                <w:b w:val="false"/>
                <w:bCs w:val="false"/>
                <w:sz w:val="20"/>
                <w:szCs w:val="20"/>
              </w:rPr>
              <w:t xml:space="preserve">0.490</w:t>
            </w:r>
          </w:p>
        </w:tc>
        <w:tc>
          <w:tcPr>
            <w:tcW w:type="dxa" w:w="1600"/>
          </w:tcPr>
          <w:p>
            <w:r>
              <w:rPr>
                <w:b w:val="false"/>
                <w:bCs w:val="false"/>
                <w:sz w:val="20"/>
                <w:szCs w:val="20"/>
              </w:rPr>
              <w:t xml:space="preserve">0.599</w:t>
            </w:r>
          </w:p>
        </w:tc>
        <w:tc>
          <w:tcPr>
            <w:tcW w:type="dxa" w:w="1600"/>
          </w:tcPr>
          <w:p>
            <w:r>
              <w:rPr>
                <w:b w:val="false"/>
                <w:bCs w:val="false"/>
                <w:sz w:val="20"/>
                <w:szCs w:val="20"/>
              </w:rPr>
              <w:t xml:space="preserve">0.579</w:t>
            </w:r>
          </w:p>
        </w:tc>
      </w:tr>
      <w:tr>
        <w:tc>
          <w:tcPr>
            <w:tcW w:type="dxa" w:w="2200"/>
          </w:tcPr>
          <w:p>
            <w:r>
              <w:rPr>
                <w:b w:val="false"/>
                <w:bCs w:val="false"/>
                <w:sz w:val="20"/>
                <w:szCs w:val="20"/>
              </w:rPr>
              <w:t xml:space="preserve">GLASS</w:t>
            </w:r>
          </w:p>
        </w:tc>
        <w:tc>
          <w:tcPr>
            <w:tcW w:type="dxa" w:w="1600"/>
          </w:tcPr>
          <w:p>
            <w:r>
              <w:rPr>
                <w:b w:val="false"/>
                <w:bCs w:val="false"/>
                <w:sz w:val="20"/>
                <w:szCs w:val="20"/>
              </w:rPr>
              <w:t xml:space="preserve">0.805</w:t>
            </w:r>
          </w:p>
        </w:tc>
        <w:tc>
          <w:tcPr>
            <w:tcW w:type="dxa" w:w="1600"/>
          </w:tcPr>
          <w:p>
            <w:r>
              <w:rPr>
                <w:b w:val="false"/>
                <w:bCs w:val="false"/>
                <w:sz w:val="20"/>
                <w:szCs w:val="20"/>
              </w:rPr>
              <w:t xml:space="preserve">0.664</w:t>
            </w:r>
          </w:p>
        </w:tc>
        <w:tc>
          <w:tcPr>
            <w:tcW w:type="dxa" w:w="1600"/>
          </w:tcPr>
          <w:p>
            <w:r>
              <w:rPr>
                <w:b w:val="false"/>
                <w:bCs w:val="false"/>
                <w:sz w:val="20"/>
                <w:szCs w:val="20"/>
              </w:rPr>
              <w:t xml:space="preserve">0.742</w:t>
            </w:r>
          </w:p>
        </w:tc>
        <w:tc>
          <w:tcPr>
            <w:tcW w:type="dxa" w:w="1600"/>
          </w:tcPr>
          <w:p>
            <w:r>
              <w:rPr>
                <w:b w:val="false"/>
                <w:bCs w:val="false"/>
                <w:sz w:val="20"/>
                <w:szCs w:val="20"/>
              </w:rPr>
              <w:t xml:space="preserve">0.728</w:t>
            </w:r>
          </w:p>
        </w:tc>
      </w:tr>
      <w:tr>
        <w:tc>
          <w:tcPr>
            <w:tcW w:type="dxa" w:w="2200"/>
          </w:tcPr>
          <w:p>
            <w:r>
              <w:rPr>
                <w:b w:val="false"/>
                <w:bCs w:val="false"/>
                <w:sz w:val="20"/>
                <w:szCs w:val="20"/>
              </w:rPr>
              <w:t xml:space="preserve">METAL</w:t>
            </w:r>
          </w:p>
        </w:tc>
        <w:tc>
          <w:tcPr>
            <w:tcW w:type="dxa" w:w="1600"/>
          </w:tcPr>
          <w:p>
            <w:r>
              <w:rPr>
                <w:b w:val="false"/>
                <w:bCs w:val="false"/>
                <w:sz w:val="20"/>
                <w:szCs w:val="20"/>
              </w:rPr>
              <w:t xml:space="preserve">0.754</w:t>
            </w:r>
          </w:p>
        </w:tc>
        <w:tc>
          <w:tcPr>
            <w:tcW w:type="dxa" w:w="1600"/>
          </w:tcPr>
          <w:p>
            <w:r>
              <w:rPr>
                <w:b w:val="false"/>
                <w:bCs w:val="false"/>
                <w:sz w:val="20"/>
                <w:szCs w:val="20"/>
              </w:rPr>
              <w:t xml:space="preserve">0.586</w:t>
            </w:r>
          </w:p>
        </w:tc>
        <w:tc>
          <w:tcPr>
            <w:tcW w:type="dxa" w:w="1600"/>
          </w:tcPr>
          <w:p>
            <w:r>
              <w:rPr>
                <w:b w:val="false"/>
                <w:bCs w:val="false"/>
                <w:sz w:val="20"/>
                <w:szCs w:val="20"/>
              </w:rPr>
              <w:t xml:space="preserve">0.648</w:t>
            </w:r>
          </w:p>
        </w:tc>
        <w:tc>
          <w:tcPr>
            <w:tcW w:type="dxa" w:w="1600"/>
          </w:tcPr>
          <w:p>
            <w:r>
              <w:rPr>
                <w:b w:val="false"/>
                <w:bCs w:val="false"/>
                <w:sz w:val="20"/>
                <w:szCs w:val="20"/>
              </w:rPr>
              <w:t xml:space="preserve">0.659</w:t>
            </w:r>
          </w:p>
        </w:tc>
      </w:tr>
      <w:tr>
        <w:tc>
          <w:tcPr>
            <w:tcW w:type="dxa" w:w="2200"/>
          </w:tcPr>
          <w:p>
            <w:r>
              <w:rPr>
                <w:b w:val="false"/>
                <w:bCs w:val="false"/>
                <w:sz w:val="20"/>
                <w:szCs w:val="20"/>
              </w:rPr>
              <w:t xml:space="preserve">PAPER</w:t>
            </w:r>
          </w:p>
        </w:tc>
        <w:tc>
          <w:tcPr>
            <w:tcW w:type="dxa" w:w="1600"/>
          </w:tcPr>
          <w:p>
            <w:r>
              <w:rPr>
                <w:b w:val="false"/>
                <w:bCs w:val="false"/>
                <w:sz w:val="20"/>
                <w:szCs w:val="20"/>
              </w:rPr>
              <w:t xml:space="preserve">0.647</w:t>
            </w:r>
          </w:p>
        </w:tc>
        <w:tc>
          <w:tcPr>
            <w:tcW w:type="dxa" w:w="1600"/>
          </w:tcPr>
          <w:p>
            <w:r>
              <w:rPr>
                <w:b w:val="false"/>
                <w:bCs w:val="false"/>
                <w:sz w:val="20"/>
                <w:szCs w:val="20"/>
              </w:rPr>
              <w:t xml:space="preserve">0.551</w:t>
            </w:r>
          </w:p>
        </w:tc>
        <w:tc>
          <w:tcPr>
            <w:tcW w:type="dxa" w:w="1600"/>
          </w:tcPr>
          <w:p>
            <w:r>
              <w:rPr>
                <w:b w:val="false"/>
                <w:bCs w:val="false"/>
                <w:sz w:val="20"/>
                <w:szCs w:val="20"/>
              </w:rPr>
              <w:t xml:space="preserve">0.596</w:t>
            </w:r>
          </w:p>
        </w:tc>
        <w:tc>
          <w:tcPr>
            <w:tcW w:type="dxa" w:w="1600"/>
          </w:tcPr>
          <w:p>
            <w:r>
              <w:rPr>
                <w:b w:val="false"/>
                <w:bCs w:val="false"/>
                <w:sz w:val="20"/>
                <w:szCs w:val="20"/>
              </w:rPr>
              <w:t xml:space="preserve">0.595</w:t>
            </w:r>
          </w:p>
        </w:tc>
      </w:tr>
      <w:tr>
        <w:tc>
          <w:tcPr>
            <w:tcW w:type="dxa" w:w="2200"/>
          </w:tcPr>
          <w:p>
            <w:r>
              <w:rPr>
                <w:b w:val="false"/>
                <w:bCs w:val="false"/>
                <w:sz w:val="20"/>
                <w:szCs w:val="20"/>
              </w:rPr>
              <w:t xml:space="preserve">PLASTIC</w:t>
            </w:r>
          </w:p>
        </w:tc>
        <w:tc>
          <w:tcPr>
            <w:tcW w:type="dxa" w:w="1600"/>
          </w:tcPr>
          <w:p>
            <w:r>
              <w:rPr>
                <w:b w:val="false"/>
                <w:bCs w:val="false"/>
                <w:sz w:val="20"/>
                <w:szCs w:val="20"/>
              </w:rPr>
              <w:t xml:space="preserve">0.670</w:t>
            </w:r>
          </w:p>
        </w:tc>
        <w:tc>
          <w:tcPr>
            <w:tcW w:type="dxa" w:w="1600"/>
          </w:tcPr>
          <w:p>
            <w:r>
              <w:rPr>
                <w:b w:val="false"/>
                <w:bCs w:val="false"/>
                <w:sz w:val="20"/>
                <w:szCs w:val="20"/>
              </w:rPr>
              <w:t xml:space="preserve">0.554</w:t>
            </w:r>
          </w:p>
        </w:tc>
        <w:tc>
          <w:tcPr>
            <w:tcW w:type="dxa" w:w="1600"/>
          </w:tcPr>
          <w:p>
            <w:r>
              <w:rPr>
                <w:b w:val="false"/>
                <w:bCs w:val="false"/>
                <w:sz w:val="20"/>
                <w:szCs w:val="20"/>
              </w:rPr>
              <w:t xml:space="preserve">0.623</w:t>
            </w:r>
          </w:p>
        </w:tc>
        <w:tc>
          <w:tcPr>
            <w:tcW w:type="dxa" w:w="1600"/>
          </w:tcPr>
          <w:p>
            <w:r>
              <w:rPr>
                <w:b w:val="false"/>
                <w:bCs w:val="false"/>
                <w:sz w:val="20"/>
                <w:szCs w:val="20"/>
              </w:rPr>
              <w:t xml:space="preserve">0.607</w:t>
            </w:r>
          </w:p>
        </w:tc>
      </w:tr>
    </w:tbl>
    <w:p>
      <w:pPr>
        <w:spacing w:after="200"/>
      </w:pPr>
    </w:p>
    <w:p>
      <w:pPr>
        <w:pBdr>
          <w:top w:val="single" w:color="1F4E79" w:sz="6"/>
          <w:bottom w:val="single" w:color="1F4E79" w:sz="6"/>
          <w:left w:val="single" w:color="1F4E79" w:sz="6"/>
          <w:right w:val="single" w:color="1F4E79" w:sz="6"/>
        </w:pBdr>
        <w:spacing w:after="150" w:before="150"/>
        <w:jc w:val="center"/>
      </w:pPr>
      <w:r>
        <w:rPr>
          <w:b/>
          <w:bCs/>
          <w:color w:val="1F4E79"/>
        </w:rPr>
        <w:t xml:space="preserve">[IMAGE PLACEHOLDER: confusion_matrix_normalized.png]</w:t>
      </w:r>
    </w:p>
    <w:p>
      <w:pPr>
        <w:pBdr>
          <w:top w:val="single" w:color="1F4E79" w:sz="6"/>
          <w:bottom w:val="single" w:color="1F4E79" w:sz="6"/>
          <w:left w:val="single" w:color="1F4E79" w:sz="6"/>
          <w:right w:val="single" w:color="1F4E79" w:sz="6"/>
        </w:pBdr>
        <w:spacing w:after="150" w:before="150"/>
        <w:jc w:val="center"/>
      </w:pPr>
      <w:r>
        <w:rPr>
          <w:b/>
          <w:bCs/>
          <w:color w:val="1F4E79"/>
        </w:rPr>
        <w:t xml:space="preserve">[IMAGE PLACEHOLDER: PR_curve.png]</w:t>
      </w:r>
    </w:p>
    <w:p>
      <w:pPr>
        <w:pBdr>
          <w:top w:val="single" w:color="1F4E79" w:sz="6"/>
          <w:bottom w:val="single" w:color="1F4E79" w:sz="6"/>
          <w:left w:val="single" w:color="1F4E79" w:sz="6"/>
          <w:right w:val="single" w:color="1F4E79" w:sz="6"/>
        </w:pBdr>
        <w:spacing w:after="150" w:before="150"/>
        <w:jc w:val="center"/>
      </w:pPr>
      <w:r>
        <w:rPr>
          <w:b/>
          <w:bCs/>
          <w:color w:val="1F4E79"/>
        </w:rPr>
        <w:t xml:space="preserve">[IMAGE PLACEHOLDER: all_experiments_test_comparison.png]</w:t>
      </w:r>
    </w:p>
    <w:p>
      <w:pPr>
        <w:pStyle w:val="Heading2"/>
        <w:outlineLvl w:val="1"/>
      </w:pPr>
      <w:r>
        <w:t xml:space="preserve">5.2 Experimental Design</w:t>
      </w:r>
    </w:p>
    <w:p>
      <w:pPr>
        <w:spacing w:after="200"/>
        <w:jc w:val="both"/>
      </w:pPr>
      <w:r>
        <w:t xml:space="preserve">Experiment 1 — Dropout (0.0 -&gt; 0.2). Hypothesis: adding dropout to the detection head would reduce overfitting and improve generalization. Result: test mAP50 decreased from 0.641 to 0.616 (-0.025), with a consistent decline across nearly all classes. As discussed in Section 3.2, this is attributed to the baseline already exhibiting minimal overfitting, meaning dropout mainly reduced model capacity rather than improving generalization.</w:t>
      </w:r>
    </w:p>
    <w:p>
      <w:pPr>
        <w:spacing w:after="200"/>
        <w:jc w:val="both"/>
      </w:pPr>
      <w:r>
        <w:t xml:space="preserve">Experiment 2 — Optimizer (AdamW-auto -&gt; SGD). Hypothesis: SGD might achieve comparable or better generalization than the automatically-selected AdamW configuration. Result: SGD achieved a slightly lower test mAP50 (0.625 vs. 0.641), but under an unequal comparison — SGD was trained for only 40 epochs (vs. 60 for AdamW) and had not yet plateaued, so this result likely understates SGD's true potential.</w:t>
      </w:r>
    </w:p>
    <w:p>
      <w:pPr>
        <w:spacing w:after="300"/>
        <w:jc w:val="both"/>
      </w:pPr>
      <w:r>
        <w:t xml:space="preserve">Experiment 3 — LR Scheduler (none -&gt; Cosine Annealing). Hypothesis: a cosine learning rate schedule would improve convergence speed and stability. Result: confirmed strongly — the scheduler run reached a test mAP50 of 0.636 in just 40 epochs, nearly matching the 60-epoch baseline (0.641), while showing a visibly smoother validation curve. This was the most impactful optimization tested in this project.</w:t>
      </w:r>
    </w:p>
    <w:p>
      <w:pPr>
        <w:pStyle w:val="Heading2"/>
        <w:outlineLvl w:val="1"/>
      </w:pPr>
      <w:r>
        <w:t xml:space="preserve">5.3 Model Development Process</w:t>
      </w:r>
    </w:p>
    <w:p>
      <w:pPr>
        <w:spacing w:after="200"/>
        <w:jc w:val="both"/>
      </w:pPr>
      <w:r>
        <w:t xml:space="preserve">The initial model was a direct fine-tune of pretrained YOLOv8n on the dataset as originally provided by Roboflow. Early evaluation revealed a critical data quality problem: the provided train/valid/test split was severely imbalanced at the class level, with the GLASS class entirely absent from the test set and the PAPER class drastically underrepresented in validation (33 instances vs. 2,981 in training). This artificially depressed and distorted the initial test mAP50 to 0.433, with some classes (e.g., PAPER at mAP50 = 0.08) appearing to perform far worse than they actually did.</w:t>
      </w:r>
    </w:p>
    <w:p>
      <w:pPr>
        <w:spacing w:after="200"/>
        <w:jc w:val="both"/>
      </w:pPr>
      <w:r>
        <w:t xml:space="preserve">To resolve this, all data was pooled and re-split using a class-stratified 70/15/15 strategy (see Section 4.1), which alone improved test mAP50 to 0.641 — a larger gain than any subsequent architectural or hyperparameter change. This experience underscored that data quality issues can dominate model performance more than architecture or hyperparameter choices, and that verifying dataset splits is a necessary first step before model development.</w:t>
      </w:r>
    </w:p>
    <w:p>
      <w:pPr>
        <w:spacing w:after="300"/>
        <w:jc w:val="both"/>
      </w:pPr>
      <w:r>
        <w:t xml:space="preserve">Building on this corrected baseline, three further modifications were explored (Dropout, SGD, Cosine Scheduler; see Section 5.2). The final selected model is the corrected-split baseline (AdamW-auto, no dropout, 60 epochs), which achieved the best overall test performance (mAP50 = 0.641, mAP50-95 = 0.448, macro F1 = 0.633). The Cosine Scheduler configuration is noted as a strong efficiency-oriented alternative, achieving 99% of the baseline's mAP50 in 33% less training time.</w:t>
      </w:r>
    </w:p>
    <w:p>
      <w:pPr>
        <w:pStyle w:val="Heading2"/>
        <w:outlineLvl w:val="1"/>
      </w:pPr>
      <w:r>
        <w:t xml:space="preserve">5.4 Error Analysis (Optional)</w:t>
      </w:r>
    </w:p>
    <w:p>
      <w:pPr>
        <w:spacing w:after="200"/>
        <w:jc w:val="both"/>
      </w:pPr>
      <w:r>
        <w:t xml:space="preserve">Per-class results reveal that GLASS achieved the highest performance (mAP50 = 0.742, F1 = 0.728), while CARDBOARD and PAPER were the weakest (mAP50 = 0.599 and 0.596, F1 = 0.579 and 0.595, respectively). This may be related to visual distinctiveness — glass objects tend to have consistent reflective/transparent properties, while cardboard and paper share overlapping visual textures with each other and with other classes, increasing confusion.</w:t>
      </w:r>
    </w:p>
    <w:p>
      <w:pPr>
        <w:spacing w:after="200"/>
        <w:jc w:val="both"/>
      </w:pPr>
      <w:r>
        <w:t xml:space="preserve">A further, more striking finding emerged from real-time testing outside the training distribution. When the trained model was deployed on a live webcam feed (see Section 6, Creativity), detection quality visibly degraded compared to test-set performance, particularly under different lighting conditions, backgrounds, and object distances than those present in the training data. This is a classic domain gap problem: the model performs well on data drawn from the same distribution as training (the Roboflow test set) but generalizes less reliably to genuinely novel real-world conditions. This finding is discussed further as a limitation in Section 6.2.</w:t>
      </w:r>
    </w:p>
    <w:p>
      <w:r>
        <w:br w:type="page"/>
      </w:r>
    </w:p>
    <w:p>
      <w:pPr>
        <w:pStyle w:val="Heading1"/>
        <w:outlineLvl w:val="0"/>
      </w:pPr>
      <w:r>
        <w:t xml:space="preserve">6. Conclusion</w:t>
      </w:r>
    </w:p>
    <w:p>
      <w:pPr>
        <w:pStyle w:val="Heading2"/>
        <w:outlineLvl w:val="1"/>
      </w:pPr>
      <w:r>
        <w:t xml:space="preserve">6.1 Summary</w:t>
      </w:r>
    </w:p>
    <w:p>
      <w:pPr>
        <w:spacing w:after="300"/>
        <w:jc w:val="both"/>
      </w:pPr>
      <w:r>
        <w:t xml:space="preserve">This project developed a real-time object detection system for six-class waste classification using a customized YOLOv8n architecture with added Dropout regularization. After identifying and correcting a significant class-imbalance issue in the original dataset split, the best-performing model (baseline configuration: AdamW-auto optimizer, no dropout, 60 epochs) achieved a test mAP50 of 0.641, mAP50-95 of 0.448, and macro F1-score of 0.633. A Cosine Annealing learning rate scheduler was found to substantially improve training efficiency, reaching 99% of the baseline's performance in 33% fewer epochs. The system was further validated through real-time webcam inference, confirming real-time inference speed while also revealing a domain gap between curated test-set images and real-world camera input.</w:t>
      </w:r>
    </w:p>
    <w:p>
      <w:pPr>
        <w:pStyle w:val="Heading2"/>
        <w:outlineLvl w:val="1"/>
      </w:pPr>
      <w:r>
        <w:t xml:space="preserve">6.2 Limitations</w:t>
      </w:r>
    </w:p>
    <w:p>
      <w:pPr>
        <w:spacing w:after="300"/>
        <w:jc w:val="both"/>
      </w:pPr>
      <w:r>
        <w:t xml:space="preserve">Several limitations should be noted. First, the original dataset split provided by the source was found to be severely imbalanced at the class level and required manual correction; while this was addressed, it is possible that residual distributional differences between the corrected splits remain. Second, the SGD optimizer experiment was trained for fewer epochs (40) than the AdamW baseline (60) due to time constraints, making the reported comparison not fully equitable — SGD had not yet converged at its final epoch. Third, class imbalance at the instance level (BIODEGRADABLE accounts for approximately 61% of all training instances) was documented but not directly addressed through techniques such as class-weighted loss or oversampling. Finally, real-time webcam testing revealed a domain gap: performance under varied real-world lighting, backgrounds, and camera angles was visibly lower than on the curated test set, indicating limited robustness to distribution shift.</w:t>
      </w:r>
    </w:p>
    <w:p>
      <w:pPr>
        <w:pStyle w:val="Heading2"/>
        <w:outlineLvl w:val="1"/>
      </w:pPr>
      <w:r>
        <w:t xml:space="preserve">6.3 Future Work</w:t>
      </w:r>
    </w:p>
    <w:p>
      <w:pPr>
        <w:spacing w:after="200"/>
        <w:jc w:val="both"/>
      </w:pPr>
      <w:r>
        <w:t xml:space="preserve">Future improvements could include: (1) applying class-weighted loss functions or oversampling strategies to more directly address instance-level class imbalance; (2) re-running the SGD optimizer comparison with an equal number of epochs to enable a fair comparison with AdamW; (3) fine-tuning on a more diverse set of real-world images (varied lighting, backgrounds, and camera angles) to reduce the observed domain gap; (4) exploring architectural additions such as attention modules (e.g., SE or CBAM blocks) to further improve feature representation; and (5) conducting a systematic dropout-rate ablation (e.g., 0.1, 0.3) beyond the single rate tested in this project.</w:t>
      </w:r>
    </w:p>
    <w:p>
      <w:pPr>
        <w:pStyle w:val="Heading1"/>
        <w:outlineLvl w:val="0"/>
      </w:pPr>
      <w:r>
        <w:t xml:space="preserve">7. References</w:t>
      </w:r>
    </w:p>
    <w:p>
      <w:pPr>
        <w:pStyle w:val="ListParagraph"/>
        <w:numPr>
          <w:ilvl w:val="0"/>
          <w:numId w:val="2"/>
        </w:numPr>
      </w:pPr>
      <w:r>
        <w:t xml:space="preserve">Jocher, G., Chaurasia, A., &amp; Qiu, J. (2023). Ultralytics YOLOv8. https://docs.ultralytics.com</w:t>
      </w:r>
    </w:p>
    <w:p>
      <w:pPr>
        <w:pStyle w:val="ListParagraph"/>
        <w:numPr>
          <w:ilvl w:val="0"/>
          <w:numId w:val="2"/>
        </w:numPr>
      </w:pPr>
      <w:r>
        <w:t xml:space="preserve">Material Identification. (2024). Garbage Classification Dataset. Roboflow Universe. https://universe.roboflow.com/material-identification/garbage-classification-3 (CC BY 4.0)</w:t>
      </w:r>
    </w:p>
    <w:p>
      <w:pPr>
        <w:pStyle w:val="ListParagraph"/>
        <w:numPr>
          <w:ilvl w:val="0"/>
          <w:numId w:val="2"/>
        </w:numPr>
      </w:pPr>
      <w:r>
        <w:t xml:space="preserve">Srivastava, N., Hinton, G., Krizhevsky, A., Sutskever, I., &amp; Salakhutdinov, R. (2014). Dropout: A Simple Way to Prevent Neural Networks from Overfitting. Journal of Machine Learning Research, 15(1), 1929-1958.</w:t>
      </w:r>
    </w:p>
    <w:p>
      <w:pPr>
        <w:pStyle w:val="ListParagraph"/>
        <w:numPr>
          <w:ilvl w:val="0"/>
          <w:numId w:val="2"/>
        </w:numPr>
      </w:pPr>
      <w:r>
        <w:t xml:space="preserve">Ioffe, S., &amp; Szegedy, C. (2015). Batch Normalization: Accelerating Deep Network Training by Reducing Internal Covariate Shift. ICML.</w:t>
      </w:r>
    </w:p>
    <w:p>
      <w:pPr>
        <w:pStyle w:val="ListParagraph"/>
        <w:numPr>
          <w:ilvl w:val="0"/>
          <w:numId w:val="2"/>
        </w:numPr>
      </w:pPr>
      <w:r>
        <w:t xml:space="preserve">Loshchilov, I., &amp; Hutter, F. (2017). SGDR: Stochastic Gradient Descent with Warm Restarts. ICLR.</w:t>
      </w:r>
    </w:p>
    <w:p>
      <w:pPr>
        <w:pStyle w:val="ListParagraph"/>
        <w:numPr>
          <w:ilvl w:val="0"/>
          <w:numId w:val="2"/>
        </w:numPr>
      </w:pPr>
      <w:r>
        <w:t xml:space="preserve">Loshchilov, I., &amp; Hutter, F. (2019). Decoupled Weight Decay Regularization (AdamW). ICLR.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2026-08-21T00:17:14.250Z</dcterms:created>
  <dcterms:modified xsi:type="dcterms:W3CDTF">2026-08-21T00:17:14.266Z</dcterms:modified>
</cp:coreProperties>
</file>

<file path=docProps/custom.xml><?xml version="1.0" encoding="utf-8"?>
<Properties xmlns="http://schemas.openxmlformats.org/officeDocument/2006/custom-properties" xmlns:vt="http://schemas.openxmlformats.org/officeDocument/2006/docPropsVTypes"/>
</file>