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30"/>
          <w:szCs w:val="30"/>
        </w:rPr>
        <w:t xml:space="preserve">Weekly Report — P0 (Warm-up) and P1 (The dashboard is empty at 08:00)</w:t>
      </w:r>
    </w:p>
    <w:p>
      <w:pPr>
        <w:spacing w:after="0"/>
      </w:pPr>
      <w:r>
        <w:rPr>
          <w:rFonts w:ascii="Calibri" w:cs="Calibri" w:eastAsia="Calibri" w:hAnsi="Calibri"/>
          <w:color w:val="595959"/>
          <w:sz w:val="19"/>
          <w:szCs w:val="19"/>
        </w:rPr>
        <w:t xml:space="preserve">Data Structures and Management · Assoc. Prof. Dr. Emre Akadal · Fall 2026</w:t>
      </w:r>
    </w:p>
    <w:p>
      <w:pPr>
        <w:spacing w:after="50" w:line="250"/>
      </w:pPr>
      <w:r>
        <w:rPr>
          <w:rFonts w:ascii="Calibri" w:cs="Calibri" w:eastAsia="Calibri" w:hAnsi="Calibri"/>
          <w:color w:val="595959"/>
          <w:sz w:val="19"/>
          <w:szCs w:val="19"/>
        </w:rPr>
        <w:t xml:space="preserve">Student: Mahmut Eren Akkaymak · Week: 23–29 September 2026 · Repository: github.com/erenkkymak/meydan</w:t>
      </w:r>
    </w:p>
    <w:p>
      <w:pPr>
        <w:keepNext/>
        <w:pBdr>
          <w:bottom w:val="single" w:color="8EAADB" w:sz="4" w:space="1"/>
        </w:pBdr>
        <w:spacing w:after="50" w:before="120"/>
      </w:pPr>
      <w:r>
        <w:rPr>
          <w:rFonts w:ascii="Calibri" w:cs="Calibri" w:eastAsia="Calibri" w:hAnsi="Calibri"/>
          <w:b/>
          <w:bCs/>
          <w:color w:val="1F3864"/>
          <w:sz w:val="23"/>
          <w:szCs w:val="23"/>
        </w:rPr>
        <w:t xml:space="preserve">1. What I did this week</w:t>
      </w:r>
    </w:p>
    <w:p>
      <w:pPr>
        <w:pStyle w:val="ListParagraph"/>
        <w:numPr>
          <w:ilvl w:val="0"/>
          <w:numId w:val="2"/>
        </w:numPr>
        <w:spacing w:after="30" w:line="245"/>
      </w:pPr>
      <w:r>
        <w:rPr>
          <w:rFonts w:ascii="Calibri" w:cs="Calibri" w:eastAsia="Calibri" w:hAnsi="Calibri"/>
          <w:sz w:val="19"/>
          <w:szCs w:val="19"/>
        </w:rPr>
        <w:t xml:space="preserve">Opened the Git repository and fixed my environment for the whole term (see the last line).</w:t>
      </w:r>
    </w:p>
    <w:p>
      <w:pPr>
        <w:pStyle w:val="ListParagraph"/>
        <w:numPr>
          <w:ilvl w:val="0"/>
          <w:numId w:val="2"/>
        </w:numPr>
        <w:spacing w:after="30" w:line="245"/>
      </w:pPr>
      <w:r>
        <w:rPr>
          <w:rFonts w:ascii="Calibri" w:cs="Calibri" w:eastAsia="Calibri" w:hAnsi="Calibri"/>
          <w:sz w:val="19"/>
          <w:szCs w:val="19"/>
        </w:rPr>
        <w:t xml:space="preserve">Wrote a data generator (seed 42) and created the orders table at 4 scales: 10k, 100k, 1M and 10M rows. The top 50 sellers hold 38% of the orders (checked: 37.8–38.1%), and cities are weighted by population.</w:t>
      </w:r>
    </w:p>
    <w:p>
      <w:pPr>
        <w:pStyle w:val="ListParagraph"/>
        <w:numPr>
          <w:ilvl w:val="0"/>
          <w:numId w:val="2"/>
        </w:numPr>
        <w:spacing w:after="30" w:line="245"/>
      </w:pPr>
      <w:r>
        <w:rPr>
          <w:rFonts w:ascii="Calibri" w:cs="Calibri" w:eastAsia="Calibri" w:hAnsi="Calibri"/>
          <w:sz w:val="19"/>
          <w:szCs w:val="19"/>
        </w:rPr>
        <w:t xml:space="preserve">Wrote a measure() helper: 3 cold runs (each in a new Python process), 5 warm runs, median and min–max, seed and n in every row, plus a growth factor column.</w:t>
      </w:r>
    </w:p>
    <w:p>
      <w:pPr>
        <w:pStyle w:val="ListParagraph"/>
        <w:numPr>
          <w:ilvl w:val="0"/>
          <w:numId w:val="2"/>
        </w:numPr>
        <w:spacing w:after="30" w:line="245"/>
      </w:pPr>
      <w:r>
        <w:rPr>
          <w:rFonts w:ascii="Calibri" w:cs="Calibri" w:eastAsia="Calibri" w:hAnsi="Calibri"/>
          <w:sz w:val="19"/>
          <w:szCs w:val="19"/>
        </w:rPr>
        <w:t xml:space="preserve">P0: committed my estimate, then measured the total commission query. P1: committed a new estimate, then measured Q1, Q2 (naive) and Q3 (grouping).</w:t>
      </w:r>
    </w:p>
    <w:p>
      <w:pPr>
        <w:keepNext/>
        <w:pBdr>
          <w:bottom w:val="single" w:color="8EAADB" w:sz="4" w:space="1"/>
        </w:pBdr>
        <w:spacing w:after="50" w:before="120"/>
      </w:pPr>
      <w:r>
        <w:rPr>
          <w:rFonts w:ascii="Calibri" w:cs="Calibri" w:eastAsia="Calibri" w:hAnsi="Calibri"/>
          <w:b/>
          <w:bCs/>
          <w:color w:val="1F3864"/>
          <w:sz w:val="23"/>
          <w:szCs w:val="23"/>
        </w:rPr>
        <w:t xml:space="preserve">2. P0 — Estimate vs. measurement</w:t>
      </w:r>
    </w:p>
    <w:p>
      <w:pPr>
        <w:spacing w:after="50" w:line="250"/>
      </w:pPr>
      <w:r>
        <w:rPr>
          <w:rFonts w:ascii="Calibri" w:cs="Calibri" w:eastAsia="Calibri" w:hAnsi="Calibri"/>
          <w:sz w:val="19"/>
          <w:szCs w:val="19"/>
        </w:rPr>
        <w:t xml:space="preserve">Query: SUM(amount × 0.09). I expected about 2 s at 10M rows and a growth of 10× per 10× data. The real result was 0.51 s (warm). So I was about 4× too pessimistic. SQLite does the sum inside its own C loop and the 482 MB file was already in the Windows file cache, so it read about 19.6 million rows per second. The growth shape was correct: 10.4× and 9.7× above 100k rows.</w:t>
      </w:r>
    </w:p>
    <w:p>
      <w:pPr>
        <w:spacing w:after="50" w:line="250"/>
      </w:pPr>
      <w:r>
        <w:rPr>
          <w:rFonts w:ascii="Calibri" w:cs="Calibri" w:eastAsia="Calibri" w:hAnsi="Calibri"/>
          <w:sz w:val="19"/>
          <w:szCs w:val="19"/>
        </w:rPr>
        <w:t xml:space="preserve">I also found a mistake in my own P0 method: my first “cold” run was only a new connection in the same process, and I ran it only once. That is why cold and warm looked almost the same. In P1 I fixed this with 3 separate fresh processes.</w:t>
      </w:r>
    </w:p>
    <w:p>
      <w:pPr>
        <w:spacing w:after="50" w:line="250"/>
      </w:pPr>
      <w:r>
        <w:rPr>
          <w:rFonts w:ascii="Calibri" w:cs="Calibri" w:eastAsia="Calibri" w:hAnsi="Calibri"/>
          <w:b/>
          <w:bCs/>
          <w:sz w:val="19"/>
          <w:szCs w:val="19"/>
        </w:rPr>
        <w:t xml:space="preserve">Three numbers from the dossier: </w:t>
      </w:r>
      <w:r>
        <w:rPr>
          <w:rFonts w:ascii="Calibri" w:cs="Calibri" w:eastAsia="Calibri" w:hAnsi="Calibri"/>
          <w:sz w:val="19"/>
          <w:szCs w:val="19"/>
        </w:rPr>
        <w:t xml:space="preserve">(1) commission per order = 640 × 9% = 57.60 TL. But 162 M TL ÷ (42,000 × 365) orders = 10.57 TL, so the dossier numbers do not agree — one “order” looks like about 117 TL, not 640 TL. (2) GMV per active customer = 1.8 bn ÷ 620,000 = 2,903 TL (with 2.4 M registered customers it would be only 750 TL). (3) Campaign day ÷ normal day = 380,000 ÷ 42,000 = 9.05×.</w:t>
      </w:r>
    </w:p>
    <w:p>
      <w:pPr>
        <w:keepNext/>
        <w:pBdr>
          <w:bottom w:val="single" w:color="8EAADB" w:sz="4" w:space="1"/>
        </w:pBdr>
        <w:spacing w:after="50" w:before="120"/>
      </w:pPr>
      <w:r>
        <w:rPr>
          <w:rFonts w:ascii="Calibri" w:cs="Calibri" w:eastAsia="Calibri" w:hAnsi="Calibri"/>
          <w:b/>
          <w:bCs/>
          <w:color w:val="1F3864"/>
          <w:sz w:val="23"/>
          <w:szCs w:val="23"/>
        </w:rPr>
        <w:t xml:space="preserve">3. P1 — Results</w:t>
      </w:r>
    </w:p>
    <w:p>
      <w:pPr>
        <w:spacing w:after="50" w:line="250"/>
      </w:pPr>
      <w:r>
        <w:rPr>
          <w:rFonts w:ascii="Calibri" w:cs="Calibri" w:eastAsia="Calibri" w:hAnsi="Calibri"/>
          <w:sz w:val="19"/>
          <w:szCs w:val="19"/>
        </w:rPr>
        <w:t xml:space="preserve">Q2 asks: how many customers bought from two different sellers on the same day? Q2 compares every order with every other order. Q3 answers the same question with GROUP BY. Both return one number (distinct customers). Warm medians: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700"/>
        <w:gridCol w:w="1900"/>
        <w:gridCol w:w="2000"/>
      </w:tblGrid>
      <w:tr>
        <w:tc>
          <w:tcPr>
            <w:tcW w:type="dxa" w:w="2300"/>
            <w:tcBorders>
              <w:top w:val="single" w:color="BFBFBF" w:sz="2"/>
              <w:left w:val="single" w:color="BFBFBF" w:sz="2"/>
              <w:bottom w:val="single" w:color="BFBFBF" w:sz="2"/>
              <w:right w:val="single" w:color="BFBFBF" w:sz="2"/>
            </w:tcBorders>
            <w:shd w:fill="DCE6F2" w:color="auto" w:val="clear"/>
            <w:tcMar>
              <w:top w:type="dxa" w:w="30"/>
              <w:left w:type="dxa" w:w="70"/>
              <w:bottom w:type="dxa" w:w="30"/>
              <w:right w:type="dxa" w:w="70"/>
            </w:tcMar>
          </w:tcPr>
          <w:p>
            <w:pPr>
              <w:jc w:val="left"/>
            </w:pPr>
            <w:r>
              <w:rPr>
                <w:rFonts w:ascii="Calibri" w:cs="Calibri" w:eastAsia="Calibri" w:hAnsi="Calibri"/>
                <w:b/>
                <w:bCs/>
                <w:sz w:val="17"/>
                <w:szCs w:val="17"/>
              </w:rPr>
              <w:t xml:space="preserve">Query</w:t>
            </w:r>
          </w:p>
        </w:tc>
        <w:tc>
          <w:tcPr>
            <w:tcW w:type="dxa" w:w="1500"/>
            <w:tcBorders>
              <w:top w:val="single" w:color="BFBFBF" w:sz="2"/>
              <w:left w:val="single" w:color="BFBFBF" w:sz="2"/>
              <w:bottom w:val="single" w:color="BFBFBF" w:sz="2"/>
              <w:right w:val="single" w:color="BFBFBF" w:sz="2"/>
            </w:tcBorders>
            <w:shd w:fill="DCE6F2" w:color="auto" w:val="clear"/>
            <w:tcMar>
              <w:top w:type="dxa" w:w="30"/>
              <w:left w:type="dxa" w:w="70"/>
              <w:bottom w:type="dxa" w:w="30"/>
              <w:right w:type="dxa" w:w="70"/>
            </w:tcMar>
          </w:tcPr>
          <w:p>
            <w:pPr>
              <w:jc w:val="center"/>
            </w:pPr>
            <w:r>
              <w:rPr>
                <w:rFonts w:ascii="Calibri" w:cs="Calibri" w:eastAsia="Calibri" w:hAnsi="Calibri"/>
                <w:b/>
                <w:bCs/>
                <w:sz w:val="17"/>
                <w:szCs w:val="17"/>
              </w:rPr>
              <w:t xml:space="preserve">n</w:t>
            </w:r>
          </w:p>
        </w:tc>
        <w:tc>
          <w:tcPr>
            <w:tcW w:type="dxa" w:w="1700"/>
            <w:tcBorders>
              <w:top w:val="single" w:color="BFBFBF" w:sz="2"/>
              <w:left w:val="single" w:color="BFBFBF" w:sz="2"/>
              <w:bottom w:val="single" w:color="BFBFBF" w:sz="2"/>
              <w:right w:val="single" w:color="BFBFBF" w:sz="2"/>
            </w:tcBorders>
            <w:shd w:fill="DCE6F2" w:color="auto" w:val="clear"/>
            <w:tcMar>
              <w:top w:type="dxa" w:w="30"/>
              <w:left w:type="dxa" w:w="70"/>
              <w:bottom w:type="dxa" w:w="30"/>
              <w:right w:type="dxa" w:w="70"/>
            </w:tcMar>
          </w:tcPr>
          <w:p>
            <w:pPr>
              <w:jc w:val="center"/>
            </w:pPr>
            <w:r>
              <w:rPr>
                <w:rFonts w:ascii="Calibri" w:cs="Calibri" w:eastAsia="Calibri" w:hAnsi="Calibri"/>
                <w:b/>
                <w:bCs/>
                <w:sz w:val="17"/>
                <w:szCs w:val="17"/>
              </w:rPr>
              <w:t xml:space="preserve">Time (s)</w:t>
            </w:r>
          </w:p>
        </w:tc>
        <w:tc>
          <w:tcPr>
            <w:tcW w:type="dxa" w:w="1900"/>
            <w:tcBorders>
              <w:top w:val="single" w:color="BFBFBF" w:sz="2"/>
              <w:left w:val="single" w:color="BFBFBF" w:sz="2"/>
              <w:bottom w:val="single" w:color="BFBFBF" w:sz="2"/>
              <w:right w:val="single" w:color="BFBFBF" w:sz="2"/>
            </w:tcBorders>
            <w:shd w:fill="DCE6F2" w:color="auto" w:val="clear"/>
            <w:tcMar>
              <w:top w:type="dxa" w:w="30"/>
              <w:left w:type="dxa" w:w="70"/>
              <w:bottom w:type="dxa" w:w="30"/>
              <w:right w:type="dxa" w:w="70"/>
            </w:tcMar>
          </w:tcPr>
          <w:p>
            <w:pPr>
              <w:jc w:val="center"/>
            </w:pPr>
            <w:r>
              <w:rPr>
                <w:rFonts w:ascii="Calibri" w:cs="Calibri" w:eastAsia="Calibri" w:hAnsi="Calibri"/>
                <w:b/>
                <w:bCs/>
                <w:sz w:val="17"/>
                <w:szCs w:val="17"/>
              </w:rPr>
              <w:t xml:space="preserve">Growth factor</w:t>
            </w:r>
          </w:p>
        </w:tc>
        <w:tc>
          <w:tcPr>
            <w:tcW w:type="dxa" w:w="2000"/>
            <w:tcBorders>
              <w:top w:val="single" w:color="BFBFBF" w:sz="2"/>
              <w:left w:val="single" w:color="BFBFBF" w:sz="2"/>
              <w:bottom w:val="single" w:color="BFBFBF" w:sz="2"/>
              <w:right w:val="single" w:color="BFBFBF" w:sz="2"/>
            </w:tcBorders>
            <w:shd w:fill="DCE6F2" w:color="auto" w:val="clear"/>
            <w:tcMar>
              <w:top w:type="dxa" w:w="30"/>
              <w:left w:type="dxa" w:w="70"/>
              <w:bottom w:type="dxa" w:w="30"/>
              <w:right w:type="dxa" w:w="70"/>
            </w:tcMar>
          </w:tcPr>
          <w:p>
            <w:pPr>
              <w:jc w:val="center"/>
            </w:pPr>
            <w:r>
              <w:rPr>
                <w:rFonts w:ascii="Calibri" w:cs="Calibri" w:eastAsia="Calibri" w:hAnsi="Calibri"/>
                <w:b/>
                <w:bCs/>
                <w:sz w:val="17"/>
                <w:szCs w:val="17"/>
              </w:rPr>
              <w:t xml:space="preserve">Customers found</w:t>
            </w:r>
          </w:p>
        </w:tc>
      </w:tr>
      <w:tr>
        <w:tc>
          <w:tcPr>
            <w:tcW w:type="dxa" w:w="2300"/>
            <w:tcBorders>
              <w:top w:val="single" w:color="BFBFBF" w:sz="2"/>
              <w:left w:val="single" w:color="BFBFBF" w:sz="2"/>
              <w:bottom w:val="single" w:color="BFBFBF" w:sz="2"/>
              <w:right w:val="single" w:color="BFBFBF" w:sz="2"/>
            </w:tcBorders>
            <w:tcMar>
              <w:top w:type="dxa" w:w="30"/>
              <w:left w:type="dxa" w:w="70"/>
              <w:bottom w:type="dxa" w:w="30"/>
              <w:right w:type="dxa" w:w="70"/>
            </w:tcMar>
          </w:tcPr>
          <w:p>
            <w:pPr>
              <w:jc w:val="left"/>
            </w:pPr>
            <w:r>
              <w:rPr>
                <w:rFonts w:ascii="Calibri" w:cs="Calibri" w:eastAsia="Calibri" w:hAnsi="Calibri"/>
                <w:b w:val="false"/>
                <w:bCs w:val="false"/>
                <w:sz w:val="17"/>
                <w:szCs w:val="17"/>
              </w:rPr>
              <w:t xml:space="preserve">Q1 commission</w:t>
            </w:r>
          </w:p>
        </w:tc>
        <w:tc>
          <w:tcPr>
            <w:tcW w:type="dxa" w:w="1500"/>
            <w:tcBorders>
              <w:top w:val="single" w:color="BFBFBF" w:sz="2"/>
              <w:left w:val="single" w:color="BFBFBF" w:sz="2"/>
              <w:bottom w:val="single" w:color="BFBFBF" w:sz="2"/>
              <w:right w:val="single" w:color="BFBFBF" w:sz="2"/>
            </w:tcBorders>
            <w:tcMar>
              <w:top w:type="dxa" w:w="30"/>
              <w:left w:type="dxa" w:w="70"/>
              <w:bottom w:type="dxa" w:w="30"/>
              <w:right w:type="dxa" w:w="70"/>
            </w:tcMar>
          </w:tcPr>
          <w:p>
            <w:pPr>
              <w:jc w:val="center"/>
            </w:pPr>
            <w:r>
              <w:rPr>
                <w:rFonts w:ascii="Calibri" w:cs="Calibri" w:eastAsia="Calibri" w:hAnsi="Calibri"/>
                <w:b w:val="false"/>
                <w:bCs w:val="false"/>
                <w:sz w:val="17"/>
                <w:szCs w:val="17"/>
              </w:rPr>
              <w:t xml:space="preserve">10,000,000</w:t>
            </w:r>
          </w:p>
        </w:tc>
        <w:tc>
          <w:tcPr>
            <w:tcW w:type="dxa" w:w="1700"/>
            <w:tcBorders>
              <w:top w:val="single" w:color="BFBFBF" w:sz="2"/>
              <w:left w:val="single" w:color="BFBFBF" w:sz="2"/>
              <w:bottom w:val="single" w:color="BFBFBF" w:sz="2"/>
              <w:right w:val="single" w:color="BFBFBF" w:sz="2"/>
            </w:tcBorders>
            <w:tcMar>
              <w:top w:type="dxa" w:w="30"/>
              <w:left w:type="dxa" w:w="70"/>
              <w:bottom w:type="dxa" w:w="30"/>
              <w:right w:type="dxa" w:w="70"/>
            </w:tcMar>
          </w:tcPr>
          <w:p>
            <w:pPr>
              <w:jc w:val="center"/>
            </w:pPr>
            <w:r>
              <w:rPr>
                <w:rFonts w:ascii="Calibri" w:cs="Calibri" w:eastAsia="Calibri" w:hAnsi="Calibri"/>
                <w:b w:val="false"/>
                <w:bCs w:val="false"/>
                <w:sz w:val="17"/>
                <w:szCs w:val="17"/>
              </w:rPr>
              <w:t xml:space="preserve">0.517</w:t>
            </w:r>
          </w:p>
        </w:tc>
        <w:tc>
          <w:tcPr>
            <w:tcW w:type="dxa" w:w="1900"/>
            <w:tcBorders>
              <w:top w:val="single" w:color="BFBFBF" w:sz="2"/>
              <w:left w:val="single" w:color="BFBFBF" w:sz="2"/>
              <w:bottom w:val="single" w:color="BFBFBF" w:sz="2"/>
              <w:right w:val="single" w:color="BFBFBF" w:sz="2"/>
            </w:tcBorders>
            <w:tcMar>
              <w:top w:type="dxa" w:w="30"/>
              <w:left w:type="dxa" w:w="70"/>
              <w:bottom w:type="dxa" w:w="30"/>
              <w:right w:type="dxa" w:w="70"/>
            </w:tcMar>
          </w:tcPr>
          <w:p>
            <w:pPr>
              <w:jc w:val="center"/>
            </w:pPr>
            <w:r>
              <w:rPr>
                <w:rFonts w:ascii="Calibri" w:cs="Calibri" w:eastAsia="Calibri" w:hAnsi="Calibri"/>
                <w:b w:val="false"/>
                <w:bCs w:val="false"/>
                <w:sz w:val="17"/>
                <w:szCs w:val="17"/>
              </w:rPr>
              <w:t xml:space="preserve">10.1× per 10×</w:t>
            </w:r>
          </w:p>
        </w:tc>
        <w:tc>
          <w:tcPr>
            <w:tcW w:type="dxa" w:w="2000"/>
            <w:tcBorders>
              <w:top w:val="single" w:color="BFBFBF" w:sz="2"/>
              <w:left w:val="single" w:color="BFBFBF" w:sz="2"/>
              <w:bottom w:val="single" w:color="BFBFBF" w:sz="2"/>
              <w:right w:val="single" w:color="BFBFBF" w:sz="2"/>
            </w:tcBorders>
            <w:tcMar>
              <w:top w:type="dxa" w:w="30"/>
              <w:left w:type="dxa" w:w="70"/>
              <w:bottom w:type="dxa" w:w="30"/>
              <w:right w:type="dxa" w:w="70"/>
            </w:tcMar>
          </w:tcPr>
          <w:p>
            <w:pPr>
              <w:jc w:val="center"/>
            </w:pPr>
            <w:r>
              <w:rPr>
                <w:rFonts w:ascii="Calibri" w:cs="Calibri" w:eastAsia="Calibri" w:hAnsi="Calibri"/>
                <w:b w:val="false"/>
                <w:bCs w:val="false"/>
                <w:sz w:val="17"/>
                <w:szCs w:val="17"/>
              </w:rPr>
              <w:t xml:space="preserve">—</w:t>
            </w:r>
          </w:p>
        </w:tc>
      </w:tr>
      <w:tr>
        <w:tc>
          <w:tcPr>
            <w:tcW w:type="dxa" w:w="2300"/>
            <w:tcBorders>
              <w:top w:val="single" w:color="BFBFBF" w:sz="2"/>
              <w:left w:val="single" w:color="BFBFBF" w:sz="2"/>
              <w:bottom w:val="single" w:color="BFBFBF" w:sz="2"/>
              <w:right w:val="single" w:color="BFBFBF" w:sz="2"/>
            </w:tcBorders>
            <w:tcMar>
              <w:top w:type="dxa" w:w="30"/>
              <w:left w:type="dxa" w:w="70"/>
              <w:bottom w:type="dxa" w:w="30"/>
              <w:right w:type="dxa" w:w="70"/>
            </w:tcMar>
          </w:tcPr>
          <w:p>
            <w:pPr>
              <w:jc w:val="left"/>
            </w:pPr>
            <w:r>
              <w:rPr>
                <w:rFonts w:ascii="Calibri" w:cs="Calibri" w:eastAsia="Calibri" w:hAnsi="Calibri"/>
                <w:b w:val="false"/>
                <w:bCs w:val="false"/>
                <w:sz w:val="17"/>
                <w:szCs w:val="17"/>
              </w:rPr>
              <w:t xml:space="preserve">Q2 naive</w:t>
            </w:r>
          </w:p>
        </w:tc>
        <w:tc>
          <w:tcPr>
            <w:tcW w:type="dxa" w:w="1500"/>
            <w:tcBorders>
              <w:top w:val="single" w:color="BFBFBF" w:sz="2"/>
              <w:left w:val="single" w:color="BFBFBF" w:sz="2"/>
              <w:bottom w:val="single" w:color="BFBFBF" w:sz="2"/>
              <w:right w:val="single" w:color="BFBFBF" w:sz="2"/>
            </w:tcBorders>
            <w:tcMar>
              <w:top w:type="dxa" w:w="30"/>
              <w:left w:type="dxa" w:w="70"/>
              <w:bottom w:type="dxa" w:w="30"/>
              <w:right w:type="dxa" w:w="70"/>
            </w:tcMar>
          </w:tcPr>
          <w:p>
            <w:pPr>
              <w:jc w:val="center"/>
            </w:pPr>
            <w:r>
              <w:rPr>
                <w:rFonts w:ascii="Calibri" w:cs="Calibri" w:eastAsia="Calibri" w:hAnsi="Calibri"/>
                <w:b w:val="false"/>
                <w:bCs w:val="false"/>
                <w:sz w:val="17"/>
                <w:szCs w:val="17"/>
              </w:rPr>
              <w:t xml:space="preserve">1,250 → 10,000</w:t>
            </w:r>
          </w:p>
        </w:tc>
        <w:tc>
          <w:tcPr>
            <w:tcW w:type="dxa" w:w="1700"/>
            <w:tcBorders>
              <w:top w:val="single" w:color="BFBFBF" w:sz="2"/>
              <w:left w:val="single" w:color="BFBFBF" w:sz="2"/>
              <w:bottom w:val="single" w:color="BFBFBF" w:sz="2"/>
              <w:right w:val="single" w:color="BFBFBF" w:sz="2"/>
            </w:tcBorders>
            <w:tcMar>
              <w:top w:type="dxa" w:w="30"/>
              <w:left w:type="dxa" w:w="70"/>
              <w:bottom w:type="dxa" w:w="30"/>
              <w:right w:type="dxa" w:w="70"/>
            </w:tcMar>
          </w:tcPr>
          <w:p>
            <w:pPr>
              <w:jc w:val="center"/>
            </w:pPr>
            <w:r>
              <w:rPr>
                <w:rFonts w:ascii="Calibri" w:cs="Calibri" w:eastAsia="Calibri" w:hAnsi="Calibri"/>
                <w:b w:val="false"/>
                <w:bCs w:val="false"/>
                <w:sz w:val="17"/>
                <w:szCs w:val="17"/>
              </w:rPr>
              <w:t xml:space="preserve">0.039 → 2.41</w:t>
            </w:r>
          </w:p>
        </w:tc>
        <w:tc>
          <w:tcPr>
            <w:tcW w:type="dxa" w:w="1900"/>
            <w:tcBorders>
              <w:top w:val="single" w:color="BFBFBF" w:sz="2"/>
              <w:left w:val="single" w:color="BFBFBF" w:sz="2"/>
              <w:bottom w:val="single" w:color="BFBFBF" w:sz="2"/>
              <w:right w:val="single" w:color="BFBFBF" w:sz="2"/>
            </w:tcBorders>
            <w:tcMar>
              <w:top w:type="dxa" w:w="30"/>
              <w:left w:type="dxa" w:w="70"/>
              <w:bottom w:type="dxa" w:w="30"/>
              <w:right w:type="dxa" w:w="70"/>
            </w:tcMar>
          </w:tcPr>
          <w:p>
            <w:pPr>
              <w:jc w:val="center"/>
            </w:pPr>
            <w:r>
              <w:rPr>
                <w:rFonts w:ascii="Calibri" w:cs="Calibri" w:eastAsia="Calibri" w:hAnsi="Calibri"/>
                <w:b w:val="false"/>
                <w:bCs w:val="false"/>
                <w:sz w:val="17"/>
                <w:szCs w:val="17"/>
              </w:rPr>
              <w:t xml:space="preserve">3.9–4.0× per 2×</w:t>
            </w:r>
          </w:p>
        </w:tc>
        <w:tc>
          <w:tcPr>
            <w:tcW w:type="dxa" w:w="2000"/>
            <w:tcBorders>
              <w:top w:val="single" w:color="BFBFBF" w:sz="2"/>
              <w:left w:val="single" w:color="BFBFBF" w:sz="2"/>
              <w:bottom w:val="single" w:color="BFBFBF" w:sz="2"/>
              <w:right w:val="single" w:color="BFBFBF" w:sz="2"/>
            </w:tcBorders>
            <w:tcMar>
              <w:top w:type="dxa" w:w="30"/>
              <w:left w:type="dxa" w:w="70"/>
              <w:bottom w:type="dxa" w:w="30"/>
              <w:right w:type="dxa" w:w="70"/>
            </w:tcMar>
          </w:tcPr>
          <w:p>
            <w:pPr>
              <w:jc w:val="center"/>
            </w:pPr>
            <w:r>
              <w:rPr>
                <w:rFonts w:ascii="Calibri" w:cs="Calibri" w:eastAsia="Calibri" w:hAnsi="Calibri"/>
                <w:b w:val="false"/>
                <w:bCs w:val="false"/>
                <w:sz w:val="17"/>
                <w:szCs w:val="17"/>
              </w:rPr>
              <w:t xml:space="preserve">0 / 4 / 22 / 86</w:t>
            </w:r>
          </w:p>
        </w:tc>
      </w:tr>
      <w:tr>
        <w:tc>
          <w:tcPr>
            <w:tcW w:type="dxa" w:w="2300"/>
            <w:tcBorders>
              <w:top w:val="single" w:color="BFBFBF" w:sz="2"/>
              <w:left w:val="single" w:color="BFBFBF" w:sz="2"/>
              <w:bottom w:val="single" w:color="BFBFBF" w:sz="2"/>
              <w:right w:val="single" w:color="BFBFBF" w:sz="2"/>
            </w:tcBorders>
            <w:tcMar>
              <w:top w:type="dxa" w:w="30"/>
              <w:left w:type="dxa" w:w="70"/>
              <w:bottom w:type="dxa" w:w="30"/>
              <w:right w:type="dxa" w:w="70"/>
            </w:tcMar>
          </w:tcPr>
          <w:p>
            <w:pPr>
              <w:jc w:val="left"/>
            </w:pPr>
            <w:r>
              <w:rPr>
                <w:rFonts w:ascii="Calibri" w:cs="Calibri" w:eastAsia="Calibri" w:hAnsi="Calibri"/>
                <w:b w:val="false"/>
                <w:bCs w:val="false"/>
                <w:sz w:val="17"/>
                <w:szCs w:val="17"/>
              </w:rPr>
              <w:t xml:space="preserve">Q3 GROUP BY</w:t>
            </w:r>
          </w:p>
        </w:tc>
        <w:tc>
          <w:tcPr>
            <w:tcW w:type="dxa" w:w="1500"/>
            <w:tcBorders>
              <w:top w:val="single" w:color="BFBFBF" w:sz="2"/>
              <w:left w:val="single" w:color="BFBFBF" w:sz="2"/>
              <w:bottom w:val="single" w:color="BFBFBF" w:sz="2"/>
              <w:right w:val="single" w:color="BFBFBF" w:sz="2"/>
            </w:tcBorders>
            <w:tcMar>
              <w:top w:type="dxa" w:w="30"/>
              <w:left w:type="dxa" w:w="70"/>
              <w:bottom w:type="dxa" w:w="30"/>
              <w:right w:type="dxa" w:w="70"/>
            </w:tcMar>
          </w:tcPr>
          <w:p>
            <w:pPr>
              <w:jc w:val="center"/>
            </w:pPr>
            <w:r>
              <w:rPr>
                <w:rFonts w:ascii="Calibri" w:cs="Calibri" w:eastAsia="Calibri" w:hAnsi="Calibri"/>
                <w:b w:val="false"/>
                <w:bCs w:val="false"/>
                <w:sz w:val="17"/>
                <w:szCs w:val="17"/>
              </w:rPr>
              <w:t xml:space="preserve">10,000</w:t>
            </w:r>
          </w:p>
        </w:tc>
        <w:tc>
          <w:tcPr>
            <w:tcW w:type="dxa" w:w="1700"/>
            <w:tcBorders>
              <w:top w:val="single" w:color="BFBFBF" w:sz="2"/>
              <w:left w:val="single" w:color="BFBFBF" w:sz="2"/>
              <w:bottom w:val="single" w:color="BFBFBF" w:sz="2"/>
              <w:right w:val="single" w:color="BFBFBF" w:sz="2"/>
            </w:tcBorders>
            <w:tcMar>
              <w:top w:type="dxa" w:w="30"/>
              <w:left w:type="dxa" w:w="70"/>
              <w:bottom w:type="dxa" w:w="30"/>
              <w:right w:type="dxa" w:w="70"/>
            </w:tcMar>
          </w:tcPr>
          <w:p>
            <w:pPr>
              <w:jc w:val="center"/>
            </w:pPr>
            <w:r>
              <w:rPr>
                <w:rFonts w:ascii="Calibri" w:cs="Calibri" w:eastAsia="Calibri" w:hAnsi="Calibri"/>
                <w:b w:val="false"/>
                <w:bCs w:val="false"/>
                <w:sz w:val="17"/>
                <w:szCs w:val="17"/>
              </w:rPr>
              <w:t xml:space="preserve">0.0033</w:t>
            </w:r>
          </w:p>
        </w:tc>
        <w:tc>
          <w:tcPr>
            <w:tcW w:type="dxa" w:w="1900"/>
            <w:tcBorders>
              <w:top w:val="single" w:color="BFBFBF" w:sz="2"/>
              <w:left w:val="single" w:color="BFBFBF" w:sz="2"/>
              <w:bottom w:val="single" w:color="BFBFBF" w:sz="2"/>
              <w:right w:val="single" w:color="BFBFBF" w:sz="2"/>
            </w:tcBorders>
            <w:tcMar>
              <w:top w:type="dxa" w:w="30"/>
              <w:left w:type="dxa" w:w="70"/>
              <w:bottom w:type="dxa" w:w="30"/>
              <w:right w:type="dxa" w:w="70"/>
            </w:tcMar>
          </w:tcPr>
          <w:p>
            <w:pPr>
              <w:jc w:val="center"/>
            </w:pPr>
            <w:r>
              <w:rPr>
                <w:rFonts w:ascii="Calibri" w:cs="Calibri" w:eastAsia="Calibri" w:hAnsi="Calibri"/>
                <w:b w:val="false"/>
                <w:bCs w:val="false"/>
                <w:sz w:val="17"/>
                <w:szCs w:val="17"/>
              </w:rPr>
              <w:t xml:space="preserve">—</w:t>
            </w:r>
          </w:p>
        </w:tc>
        <w:tc>
          <w:tcPr>
            <w:tcW w:type="dxa" w:w="2000"/>
            <w:tcBorders>
              <w:top w:val="single" w:color="BFBFBF" w:sz="2"/>
              <w:left w:val="single" w:color="BFBFBF" w:sz="2"/>
              <w:bottom w:val="single" w:color="BFBFBF" w:sz="2"/>
              <w:right w:val="single" w:color="BFBFBF" w:sz="2"/>
            </w:tcBorders>
            <w:tcMar>
              <w:top w:type="dxa" w:w="30"/>
              <w:left w:type="dxa" w:w="70"/>
              <w:bottom w:type="dxa" w:w="30"/>
              <w:right w:type="dxa" w:w="70"/>
            </w:tcMar>
          </w:tcPr>
          <w:p>
            <w:pPr>
              <w:jc w:val="center"/>
            </w:pPr>
            <w:r>
              <w:rPr>
                <w:rFonts w:ascii="Calibri" w:cs="Calibri" w:eastAsia="Calibri" w:hAnsi="Calibri"/>
                <w:b w:val="false"/>
                <w:bCs w:val="false"/>
                <w:sz w:val="17"/>
                <w:szCs w:val="17"/>
              </w:rPr>
              <w:t xml:space="preserve">86</w:t>
            </w:r>
          </w:p>
        </w:tc>
      </w:tr>
      <w:tr>
        <w:tc>
          <w:tcPr>
            <w:tcW w:type="dxa" w:w="2300"/>
            <w:tcBorders>
              <w:top w:val="single" w:color="BFBFBF" w:sz="2"/>
              <w:left w:val="single" w:color="BFBFBF" w:sz="2"/>
              <w:bottom w:val="single" w:color="BFBFBF" w:sz="2"/>
              <w:right w:val="single" w:color="BFBFBF" w:sz="2"/>
            </w:tcBorders>
            <w:tcMar>
              <w:top w:type="dxa" w:w="30"/>
              <w:left w:type="dxa" w:w="70"/>
              <w:bottom w:type="dxa" w:w="30"/>
              <w:right w:type="dxa" w:w="70"/>
            </w:tcMar>
          </w:tcPr>
          <w:p>
            <w:pPr>
              <w:jc w:val="left"/>
            </w:pPr>
            <w:r>
              <w:rPr>
                <w:rFonts w:ascii="Calibri" w:cs="Calibri" w:eastAsia="Calibri" w:hAnsi="Calibri"/>
                <w:b w:val="false"/>
                <w:bCs w:val="false"/>
                <w:sz w:val="17"/>
                <w:szCs w:val="17"/>
              </w:rPr>
              <w:t xml:space="preserve">Q3 GROUP BY</w:t>
            </w:r>
          </w:p>
        </w:tc>
        <w:tc>
          <w:tcPr>
            <w:tcW w:type="dxa" w:w="1500"/>
            <w:tcBorders>
              <w:top w:val="single" w:color="BFBFBF" w:sz="2"/>
              <w:left w:val="single" w:color="BFBFBF" w:sz="2"/>
              <w:bottom w:val="single" w:color="BFBFBF" w:sz="2"/>
              <w:right w:val="single" w:color="BFBFBF" w:sz="2"/>
            </w:tcBorders>
            <w:tcMar>
              <w:top w:type="dxa" w:w="30"/>
              <w:left w:type="dxa" w:w="70"/>
              <w:bottom w:type="dxa" w:w="30"/>
              <w:right w:type="dxa" w:w="70"/>
            </w:tcMar>
          </w:tcPr>
          <w:p>
            <w:pPr>
              <w:jc w:val="center"/>
            </w:pPr>
            <w:r>
              <w:rPr>
                <w:rFonts w:ascii="Calibri" w:cs="Calibri" w:eastAsia="Calibri" w:hAnsi="Calibri"/>
                <w:b w:val="false"/>
                <w:bCs w:val="false"/>
                <w:sz w:val="17"/>
                <w:szCs w:val="17"/>
              </w:rPr>
              <w:t xml:space="preserve">10,000,000</w:t>
            </w:r>
          </w:p>
        </w:tc>
        <w:tc>
          <w:tcPr>
            <w:tcW w:type="dxa" w:w="1700"/>
            <w:tcBorders>
              <w:top w:val="single" w:color="BFBFBF" w:sz="2"/>
              <w:left w:val="single" w:color="BFBFBF" w:sz="2"/>
              <w:bottom w:val="single" w:color="BFBFBF" w:sz="2"/>
              <w:right w:val="single" w:color="BFBFBF" w:sz="2"/>
            </w:tcBorders>
            <w:tcMar>
              <w:top w:type="dxa" w:w="30"/>
              <w:left w:type="dxa" w:w="70"/>
              <w:bottom w:type="dxa" w:w="30"/>
              <w:right w:type="dxa" w:w="70"/>
            </w:tcMar>
          </w:tcPr>
          <w:p>
            <w:pPr>
              <w:jc w:val="center"/>
            </w:pPr>
            <w:r>
              <w:rPr>
                <w:rFonts w:ascii="Calibri" w:cs="Calibri" w:eastAsia="Calibri" w:hAnsi="Calibri"/>
                <w:b w:val="false"/>
                <w:bCs w:val="false"/>
                <w:sz w:val="17"/>
                <w:szCs w:val="17"/>
              </w:rPr>
              <w:t xml:space="preserve">5.62</w:t>
            </w:r>
          </w:p>
        </w:tc>
        <w:tc>
          <w:tcPr>
            <w:tcW w:type="dxa" w:w="1900"/>
            <w:tcBorders>
              <w:top w:val="single" w:color="BFBFBF" w:sz="2"/>
              <w:left w:val="single" w:color="BFBFBF" w:sz="2"/>
              <w:bottom w:val="single" w:color="BFBFBF" w:sz="2"/>
              <w:right w:val="single" w:color="BFBFBF" w:sz="2"/>
            </w:tcBorders>
            <w:tcMar>
              <w:top w:type="dxa" w:w="30"/>
              <w:left w:type="dxa" w:w="70"/>
              <w:bottom w:type="dxa" w:w="30"/>
              <w:right w:type="dxa" w:w="70"/>
            </w:tcMar>
          </w:tcPr>
          <w:p>
            <w:pPr>
              <w:jc w:val="center"/>
            </w:pPr>
            <w:r>
              <w:rPr>
                <w:rFonts w:ascii="Calibri" w:cs="Calibri" w:eastAsia="Calibri" w:hAnsi="Calibri"/>
                <w:b w:val="false"/>
                <w:bCs w:val="false"/>
                <w:sz w:val="17"/>
                <w:szCs w:val="17"/>
              </w:rPr>
              <w:t xml:space="preserve">10.8–13.2× per 10×</w:t>
            </w:r>
          </w:p>
        </w:tc>
        <w:tc>
          <w:tcPr>
            <w:tcW w:type="dxa" w:w="2000"/>
            <w:tcBorders>
              <w:top w:val="single" w:color="BFBFBF" w:sz="2"/>
              <w:left w:val="single" w:color="BFBFBF" w:sz="2"/>
              <w:bottom w:val="single" w:color="BFBFBF" w:sz="2"/>
              <w:right w:val="single" w:color="BFBFBF" w:sz="2"/>
            </w:tcBorders>
            <w:tcMar>
              <w:top w:type="dxa" w:w="30"/>
              <w:left w:type="dxa" w:w="70"/>
              <w:bottom w:type="dxa" w:w="30"/>
              <w:right w:type="dxa" w:w="70"/>
            </w:tcMar>
          </w:tcPr>
          <w:p>
            <w:pPr>
              <w:jc w:val="center"/>
            </w:pPr>
            <w:r>
              <w:rPr>
                <w:rFonts w:ascii="Calibri" w:cs="Calibri" w:eastAsia="Calibri" w:hAnsi="Calibri"/>
                <w:b w:val="false"/>
                <w:bCs w:val="false"/>
                <w:sz w:val="17"/>
                <w:szCs w:val="17"/>
              </w:rPr>
              <w:t xml:space="preserve">82,751</w:t>
            </w:r>
          </w:p>
        </w:tc>
      </w:tr>
    </w:tbl>
    <w:p>
      <w:pPr>
        <w:spacing w:after="50" w:before="60" w:line="250"/>
      </w:pPr>
      <w:r>
        <w:rPr>
          <w:rFonts w:ascii="Calibri" w:cs="Calibri" w:eastAsia="Calibri" w:hAnsi="Calibri"/>
          <w:b/>
          <w:bCs/>
          <w:sz w:val="19"/>
          <w:szCs w:val="19"/>
        </w:rPr>
        <w:t xml:space="preserve">Key points: </w:t>
      </w:r>
      <w:r>
        <w:rPr>
          <w:rFonts w:ascii="Calibri" w:cs="Calibri" w:eastAsia="Calibri" w:hAnsi="Calibri"/>
          <w:sz w:val="19"/>
          <w:szCs w:val="19"/>
        </w:rPr>
        <w:t xml:space="preserve">Q2 grows about 4× every time the data doubles, so its time grows with n² (measured exponent 1.98). Q3 gives exactly the same answer as Q2 at every size (0, 4, 22, 86), and at 10,000 rows it is about 730× faster. I did not run Q2 on 100k and 1M rows; from the pattern it would take about 4 minutes and about 6.2 hours. I switched off SQLite’s automatic index, because otherwise the “naive” query is secretly not naive.</w:t>
      </w:r>
    </w:p>
    <w:p>
      <w:pPr>
        <w:spacing w:after="20"/>
        <w:jc w:val="center"/>
      </w:pPr>
      <w:r>
        <w:drawing>
          <wp:inline distT="0" distB="0" distL="0" distR="0">
            <wp:extent cx="40957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667000"/>
                    </a:xfrm>
                    <a:prstGeom prst="rect">
                      <a:avLst/>
                    </a:prstGeom>
                  </pic:spPr>
                </pic:pic>
              </a:graphicData>
            </a:graphic>
          </wp:inline>
        </w:drawing>
      </w:r>
    </w:p>
    <w:p>
      <w:pPr>
        <w:spacing w:after="50" w:line="250"/>
        <w:jc w:val="center"/>
      </w:pPr>
      <w:r>
        <w:rPr>
          <w:rFonts w:ascii="Calibri" w:cs="Calibri" w:eastAsia="Calibri" w:hAnsi="Calibri"/>
          <w:i/>
          <w:iCs/>
          <w:color w:val="595959"/>
          <w:sz w:val="16"/>
          <w:szCs w:val="16"/>
        </w:rPr>
        <w:t xml:space="preserve">Figure 1. Rows vs. time, log–log scale. Q1 and Q3 have slope ≈ 1, Q2 has slope ≈ 2.</w:t>
      </w:r>
    </w:p>
    <w:p>
      <w:pPr>
        <w:keepNext/>
        <w:pBdr>
          <w:bottom w:val="single" w:color="8EAADB" w:sz="4" w:space="1"/>
        </w:pBdr>
        <w:spacing w:after="50" w:before="120"/>
      </w:pPr>
      <w:r>
        <w:rPr>
          <w:rFonts w:ascii="Calibri" w:cs="Calibri" w:eastAsia="Calibri" w:hAnsi="Calibri"/>
          <w:b/>
          <w:bCs/>
          <w:color w:val="1F3864"/>
          <w:sz w:val="23"/>
          <w:szCs w:val="23"/>
        </w:rPr>
        <w:t xml:space="preserve">4. My answer to Sinem (CFO)</w:t>
      </w:r>
    </w:p>
    <w:p>
      <w:pPr>
        <w:spacing w:after="50" w:line="250"/>
      </w:pPr>
      <w:r>
        <w:rPr>
          <w:rFonts w:ascii="Calibri" w:cs="Calibri" w:eastAsia="Calibri" w:hAnsi="Calibri"/>
          <w:b/>
          <w:bCs/>
          <w:sz w:val="19"/>
          <w:szCs w:val="19"/>
        </w:rPr>
        <w:t xml:space="preserve">No, I would not approve the bigger server. </w:t>
      </w:r>
      <w:r>
        <w:rPr>
          <w:rFonts w:ascii="Calibri" w:cs="Calibri" w:eastAsia="Calibri" w:hAnsi="Calibri"/>
          <w:sz w:val="19"/>
          <w:szCs w:val="19"/>
        </w:rPr>
        <w:t xml:space="preserve">The number behind this is Q2’s growth factor: 2× data gives 4× time. A 2× server can only halve the time one time, but data grows 60% every year.</w:t>
      </w:r>
    </w:p>
    <w:p>
      <w:pPr>
        <w:pStyle w:val="ListParagraph"/>
        <w:numPr>
          <w:ilvl w:val="0"/>
          <w:numId w:val="2"/>
        </w:numPr>
        <w:spacing w:after="30" w:line="245"/>
      </w:pPr>
      <w:r>
        <w:rPr>
          <w:rFonts w:ascii="Calibri" w:cs="Calibri" w:eastAsia="Calibri" w:hAnsi="Calibri"/>
          <w:sz w:val="19"/>
          <w:szCs w:val="19"/>
        </w:rPr>
        <w:t xml:space="preserve">In 12 months, if time grows like the data: 11 × 1.6 = 17.6 h (8.8 h with the big server). If it grows like Q2: 11 × 2.56 = 28.2 h (14.1 h with the big server). Both are still too late for 08:00.</w:t>
      </w:r>
    </w:p>
    <w:p>
      <w:pPr>
        <w:pStyle w:val="ListParagraph"/>
        <w:numPr>
          <w:ilvl w:val="0"/>
          <w:numId w:val="2"/>
        </w:numPr>
        <w:spacing w:after="30" w:line="245"/>
      </w:pPr>
      <w:r>
        <w:rPr>
          <w:rFonts w:ascii="Calibri" w:cs="Calibri" w:eastAsia="Calibri" w:hAnsi="Calibri"/>
          <w:sz w:val="19"/>
          <w:szCs w:val="19"/>
        </w:rPr>
        <w:t xml:space="preserve">The empty dashboard costs 40 × 2 h × 350 TL = 28,000 TL per day, about 616,000 TL per month. The server costs 95,000 TL per month. This makes the problem urgent, but the real fix is to find and rewrite the slow step. A one-month server only makes sense as a short bridge.</w:t>
      </w:r>
    </w:p>
    <w:p>
      <w:pPr>
        <w:pStyle w:val="ListParagraph"/>
        <w:numPr>
          <w:ilvl w:val="0"/>
          <w:numId w:val="2"/>
        </w:numPr>
        <w:spacing w:after="30" w:line="245"/>
      </w:pPr>
      <w:r>
        <w:rPr>
          <w:rFonts w:ascii="Calibri" w:cs="Calibri" w:eastAsia="Calibri" w:hAnsi="Calibri"/>
          <w:sz w:val="19"/>
          <w:szCs w:val="19"/>
        </w:rPr>
        <w:t xml:space="preserve">Assumption: the real ETL has a step like Q2. The case supports this: data grew about 40% in 9 months but the job time grew 83%.</w:t>
      </w:r>
    </w:p>
    <w:p>
      <w:pPr>
        <w:keepNext/>
        <w:pBdr>
          <w:bottom w:val="single" w:color="8EAADB" w:sz="4" w:space="1"/>
        </w:pBdr>
        <w:spacing w:after="50" w:before="120"/>
      </w:pPr>
      <w:r>
        <w:rPr>
          <w:rFonts w:ascii="Calibri" w:cs="Calibri" w:eastAsia="Calibri" w:hAnsi="Calibri"/>
          <w:b/>
          <w:bCs/>
          <w:color w:val="1F3864"/>
          <w:sz w:val="23"/>
          <w:szCs w:val="23"/>
        </w:rPr>
        <w:t xml:space="preserve">5. What I learned and what went wrong</w:t>
      </w:r>
    </w:p>
    <w:p>
      <w:pPr>
        <w:pStyle w:val="ListParagraph"/>
        <w:numPr>
          <w:ilvl w:val="0"/>
          <w:numId w:val="2"/>
        </w:numPr>
        <w:spacing w:after="30" w:line="245"/>
      </w:pPr>
      <w:r>
        <w:rPr>
          <w:rFonts w:ascii="Calibri" w:cs="Calibri" w:eastAsia="Calibri" w:hAnsi="Calibri"/>
          <w:sz w:val="19"/>
          <w:szCs w:val="19"/>
        </w:rPr>
        <w:t xml:space="preserve">The growth shape (1× or n²) was more important for the decision than the exact seconds. My P1 estimates had the right shapes but were 20–40% off in seconds.</w:t>
      </w:r>
    </w:p>
    <w:p>
      <w:pPr>
        <w:pStyle w:val="ListParagraph"/>
        <w:numPr>
          <w:ilvl w:val="0"/>
          <w:numId w:val="2"/>
        </w:numPr>
        <w:spacing w:after="30" w:line="245"/>
      </w:pPr>
      <w:r>
        <w:rPr>
          <w:rFonts w:ascii="Calibri" w:cs="Calibri" w:eastAsia="Calibri" w:hAnsi="Calibri"/>
          <w:sz w:val="19"/>
          <w:szCs w:val="19"/>
        </w:rPr>
        <w:t xml:space="preserve">A “cold” run must really be cold, and one run is not a measurement.</w:t>
      </w:r>
    </w:p>
    <w:p>
      <w:pPr>
        <w:pStyle w:val="ListParagraph"/>
        <w:numPr>
          <w:ilvl w:val="0"/>
          <w:numId w:val="2"/>
        </w:numPr>
        <w:spacing w:after="30" w:line="245"/>
      </w:pPr>
      <w:r>
        <w:rPr>
          <w:rFonts w:ascii="Calibri" w:cs="Calibri" w:eastAsia="Calibri" w:hAnsi="Calibri"/>
          <w:sz w:val="19"/>
          <w:szCs w:val="19"/>
        </w:rPr>
        <w:t xml:space="preserve">My first explanation for the 21× jump from 10k to 100k in P0 was backwards. The real reason: the 10k table fits in SQLite’s 2 MB page cache, the 100k table does not.</w:t>
      </w:r>
    </w:p>
    <w:p>
      <w:pPr>
        <w:pStyle w:val="ListParagraph"/>
        <w:numPr>
          <w:ilvl w:val="0"/>
          <w:numId w:val="2"/>
        </w:numPr>
        <w:spacing w:after="30" w:line="245"/>
      </w:pPr>
      <w:r>
        <w:rPr>
          <w:rFonts w:ascii="Calibri" w:cs="Calibri" w:eastAsia="Calibri" w:hAnsi="Calibri"/>
          <w:sz w:val="19"/>
          <w:szCs w:val="19"/>
        </w:rPr>
        <w:t xml:space="preserve">The measurements must run on my Windows machine, not on another environment, so I ran the benchmark with a .bat file on the same PC.</w:t>
      </w:r>
    </w:p>
    <w:p>
      <w:pPr>
        <w:keepNext/>
        <w:pBdr>
          <w:bottom w:val="single" w:color="8EAADB" w:sz="4" w:space="1"/>
        </w:pBdr>
        <w:spacing w:after="50" w:before="120"/>
      </w:pPr>
      <w:r>
        <w:rPr>
          <w:rFonts w:ascii="Calibri" w:cs="Calibri" w:eastAsia="Calibri" w:hAnsi="Calibri"/>
          <w:b/>
          <w:bCs/>
          <w:color w:val="1F3864"/>
          <w:sz w:val="23"/>
          <w:szCs w:val="23"/>
        </w:rPr>
        <w:t xml:space="preserve">6. AI use</w:t>
      </w:r>
    </w:p>
    <w:p>
      <w:pPr>
        <w:spacing w:after="50" w:line="250"/>
      </w:pPr>
      <w:r>
        <w:rPr>
          <w:rFonts w:ascii="Calibri" w:cs="Calibri" w:eastAsia="Calibri" w:hAnsi="Calibri"/>
          <w:sz w:val="19"/>
          <w:szCs w:val="19"/>
        </w:rPr>
        <w:t xml:space="preserve">I used an AI model to write the generator, the measure() helper and the queries, and to review my report. It was wrong in three places: its first “naive” query would have used an automatic index, it first counted order pairs instead of distinct customers, and it explained the 10k→100k jump in the wrong direction. I found these with EXPLAIN QUERY PLAN, by checking that Q2 = Q3, and by checking the direction of the numbers.</w:t>
      </w:r>
    </w:p>
    <w:p>
      <w:pPr>
        <w:keepNext/>
        <w:pBdr>
          <w:bottom w:val="single" w:color="8EAADB" w:sz="4" w:space="1"/>
        </w:pBdr>
        <w:spacing w:after="50" w:before="120"/>
      </w:pPr>
      <w:r>
        <w:rPr>
          <w:rFonts w:ascii="Calibri" w:cs="Calibri" w:eastAsia="Calibri" w:hAnsi="Calibri"/>
          <w:b/>
          <w:bCs/>
          <w:color w:val="1F3864"/>
          <w:sz w:val="23"/>
          <w:szCs w:val="23"/>
        </w:rPr>
        <w:t xml:space="preserve">7. Next week</w:t>
      </w:r>
    </w:p>
    <w:p>
      <w:pPr>
        <w:pStyle w:val="ListParagraph"/>
        <w:numPr>
          <w:ilvl w:val="0"/>
          <w:numId w:val="2"/>
        </w:numPr>
        <w:spacing w:after="30" w:line="245"/>
      </w:pPr>
      <w:r>
        <w:rPr>
          <w:rFonts w:ascii="Calibri" w:cs="Calibri" w:eastAsia="Calibri" w:hAnsi="Calibri"/>
          <w:sz w:val="19"/>
          <w:szCs w:val="19"/>
        </w:rPr>
        <w:t xml:space="preserve">Push the repository to GitHub under the name meydan and post the link to Classroom.</w:t>
      </w:r>
    </w:p>
    <w:p>
      <w:pPr>
        <w:pStyle w:val="ListParagraph"/>
        <w:numPr>
          <w:ilvl w:val="0"/>
          <w:numId w:val="2"/>
        </w:numPr>
        <w:spacing w:after="30" w:line="245"/>
      </w:pPr>
      <w:r>
        <w:rPr>
          <w:rFonts w:ascii="Calibri" w:cs="Calibri" w:eastAsia="Calibri" w:hAnsi="Calibri"/>
          <w:sz w:val="19"/>
          <w:szCs w:val="19"/>
        </w:rPr>
        <w:t xml:space="preserve">Prepare my budget table (400,000 TL / 30 engineer-days) so I can use it in the next case.</w:t>
      </w:r>
    </w:p>
    <w:p>
      <w:pPr>
        <w:spacing w:before="100"/>
      </w:pPr>
      <w:r>
        <w:rPr>
          <w:rFonts w:ascii="Calibri" w:cs="Calibri" w:eastAsia="Calibri" w:hAnsi="Calibri"/>
          <w:color w:val="7F7F7F"/>
          <w:sz w:val="15"/>
          <w:szCs w:val="15"/>
        </w:rPr>
        <w:t xml:space="preserve">Environment: AMD Ryzen 9 9950X3D (16C/32T), 96 GB DDR5, NVMe SSD · Windows 11 Pro 10.0.26200 · Python 3.11.9 · SQLite 3.45.1 (sqlite3 module 2.6.0) · matplotlib for the chart · seed 42</w:t>
      </w:r>
    </w:p>
    <w:sectPr>
      <w:pgSz w:w="11906" w:h="16838" w:orient="portrait"/>
      <w:pgMar w:top="850" w:right="950" w:bottom="85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f81b792e81050542691f86362c185d859bdd45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2026-09-29T20:45:58.934Z</dcterms:created>
  <dcterms:modified xsi:type="dcterms:W3CDTF">2026-09-29T20:45:58.934Z</dcterms:modified>
</cp:coreProperties>
</file>

<file path=docProps/custom.xml><?xml version="1.0" encoding="utf-8"?>
<Properties xmlns="http://schemas.openxmlformats.org/officeDocument/2006/custom-properties" xmlns:vt="http://schemas.openxmlformats.org/officeDocument/2006/docPropsVTypes"/>
</file>