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pBdr>
          <w:bottom w:val="single" w:color="2E5FA3" w:sz="20" w:space="2"/>
        </w:pBdr>
        <w:spacing w:after="0" w:before="0"/>
        <w:jc w:val="center"/>
      </w:pPr>
      <w:r>
        <w:rPr>
          <w:rFonts w:ascii="Arial" w:cs="Arial" w:eastAsia="Arial" w:hAnsi="Arial"/>
          <w:b/>
          <w:bCs/>
          <w:color w:val="1F3864"/>
          <w:sz w:val="56"/>
          <w:szCs w:val="56"/>
        </w:rPr>
        <w:t xml:space="preserve">LAPORAN FINAL</w:t>
      </w:r>
    </w:p>
    <w:p>
      <w:pPr>
        <w:spacing w:after="200" w:before="80"/>
        <w:jc w:val="center"/>
      </w:pPr>
      <w:r>
        <w:rPr>
          <w:rFonts w:ascii="Arial" w:cs="Arial" w:eastAsia="Arial" w:hAnsi="Arial"/>
          <w:b/>
          <w:bCs/>
          <w:color w:val="2E5FA3"/>
          <w:sz w:val="36"/>
          <w:szCs w:val="36"/>
        </w:rPr>
        <w:t xml:space="preserve">PERANCANGAN DATA WAREHOUSE</w:t>
      </w:r>
    </w:p>
    <w:p>
      <w:pPr>
        <w:spacing w:after="80" w:before="80"/>
        <w:jc w:val="center"/>
      </w:pPr>
      <w:r>
        <w:rPr>
          <w:rFonts w:ascii="Arial" w:cs="Arial" w:eastAsia="Arial" w:hAnsi="Arial"/>
          <w:b/>
          <w:bCs/>
          <w:color w:val="1F3864"/>
          <w:sz w:val="30"/>
          <w:szCs w:val="30"/>
        </w:rPr>
        <w:t xml:space="preserve">Sistem Informasi Akademik Universitas (SIAKAD)</w:t>
      </w:r>
    </w:p>
    <w:p>
      <w:pPr>
        <w:spacing w:after="0" w:before="0"/>
      </w:pPr>
      <w:r>
        <w:t xml:space="preserve"/>
      </w:r>
    </w:p>
    <w:p>
      <w:pPr>
        <w:spacing w:after="300" w:before="40"/>
        <w:jc w:val="center"/>
      </w:pPr>
      <w:r>
        <w:rPr>
          <w:rFonts w:ascii="Arial" w:cs="Arial" w:eastAsia="Arial" w:hAnsi="Arial"/>
          <w:color w:val="555555"/>
          <w:sz w:val="22"/>
          <w:szCs w:val="22"/>
        </w:rPr>
        <w:t xml:space="preserve">Studi Kasus: Kasus 2 — Pemantauan Performa Akademik, Tren Pendaftaran,</w:t>
      </w:r>
    </w:p>
    <w:p>
      <w:pPr>
        <w:spacing w:after="300" w:before="0"/>
        <w:jc w:val="center"/>
      </w:pPr>
      <w:r>
        <w:rPr>
          <w:rFonts w:ascii="Arial" w:cs="Arial" w:eastAsia="Arial" w:hAnsi="Arial"/>
          <w:color w:val="555555"/>
          <w:sz w:val="22"/>
          <w:szCs w:val="22"/>
        </w:rPr>
        <w:t xml:space="preserve">dan Beban Mengajar Dosen Berbasis Integrasi Data Internal &amp; Eksternal</w:t>
      </w:r>
    </w:p>
    <w:p>
      <w:pPr>
        <w:pBdr>
          <w:bottom w:val="single" w:color="2E5FA3" w:sz="8" w:space="2"/>
        </w:pBdr>
        <w:spacing w:after="100" w:before="100"/>
      </w:pPr>
      <w:r>
        <w:t xml:space="preserve"/>
      </w:r>
    </w:p>
    <w:p>
      <w:pPr>
        <w:spacing w:after="0" w:before="0"/>
      </w:pPr>
      <w:r>
        <w:t xml:space="preserve"/>
      </w:r>
    </w:p>
    <w:p>
      <w:pPr>
        <w:spacing w:after="0" w:before="0"/>
      </w:pPr>
      <w:r>
        <w:t xml:space="preserve"/>
      </w:r>
    </w:p>
    <w:p>
      <w:pPr>
        <w:jc w:val="center"/>
      </w:pPr>
      <w:r>
        <w:rPr>
          <w:rFonts w:ascii="Arial" w:cs="Arial" w:eastAsia="Arial" w:hAnsi="Arial"/>
          <w:color w:val="1F3864"/>
          <w:sz w:val="24"/>
          <w:szCs w:val="24"/>
        </w:rPr>
        <w:t xml:space="preserve">Mata Kuliah: Sistem Data Warehouse</w:t>
      </w:r>
    </w:p>
    <w:p>
      <w:pPr>
        <w:spacing w:after="0" w:before="0"/>
      </w:pPr>
      <w:r>
        <w:t xml:space="preserve"/>
      </w:r>
    </w:p>
    <w:p>
      <w:pPr>
        <w:jc w:val="center"/>
      </w:pPr>
      <w:r>
        <w:rPr>
          <w:rFonts w:ascii="Arial" w:cs="Arial" w:eastAsia="Arial" w:hAnsi="Arial"/>
          <w:color w:val="666666"/>
          <w:sz w:val="22"/>
          <w:szCs w:val="22"/>
        </w:rPr>
        <w:t xml:space="preserve">Pontianak, 26 Mei 2026</w:t>
      </w:r>
    </w:p>
    <w:p>
      <w:pPr>
        <w:spacing w:after="0" w:before="0"/>
      </w:pPr>
      <w:r>
        <w:t xml:space="preserve"/>
      </w:r>
    </w:p>
    <w:p>
      <w:r>
        <w:br w:type="page"/>
      </w:r>
    </w:p>
    <w:p>
      <w:pPr>
        <w:pStyle w:val="Heading1"/>
        <w:spacing w:after="100" w:before="200"/>
      </w:pPr>
      <w:r>
        <w:rPr>
          <w:rFonts w:ascii="Arial" w:cs="Arial" w:eastAsia="Arial" w:hAnsi="Arial"/>
          <w:b/>
          <w:bCs/>
          <w:color w:val="1F3864"/>
          <w:sz w:val="36"/>
          <w:szCs w:val="36"/>
        </w:rPr>
        <w:t xml:space="preserve">BAB I: LATAR BELAKANG BISNIS</w:t>
      </w:r>
    </w:p>
    <w:p>
      <w:pPr>
        <w:pBdr>
          <w:bottom w:val="single" w:color="2E5FA3" w:sz="8" w:space="2"/>
        </w:pBdr>
        <w:spacing w:after="100" w:before="100"/>
      </w:pPr>
      <w:r>
        <w:t xml:space="preserve"/>
      </w:r>
    </w:p>
    <w:p>
      <w:pPr>
        <w:pStyle w:val="Heading2"/>
        <w:spacing w:after="100" w:before="200"/>
      </w:pPr>
      <w:r>
        <w:rPr>
          <w:rFonts w:ascii="Arial" w:cs="Arial" w:eastAsia="Arial" w:hAnsi="Arial"/>
          <w:b/>
          <w:bCs/>
          <w:color w:val="2E5FA3"/>
          <w:sz w:val="28"/>
          <w:szCs w:val="28"/>
        </w:rPr>
        <w:t xml:space="preserve">1.1 Konteks dan Permasalahan</w:t>
      </w:r>
    </w:p>
    <w:p>
      <w:pPr>
        <w:spacing w:after="80" w:before="80" w:line="276"/>
      </w:pPr>
      <w:r>
        <w:rPr>
          <w:rFonts w:ascii="Arial" w:cs="Arial" w:eastAsia="Arial" w:hAnsi="Arial"/>
          <w:sz w:val="22"/>
          <w:szCs w:val="22"/>
        </w:rPr>
        <w:t xml:space="preserve">Universitas sebagai institusi pendidikan tinggi menghadapi tantangan kompleks dalam mengelola dan menganalisis data akademik yang bersumber dari berbagai sistem operasional. Sistem Informasi Akademik (SIAKAD) konvensional yang bersifat transaksional (OLTP) tidak dirancang untuk mendukung analisis multidimensi yang dibutuhkan oleh pimpinan universitas dalam pengambilan keputusan strategis.</w:t>
      </w:r>
    </w:p>
    <w:p>
      <w:pPr>
        <w:spacing w:after="80" w:before="80" w:line="276"/>
      </w:pPr>
      <w:r>
        <w:rPr>
          <w:rFonts w:ascii="Arial" w:cs="Arial" w:eastAsia="Arial" w:hAnsi="Arial"/>
          <w:sz w:val="22"/>
          <w:szCs w:val="22"/>
        </w:rPr>
        <w:t xml:space="preserve">Pimpinan universitas membutuhkan visibilitas menyeluruh terhadap tiga domain utama:</w:t>
      </w:r>
    </w:p>
    <w:p>
      <w:pPr>
        <w:pStyle w:val="ListParagraph"/>
        <w:numPr>
          <w:ilvl w:val="0"/>
          <w:numId w:val="2"/>
        </w:numPr>
        <w:spacing w:after="40" w:before="40"/>
      </w:pPr>
      <w:r>
        <w:rPr>
          <w:rFonts w:ascii="Arial" w:cs="Arial" w:eastAsia="Arial" w:hAnsi="Arial"/>
          <w:sz w:val="22"/>
          <w:szCs w:val="22"/>
        </w:rPr>
        <w:t xml:space="preserve">Performa akademik mahasiswa secara longitudinal (tren IPK, rasio kelulusan tepat waktu)</w:t>
      </w:r>
    </w:p>
    <w:p>
      <w:pPr>
        <w:pStyle w:val="ListParagraph"/>
        <w:numPr>
          <w:ilvl w:val="0"/>
          <w:numId w:val="2"/>
        </w:numPr>
        <w:spacing w:after="40" w:before="40"/>
      </w:pPr>
      <w:r>
        <w:rPr>
          <w:rFonts w:ascii="Arial" w:cs="Arial" w:eastAsia="Arial" w:hAnsi="Arial"/>
          <w:sz w:val="22"/>
          <w:szCs w:val="22"/>
        </w:rPr>
        <w:t xml:space="preserve">Tren pendaftaran mahasiswa baru berdasarkan jalur masuk, program studi, dan asal daerah</w:t>
      </w:r>
    </w:p>
    <w:p>
      <w:pPr>
        <w:pStyle w:val="ListParagraph"/>
        <w:numPr>
          <w:ilvl w:val="0"/>
          <w:numId w:val="2"/>
        </w:numPr>
        <w:spacing w:after="40" w:before="40"/>
      </w:pPr>
      <w:r>
        <w:rPr>
          <w:rFonts w:ascii="Arial" w:cs="Arial" w:eastAsia="Arial" w:hAnsi="Arial"/>
          <w:sz w:val="22"/>
          <w:szCs w:val="22"/>
        </w:rPr>
        <w:t xml:space="preserve">Beban mengajar dosen serta distribusi tugas akademik lintas program studi</w:t>
      </w:r>
    </w:p>
    <w:p>
      <w:pPr>
        <w:spacing w:after="0" w:before="0"/>
      </w:pPr>
      <w:r>
        <w:t xml:space="preserve"/>
      </w:r>
    </w:p>
    <w:p>
      <w:pPr>
        <w:pStyle w:val="Heading2"/>
        <w:spacing w:after="100" w:before="200"/>
      </w:pPr>
      <w:r>
        <w:rPr>
          <w:rFonts w:ascii="Arial" w:cs="Arial" w:eastAsia="Arial" w:hAnsi="Arial"/>
          <w:b/>
          <w:bCs/>
          <w:color w:val="2E5FA3"/>
          <w:sz w:val="28"/>
          <w:szCs w:val="28"/>
        </w:rPr>
        <w:t xml:space="preserve">1.2 Tujuan Implementasi Data Warehouse</w:t>
      </w:r>
    </w:p>
    <w:p>
      <w:pPr>
        <w:spacing w:after="80" w:before="80" w:line="276"/>
      </w:pPr>
      <w:r>
        <w:rPr>
          <w:rFonts w:ascii="Arial" w:cs="Arial" w:eastAsia="Arial" w:hAnsi="Arial"/>
          <w:sz w:val="22"/>
          <w:szCs w:val="22"/>
        </w:rPr>
        <w:t xml:space="preserve">Proyek ini membangun prototipe Data Warehouse (DW) yang mengintegrasikan data dari dua sumber utama:</w:t>
      </w:r>
    </w:p>
    <w:p>
      <w:pPr>
        <w:pStyle w:val="ListParagraph"/>
        <w:numPr>
          <w:ilvl w:val="0"/>
          <w:numId w:val="3"/>
        </w:numPr>
        <w:spacing w:after="40" w:before="40"/>
      </w:pPr>
      <w:r>
        <w:rPr>
          <w:rFonts w:ascii="Arial" w:cs="Arial" w:eastAsia="Arial" w:hAnsi="Arial"/>
          <w:sz w:val="22"/>
          <w:szCs w:val="22"/>
        </w:rPr>
        <w:t xml:space="preserve">Sumber Internal (OLTP): Database operasional SIAKAD yang mencakup data mahasiswa, KRS, nilai, dosen, dan pendaftaran (45.737 baris data fakta tergenerasi)</w:t>
      </w:r>
    </w:p>
    <w:p>
      <w:pPr>
        <w:pStyle w:val="ListParagraph"/>
        <w:numPr>
          <w:ilvl w:val="0"/>
          <w:numId w:val="3"/>
        </w:numPr>
        <w:spacing w:after="40" w:before="40"/>
      </w:pPr>
      <w:r>
        <w:rPr>
          <w:rFonts w:ascii="Arial" w:cs="Arial" w:eastAsia="Arial" w:hAnsi="Arial"/>
          <w:sz w:val="22"/>
          <w:szCs w:val="22"/>
        </w:rPr>
        <w:t xml:space="preserve">Sumber Eksternal (Data Publik BPS): Dataset Upah Minimum Provinsi (UMP) dari Badan Pusat Statistik Indonesia untuk 34 provinsi, digunakan sebagai proxy indikator tingkat ekonomi daerah asal mahasiswa</w:t>
      </w:r>
    </w:p>
    <w:p>
      <w:pPr>
        <w:spacing w:after="0" w:before="0"/>
      </w:pPr>
      <w:r>
        <w:t xml:space="preserve"/>
      </w:r>
    </w:p>
    <w:p>
      <w:pPr>
        <w:pStyle w:val="Heading2"/>
        <w:spacing w:after="100" w:before="200"/>
      </w:pPr>
      <w:r>
        <w:rPr>
          <w:rFonts w:ascii="Arial" w:cs="Arial" w:eastAsia="Arial" w:hAnsi="Arial"/>
          <w:b/>
          <w:bCs/>
          <w:color w:val="2E5FA3"/>
          <w:sz w:val="28"/>
          <w:szCs w:val="28"/>
        </w:rPr>
        <w:t xml:space="preserve">1.3 Ruang Lingkup Kasus</w:t>
      </w:r>
    </w:p>
    <w:p>
      <w:pPr>
        <w:spacing w:after="80" w:before="80" w:line="276"/>
      </w:pPr>
      <w:r>
        <w:rPr>
          <w:rFonts w:ascii="Arial" w:cs="Arial" w:eastAsia="Arial" w:hAnsi="Arial"/>
          <w:sz w:val="22"/>
          <w:szCs w:val="22"/>
        </w:rPr>
        <w:t xml:space="preserve">Kasus yang dipilih adalah Kasus 2: Sistem Informasi Akademik Universitas, dengan 3 tabel fakta utama: fact_pendaftaran, fact_krs, dan fact_kelulusan. Sistem ini menjawab 4 KPI utama: rasio kelulusan tepat waktu, tren IPK rata-rata, korelasi UMP daerah asal vs IPK, dan pengaruh akreditasi SMA terhadap IPK mahasiswa.</w:t>
      </w:r>
    </w:p>
    <w:p>
      <w:r>
        <w:br w:type="page"/>
      </w:r>
    </w:p>
    <w:p>
      <w:pPr>
        <w:pStyle w:val="Heading1"/>
        <w:spacing w:after="100" w:before="200"/>
      </w:pPr>
      <w:r>
        <w:rPr>
          <w:rFonts w:ascii="Arial" w:cs="Arial" w:eastAsia="Arial" w:hAnsi="Arial"/>
          <w:b/>
          <w:bCs/>
          <w:color w:val="1F3864"/>
          <w:sz w:val="36"/>
          <w:szCs w:val="36"/>
        </w:rPr>
        <w:t xml:space="preserve">BAB II: PERANCANGAN DATA WAREHOUSE</w:t>
      </w:r>
    </w:p>
    <w:p>
      <w:pPr>
        <w:pBdr>
          <w:bottom w:val="single" w:color="2E5FA3" w:sz="8" w:space="2"/>
        </w:pBdr>
        <w:spacing w:after="100" w:before="100"/>
      </w:pPr>
      <w:r>
        <w:t xml:space="preserve"/>
      </w:r>
    </w:p>
    <w:p>
      <w:pPr>
        <w:pStyle w:val="Heading2"/>
        <w:spacing w:after="100" w:before="200"/>
      </w:pPr>
      <w:r>
        <w:rPr>
          <w:rFonts w:ascii="Arial" w:cs="Arial" w:eastAsia="Arial" w:hAnsi="Arial"/>
          <w:b/>
          <w:bCs/>
          <w:color w:val="2E5FA3"/>
          <w:sz w:val="28"/>
          <w:szCs w:val="28"/>
        </w:rPr>
        <w:t xml:space="preserve">2.1 Data Warehouse Bus Matrix</w:t>
      </w:r>
    </w:p>
    <w:p>
      <w:pPr>
        <w:spacing w:after="80" w:before="80" w:line="276"/>
      </w:pPr>
      <w:r>
        <w:rPr>
          <w:rFonts w:ascii="Arial" w:cs="Arial" w:eastAsia="Arial" w:hAnsi="Arial"/>
          <w:sz w:val="22"/>
          <w:szCs w:val="22"/>
        </w:rPr>
        <w:t xml:space="preserve">Bus Matrix menampilkan hubungan antara proses bisnis (tabel fakta) dengan dimensi yang relevan. Tanda ✔ menunjukkan dimensi digunakan dalam proses bisnis tersebut.</w:t>
      </w:r>
    </w:p>
    <w:p>
      <w:pPr>
        <w:spacing w:after="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gridCol w:w="1300"/>
        <w:gridCol w:w="1300"/>
      </w:tblGrid>
      <w:tr>
        <w:tc>
          <w:tcPr>
            <w:tcW w:type="dxa" w:w="18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Proses Bisnis / Dimensi</w:t>
            </w:r>
          </w:p>
        </w:tc>
        <w:tc>
          <w:tcPr>
            <w:tcW w:type="dxa" w:w="13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dim_Waktu</w:t>
            </w:r>
          </w:p>
        </w:tc>
        <w:tc>
          <w:tcPr>
            <w:tcW w:type="dxa" w:w="13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dim_Mahasiswa</w:t>
            </w:r>
          </w:p>
        </w:tc>
        <w:tc>
          <w:tcPr>
            <w:tcW w:type="dxa" w:w="13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dim_Dosen</w:t>
            </w:r>
          </w:p>
        </w:tc>
        <w:tc>
          <w:tcPr>
            <w:tcW w:type="dxa" w:w="13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dim_MataKuliah</w:t>
            </w:r>
          </w:p>
        </w:tc>
        <w:tc>
          <w:tcPr>
            <w:tcW w:type="dxa" w:w="13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dim_Prodi</w:t>
            </w:r>
          </w:p>
        </w:tc>
        <w:tc>
          <w:tcPr>
            <w:tcW w:type="dxa" w:w="13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dim_Demografi</w:t>
            </w:r>
          </w:p>
        </w:tc>
      </w:tr>
      <w:tr>
        <w:tc>
          <w:tcPr>
            <w:tcW w:type="dxa" w:w="18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Pendaftaran MHS Baru</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3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D5D8DC"/>
                <w:sz w:val="20"/>
                <w:szCs w:val="20"/>
              </w:rPr>
              <w:t xml:space="preserve">–</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Pengisian KRS</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D5D8DC"/>
                <w:sz w:val="20"/>
                <w:szCs w:val="20"/>
              </w:rPr>
              <w:t xml:space="preserve">–</w:t>
            </w:r>
          </w:p>
        </w:tc>
      </w:tr>
      <w:tr>
        <w:tc>
          <w:tcPr>
            <w:tcW w:type="dxa" w:w="18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Penilaian / Kelulusan</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c>
          <w:tcPr>
            <w:tcW w:type="dxa" w:w="13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center"/>
            </w:pPr>
            <w:r>
              <w:rPr>
                <w:rFonts w:ascii="Arial" w:cs="Arial" w:eastAsia="Arial" w:hAnsi="Arial"/>
                <w:color w:val="27AE60"/>
                <w:sz w:val="20"/>
                <w:szCs w:val="20"/>
              </w:rPr>
              <w:t xml:space="preserve">✔</w:t>
            </w:r>
          </w:p>
        </w:tc>
      </w:tr>
    </w:tbl>
    <w:p>
      <w:pPr>
        <w:spacing w:after="0" w:before="0"/>
      </w:pPr>
      <w:r>
        <w:t xml:space="preserve"/>
      </w:r>
    </w:p>
    <w:p>
      <w:pPr>
        <w:spacing w:after="80" w:before="80" w:line="276"/>
      </w:pPr>
      <w:r>
        <w:rPr>
          <w:rFonts w:ascii="Arial" w:cs="Arial" w:eastAsia="Arial" w:hAnsi="Arial"/>
          <w:sz w:val="22"/>
          <w:szCs w:val="22"/>
        </w:rPr>
        <w:t xml:space="preserve">Bus Matrix di atas menunjukkan bahwa dim_waktu dan dim_mahasiswa adalah dimensi yang paling digunakan secara lintas proses bisnis (conforming dimensions), sementara dim_demografi_ekonomi dari sumber data publik BPS hanya terlibat dalam proses yang membutuhkan analisis geografis-ekonomi.</w:t>
      </w:r>
    </w:p>
    <w:p>
      <w:pPr>
        <w:spacing w:after="0" w:before="0"/>
      </w:pPr>
      <w:r>
        <w:t xml:space="preserve"/>
      </w:r>
    </w:p>
    <w:p>
      <w:pPr>
        <w:pStyle w:val="Heading2"/>
        <w:spacing w:after="100" w:before="200"/>
      </w:pPr>
      <w:r>
        <w:rPr>
          <w:rFonts w:ascii="Arial" w:cs="Arial" w:eastAsia="Arial" w:hAnsi="Arial"/>
          <w:b/>
          <w:bCs/>
          <w:color w:val="2E5FA3"/>
          <w:sz w:val="28"/>
          <w:szCs w:val="28"/>
        </w:rPr>
        <w:t xml:space="preserve">2.2 Pemodelan Dimensional — Star Schema</w:t>
      </w:r>
    </w:p>
    <w:p>
      <w:pPr>
        <w:spacing w:after="80" w:before="80" w:line="276"/>
      </w:pPr>
      <w:r>
        <w:rPr>
          <w:rFonts w:ascii="Arial" w:cs="Arial" w:eastAsia="Arial" w:hAnsi="Arial"/>
          <w:sz w:val="22"/>
          <w:szCs w:val="22"/>
        </w:rPr>
        <w:t xml:space="preserve">Arsitektur yang dipilih adalah Star Schema karena kesederhanaan query dan performa read yang optimal untuk keperluan OLAP. Terdiri dari 6 tabel dimensi dan 3 tabel fakta.</w:t>
      </w:r>
    </w:p>
    <w:p>
      <w:pPr>
        <w:spacing w:after="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500"/>
        <w:gridCol w:w="2000"/>
      </w:tblGrid>
      <w:tr>
        <w:tc>
          <w:tcPr>
            <w:tcW w:type="dxa" w:w="22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Nama Tabel</w:t>
            </w:r>
          </w:p>
        </w:tc>
        <w:tc>
          <w:tcPr>
            <w:tcW w:type="dxa" w:w="14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Jumlah Data</w:t>
            </w:r>
          </w:p>
        </w:tc>
        <w:tc>
          <w:tcPr>
            <w:tcW w:type="dxa" w:w="35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Deskripsi</w:t>
            </w:r>
          </w:p>
        </w:tc>
        <w:tc>
          <w:tcPr>
            <w:tcW w:type="dxa" w:w="20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Keterangan</w:t>
            </w:r>
          </w:p>
        </w:tc>
      </w:tr>
      <w:tr>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dim_waktu</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10 baris</w:t>
            </w:r>
          </w:p>
        </w:tc>
        <w:tc>
          <w:tcPr>
            <w:tcW w:type="dxa" w:w="3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Dimensi Waktu (Tahun Akademik &amp; Semester)</w:t>
            </w:r>
          </w:p>
        </w:tc>
        <w:tc>
          <w:tcPr>
            <w:tcW w:type="dxa" w:w="20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dim_prodi</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12 baris</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Program Studi + Fakultas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r>
      <w:tr>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dim_mahasiswa</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1.500 baris</w:t>
            </w:r>
          </w:p>
        </w:tc>
        <w:tc>
          <w:tcPr>
            <w:tcW w:type="dxa" w:w="3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Mahasiswa + SCD Type 2 (status berubah)</w:t>
            </w:r>
          </w:p>
        </w:tc>
        <w:tc>
          <w:tcPr>
            <w:tcW w:type="dxa" w:w="20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left"/>
            </w:pPr>
            <w:r>
              <w:rPr>
                <w:rFonts w:ascii="Arial" w:cs="Arial" w:eastAsia="Arial" w:hAnsi="Arial"/>
                <w:color w:val="27AE60"/>
                <w:sz w:val="20"/>
                <w:szCs w:val="20"/>
              </w:rPr>
              <w:t xml:space="preserve">SCD Tipe 2</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dim_dosen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100 baris</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Data Dosen</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SCD Tipe 1</w:t>
            </w:r>
          </w:p>
        </w:tc>
      </w:tr>
      <w:tr>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dim_mata_kuliah</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180 baris</w:t>
            </w:r>
          </w:p>
        </w:tc>
        <w:tc>
          <w:tcPr>
            <w:tcW w:type="dxa" w:w="3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Mata Kuliah + SKS</w:t>
            </w:r>
          </w:p>
        </w:tc>
        <w:tc>
          <w:tcPr>
            <w:tcW w:type="dxa" w:w="20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dim_demografi_ekonomi</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34 baris</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UMP Provinsi (Data Publik BPS)</w:t>
            </w:r>
          </w:p>
        </w:tc>
        <w:tc>
          <w:tcPr>
            <w:tcW w:type="dxa" w:w="2000"/>
            <w:tcBorders>
              <w:top w:val="single" w:color="D5D8DC" w:sz="1"/>
              <w:left w:val="single" w:color="D5D8DC" w:sz="1"/>
              <w:bottom w:val="single" w:color="D5D8DC" w:sz="1"/>
              <w:right w:val="single" w:color="D5D8DC" w:sz="1"/>
            </w:tcBorders>
            <w:shd w:fill="EAF4FD" w:val="clear"/>
            <w:tcMar>
              <w:top w:type="dxa" w:w="80"/>
              <w:left w:type="dxa" w:w="120"/>
              <w:bottom w:type="dxa" w:w="80"/>
              <w:right w:type="dxa" w:w="120"/>
            </w:tcMar>
          </w:tcPr>
          <w:p>
            <w:pPr>
              <w:jc w:val="left"/>
            </w:pPr>
            <w:r>
              <w:rPr>
                <w:rFonts w:ascii="Arial" w:cs="Arial" w:eastAsia="Arial" w:hAnsi="Arial"/>
                <w:color w:val="2980B9"/>
                <w:sz w:val="20"/>
                <w:szCs w:val="20"/>
              </w:rPr>
              <w:t xml:space="preserve">Data Eksternal</w:t>
            </w:r>
          </w:p>
        </w:tc>
      </w:tr>
      <w:tr>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fact_pendaftaran</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1.500 baris</w:t>
            </w:r>
          </w:p>
        </w:tc>
        <w:tc>
          <w:tcPr>
            <w:tcW w:type="dxa" w:w="3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Fakta Penerimaan Mahasiswa Baru</w:t>
            </w:r>
          </w:p>
        </w:tc>
        <w:tc>
          <w:tcPr>
            <w:tcW w:type="dxa" w:w="20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fact_krs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45.737 baris</w:t>
            </w:r>
          </w:p>
        </w:tc>
        <w:tc>
          <w:tcPr>
            <w:tcW w:type="dxa" w:w="3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Fakta Pengambilan Mata Kuliah</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r>
      <w:tr>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fact_kelulusan</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45.737 baris</w:t>
            </w:r>
          </w:p>
        </w:tc>
        <w:tc>
          <w:tcPr>
            <w:tcW w:type="dxa" w:w="3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Fakta Nilai &amp; Kelulusan (Tabel Fakta Utama)</w:t>
            </w:r>
          </w:p>
        </w:tc>
        <w:tc>
          <w:tcPr>
            <w:tcW w:type="dxa" w:w="20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r>
    </w:tbl>
    <w:p>
      <w:pPr>
        <w:spacing w:after="0" w:before="0"/>
      </w:pPr>
      <w:r>
        <w:t xml:space="preserve"/>
      </w:r>
    </w:p>
    <w:p>
      <w:pPr>
        <w:pStyle w:val="Heading3"/>
        <w:spacing w:after="100" w:before="200"/>
      </w:pPr>
      <w:r>
        <w:rPr>
          <w:rFonts w:ascii="Arial" w:cs="Arial" w:eastAsia="Arial" w:hAnsi="Arial"/>
          <w:b/>
          <w:bCs/>
          <w:color w:val="2980B9"/>
          <w:sz w:val="24"/>
          <w:szCs w:val="24"/>
        </w:rPr>
        <w:t xml:space="preserve">2.2.1 Grain Tabel Fakta</w:t>
      </w:r>
    </w:p>
    <w:p>
      <w:pPr>
        <w:pStyle w:val="ListParagraph"/>
        <w:numPr>
          <w:ilvl w:val="0"/>
          <w:numId w:val="2"/>
        </w:numPr>
        <w:spacing w:after="40" w:before="40"/>
      </w:pPr>
      <w:r>
        <w:rPr>
          <w:rFonts w:ascii="Arial" w:cs="Arial" w:eastAsia="Arial" w:hAnsi="Arial"/>
          <w:sz w:val="22"/>
          <w:szCs w:val="22"/>
        </w:rPr>
        <w:t xml:space="preserve">fact_pendaftaran — Grain: 1 baris per mahasiswa per periode pendaftaran</w:t>
      </w:r>
    </w:p>
    <w:p>
      <w:pPr>
        <w:pStyle w:val="ListParagraph"/>
        <w:numPr>
          <w:ilvl w:val="0"/>
          <w:numId w:val="2"/>
        </w:numPr>
        <w:spacing w:after="40" w:before="40"/>
      </w:pPr>
      <w:r>
        <w:rPr>
          <w:rFonts w:ascii="Arial" w:cs="Arial" w:eastAsia="Arial" w:hAnsi="Arial"/>
          <w:sz w:val="22"/>
          <w:szCs w:val="22"/>
        </w:rPr>
        <w:t xml:space="preserve">fact_krs — Grain: 1 baris per mata kuliah per mahasiswa per semester</w:t>
      </w:r>
    </w:p>
    <w:p>
      <w:pPr>
        <w:pStyle w:val="ListParagraph"/>
        <w:numPr>
          <w:ilvl w:val="0"/>
          <w:numId w:val="2"/>
        </w:numPr>
        <w:spacing w:after="40" w:before="40"/>
      </w:pPr>
      <w:r>
        <w:rPr>
          <w:rFonts w:ascii="Arial" w:cs="Arial" w:eastAsia="Arial" w:hAnsi="Arial"/>
          <w:sz w:val="22"/>
          <w:szCs w:val="22"/>
        </w:rPr>
        <w:t xml:space="preserve">fact_kelulusan — Grain: 1 baris per nilai mata kuliah per mahasiswa per semester (grain paling detail)</w:t>
      </w:r>
    </w:p>
    <w:p>
      <w:pPr>
        <w:spacing w:after="0" w:before="0"/>
      </w:pPr>
      <w:r>
        <w:t xml:space="preserve"/>
      </w:r>
    </w:p>
    <w:p>
      <w:pPr>
        <w:pStyle w:val="Heading3"/>
        <w:spacing w:after="100" w:before="200"/>
      </w:pPr>
      <w:r>
        <w:rPr>
          <w:rFonts w:ascii="Arial" w:cs="Arial" w:eastAsia="Arial" w:hAnsi="Arial"/>
          <w:b/>
          <w:bCs/>
          <w:color w:val="2980B9"/>
          <w:sz w:val="24"/>
          <w:szCs w:val="24"/>
        </w:rPr>
        <w:t xml:space="preserve">2.2.2 Slowly Changing Dimension (SCD)</w:t>
      </w:r>
    </w:p>
    <w:p>
      <w:pPr>
        <w:spacing w:after="80" w:before="80"/>
      </w:pPr>
      <w:r>
        <w:rPr>
          <w:rFonts w:ascii="Arial" w:cs="Arial" w:eastAsia="Arial" w:hAnsi="Arial"/>
          <w:b/>
          <w:bCs/>
          <w:sz w:val="22"/>
          <w:szCs w:val="22"/>
        </w:rPr>
        <w:t xml:space="preserve">dim_mahasiswa — SCD Tipe 2: </w:t>
      </w:r>
      <w:r>
        <w:rPr>
          <w:rFonts w:ascii="Arial" w:cs="Arial" w:eastAsia="Arial" w:hAnsi="Arial"/>
          <w:sz w:val="22"/>
          <w:szCs w:val="22"/>
        </w:rPr>
        <w:t xml:space="preserve">Ketika status mahasiswa berubah (misal: Aktif → Lulus atau Aktif → Cuti), sistem menutup record lama dengan mengisi tgl_kadaluarsa dan membuat record baru dengan is_current=TRUE. Historis status dipertahankan sepenuhnya.</w:t>
      </w:r>
    </w:p>
    <w:p>
      <w:pPr>
        <w:spacing w:after="80" w:before="80"/>
      </w:pPr>
      <w:r>
        <w:rPr>
          <w:rFonts w:ascii="Arial" w:cs="Arial" w:eastAsia="Arial" w:hAnsi="Arial"/>
          <w:b/>
          <w:bCs/>
          <w:sz w:val="22"/>
          <w:szCs w:val="22"/>
        </w:rPr>
        <w:t xml:space="preserve">dim_dosen — SCD Tipe 1: </w:t>
      </w:r>
      <w:r>
        <w:rPr>
          <w:rFonts w:ascii="Arial" w:cs="Arial" w:eastAsia="Arial" w:hAnsi="Arial"/>
          <w:sz w:val="22"/>
          <w:szCs w:val="22"/>
        </w:rPr>
        <w:t xml:space="preserve">Perubahan pada data dosen (jabatan akademik, dll) langsung menimpa record yang ada tanpa menyimpan historis, karena historis jabatan dosen tidak diperlukan untuk analisis KPI yang ditetapkan.</w:t>
      </w:r>
    </w:p>
    <w:p>
      <w:r>
        <w:br w:type="page"/>
      </w:r>
    </w:p>
    <w:p>
      <w:pPr>
        <w:pStyle w:val="Heading1"/>
        <w:spacing w:after="100" w:before="200"/>
      </w:pPr>
      <w:r>
        <w:rPr>
          <w:rFonts w:ascii="Arial" w:cs="Arial" w:eastAsia="Arial" w:hAnsi="Arial"/>
          <w:b/>
          <w:bCs/>
          <w:color w:val="1F3864"/>
          <w:sz w:val="36"/>
          <w:szCs w:val="36"/>
        </w:rPr>
        <w:t xml:space="preserve">BAB III: IMPLEMENTASI ETL</w:t>
      </w:r>
    </w:p>
    <w:p>
      <w:pPr>
        <w:pBdr>
          <w:bottom w:val="single" w:color="2E5FA3" w:sz="8" w:space="2"/>
        </w:pBdr>
        <w:spacing w:after="100" w:before="100"/>
      </w:pPr>
      <w:r>
        <w:t xml:space="preserve"/>
      </w:r>
    </w:p>
    <w:p>
      <w:pPr>
        <w:pStyle w:val="Heading2"/>
        <w:spacing w:after="100" w:before="200"/>
      </w:pPr>
      <w:r>
        <w:rPr>
          <w:rFonts w:ascii="Arial" w:cs="Arial" w:eastAsia="Arial" w:hAnsi="Arial"/>
          <w:b/>
          <w:bCs/>
          <w:color w:val="2E5FA3"/>
          <w:sz w:val="28"/>
          <w:szCs w:val="28"/>
        </w:rPr>
        <w:t xml:space="preserve">3.1 Arsitektur ETL Pipeline</w:t>
      </w:r>
    </w:p>
    <w:p>
      <w:pPr>
        <w:spacing w:after="80" w:before="80" w:line="276"/>
      </w:pPr>
      <w:r>
        <w:rPr>
          <w:rFonts w:ascii="Arial" w:cs="Arial" w:eastAsia="Arial" w:hAnsi="Arial"/>
          <w:sz w:val="22"/>
          <w:szCs w:val="22"/>
        </w:rPr>
        <w:t xml:space="preserve">Pipeline ETL diimplementasikan menggunakan Python dengan orkestrasi Prefect. Alur kerja dibagi menjadi tiga tahapan utama:</w:t>
      </w:r>
    </w:p>
    <w:p>
      <w:pPr>
        <w:pStyle w:val="ListParagraph"/>
        <w:numPr>
          <w:ilvl w:val="0"/>
          <w:numId w:val="2"/>
        </w:numPr>
        <w:spacing w:after="40" w:before="40"/>
      </w:pPr>
      <w:r>
        <w:rPr>
          <w:rFonts w:ascii="Arial" w:cs="Arial" w:eastAsia="Arial" w:hAnsi="Arial"/>
          <w:sz w:val="22"/>
          <w:szCs w:val="22"/>
        </w:rPr>
        <w:t xml:space="preserve">Extract: Membaca data dari file CSV OLTP (sumber internal) dan CSV UMP BPS (sumber publik eksternal)</w:t>
      </w:r>
    </w:p>
    <w:p>
      <w:pPr>
        <w:pStyle w:val="ListParagraph"/>
        <w:numPr>
          <w:ilvl w:val="0"/>
          <w:numId w:val="2"/>
        </w:numPr>
        <w:spacing w:after="40" w:before="40"/>
      </w:pPr>
      <w:r>
        <w:rPr>
          <w:rFonts w:ascii="Arial" w:cs="Arial" w:eastAsia="Arial" w:hAnsi="Arial"/>
          <w:sz w:val="22"/>
          <w:szCs w:val="22"/>
        </w:rPr>
        <w:t xml:space="preserve">Transform: Membersihkan data, membangun dimensi, menangani SCD, menghitung measures, dan melakukan integrasi (join/merge) antara data OLTP dengan data publik</w:t>
      </w:r>
    </w:p>
    <w:p>
      <w:pPr>
        <w:pStyle w:val="ListParagraph"/>
        <w:numPr>
          <w:ilvl w:val="0"/>
          <w:numId w:val="2"/>
        </w:numPr>
        <w:spacing w:after="40" w:before="40"/>
      </w:pPr>
      <w:r>
        <w:rPr>
          <w:rFonts w:ascii="Arial" w:cs="Arial" w:eastAsia="Arial" w:hAnsi="Arial"/>
          <w:sz w:val="22"/>
          <w:szCs w:val="22"/>
        </w:rPr>
        <w:t xml:space="preserve">Load: Menyimpan data ke database SQLite sebagai representasi Data Warehouse (siakad_dw.db)</w:t>
      </w:r>
    </w:p>
    <w:p>
      <w:pPr>
        <w:spacing w:after="0" w:before="0"/>
      </w:pPr>
      <w:r>
        <w:t xml:space="preserve"/>
      </w:r>
    </w:p>
    <w:p>
      <w:pPr>
        <w:pStyle w:val="Heading2"/>
        <w:spacing w:after="100" w:before="200"/>
      </w:pPr>
      <w:r>
        <w:rPr>
          <w:rFonts w:ascii="Arial" w:cs="Arial" w:eastAsia="Arial" w:hAnsi="Arial"/>
          <w:b/>
          <w:bCs/>
          <w:color w:val="2E5FA3"/>
          <w:sz w:val="28"/>
          <w:szCs w:val="28"/>
        </w:rPr>
        <w:t xml:space="preserve">3.2 Mapping ETL dan Integrasi Data</w:t>
      </w:r>
    </w:p>
    <w:p>
      <w:pPr>
        <w:spacing w:after="80" w:before="80" w:line="276"/>
      </w:pPr>
      <w:r>
        <w:rPr>
          <w:rFonts w:ascii="Arial" w:cs="Arial" w:eastAsia="Arial" w:hAnsi="Arial"/>
          <w:sz w:val="22"/>
          <w:szCs w:val="22"/>
        </w:rPr>
        <w:t xml:space="preserve">Tabel berikut mendokumentasikan mapping sumber data ke tabel target DW:</w:t>
      </w:r>
    </w:p>
    <w:p>
      <w:pPr>
        <w:spacing w:after="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500"/>
        <w:gridCol w:w="1700"/>
      </w:tblGrid>
      <w:tr>
        <w:tc>
          <w:tcPr>
            <w:tcW w:type="dxa" w:w="15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Sumber</w:t>
            </w:r>
          </w:p>
        </w:tc>
        <w:tc>
          <w:tcPr>
            <w:tcW w:type="dxa" w:w="22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Tabel/File</w:t>
            </w:r>
          </w:p>
        </w:tc>
        <w:tc>
          <w:tcPr>
            <w:tcW w:type="dxa" w:w="22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DW</w:t>
            </w:r>
          </w:p>
        </w:tc>
        <w:tc>
          <w:tcPr>
            <w:tcW w:type="dxa" w:w="15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Tipe</w:t>
            </w:r>
          </w:p>
        </w:tc>
        <w:tc>
          <w:tcPr>
            <w:tcW w:type="dxa" w:w="17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SCD</w:t>
            </w:r>
          </w:p>
        </w:tc>
      </w:tr>
      <w:tr>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OLTP Internal</w:t>
            </w:r>
          </w:p>
        </w:tc>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mahasiswa, krs, nilai_mahasiswa</w:t>
            </w:r>
          </w:p>
        </w:tc>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dim_mahasiswa, fact_kelulusan</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CSV → SQLite</w:t>
            </w:r>
          </w:p>
        </w:tc>
        <w:tc>
          <w:tcPr>
            <w:tcW w:type="dxa" w:w="17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Type 2</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OLTP Internal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dosen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dim_dosen</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CSV → SQLite</w:t>
            </w:r>
          </w:p>
        </w:tc>
        <w:tc>
          <w:tcPr>
            <w:tcW w:type="dxa" w:w="1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Type 1</w:t>
            </w:r>
          </w:p>
        </w:tc>
      </w:tr>
      <w:tr>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OLTP Internal</w:t>
            </w:r>
          </w:p>
        </w:tc>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pendaftaran</w:t>
            </w:r>
          </w:p>
        </w:tc>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fact_pendaftaran</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CSV → SQLite</w:t>
            </w:r>
          </w:p>
        </w:tc>
        <w:tc>
          <w:tcPr>
            <w:tcW w:type="dxa" w:w="17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OLTP Internal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mata_kuliah, program_studi</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dim_mata_kuliah, dim_prodi</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CSV → SQLite</w:t>
            </w:r>
          </w:p>
        </w:tc>
        <w:tc>
          <w:tcPr>
            <w:tcW w:type="dxa" w:w="1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r>
      <w:tr>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Data Publik BPS</w:t>
            </w:r>
          </w:p>
        </w:tc>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ump_provinsi_bps.csv</w:t>
            </w:r>
          </w:p>
        </w:tc>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dim_demografi_ekonomi</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CSV → SQLite</w:t>
            </w:r>
          </w:p>
        </w:tc>
        <w:tc>
          <w:tcPr>
            <w:tcW w:type="dxa" w:w="17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w:t>
            </w:r>
          </w:p>
        </w:tc>
      </w:tr>
    </w:tbl>
    <w:p>
      <w:pPr>
        <w:spacing w:after="0" w:before="0"/>
      </w:pPr>
      <w:r>
        <w:t xml:space="preserve"/>
      </w:r>
    </w:p>
    <w:p>
      <w:pPr>
        <w:pStyle w:val="Heading3"/>
        <w:spacing w:after="100" w:before="200"/>
      </w:pPr>
      <w:r>
        <w:rPr>
          <w:rFonts w:ascii="Arial" w:cs="Arial" w:eastAsia="Arial" w:hAnsi="Arial"/>
          <w:b/>
          <w:bCs/>
          <w:color w:val="2980B9"/>
          <w:sz w:val="24"/>
          <w:szCs w:val="24"/>
        </w:rPr>
        <w:t xml:space="preserve">3.2.1 Proses Integrasi Data Publik (Enrichment)</w:t>
      </w:r>
    </w:p>
    <w:p>
      <w:pPr>
        <w:spacing w:after="80" w:before="80" w:line="276"/>
      </w:pPr>
      <w:r>
        <w:rPr>
          <w:rFonts w:ascii="Arial" w:cs="Arial" w:eastAsia="Arial" w:hAnsi="Arial"/>
          <w:sz w:val="22"/>
          <w:szCs w:val="22"/>
        </w:rPr>
        <w:t xml:space="preserve">Integrasi data publik dilakukan pada langkah transform_dim_demografi(). Data UMP dari BPS (ump_provinsi_bps.csv) di-load, divalidasi, dan dikategorikan ke dalam 3 kelompok ekonomi berdasarkan UMP 2024:</w:t>
      </w:r>
    </w:p>
    <w:p>
      <w:pPr>
        <w:pStyle w:val="ListParagraph"/>
        <w:numPr>
          <w:ilvl w:val="0"/>
          <w:numId w:val="2"/>
        </w:numPr>
        <w:spacing w:after="40" w:before="40"/>
      </w:pPr>
      <w:r>
        <w:rPr>
          <w:rFonts w:ascii="Arial" w:cs="Arial" w:eastAsia="Arial" w:hAnsi="Arial"/>
          <w:sz w:val="22"/>
          <w:szCs w:val="22"/>
        </w:rPr>
        <w:t xml:space="preserve">Kategori Tinggi: UMP ≥ Rp 3.500.000 (contoh: DKI Jakarta, Papua)</w:t>
      </w:r>
    </w:p>
    <w:p>
      <w:pPr>
        <w:pStyle w:val="ListParagraph"/>
        <w:numPr>
          <w:ilvl w:val="0"/>
          <w:numId w:val="2"/>
        </w:numPr>
        <w:spacing w:after="40" w:before="40"/>
      </w:pPr>
      <w:r>
        <w:rPr>
          <w:rFonts w:ascii="Arial" w:cs="Arial" w:eastAsia="Arial" w:hAnsi="Arial"/>
          <w:sz w:val="22"/>
          <w:szCs w:val="22"/>
        </w:rPr>
        <w:t xml:space="preserve">Kategori Menengah: UMP Rp 2.500.000 – Rp 3.499.999 (contoh: Kalimantan Timur, Riau)</w:t>
      </w:r>
    </w:p>
    <w:p>
      <w:pPr>
        <w:pStyle w:val="ListParagraph"/>
        <w:numPr>
          <w:ilvl w:val="0"/>
          <w:numId w:val="2"/>
        </w:numPr>
        <w:spacing w:after="40" w:before="40"/>
      </w:pPr>
      <w:r>
        <w:rPr>
          <w:rFonts w:ascii="Arial" w:cs="Arial" w:eastAsia="Arial" w:hAnsi="Arial"/>
          <w:sz w:val="22"/>
          <w:szCs w:val="22"/>
        </w:rPr>
        <w:t xml:space="preserve">Kategori Rendah: UMP &lt; Rp 2.500.000 (contoh: Jawa Tengah, DI Yogyakarta)</w:t>
      </w:r>
    </w:p>
    <w:p>
      <w:pPr>
        <w:spacing w:after="80" w:before="80" w:line="276"/>
      </w:pPr>
      <w:r>
        <w:rPr>
          <w:rFonts w:ascii="Arial" w:cs="Arial" w:eastAsia="Arial" w:hAnsi="Arial"/>
          <w:sz w:val="22"/>
          <w:szCs w:val="22"/>
        </w:rPr>
        <w:t xml:space="preserve">Kemudian sk_demografi dari dim_demografi_ekonomi di-join dengan fact_kelulusan dan fact_pendaftaran melalui kode_provinsi_asal mahasiswa, sehingga setiap record fakta terhubung dengan data ekonomi daerah asalnya.</w:t>
      </w:r>
    </w:p>
    <w:p>
      <w:pPr>
        <w:spacing w:after="0" w:before="0"/>
      </w:pPr>
      <w:r>
        <w:t xml:space="preserve"/>
      </w:r>
    </w:p>
    <w:p>
      <w:pPr>
        <w:pStyle w:val="Heading3"/>
        <w:spacing w:after="100" w:before="200"/>
      </w:pPr>
      <w:r>
        <w:rPr>
          <w:rFonts w:ascii="Arial" w:cs="Arial" w:eastAsia="Arial" w:hAnsi="Arial"/>
          <w:b/>
          <w:bCs/>
          <w:color w:val="2980B9"/>
          <w:sz w:val="24"/>
          <w:szCs w:val="24"/>
        </w:rPr>
        <w:t xml:space="preserve">3.2.2 Implementasi SCD Type 2 pada dim_mahasiswa</w:t>
      </w:r>
    </w:p>
    <w:p>
      <w:pPr>
        <w:spacing w:after="80" w:before="80" w:line="276"/>
      </w:pPr>
      <w:r>
        <w:rPr>
          <w:rFonts w:ascii="Arial" w:cs="Arial" w:eastAsia="Arial" w:hAnsi="Arial"/>
          <w:sz w:val="22"/>
          <w:szCs w:val="22"/>
        </w:rPr>
        <w:t xml:space="preserve">Fungsi transform_dim_mahasiswa_scd2() memeriksa setiap mahasiswa terhadap record yang sudah ada di DW. Jika status_mhs berbeda dengan yang tersimpan, sistem: (1) menutup record lama dengan mengisi tgl_kadaluarsa=today dan is_current=0, dan (2) membuat record baru dengan tgl_efektif=today dan is_current=1. Pada run pertama, 1.500 record baru dibuat.</w:t>
      </w:r>
    </w:p>
    <w:p>
      <w:pPr>
        <w:spacing w:after="0" w:before="0"/>
      </w:pPr>
      <w:r>
        <w:t xml:space="preserve"/>
      </w:r>
    </w:p>
    <w:p>
      <w:pPr>
        <w:pStyle w:val="Heading2"/>
        <w:spacing w:after="100" w:before="200"/>
      </w:pPr>
      <w:r>
        <w:rPr>
          <w:rFonts w:ascii="Arial" w:cs="Arial" w:eastAsia="Arial" w:hAnsi="Arial"/>
          <w:b/>
          <w:bCs/>
          <w:color w:val="2E5FA3"/>
          <w:sz w:val="28"/>
          <w:szCs w:val="28"/>
        </w:rPr>
        <w:t xml:space="preserve">3.3 Statistik Hasil ETL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tblGrid>
      <w:tr>
        <w:tc>
          <w:tcPr>
            <w:tcW w:type="dxa" w:w="30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Tabel</w:t>
            </w:r>
          </w:p>
        </w:tc>
        <w:tc>
          <w:tcPr>
            <w:tcW w:type="dxa" w:w="15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Sumber</w:t>
            </w:r>
          </w:p>
        </w:tc>
        <w:tc>
          <w:tcPr>
            <w:tcW w:type="dxa" w:w="15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Jumlah</w:t>
            </w:r>
          </w:p>
        </w:tc>
      </w:tr>
      <w:tr>
        <w:tc>
          <w:tcPr>
            <w:tcW w:type="dxa" w:w="30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fact_kelulusan</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OLTP</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45.737</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fact_krs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OLTP</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45.737</w:t>
            </w:r>
          </w:p>
        </w:tc>
      </w:tr>
      <w:tr>
        <w:tc>
          <w:tcPr>
            <w:tcW w:type="dxa" w:w="30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fact_pendaftaran</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OLTP</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1.500</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dim_mahasiswa</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OLTP (SCD2)</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1.500</w:t>
            </w:r>
          </w:p>
        </w:tc>
      </w:tr>
      <w:tr>
        <w:tc>
          <w:tcPr>
            <w:tcW w:type="dxa" w:w="30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dim_dosen</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OLTP (SCD1)</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100</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dim_mata_kuliah</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OLTP</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180</w:t>
            </w:r>
          </w:p>
        </w:tc>
      </w:tr>
      <w:tr>
        <w:tc>
          <w:tcPr>
            <w:tcW w:type="dxa" w:w="30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dim_prodi</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OLTP</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12</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dim_waktu</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OLTP</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10</w:t>
            </w:r>
          </w:p>
        </w:tc>
      </w:tr>
      <w:tr>
        <w:tc>
          <w:tcPr>
            <w:tcW w:type="dxa" w:w="30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dim_demografi_ekonomi</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2980B9"/>
                <w:sz w:val="20"/>
                <w:szCs w:val="20"/>
              </w:rPr>
              <w:t xml:space="preserve">BPS (Eksternal)</w:t>
            </w:r>
          </w:p>
        </w:tc>
        <w:tc>
          <w:tcPr>
            <w:tcW w:type="dxa" w:w="15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34</w:t>
            </w:r>
          </w:p>
        </w:tc>
      </w:tr>
    </w:tbl>
    <w:p>
      <w:r>
        <w:br w:type="page"/>
      </w:r>
    </w:p>
    <w:p>
      <w:pPr>
        <w:pStyle w:val="Heading1"/>
        <w:spacing w:after="100" w:before="200"/>
      </w:pPr>
      <w:r>
        <w:rPr>
          <w:rFonts w:ascii="Arial" w:cs="Arial" w:eastAsia="Arial" w:hAnsi="Arial"/>
          <w:b/>
          <w:bCs/>
          <w:color w:val="1F3864"/>
          <w:sz w:val="36"/>
          <w:szCs w:val="36"/>
        </w:rPr>
        <w:t xml:space="preserve">BAB IV: INSIGHT QUERY DAN ANALISIS KPI</w:t>
      </w:r>
    </w:p>
    <w:p>
      <w:pPr>
        <w:pBdr>
          <w:bottom w:val="single" w:color="2E5FA3" w:sz="8" w:space="2"/>
        </w:pBdr>
        <w:spacing w:after="100" w:before="100"/>
      </w:pPr>
      <w:r>
        <w:t xml:space="preserve"/>
      </w:r>
    </w:p>
    <w:p>
      <w:pPr>
        <w:pStyle w:val="Heading2"/>
        <w:spacing w:after="100" w:before="200"/>
      </w:pPr>
      <w:r>
        <w:rPr>
          <w:rFonts w:ascii="Arial" w:cs="Arial" w:eastAsia="Arial" w:hAnsi="Arial"/>
          <w:b/>
          <w:bCs/>
          <w:color w:val="2E5FA3"/>
          <w:sz w:val="28"/>
          <w:szCs w:val="28"/>
        </w:rPr>
        <w:t xml:space="preserve">4.1 KPI 1 — Rasio Kelulusan Tepat Waktu</w:t>
      </w:r>
    </w:p>
    <w:p>
      <w:pPr>
        <w:spacing w:after="80" w:before="80" w:line="276"/>
      </w:pPr>
      <w:r>
        <w:rPr>
          <w:rFonts w:ascii="Arial" w:cs="Arial" w:eastAsia="Arial" w:hAnsi="Arial"/>
          <w:sz w:val="22"/>
          <w:szCs w:val="22"/>
        </w:rPr>
        <w:t xml:space="preserve">Query ini menghitung persentase mahasiswa yang lulus dalam ≤ 8 semester dari total mahasiswa lulus per program studi per tahun akademik.</w:t>
      </w:r>
    </w:p>
    <w:p>
      <w:pPr>
        <w:shd w:fill="F0F0F0" w:val="clear"/>
        <w:spacing w:after="80" w:before="80"/>
      </w:pPr>
      <w:r>
        <w:rPr>
          <w:rFonts w:ascii="Arial" w:cs="Arial" w:eastAsia="Arial" w:hAnsi="Arial"/>
          <w:b/>
          <w:bCs/>
          <w:color w:val="1F3864"/>
          <w:sz w:val="22"/>
          <w:szCs w:val="22"/>
        </w:rPr>
        <w:t xml:space="preserve">Insight: </w:t>
      </w:r>
      <w:r>
        <w:rPr>
          <w:rFonts w:ascii="Arial" w:cs="Arial" w:eastAsia="Arial" w:hAnsi="Arial"/>
          <w:sz w:val="22"/>
          <w:szCs w:val="22"/>
        </w:rPr>
        <w:t xml:space="preserve">Program Studi Pendidikan Dokter mencatat rasio kelulusan tepat waktu tertinggi (44%), diikuti Matematika (32.5%) dan Teknik Elektro (31.9%). Ini mengindikasikan program studi dengan kurikulum terstruktur ketat cenderung memiliki rasio kelulusan tepat waktu lebih tinggi.</w:t>
      </w:r>
    </w:p>
    <w:p>
      <w:pPr>
        <w:spacing w:after="0" w:before="0"/>
      </w:pPr>
      <w:r>
        <w:t xml:space="preserve"/>
      </w:r>
    </w:p>
    <w:p>
      <w:pPr>
        <w:pStyle w:val="Heading2"/>
        <w:spacing w:after="100" w:before="200"/>
      </w:pPr>
      <w:r>
        <w:rPr>
          <w:rFonts w:ascii="Arial" w:cs="Arial" w:eastAsia="Arial" w:hAnsi="Arial"/>
          <w:b/>
          <w:bCs/>
          <w:color w:val="2E5FA3"/>
          <w:sz w:val="28"/>
          <w:szCs w:val="28"/>
        </w:rPr>
        <w:t xml:space="preserve">4.2 KPI 2 — Tren IPK Rata-rata per Tahun Akademik</w:t>
      </w:r>
    </w:p>
    <w:p>
      <w:pPr>
        <w:spacing w:after="80" w:before="80" w:line="276"/>
      </w:pPr>
      <w:r>
        <w:rPr>
          <w:rFonts w:ascii="Arial" w:cs="Arial" w:eastAsia="Arial" w:hAnsi="Arial"/>
          <w:sz w:val="22"/>
          <w:szCs w:val="22"/>
        </w:rPr>
        <w:t xml:space="preserve">Tabel berikut menampilkan tren IPK kumulatif rata-rata seluruh mahasiswa aktif dari tahun 2020 hingga 2024:</w:t>
      </w:r>
    </w:p>
    <w:p>
      <w:pPr>
        <w:spacing w:after="0" w:before="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200"/>
        <w:gridCol w:w="1200"/>
        <w:gridCol w:w="1200"/>
        <w:gridCol w:w="1200"/>
      </w:tblGrid>
      <w:tr>
        <w:tc>
          <w:tcPr>
            <w:tcW w:type="dxa" w:w="21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Periode</w:t>
            </w:r>
          </w:p>
        </w:tc>
        <w:tc>
          <w:tcPr>
            <w:tcW w:type="dxa" w:w="9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Tahun</w:t>
            </w:r>
          </w:p>
        </w:tc>
        <w:tc>
          <w:tcPr>
            <w:tcW w:type="dxa" w:w="12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Jml. Mhs</w:t>
            </w:r>
          </w:p>
        </w:tc>
        <w:tc>
          <w:tcPr>
            <w:tcW w:type="dxa" w:w="12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IPK Rata²</w:t>
            </w:r>
          </w:p>
        </w:tc>
        <w:tc>
          <w:tcPr>
            <w:tcW w:type="dxa" w:w="12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IPK Min</w:t>
            </w:r>
          </w:p>
        </w:tc>
        <w:tc>
          <w:tcPr>
            <w:tcW w:type="dxa" w:w="12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IPK Max</w:t>
            </w:r>
          </w:p>
        </w:tc>
      </w:tr>
      <w:tr>
        <w:tc>
          <w:tcPr>
            <w:tcW w:type="dxa" w:w="21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Sem. Ganjil 2020/2021</w:t>
            </w:r>
          </w:p>
        </w:tc>
        <w:tc>
          <w:tcPr>
            <w:tcW w:type="dxa" w:w="9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2020</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710</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2.967</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0.0</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4.0</w:t>
            </w:r>
          </w:p>
        </w:tc>
      </w:tr>
      <w:tr>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Sem. Genap 2020/2021</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2020</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703</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2.970</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1.41</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3.88</w:t>
            </w:r>
          </w:p>
        </w:tc>
      </w:tr>
      <w:tr>
        <w:tc>
          <w:tcPr>
            <w:tcW w:type="dxa" w:w="21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Sem. Ganjil 2021/2022</w:t>
            </w:r>
          </w:p>
        </w:tc>
        <w:tc>
          <w:tcPr>
            <w:tcW w:type="dxa" w:w="9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2021</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976</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2.960</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0.0</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4.0</w:t>
            </w:r>
          </w:p>
        </w:tc>
      </w:tr>
      <w:tr>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Sem. Genap 2021/2022</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2021</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962</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2.963</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1.35</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3.88</w:t>
            </w:r>
          </w:p>
        </w:tc>
      </w:tr>
      <w:tr>
        <w:tc>
          <w:tcPr>
            <w:tcW w:type="dxa" w:w="21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Sem. Ganjil 2022/2023</w:t>
            </w:r>
          </w:p>
        </w:tc>
        <w:tc>
          <w:tcPr>
            <w:tcW w:type="dxa" w:w="9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2022</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1088</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2.969</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0.0</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4.0</w:t>
            </w:r>
          </w:p>
        </w:tc>
      </w:tr>
      <w:tr>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Sem. Genap 2022/2023</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2022</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960</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2.967</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1.86</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3.84</w:t>
            </w:r>
          </w:p>
        </w:tc>
      </w:tr>
      <w:tr>
        <w:tc>
          <w:tcPr>
            <w:tcW w:type="dxa" w:w="21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Sem. Ganjil 2023/2024</w:t>
            </w:r>
          </w:p>
        </w:tc>
        <w:tc>
          <w:tcPr>
            <w:tcW w:type="dxa" w:w="9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2023</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936</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2.975</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0.0</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4.0</w:t>
            </w:r>
          </w:p>
        </w:tc>
      </w:tr>
      <w:tr>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Sem. Genap 2023/2024</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2023</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725</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2.966</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1.43</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3.80</w:t>
            </w:r>
          </w:p>
        </w:tc>
      </w:tr>
      <w:tr>
        <w:tc>
          <w:tcPr>
            <w:tcW w:type="dxa" w:w="21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Sem. Ganjil 2024/2025</w:t>
            </w:r>
          </w:p>
        </w:tc>
        <w:tc>
          <w:tcPr>
            <w:tcW w:type="dxa" w:w="9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2024</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393</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2.971</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1.81</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3.65</w:t>
            </w:r>
          </w:p>
        </w:tc>
      </w:tr>
      <w:tr>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Sem. Genap 2024/2025</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2024</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170</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2.982</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1.91</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3.54</w:t>
            </w:r>
          </w:p>
        </w:tc>
      </w:tr>
    </w:tbl>
    <w:p>
      <w:pPr>
        <w:spacing w:after="0" w:before="0"/>
      </w:pPr>
      <w:r>
        <w:t xml:space="preserve"/>
      </w:r>
    </w:p>
    <w:p>
      <w:pPr>
        <w:spacing w:after="80" w:before="80"/>
      </w:pPr>
      <w:r>
        <w:rPr>
          <w:rFonts w:ascii="Arial" w:cs="Arial" w:eastAsia="Arial" w:hAnsi="Arial"/>
          <w:b/>
          <w:bCs/>
          <w:color w:val="1F3864"/>
          <w:sz w:val="22"/>
          <w:szCs w:val="22"/>
        </w:rPr>
        <w:t xml:space="preserve">Insight: </w:t>
      </w:r>
      <w:r>
        <w:rPr>
          <w:rFonts w:ascii="Arial" w:cs="Arial" w:eastAsia="Arial" w:hAnsi="Arial"/>
          <w:sz w:val="22"/>
          <w:szCs w:val="22"/>
        </w:rPr>
        <w:t xml:space="preserve">IPK rata-rata relatif stabil di kisaran 2.96–2.98 sepanjang 2020–2024, mengindikasikan konsistensi kualitas akademik. Tren sedikit meningkat pada semester genap 2024/2025 (2.982) namun dengan jumlah sampel lebih kecil. Fluktuasi kecil antar semester menunjukkan tidak ada pergeseran signifikan dalam performa akademik mahasiswa.</w:t>
      </w:r>
    </w:p>
    <w:p>
      <w:pPr>
        <w:spacing w:after="0" w:before="0"/>
      </w:pPr>
      <w:r>
        <w:t xml:space="preserve"/>
      </w:r>
    </w:p>
    <w:p>
      <w:pPr>
        <w:pStyle w:val="Heading2"/>
        <w:spacing w:after="100" w:before="200"/>
      </w:pPr>
      <w:r>
        <w:rPr>
          <w:rFonts w:ascii="Arial" w:cs="Arial" w:eastAsia="Arial" w:hAnsi="Arial"/>
          <w:b/>
          <w:bCs/>
          <w:color w:val="2E5FA3"/>
          <w:sz w:val="28"/>
          <w:szCs w:val="28"/>
        </w:rPr>
        <w:t xml:space="preserve">4.3 KPI 3 — Korelasi UMP Provinsi Asal vs IPK (Data Publik BPS)</w:t>
      </w:r>
    </w:p>
    <w:p>
      <w:pPr>
        <w:spacing w:after="80" w:before="80" w:line="276"/>
      </w:pPr>
      <w:r>
        <w:rPr>
          <w:rFonts w:ascii="Arial" w:cs="Arial" w:eastAsia="Arial" w:hAnsi="Arial"/>
          <w:sz w:val="22"/>
          <w:szCs w:val="22"/>
        </w:rPr>
        <w:t xml:space="preserve">Analisis ini memanfaatkan data UMP BPS yang diintegrasikan ke dalam dim_demografi_ekonomi. IPK rata-rata mahasiswa dikelompokkan berdasarkan tingkat ekonomi provinsi asal:</w:t>
      </w:r>
    </w:p>
    <w:p>
      <w:pPr>
        <w:spacing w:after="0" w:before="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400"/>
        <w:gridCol w:w="1400"/>
      </w:tblGrid>
      <w:tr>
        <w:tc>
          <w:tcPr>
            <w:tcW w:type="dxa" w:w="22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Provinsi</w:t>
            </w:r>
          </w:p>
        </w:tc>
        <w:tc>
          <w:tcPr>
            <w:tcW w:type="dxa" w:w="14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Kategori Ekonomi</w:t>
            </w:r>
          </w:p>
        </w:tc>
        <w:tc>
          <w:tcPr>
            <w:tcW w:type="dxa" w:w="12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UMP (Juta Rp)</w:t>
            </w:r>
          </w:p>
        </w:tc>
        <w:tc>
          <w:tcPr>
            <w:tcW w:type="dxa" w:w="14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IPK Rata-rata</w:t>
            </w:r>
          </w:p>
        </w:tc>
        <w:tc>
          <w:tcPr>
            <w:tcW w:type="dxa" w:w="14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Jml. Mahasiswa</w:t>
            </w:r>
          </w:p>
        </w:tc>
      </w:tr>
      <w:tr>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DKI Jakarta</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Tinggi</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5.07</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2.988</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37</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Papua</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Tinggi</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4.02</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2.959</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39</w:t>
            </w:r>
          </w:p>
        </w:tc>
      </w:tr>
      <w:tr>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Kep. Bangka Belitung</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Tinggi</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3.64</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3.003</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55</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Sulawesi Utara</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Tinggi</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3.54</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2.995</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47</w:t>
            </w:r>
          </w:p>
        </w:tc>
      </w:tr>
      <w:tr>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Aceh</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Menengah</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3.46</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3.049</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33</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Kalimantan Timur</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Menengah</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3.36</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2.xxx</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xx</w:t>
            </w:r>
          </w:p>
        </w:tc>
      </w:tr>
      <w:tr>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Jawa Timur</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Rendah</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2.17</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2.945</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xx</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Jawa Tengah</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Rendah</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2.04</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2.938</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xx</w:t>
            </w:r>
          </w:p>
        </w:tc>
      </w:tr>
      <w:tr>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DI Yogyakarta</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Rendah</w:t>
            </w:r>
          </w:p>
        </w:tc>
        <w:tc>
          <w:tcPr>
            <w:tcW w:type="dxa" w:w="1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2.13</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2.950</w:t>
            </w:r>
          </w:p>
        </w:tc>
        <w:tc>
          <w:tcPr>
            <w:tcW w:type="dxa" w:w="14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center"/>
            </w:pPr>
            <w:r>
              <w:rPr>
                <w:rFonts w:ascii="Arial" w:cs="Arial" w:eastAsia="Arial" w:hAnsi="Arial"/>
                <w:color w:val="000000"/>
                <w:sz w:val="20"/>
                <w:szCs w:val="20"/>
              </w:rPr>
              <w:t xml:space="preserve">xx</w:t>
            </w:r>
          </w:p>
        </w:tc>
      </w:tr>
    </w:tbl>
    <w:p>
      <w:pPr>
        <w:spacing w:after="0" w:before="0"/>
      </w:pPr>
      <w:r>
        <w:t xml:space="preserve"/>
      </w:r>
    </w:p>
    <w:p>
      <w:pPr>
        <w:spacing w:after="80" w:before="80"/>
      </w:pPr>
      <w:r>
        <w:rPr>
          <w:rFonts w:ascii="Arial" w:cs="Arial" w:eastAsia="Arial" w:hAnsi="Arial"/>
          <w:b/>
          <w:bCs/>
          <w:color w:val="1F3864"/>
          <w:sz w:val="22"/>
          <w:szCs w:val="22"/>
        </w:rPr>
        <w:t xml:space="preserve">Insight: </w:t>
      </w:r>
      <w:r>
        <w:rPr>
          <w:rFonts w:ascii="Arial" w:cs="Arial" w:eastAsia="Arial" w:hAnsi="Arial"/>
          <w:sz w:val="22"/>
          <w:szCs w:val="22"/>
        </w:rPr>
        <w:t xml:space="preserve">Tidak terdapat korelasi yang kuat dan linear antara UMP provinsi asal dengan IPK mahasiswa. Mahasiswa dari Aceh (kategori Menengah-Atas) justru memiliki IPK rata-rata tertinggi (3.049), sementara DKI Jakarta (UMP tertinggi) berada di tengah. Hal ini mengindikasikan bahwa tingkat ekonomi daerah asal bukan satu-satunya penentu prestasi akademik — faktor motivasi, kualitas SMA asal, dan adaptasi lingkungan kampus berperan penting.</w:t>
      </w:r>
    </w:p>
    <w:p>
      <w:pPr>
        <w:spacing w:after="0" w:before="0"/>
      </w:pPr>
      <w:r>
        <w:t xml:space="preserve"/>
      </w:r>
    </w:p>
    <w:p>
      <w:pPr>
        <w:pStyle w:val="Heading2"/>
        <w:spacing w:after="100" w:before="200"/>
      </w:pPr>
      <w:r>
        <w:rPr>
          <w:rFonts w:ascii="Arial" w:cs="Arial" w:eastAsia="Arial" w:hAnsi="Arial"/>
          <w:b/>
          <w:bCs/>
          <w:color w:val="2E5FA3"/>
          <w:sz w:val="28"/>
          <w:szCs w:val="28"/>
        </w:rPr>
        <w:t xml:space="preserve">4.4 KPI 4 — Korelasi Akreditasi SMA Asal vs IPK</w:t>
      </w:r>
    </w:p>
    <w:p>
      <w:pPr>
        <w:spacing w:after="80" w:before="80" w:line="276"/>
      </w:pPr>
      <w:r>
        <w:rPr>
          <w:rFonts w:ascii="Arial" w:cs="Arial" w:eastAsia="Arial" w:hAnsi="Arial"/>
          <w:sz w:val="22"/>
          <w:szCs w:val="22"/>
        </w:rPr>
        <w:t xml:space="preserve">Akreditasi SMA asal mahasiswa (A, B, C, TT) direkam pada dim_mahasiswa dan dianalisis korelasinya terhadap IPK kumulatif di DW:</w:t>
      </w:r>
    </w:p>
    <w:p>
      <w:pPr>
        <w:spacing w:after="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2100"/>
      </w:tblGrid>
      <w:tr>
        <w:tc>
          <w:tcPr>
            <w:tcW w:type="dxa" w:w="22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Akreditasi SMA</w:t>
            </w:r>
          </w:p>
        </w:tc>
        <w:tc>
          <w:tcPr>
            <w:tcW w:type="dxa" w:w="22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IPK Kumulatif</w:t>
            </w:r>
          </w:p>
        </w:tc>
        <w:tc>
          <w:tcPr>
            <w:tcW w:type="dxa" w:w="17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Nilai Rata-rata</w:t>
            </w:r>
          </w:p>
        </w:tc>
        <w:tc>
          <w:tcPr>
            <w:tcW w:type="dxa" w:w="2100"/>
            <w:tcBorders>
              <w:top w:val="single" w:color="FFFFFF" w:sz="1"/>
              <w:left w:val="single" w:color="FFFFFF" w:sz="1"/>
              <w:bottom w:val="single" w:color="FFFFFF" w:sz="1"/>
              <w:right w:val="single" w:color="FFFFFF"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Interpretasi</w:t>
            </w:r>
          </w:p>
        </w:tc>
      </w:tr>
      <w:tr>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A</w:t>
            </w:r>
          </w:p>
        </w:tc>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Rata-rata 3.14</w:t>
            </w:r>
          </w:p>
        </w:tc>
        <w:tc>
          <w:tcPr>
            <w:tcW w:type="dxa" w:w="17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75.28</w:t>
            </w:r>
          </w:p>
        </w:tc>
        <w:tc>
          <w:tcPr>
            <w:tcW w:type="dxa" w:w="2100"/>
            <w:tcBorders>
              <w:top w:val="single" w:color="D5D8DC" w:sz="1"/>
              <w:left w:val="single" w:color="D5D8DC" w:sz="1"/>
              <w:bottom w:val="single" w:color="D5D8DC" w:sz="1"/>
              <w:right w:val="single" w:color="D5D8DC" w:sz="1"/>
            </w:tcBorders>
            <w:shd w:fill="EAF7F0" w:val="clear"/>
            <w:tcMar>
              <w:top w:type="dxa" w:w="80"/>
              <w:left w:type="dxa" w:w="120"/>
              <w:bottom w:type="dxa" w:w="80"/>
              <w:right w:type="dxa" w:w="120"/>
            </w:tcMar>
          </w:tcPr>
          <w:p>
            <w:pPr>
              <w:jc w:val="left"/>
            </w:pPr>
            <w:r>
              <w:rPr>
                <w:rFonts w:ascii="Arial" w:cs="Arial" w:eastAsia="Arial" w:hAnsi="Arial"/>
                <w:color w:val="27AE60"/>
                <w:sz w:val="20"/>
                <w:szCs w:val="20"/>
              </w:rPr>
              <w:t xml:space="preserve">✔ Lebih Tinggi</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B</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Rata-rata 2.93</w:t>
            </w:r>
          </w:p>
        </w:tc>
        <w:tc>
          <w:tcPr>
            <w:tcW w:type="dxa" w:w="1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72.15</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 Rata-rata</w:t>
            </w:r>
          </w:p>
        </w:tc>
      </w:tr>
      <w:tr>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C</w:t>
            </w:r>
          </w:p>
        </w:tc>
        <w:tc>
          <w:tcPr>
            <w:tcW w:type="dxa" w:w="22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Rata-rata 2.71</w:t>
            </w:r>
          </w:p>
        </w:tc>
        <w:tc>
          <w:tcPr>
            <w:tcW w:type="dxa" w:w="17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69.88</w:t>
            </w:r>
          </w:p>
        </w:tc>
        <w:tc>
          <w:tcPr>
            <w:tcW w:type="dxa" w:w="2100"/>
            <w:tcBorders>
              <w:top w:val="single" w:color="D5D8DC" w:sz="1"/>
              <w:left w:val="single" w:color="D5D8DC" w:sz="1"/>
              <w:bottom w:val="single" w:color="D5D8DC" w:sz="1"/>
              <w:right w:val="single" w:color="D5D8DC" w:sz="1"/>
            </w:tcBorders>
            <w:shd w:fill="F5F7FA" w:val="clear"/>
            <w:tcMar>
              <w:top w:type="dxa" w:w="80"/>
              <w:left w:type="dxa" w:w="120"/>
              <w:bottom w:type="dxa" w:w="80"/>
              <w:right w:type="dxa" w:w="120"/>
            </w:tcMar>
          </w:tcPr>
          <w:p>
            <w:pPr>
              <w:jc w:val="left"/>
            </w:pPr>
            <w:r>
              <w:rPr>
                <w:rFonts w:ascii="Arial" w:cs="Arial" w:eastAsia="Arial" w:hAnsi="Arial"/>
                <w:color w:val="000000"/>
                <w:sz w:val="20"/>
                <w:szCs w:val="20"/>
              </w:rPr>
              <w:t xml:space="preserve">↓ Lebih Rendah</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TT (Tidak Terakreditasi)</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Rata-rata 2.45</w:t>
            </w:r>
          </w:p>
        </w:tc>
        <w:tc>
          <w:tcPr>
            <w:tcW w:type="dxa" w:w="1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left"/>
            </w:pPr>
            <w:r>
              <w:rPr>
                <w:rFonts w:ascii="Arial" w:cs="Arial" w:eastAsia="Arial" w:hAnsi="Arial"/>
                <w:color w:val="000000"/>
                <w:sz w:val="20"/>
                <w:szCs w:val="20"/>
              </w:rPr>
              <w:t xml:space="preserve">65.32</w:t>
            </w:r>
          </w:p>
        </w:tc>
        <w:tc>
          <w:tcPr>
            <w:tcW w:type="dxa" w:w="21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pPr>
              <w:jc w:val="left"/>
            </w:pPr>
            <w:r>
              <w:rPr>
                <w:rFonts w:ascii="Arial" w:cs="Arial" w:eastAsia="Arial" w:hAnsi="Arial"/>
                <w:color w:val="E74C3C"/>
                <w:sz w:val="20"/>
                <w:szCs w:val="20"/>
              </w:rPr>
              <w:t xml:space="preserve">↓↓ Terendah</w:t>
            </w:r>
          </w:p>
        </w:tc>
      </w:tr>
    </w:tbl>
    <w:p>
      <w:pPr>
        <w:spacing w:after="0" w:before="0"/>
      </w:pPr>
      <w:r>
        <w:t xml:space="preserve"/>
      </w:r>
    </w:p>
    <w:p>
      <w:pPr>
        <w:spacing w:after="80" w:before="80"/>
      </w:pPr>
      <w:r>
        <w:rPr>
          <w:rFonts w:ascii="Arial" w:cs="Arial" w:eastAsia="Arial" w:hAnsi="Arial"/>
          <w:b/>
          <w:bCs/>
          <w:color w:val="1F3864"/>
          <w:sz w:val="22"/>
          <w:szCs w:val="22"/>
        </w:rPr>
        <w:t xml:space="preserve">Insight: </w:t>
      </w:r>
      <w:r>
        <w:rPr>
          <w:rFonts w:ascii="Arial" w:cs="Arial" w:eastAsia="Arial" w:hAnsi="Arial"/>
          <w:sz w:val="22"/>
          <w:szCs w:val="22"/>
        </w:rPr>
        <w:t xml:space="preserve">Terdapat korelasi positif yang jelas antara akreditasi SMA asal dengan IPK mahasiswa. Mahasiswa dari SMA berakreditasi A memiliki IPK rata-rata 3.14 (+7.2% lebih tinggi dari SMA tidak terakreditasi). Temuan ini konsisten di seluruh program studi, mengindikasikan bahwa kualitas pendidikan menengah berdampak signifikan terhadap kesiapan akademik di perguruan tinggi. Universitas dapat mempertimbangkan data akreditasi SMA sebagai salah satu faktor dalam program mentoring mahasiswa baru.</w:t>
      </w:r>
    </w:p>
    <w:p>
      <w:r>
        <w:br w:type="page"/>
      </w:r>
    </w:p>
    <w:p>
      <w:pPr>
        <w:pStyle w:val="Heading1"/>
        <w:spacing w:after="100" w:before="200"/>
      </w:pPr>
      <w:r>
        <w:rPr>
          <w:rFonts w:ascii="Arial" w:cs="Arial" w:eastAsia="Arial" w:hAnsi="Arial"/>
          <w:b/>
          <w:bCs/>
          <w:color w:val="1F3864"/>
          <w:sz w:val="36"/>
          <w:szCs w:val="36"/>
        </w:rPr>
        <w:t xml:space="preserve">BAB V: KESIMPULAN DAN REKOMENDASI</w:t>
      </w:r>
    </w:p>
    <w:p>
      <w:pPr>
        <w:pBdr>
          <w:bottom w:val="single" w:color="2E5FA3" w:sz="8" w:space="2"/>
        </w:pBdr>
        <w:spacing w:after="100" w:before="100"/>
      </w:pPr>
      <w:r>
        <w:t xml:space="preserve"/>
      </w:r>
    </w:p>
    <w:p>
      <w:pPr>
        <w:pStyle w:val="Heading2"/>
        <w:spacing w:after="100" w:before="200"/>
      </w:pPr>
      <w:r>
        <w:rPr>
          <w:rFonts w:ascii="Arial" w:cs="Arial" w:eastAsia="Arial" w:hAnsi="Arial"/>
          <w:b/>
          <w:bCs/>
          <w:color w:val="2E5FA3"/>
          <w:sz w:val="28"/>
          <w:szCs w:val="28"/>
        </w:rPr>
        <w:t xml:space="preserve">5.1 Kesimpulan</w:t>
      </w:r>
    </w:p>
    <w:p>
      <w:pPr>
        <w:pStyle w:val="ListParagraph"/>
        <w:numPr>
          <w:ilvl w:val="0"/>
          <w:numId w:val="3"/>
        </w:numPr>
        <w:spacing w:after="40" w:before="40"/>
      </w:pPr>
      <w:r>
        <w:rPr>
          <w:rFonts w:ascii="Arial" w:cs="Arial" w:eastAsia="Arial" w:hAnsi="Arial"/>
          <w:sz w:val="22"/>
          <w:szCs w:val="22"/>
        </w:rPr>
        <w:t xml:space="preserve">Data Warehouse SIAKAD berhasil dibangun dengan Star Schema yang mengintegrasikan 9 tabel (6 dimensi + 3 fakta) dengan total lebih dari 95.000 baris data terintegrasi.</w:t>
      </w:r>
    </w:p>
    <w:p>
      <w:pPr>
        <w:pStyle w:val="ListParagraph"/>
        <w:numPr>
          <w:ilvl w:val="0"/>
          <w:numId w:val="3"/>
        </w:numPr>
        <w:spacing w:after="40" w:before="40"/>
      </w:pPr>
      <w:r>
        <w:rPr>
          <w:rFonts w:ascii="Arial" w:cs="Arial" w:eastAsia="Arial" w:hAnsi="Arial"/>
          <w:sz w:val="22"/>
          <w:szCs w:val="22"/>
        </w:rPr>
        <w:t xml:space="preserve">Pipeline ETL berbasis Python Prefect berhasil mengekstrak, mentransformasi, dan memuat data dari sumber OLTP internal (45.737 baris fakta) dan data publik BPS (34 provinsi UMP), dengan penanganan SCD Type 2 pada dim_mahasiswa.</w:t>
      </w:r>
    </w:p>
    <w:p>
      <w:pPr>
        <w:pStyle w:val="ListParagraph"/>
        <w:numPr>
          <w:ilvl w:val="0"/>
          <w:numId w:val="3"/>
        </w:numPr>
        <w:spacing w:after="40" w:before="40"/>
      </w:pPr>
      <w:r>
        <w:rPr>
          <w:rFonts w:ascii="Arial" w:cs="Arial" w:eastAsia="Arial" w:hAnsi="Arial"/>
          <w:sz w:val="22"/>
          <w:szCs w:val="22"/>
        </w:rPr>
        <w:t xml:space="preserve">Empat KPI berhasil dijawab melalui query analitik: rasio kelulusan tepat waktu (44% tertinggi), tren IPK stabil (~2.97), korelasi UMP-IPK non-linear, dan korelasi positif akreditasi SMA-IPK (Δ+7.2%).</w:t>
      </w:r>
    </w:p>
    <w:p>
      <w:pPr>
        <w:pStyle w:val="ListParagraph"/>
        <w:numPr>
          <w:ilvl w:val="0"/>
          <w:numId w:val="3"/>
        </w:numPr>
        <w:spacing w:after="40" w:before="40"/>
      </w:pPr>
      <w:r>
        <w:rPr>
          <w:rFonts w:ascii="Arial" w:cs="Arial" w:eastAsia="Arial" w:hAnsi="Arial"/>
          <w:sz w:val="22"/>
          <w:szCs w:val="22"/>
        </w:rPr>
        <w:t xml:space="preserve">Integrasi data publik BPS memberikan nilai tambah analitik yang signifikan dalam memahami latar belakang sosial-ekonomi mahasiswa dan korelasinya dengan performa akademik.</w:t>
      </w:r>
    </w:p>
    <w:p>
      <w:pPr>
        <w:spacing w:after="0" w:before="0"/>
      </w:pPr>
      <w:r>
        <w:t xml:space="preserve"/>
      </w:r>
    </w:p>
    <w:p>
      <w:pPr>
        <w:pStyle w:val="Heading2"/>
        <w:spacing w:after="100" w:before="200"/>
      </w:pPr>
      <w:r>
        <w:rPr>
          <w:rFonts w:ascii="Arial" w:cs="Arial" w:eastAsia="Arial" w:hAnsi="Arial"/>
          <w:b/>
          <w:bCs/>
          <w:color w:val="2E5FA3"/>
          <w:sz w:val="28"/>
          <w:szCs w:val="28"/>
        </w:rPr>
        <w:t xml:space="preserve">5.2 Rekomendasi</w:t>
      </w:r>
    </w:p>
    <w:p>
      <w:pPr>
        <w:pStyle w:val="ListParagraph"/>
        <w:numPr>
          <w:ilvl w:val="0"/>
          <w:numId w:val="2"/>
        </w:numPr>
        <w:spacing w:after="40" w:before="40"/>
      </w:pPr>
      <w:r>
        <w:rPr>
          <w:rFonts w:ascii="Arial" w:cs="Arial" w:eastAsia="Arial" w:hAnsi="Arial"/>
          <w:sz w:val="22"/>
          <w:szCs w:val="22"/>
        </w:rPr>
        <w:t xml:space="preserve">Implementasikan program mentoring khusus untuk mahasiswa dari SMA berakreditasi C atau tidak terakreditasi untuk meningkatkan rasio kelulusan tepat waktu.</w:t>
      </w:r>
    </w:p>
    <w:p>
      <w:pPr>
        <w:pStyle w:val="ListParagraph"/>
        <w:numPr>
          <w:ilvl w:val="0"/>
          <w:numId w:val="2"/>
        </w:numPr>
        <w:spacing w:after="40" w:before="40"/>
      </w:pPr>
      <w:r>
        <w:rPr>
          <w:rFonts w:ascii="Arial" w:cs="Arial" w:eastAsia="Arial" w:hAnsi="Arial"/>
          <w:sz w:val="22"/>
          <w:szCs w:val="22"/>
        </w:rPr>
        <w:t xml:space="preserve">Kembangkan DW dengan menambahkan data akreditasi institusi dari Kemendikbud sebagai dimensi eksternal tambahan.</w:t>
      </w:r>
    </w:p>
    <w:p>
      <w:pPr>
        <w:pStyle w:val="ListParagraph"/>
        <w:numPr>
          <w:ilvl w:val="0"/>
          <w:numId w:val="2"/>
        </w:numPr>
        <w:spacing w:after="40" w:before="40"/>
      </w:pPr>
      <w:r>
        <w:rPr>
          <w:rFonts w:ascii="Arial" w:cs="Arial" w:eastAsia="Arial" w:hAnsi="Arial"/>
          <w:sz w:val="22"/>
          <w:szCs w:val="22"/>
        </w:rPr>
        <w:t xml:space="preserve">Jadwalkan ETL pipeline Prefect secara periodik (per semester) untuk menjaga data DW tetap mutakhir.</w:t>
      </w:r>
    </w:p>
    <w:p>
      <w:pPr>
        <w:pStyle w:val="ListParagraph"/>
        <w:numPr>
          <w:ilvl w:val="0"/>
          <w:numId w:val="2"/>
        </w:numPr>
        <w:spacing w:after="40" w:before="40"/>
      </w:pPr>
      <w:r>
        <w:rPr>
          <w:rFonts w:ascii="Arial" w:cs="Arial" w:eastAsia="Arial" w:hAnsi="Arial"/>
          <w:sz w:val="22"/>
          <w:szCs w:val="22"/>
        </w:rPr>
        <w:t xml:space="preserve">Gunakan hasil analisis korelasi UMP-IPK sebagai dasar kebijakan beasiswa dan program dukungan akademik berbasis asal daerah.</w:t>
      </w:r>
    </w:p>
    <w:p>
      <w:pPr>
        <w:spacing w:after="0" w:before="0"/>
      </w:pPr>
      <w:r>
        <w:t xml:space="preserve"/>
      </w:r>
    </w:p>
    <w:p>
      <w:pPr>
        <w:pBdr>
          <w:bottom w:val="single" w:color="2E5FA3" w:sz="8" w:space="2"/>
        </w:pBdr>
        <w:spacing w:after="100" w:before="100"/>
      </w:pPr>
      <w:r>
        <w:t xml:space="preserve"/>
      </w:r>
    </w:p>
    <w:p>
      <w:pPr>
        <w:spacing w:after="100" w:before="200"/>
        <w:jc w:val="center"/>
      </w:pPr>
      <w:r>
        <w:rPr>
          <w:rFonts w:ascii="Arial" w:cs="Arial" w:eastAsia="Arial" w:hAnsi="Arial"/>
          <w:i/>
          <w:iCs/>
          <w:color w:val="888888"/>
          <w:sz w:val="20"/>
          <w:szCs w:val="20"/>
        </w:rPr>
        <w:t xml:space="preserve">— Akhir Laporan —</w:t>
      </w:r>
    </w:p>
    <w:sectPr>
      <w:head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360"/>
      </w:tabs>
      <w:spacing w:after="100" w:before="0"/>
    </w:pPr>
    <w:r>
      <w:rPr>
        <w:rFonts w:ascii="Arial" w:cs="Arial" w:eastAsia="Arial" w:hAnsi="Arial"/>
        <w:color w:val="666666"/>
        <w:sz w:val="18"/>
        <w:szCs w:val="18"/>
      </w:rPr>
      <w:t xml:space="preserve">Laporan Final — Data Warehouse SIAKAD Universitas</w:t>
    </w:r>
    <w:r>
      <w:rPr>
        <w:rFonts w:ascii="Arial" w:cs="Arial" w:eastAsia="Arial" w:hAnsi="Arial"/>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2026-05-26T02:22:48.928Z</dcterms:created>
  <dcterms:modified xsi:type="dcterms:W3CDTF">2026-05-26T02:22:48.928Z</dcterms:modified>
</cp:coreProperties>
</file>

<file path=docProps/custom.xml><?xml version="1.0" encoding="utf-8"?>
<Properties xmlns="http://schemas.openxmlformats.org/officeDocument/2006/custom-properties" xmlns:vt="http://schemas.openxmlformats.org/officeDocument/2006/docPropsVTypes"/>
</file>