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i w:val="0"/>
          <w:color w:val="0B2545"/>
          <w:sz w:val="46"/>
        </w:rPr>
        <w:t>RESPONSE TO REVIEWERS</w:t>
      </w:r>
    </w:p>
    <w:p>
      <w:pPr>
        <w:spacing w:after="320"/>
      </w:pPr>
      <w:r>
        <w:rPr>
          <w:rFonts w:ascii="Calibri" w:hAnsi="Calibri"/>
          <w:b w:val="0"/>
          <w:i w:val="0"/>
          <w:color w:val="444444"/>
          <w:sz w:val="28"/>
        </w:rPr>
        <w:t>Deep-Reinforcement-Learning-Based Optimal Pinning Synchronization of Hopfield Chaotic Neural Networks with an Application to Image Encryption</w:t>
      </w:r>
    </w:p>
    <w:p>
      <w:pPr>
        <w:spacing w:after="40"/>
      </w:pPr>
      <w:r>
        <w:rPr>
          <w:rFonts w:ascii="Calibri" w:hAnsi="Calibri"/>
          <w:b/>
          <w:i w:val="0"/>
          <w:color w:val="000000"/>
          <w:sz w:val="22"/>
        </w:rPr>
        <w:t xml:space="preserve">Journal: </w:t>
      </w:r>
      <w:r>
        <w:rPr>
          <w:rFonts w:ascii="Calibri" w:hAnsi="Calibri"/>
          <w:b w:val="0"/>
          <w:i w:val="0"/>
          <w:color w:val="000000"/>
          <w:sz w:val="22"/>
        </w:rPr>
        <w:t>Nonlinear Dynamics</w:t>
      </w:r>
    </w:p>
    <w:p>
      <w:pPr>
        <w:spacing w:after="40"/>
      </w:pPr>
      <w:r>
        <w:rPr>
          <w:rFonts w:ascii="Calibri" w:hAnsi="Calibri"/>
          <w:b/>
          <w:i w:val="0"/>
          <w:color w:val="000000"/>
          <w:sz w:val="22"/>
        </w:rPr>
        <w:t xml:space="preserve">Manuscript type: </w:t>
      </w:r>
      <w:r>
        <w:rPr>
          <w:rFonts w:ascii="Calibri" w:hAnsi="Calibri"/>
          <w:b w:val="0"/>
          <w:i w:val="0"/>
          <w:color w:val="000000"/>
          <w:sz w:val="22"/>
        </w:rPr>
        <w:t>Article</w:t>
      </w:r>
    </w:p>
    <w:p>
      <w:pPr>
        <w:spacing w:after="40"/>
      </w:pPr>
      <w:r>
        <w:rPr>
          <w:rFonts w:ascii="Calibri" w:hAnsi="Calibri"/>
          <w:b/>
          <w:i w:val="0"/>
          <w:color w:val="000000"/>
          <w:sz w:val="22"/>
        </w:rPr>
        <w:t xml:space="preserve">Revision convention: </w:t>
      </w:r>
      <w:r>
        <w:rPr>
          <w:rFonts w:ascii="Calibri" w:hAnsi="Calibri"/>
          <w:b w:val="0"/>
          <w:i w:val="0"/>
          <w:color w:val="000000"/>
          <w:sz w:val="22"/>
        </w:rPr>
        <w:t>All new or modified manuscript text is shown in blue.</w:t>
      </w:r>
    </w:p>
    <w:p>
      <w:pPr>
        <w:pStyle w:val="Heading1"/>
      </w:pPr>
      <w:r>
        <w:t>General response</w:t>
      </w:r>
    </w:p>
    <w:p>
      <w:r>
        <w:rPr>
          <w:rFonts w:ascii="Calibri" w:hAnsi="Calibri"/>
          <w:b w:val="0"/>
          <w:i w:val="0"/>
          <w:color w:val="000000"/>
          <w:sz w:val="22"/>
        </w:rPr>
        <w:t xml:space="preserve">We sincerely thank the reviewers for their careful and constructive evaluations. </w:t>
      </w:r>
      <w:r>
        <w:rPr>
          <w:rFonts w:ascii="Calibri" w:hAnsi="Calibri"/>
          <w:b/>
          <w:i w:val="0"/>
          <w:color w:val="000000"/>
          <w:sz w:val="22"/>
        </w:rPr>
        <w:t xml:space="preserve">The revision is substantive: </w:t>
      </w:r>
      <w:r>
        <w:rPr>
          <w:rFonts w:ascii="Calibri" w:hAnsi="Calibri"/>
          <w:b w:val="0"/>
          <w:i w:val="0"/>
          <w:color w:val="000000"/>
          <w:sz w:val="22"/>
        </w:rPr>
        <w:t>we added a formal local stability/robustness theorem and proof, strengthened controller comparisons, reorganized the experiments around node selection and observation demand, elevated the difficult Node 2 result to a central finding, added two-dimensional heat maps without removing the original three-dimensional figures, clarified the transmitter–receiver key-generation chain with a supplementary flowchart, and expanded the security evaluation. Every original figure and its associated discussion is retained, and every new or modified passage is blue in the revised PDF and LaTeX source.</w:t>
      </w:r>
    </w:p>
    <w:p>
      <w:pPr>
        <w:pStyle w:val="Heading1"/>
      </w:pPr>
      <w:r>
        <w:t>Reviewer 1</w:t>
      </w:r>
    </w:p>
    <w:p>
      <w:pPr>
        <w:pStyle w:val="Heading2"/>
      </w:pPr>
      <w:r>
        <w:t>Comment 1.1</w:t>
      </w:r>
    </w:p>
    <w:p>
      <w:pPr>
        <w:spacing w:before="80" w:after="100"/>
        <w:ind w:left="259" w:right="173"/>
        <w:shd w:fill="F2F4F7"/>
      </w:pPr>
      <w:r>
        <w:rPr>
          <w:rFonts w:ascii="Calibri" w:hAnsi="Calibri"/>
          <w:b/>
          <w:i w:val="0"/>
          <w:color w:val="1F3A5F"/>
          <w:sz w:val="21"/>
        </w:rPr>
        <w:t xml:space="preserve">Reviewer comment. </w:t>
      </w:r>
      <w:r>
        <w:rPr>
          <w:rFonts w:ascii="Calibri" w:hAnsi="Calibri"/>
          <w:b w:val="0"/>
          <w:i/>
          <w:color w:val="333333"/>
          <w:sz w:val="21"/>
        </w:rPr>
        <w:t>The Abstract does not sufficiently identify the novelty, the Node 2 advantage, quantitative evidence, or the role of synchronization in key-stream consistency.</w:t>
      </w:r>
    </w:p>
    <w:p>
      <w:r>
        <w:rPr>
          <w:rFonts w:ascii="Calibri" w:hAnsi="Calibri"/>
          <w:b/>
          <w:i w:val="0"/>
          <w:color w:val="2E74B5"/>
          <w:sz w:val="22"/>
        </w:rPr>
        <w:t xml:space="preserve">Response. </w:t>
      </w:r>
      <w:r>
        <w:rPr>
          <w:rFonts w:ascii="Calibri" w:hAnsi="Calibri"/>
          <w:b w:val="0"/>
          <w:i w:val="0"/>
          <w:color w:val="000000"/>
          <w:sz w:val="22"/>
        </w:rPr>
        <w:t>The Abstract has been completely rewritten. It now explains why a one-actuator/one-node structure is nontrivial, distinguishes the absolute performance of Node 3 from the relative learning advantage at Node 2, and reports representative impulse results (post-disturbance error 5.5145 to 2.0650; control energy 61.8433 to 19.4115). It also states explicitly that the drive and response trajectories independently generate transmitter and receiver keys.</w:t>
      </w:r>
    </w:p>
    <w:p>
      <w:r>
        <w:rPr>
          <w:rFonts w:ascii="Calibri" w:hAnsi="Calibri"/>
          <w:b/>
          <w:i w:val="0"/>
          <w:color w:val="1F4D78"/>
          <w:sz w:val="21"/>
        </w:rPr>
        <w:t xml:space="preserve">Revision location. </w:t>
      </w:r>
      <w:r>
        <w:rPr>
          <w:rFonts w:ascii="Calibri" w:hAnsi="Calibri"/>
          <w:b w:val="0"/>
          <w:i w:val="0"/>
          <w:color w:val="333333"/>
          <w:sz w:val="21"/>
        </w:rPr>
        <w:t>Abstract, first page.</w:t>
      </w:r>
    </w:p>
    <w:p>
      <w:pPr>
        <w:pStyle w:val="Heading2"/>
      </w:pPr>
      <w:r>
        <w:t>Comment 1.2</w:t>
      </w:r>
    </w:p>
    <w:p>
      <w:pPr>
        <w:spacing w:before="80" w:after="100"/>
        <w:ind w:left="259" w:right="173"/>
        <w:shd w:fill="F2F4F7"/>
      </w:pPr>
      <w:r>
        <w:rPr>
          <w:rFonts w:ascii="Calibri" w:hAnsi="Calibri"/>
          <w:b/>
          <w:i w:val="0"/>
          <w:color w:val="1F3A5F"/>
          <w:sz w:val="21"/>
        </w:rPr>
        <w:t xml:space="preserve">Reviewer comment. </w:t>
      </w:r>
      <w:r>
        <w:rPr>
          <w:rFonts w:ascii="Calibri" w:hAnsi="Calibri"/>
          <w:b w:val="0"/>
          <w:i/>
          <w:color w:val="333333"/>
          <w:sz w:val="21"/>
        </w:rPr>
        <w:t>The Introduction needs better logic and stronger motivation for single-input control, the Hopfield model, pinning-node selection, and image encryption.</w:t>
      </w:r>
    </w:p>
    <w:p>
      <w:r>
        <w:rPr>
          <w:rFonts w:ascii="Calibri" w:hAnsi="Calibri"/>
          <w:b/>
          <w:i w:val="0"/>
          <w:color w:val="2E74B5"/>
          <w:sz w:val="22"/>
        </w:rPr>
        <w:t xml:space="preserve">Response. </w:t>
      </w:r>
      <w:r>
        <w:rPr>
          <w:rFonts w:ascii="Calibri" w:hAnsi="Calibri"/>
          <w:b w:val="0"/>
          <w:i w:val="0"/>
          <w:color w:val="000000"/>
          <w:sz w:val="22"/>
        </w:rPr>
        <w:t>We added two focused motivation paragraphs. The first explains the hardware and communication benefits of reducing three actuation channels to one, together with the resulting control-propagation penalty. It also explains why the asymmetric continuous-time Hopfield network is a suitable node-selection test bed. The second treats encryption as an end-to-end consistency test and links continuous synchronization error to discrete key disagreement. The contributions were rewritten to arise directly from these gaps.</w:t>
      </w:r>
    </w:p>
    <w:p>
      <w:r>
        <w:rPr>
          <w:rFonts w:ascii="Calibri" w:hAnsi="Calibri"/>
          <w:b/>
          <w:i w:val="0"/>
          <w:color w:val="1F4D78"/>
          <w:sz w:val="21"/>
        </w:rPr>
        <w:t xml:space="preserve">Revision location. </w:t>
      </w:r>
      <w:r>
        <w:rPr>
          <w:rFonts w:ascii="Calibri" w:hAnsi="Calibri"/>
          <w:b w:val="0"/>
          <w:i w:val="0"/>
          <w:color w:val="333333"/>
          <w:sz w:val="21"/>
        </w:rPr>
        <w:t>Introduction, blue paragraphs preceding the contribution list, and the revised contribution list.</w:t>
      </w:r>
    </w:p>
    <w:p>
      <w:pPr>
        <w:pStyle w:val="Heading2"/>
      </w:pPr>
      <w:r>
        <w:t>Comment 1.3</w:t>
      </w:r>
    </w:p>
    <w:p>
      <w:pPr>
        <w:spacing w:before="80" w:after="100"/>
        <w:ind w:left="259" w:right="173"/>
        <w:shd w:fill="F2F4F7"/>
      </w:pPr>
      <w:r>
        <w:rPr>
          <w:rFonts w:ascii="Calibri" w:hAnsi="Calibri"/>
          <w:b/>
          <w:i w:val="0"/>
          <w:color w:val="1F3A5F"/>
          <w:sz w:val="21"/>
        </w:rPr>
        <w:t xml:space="preserve">Reviewer comment. </w:t>
      </w:r>
      <w:r>
        <w:rPr>
          <w:rFonts w:ascii="Calibri" w:hAnsi="Calibri"/>
          <w:b w:val="0"/>
          <w:i/>
          <w:color w:val="333333"/>
          <w:sz w:val="21"/>
        </w:rPr>
        <w:t>The comparison against empirically selected fixed-gain feedback is insufficient; stronger tuned controllers and multi-input structures are needed.</w:t>
      </w:r>
    </w:p>
    <w:p>
      <w:r>
        <w:rPr>
          <w:rFonts w:ascii="Calibri" w:hAnsi="Calibri"/>
          <w:b/>
          <w:i w:val="0"/>
          <w:color w:val="2E74B5"/>
          <w:sz w:val="22"/>
        </w:rPr>
        <w:t xml:space="preserve">Response. </w:t>
      </w:r>
      <w:r>
        <w:rPr>
          <w:rFonts w:ascii="Calibri" w:hAnsi="Calibri"/>
          <w:b w:val="0"/>
          <w:i w:val="0"/>
          <w:color w:val="000000"/>
          <w:sz w:val="22"/>
        </w:rPr>
        <w:t>We added matched comparisons with validation-tuned linear feedback, single-input LQR, boundary-layer sliding-mode control, and three-input PPO. The same input limit, initial-condition protocol, horizon, integration step, and evaluation metrics are used. A new table reports MAE, final error, control energy, actuator count, and sensor count. This makes the cost of the single-input architecture explicit: multi-input PPO is more accurate, while the proposed design uses one rather than three physical input channels.</w:t>
      </w:r>
    </w:p>
    <w:p>
      <w:r>
        <w:rPr>
          <w:rFonts w:ascii="Calibri" w:hAnsi="Calibri"/>
          <w:b/>
          <w:i w:val="0"/>
          <w:color w:val="1F4D78"/>
          <w:sz w:val="21"/>
        </w:rPr>
        <w:t xml:space="preserve">Revision location. </w:t>
      </w:r>
      <w:r>
        <w:rPr>
          <w:rFonts w:ascii="Calibri" w:hAnsi="Calibri"/>
          <w:b w:val="0"/>
          <w:i w:val="0"/>
          <w:color w:val="333333"/>
          <w:sz w:val="21"/>
        </w:rPr>
        <w:t>Experimental Results, subsection ‘Pinning-node selection, observation demand, and baseline design,’ new Table ‘Matched comparison…’.</w:t>
      </w:r>
    </w:p>
    <w:p>
      <w:pPr>
        <w:pStyle w:val="Heading2"/>
      </w:pPr>
      <w:r>
        <w:t>Comment 1.4</w:t>
      </w:r>
    </w:p>
    <w:p>
      <w:pPr>
        <w:spacing w:before="80" w:after="100"/>
        <w:ind w:left="259" w:right="173"/>
        <w:shd w:fill="F2F4F7"/>
      </w:pPr>
      <w:r>
        <w:rPr>
          <w:rFonts w:ascii="Calibri" w:hAnsi="Calibri"/>
          <w:b/>
          <w:i w:val="0"/>
          <w:color w:val="1F3A5F"/>
          <w:sz w:val="21"/>
        </w:rPr>
        <w:t xml:space="preserve">Reviewer comment. </w:t>
      </w:r>
      <w:r>
        <w:rPr>
          <w:rFonts w:ascii="Calibri" w:hAnsi="Calibri"/>
          <w:b w:val="0"/>
          <w:i/>
          <w:color w:val="333333"/>
          <w:sz w:val="21"/>
        </w:rPr>
        <w:t>The partial-observation experiment should follow node selection, and the current ordering weakens the Node 2 message.</w:t>
      </w:r>
    </w:p>
    <w:p>
      <w:r>
        <w:rPr>
          <w:rFonts w:ascii="Calibri" w:hAnsi="Calibri"/>
          <w:b/>
          <w:i w:val="0"/>
          <w:color w:val="2E74B5"/>
          <w:sz w:val="22"/>
        </w:rPr>
        <w:t xml:space="preserve">Response. </w:t>
      </w:r>
      <w:r>
        <w:rPr>
          <w:rFonts w:ascii="Calibri" w:hAnsi="Calibri"/>
          <w:b w:val="0"/>
          <w:i w:val="0"/>
          <w:color w:val="000000"/>
          <w:sz w:val="22"/>
        </w:rPr>
        <w:t>A quantitative partial-observation summary is now placed immediately after the node-selection results. It shows that reducing the observation to four variables leaves Node 3 nearly unchanged but makes Node 2 deteriorate sharply. The later subsection retains the detailed trajectories only. The discussion explicitly treats Node 2 as the principal stress case.</w:t>
      </w:r>
    </w:p>
    <w:p>
      <w:r>
        <w:rPr>
          <w:rFonts w:ascii="Calibri" w:hAnsi="Calibri"/>
          <w:b/>
          <w:i w:val="0"/>
          <w:color w:val="1F4D78"/>
          <w:sz w:val="21"/>
        </w:rPr>
        <w:t xml:space="preserve">Revision location. </w:t>
      </w:r>
      <w:r>
        <w:rPr>
          <w:rFonts w:ascii="Calibri" w:hAnsi="Calibri"/>
          <w:b w:val="0"/>
          <w:i w:val="0"/>
          <w:color w:val="333333"/>
          <w:sz w:val="21"/>
        </w:rPr>
        <w:t>Experimental Results, immediately after the Node 1–3 comparison; later subsection retitled ‘Detailed partial-observation trajectories’.</w:t>
      </w:r>
    </w:p>
    <w:p>
      <w:pPr>
        <w:pStyle w:val="Heading2"/>
      </w:pPr>
      <w:r>
        <w:t>Comment 1.5</w:t>
      </w:r>
    </w:p>
    <w:p>
      <w:pPr>
        <w:spacing w:before="80" w:after="100"/>
        <w:ind w:left="259" w:right="173"/>
        <w:shd w:fill="F2F4F7"/>
      </w:pPr>
      <w:r>
        <w:rPr>
          <w:rFonts w:ascii="Calibri" w:hAnsi="Calibri"/>
          <w:b/>
          <w:i w:val="0"/>
          <w:color w:val="1F3A5F"/>
          <w:sz w:val="21"/>
        </w:rPr>
        <w:t xml:space="preserve">Reviewer comment. </w:t>
      </w:r>
      <w:r>
        <w:rPr>
          <w:rFonts w:ascii="Calibri" w:hAnsi="Calibri"/>
          <w:b w:val="0"/>
          <w:i/>
          <w:color w:val="333333"/>
          <w:sz w:val="21"/>
        </w:rPr>
        <w:t>The difficult Node 2 result should be emphasized as a central contribution.</w:t>
      </w:r>
    </w:p>
    <w:p>
      <w:r>
        <w:rPr>
          <w:rFonts w:ascii="Calibri" w:hAnsi="Calibri"/>
          <w:b/>
          <w:i w:val="0"/>
          <w:color w:val="2E74B5"/>
          <w:sz w:val="22"/>
        </w:rPr>
        <w:t xml:space="preserve">Response. </w:t>
      </w:r>
      <w:r>
        <w:rPr>
          <w:rFonts w:ascii="Calibri" w:hAnsi="Calibri"/>
          <w:b w:val="0"/>
          <w:i w:val="0"/>
          <w:color w:val="000000"/>
          <w:sz w:val="22"/>
        </w:rPr>
        <w:t>We agree. The revised Abstract, Introduction, comparison table, robustness discussion, and Conclusion now distinguish two questions: Node 3 is best in absolute accuracy, whereas Node 2 exhibits the largest relative benefit from nonlinear policy learning. Under the matched comparison, Node 2 PPO lowers MAE by 59.2% versus tuned linear feedback, 48.2% versus LQR, and 31.2% versus SMC. The impulse-energy result is also highlighted.</w:t>
      </w:r>
    </w:p>
    <w:p>
      <w:r>
        <w:rPr>
          <w:rFonts w:ascii="Calibri" w:hAnsi="Calibri"/>
          <w:b/>
          <w:i w:val="0"/>
          <w:color w:val="1F4D78"/>
          <w:sz w:val="21"/>
        </w:rPr>
        <w:t xml:space="preserve">Revision location. </w:t>
      </w:r>
      <w:r>
        <w:rPr>
          <w:rFonts w:ascii="Calibri" w:hAnsi="Calibri"/>
          <w:b w:val="0"/>
          <w:i w:val="0"/>
          <w:color w:val="333333"/>
          <w:sz w:val="21"/>
        </w:rPr>
        <w:t>Abstract; Introduction contribution 3; new strong-baseline discussion; impulse-disturbance discussion; Conclusion.</w:t>
      </w:r>
    </w:p>
    <w:p>
      <w:pPr>
        <w:pStyle w:val="Heading2"/>
      </w:pPr>
      <w:r>
        <w:t>Comment 1.6</w:t>
      </w:r>
    </w:p>
    <w:p>
      <w:pPr>
        <w:spacing w:before="80" w:after="100"/>
        <w:ind w:left="259" w:right="173"/>
        <w:shd w:fill="F2F4F7"/>
      </w:pPr>
      <w:r>
        <w:rPr>
          <w:rFonts w:ascii="Calibri" w:hAnsi="Calibri"/>
          <w:b/>
          <w:i w:val="0"/>
          <w:color w:val="1F3A5F"/>
          <w:sz w:val="21"/>
        </w:rPr>
        <w:t xml:space="preserve">Reviewer comment. </w:t>
      </w:r>
      <w:r>
        <w:rPr>
          <w:rFonts w:ascii="Calibri" w:hAnsi="Calibri"/>
          <w:b w:val="0"/>
          <w:i/>
          <w:color w:val="333333"/>
          <w:sz w:val="21"/>
        </w:rPr>
        <w:t>The image-encryption role is unclear and the security evaluation is too limited.</w:t>
      </w:r>
    </w:p>
    <w:p>
      <w:r>
        <w:rPr>
          <w:rFonts w:ascii="Calibri" w:hAnsi="Calibri"/>
          <w:b/>
          <w:i w:val="0"/>
          <w:color w:val="2E74B5"/>
          <w:sz w:val="22"/>
        </w:rPr>
        <w:t xml:space="preserve">Response. </w:t>
      </w:r>
      <w:r>
        <w:rPr>
          <w:rFonts w:ascii="Calibri" w:hAnsi="Calibri"/>
          <w:b w:val="0"/>
          <w:i w:val="0"/>
          <w:color w:val="000000"/>
          <w:sz w:val="22"/>
        </w:rPr>
        <w:t>The original encryption flowchart and its discussion are retained. We added a separate transmitter–receiver flowchart to clarify that no drive state is sent as a key: the response system must reconstruct the quantized stream after a settling and guard-band rule. We also added comparisons between Node 2/Node 3 PPO and Node 2 linear feedback under the identical cipher, together with entropy, NPCR, UACI, key sensitivity, key-stream Hamming distance, recovery MAE, and PSNR. This isolates the effect of synchronization from the encryption transformations.</w:t>
      </w:r>
    </w:p>
    <w:p>
      <w:r>
        <w:rPr>
          <w:rFonts w:ascii="Calibri" w:hAnsi="Calibri"/>
          <w:b/>
          <w:i w:val="0"/>
          <w:color w:val="1F4D78"/>
          <w:sz w:val="21"/>
        </w:rPr>
        <w:t xml:space="preserve">Revision location. </w:t>
      </w:r>
      <w:r>
        <w:rPr>
          <w:rFonts w:ascii="Calibri" w:hAnsi="Calibri"/>
          <w:b w:val="0"/>
          <w:i w:val="0"/>
          <w:color w:val="333333"/>
          <w:sz w:val="21"/>
        </w:rPr>
        <w:t>Image Encryption section, original workflow plus supplementary transmitter–receiver flowchart, quantization rule, new extended-security table, and final discussion.</w:t>
      </w:r>
    </w:p>
    <w:p>
      <w:pPr>
        <w:pStyle w:val="Heading1"/>
      </w:pPr>
      <w:r>
        <w:t>Reviewer 2</w:t>
      </w:r>
    </w:p>
    <w:p>
      <w:pPr>
        <w:pStyle w:val="Heading2"/>
      </w:pPr>
      <w:r>
        <w:t>Major comment 2.1</w:t>
      </w:r>
    </w:p>
    <w:p>
      <w:pPr>
        <w:spacing w:before="80" w:after="100"/>
        <w:ind w:left="259" w:right="173"/>
        <w:shd w:fill="F2F4F7"/>
      </w:pPr>
      <w:r>
        <w:rPr>
          <w:rFonts w:ascii="Calibri" w:hAnsi="Calibri"/>
          <w:b/>
          <w:i w:val="0"/>
          <w:color w:val="1F3A5F"/>
          <w:sz w:val="21"/>
        </w:rPr>
        <w:t xml:space="preserve">Reviewer comment. </w:t>
      </w:r>
      <w:r>
        <w:rPr>
          <w:rFonts w:ascii="Calibri" w:hAnsi="Calibri"/>
          <w:b w:val="0"/>
          <w:i/>
          <w:color w:val="333333"/>
          <w:sz w:val="21"/>
        </w:rPr>
        <w:t>The local indicators do not guarantee closed-loop stability, PPO has no formal guarantee, and a formal stability/robustness analysis is expected.</w:t>
      </w:r>
    </w:p>
    <w:p>
      <w:r>
        <w:rPr>
          <w:rFonts w:ascii="Calibri" w:hAnsi="Calibri"/>
          <w:b/>
          <w:i w:val="0"/>
          <w:color w:val="2E74B5"/>
          <w:sz w:val="22"/>
        </w:rPr>
        <w:t xml:space="preserve">Response. </w:t>
      </w:r>
      <w:r>
        <w:rPr>
          <w:rFonts w:ascii="Calibri" w:hAnsi="Calibri"/>
          <w:b w:val="0"/>
          <w:i w:val="0"/>
          <w:color w:val="000000"/>
          <w:sz w:val="22"/>
        </w:rPr>
        <w:t>We agree that empirical PPO performance and local ranking indicators cannot by themselves establish stability. We therefore added Assumption 1, Theorem 1, its proof, and Corollary 1. For the deployed deterministic mean policy, a checkable uniform negative bound on the symmetric part of the closed-loop error Jacobian over an attractor tube implies local exponential synchronization. With bounded mismatch, disturbance, and policy implementation error, the theorem gives an explicit input-to-state ultimate bound. The proof uses the mean-value representation, V=eᵀe/2, a Dini derivative inequality, and the comparison lemma. The corollary converts weight-matrix mismatch and additive perturbation bounds into the theorem’s disturbance radius. Importantly, we state that this is a sufficient post-training certificate, not an automatic or global property of PPO; outside the certified tube, stress tests remain empirical evidence. This directly addresses the reviewer’s conceptual concern without overstating the result.</w:t>
      </w:r>
    </w:p>
    <w:p>
      <w:r>
        <w:rPr>
          <w:rFonts w:ascii="Calibri" w:hAnsi="Calibri"/>
          <w:b/>
          <w:i w:val="0"/>
          <w:color w:val="1F4D78"/>
          <w:sz w:val="21"/>
        </w:rPr>
        <w:t xml:space="preserve">Revision location. </w:t>
      </w:r>
      <w:r>
        <w:rPr>
          <w:rFonts w:ascii="Calibri" w:hAnsi="Calibri"/>
          <w:b w:val="0"/>
          <w:i w:val="0"/>
          <w:color w:val="333333"/>
          <w:sz w:val="21"/>
        </w:rPr>
        <w:t>PPO-Based Single-Input Pinning Control Method, after the local node-ranking discussion: Assumption 1, Theorem 1, proof, Corollary 1, and the following scope paragraph.</w:t>
      </w:r>
    </w:p>
    <w:p>
      <w:pPr>
        <w:pStyle w:val="Heading1"/>
      </w:pPr>
      <w:r>
        <w:t>Reviewer 3</w:t>
      </w:r>
    </w:p>
    <w:p>
      <w:pPr>
        <w:pStyle w:val="Heading2"/>
      </w:pPr>
      <w:r>
        <w:t>Comment 3.1</w:t>
      </w:r>
    </w:p>
    <w:p>
      <w:pPr>
        <w:spacing w:before="80" w:after="100"/>
        <w:ind w:left="259" w:right="173"/>
        <w:shd w:fill="F2F4F7"/>
      </w:pPr>
      <w:r>
        <w:rPr>
          <w:rFonts w:ascii="Calibri" w:hAnsi="Calibri"/>
          <w:b/>
          <w:i w:val="0"/>
          <w:color w:val="1F3A5F"/>
          <w:sz w:val="21"/>
        </w:rPr>
        <w:t xml:space="preserve">Reviewer comment. </w:t>
      </w:r>
      <w:r>
        <w:rPr>
          <w:rFonts w:ascii="Calibri" w:hAnsi="Calibri"/>
          <w:b w:val="0"/>
          <w:i/>
          <w:color w:val="333333"/>
          <w:sz w:val="21"/>
        </w:rPr>
        <w:t>Figures 5–7 are difficult to read in three dimensions; use a two-dimensional representation with a color bar.</w:t>
      </w:r>
    </w:p>
    <w:p>
      <w:r>
        <w:rPr>
          <w:rFonts w:ascii="Calibri" w:hAnsi="Calibri"/>
          <w:b/>
          <w:i w:val="0"/>
          <w:color w:val="2E74B5"/>
          <w:sz w:val="22"/>
        </w:rPr>
        <w:t xml:space="preserve">Response. </w:t>
      </w:r>
      <w:r>
        <w:rPr>
          <w:rFonts w:ascii="Calibri" w:hAnsi="Calibri"/>
          <w:b w:val="0"/>
          <w:i w:val="0"/>
          <w:color w:val="000000"/>
          <w:sz w:val="22"/>
        </w:rPr>
        <w:t>All three original three-dimensional error-surface figures and their explanatory text are retained unchanged. We added a supplementary three-panel two-dimensional time–run/error-component heat-map figure immediately after them. A common diverging color scale encodes the signed error and labeled color bars permit direct comparison, so the reviewer-requested view complements rather than replaces the original evidence.</w:t>
      </w:r>
    </w:p>
    <w:p>
      <w:r>
        <w:rPr>
          <w:rFonts w:ascii="Calibri" w:hAnsi="Calibri"/>
          <w:b/>
          <w:i w:val="0"/>
          <w:color w:val="1F4D78"/>
          <w:sz w:val="21"/>
        </w:rPr>
        <w:t xml:space="preserve">Revision location. </w:t>
      </w:r>
      <w:r>
        <w:rPr>
          <w:rFonts w:ascii="Calibri" w:hAnsi="Calibri"/>
          <w:b w:val="0"/>
          <w:i w:val="0"/>
          <w:color w:val="333333"/>
          <w:sz w:val="21"/>
        </w:rPr>
        <w:t>Original Figures 5–7 plus the newly added supplementary heat-map figure and its Python-generation functions.</w:t>
      </w:r>
    </w:p>
    <w:p>
      <w:pPr>
        <w:pStyle w:val="Heading2"/>
      </w:pPr>
      <w:r>
        <w:t>Comment 3.2</w:t>
      </w:r>
    </w:p>
    <w:p>
      <w:pPr>
        <w:spacing w:before="80" w:after="100"/>
        <w:ind w:left="259" w:right="173"/>
        <w:shd w:fill="F2F4F7"/>
      </w:pPr>
      <w:r>
        <w:rPr>
          <w:rFonts w:ascii="Calibri" w:hAnsi="Calibri"/>
          <w:b/>
          <w:i w:val="0"/>
          <w:color w:val="1F3A5F"/>
          <w:sz w:val="21"/>
        </w:rPr>
        <w:t xml:space="preserve">Reviewer comment. </w:t>
      </w:r>
      <w:r>
        <w:rPr>
          <w:rFonts w:ascii="Calibri" w:hAnsi="Calibri"/>
          <w:b w:val="0"/>
          <w:i/>
          <w:color w:val="333333"/>
          <w:sz w:val="21"/>
        </w:rPr>
        <w:t>Invert Figures 1 and 2 so that the drive-system presentation follows the theoretical order.</w:t>
      </w:r>
    </w:p>
    <w:p>
      <w:r>
        <w:rPr>
          <w:rFonts w:ascii="Calibri" w:hAnsi="Calibri"/>
          <w:b/>
          <w:i w:val="0"/>
          <w:color w:val="2E74B5"/>
          <w:sz w:val="22"/>
        </w:rPr>
        <w:t xml:space="preserve">Response. </w:t>
      </w:r>
      <w:r>
        <w:rPr>
          <w:rFonts w:ascii="Calibri" w:hAnsi="Calibri"/>
          <w:b w:val="0"/>
          <w:i w:val="0"/>
          <w:color w:val="000000"/>
          <w:sz w:val="22"/>
        </w:rPr>
        <w:t>The order has been inverted. The drive-system time trajectory is now Figure 1, followed by the uncontrolled drive–response phase-space comparison as Figure 2. Captions and cross-references were updated.</w:t>
      </w:r>
    </w:p>
    <w:p>
      <w:r>
        <w:rPr>
          <w:rFonts w:ascii="Calibri" w:hAnsi="Calibri"/>
          <w:b/>
          <w:i w:val="0"/>
          <w:color w:val="1F4D78"/>
          <w:sz w:val="21"/>
        </w:rPr>
        <w:t xml:space="preserve">Revision location. </w:t>
      </w:r>
      <w:r>
        <w:rPr>
          <w:rFonts w:ascii="Calibri" w:hAnsi="Calibri"/>
          <w:b w:val="0"/>
          <w:i w:val="0"/>
          <w:color w:val="333333"/>
          <w:sz w:val="21"/>
        </w:rPr>
        <w:t>Preliminaries, Figures 1 and 2.</w:t>
      </w:r>
    </w:p>
    <w:p>
      <w:pPr>
        <w:pStyle w:val="Heading2"/>
      </w:pPr>
      <w:r>
        <w:t>Comment 3.3</w:t>
      </w:r>
    </w:p>
    <w:p>
      <w:pPr>
        <w:spacing w:before="80" w:after="100"/>
        <w:ind w:left="259" w:right="173"/>
        <w:shd w:fill="F2F4F7"/>
      </w:pPr>
      <w:r>
        <w:rPr>
          <w:rFonts w:ascii="Calibri" w:hAnsi="Calibri"/>
          <w:b/>
          <w:i w:val="0"/>
          <w:color w:val="1F3A5F"/>
          <w:sz w:val="21"/>
        </w:rPr>
        <w:t xml:space="preserve">Reviewer comment. </w:t>
      </w:r>
      <w:r>
        <w:rPr>
          <w:rFonts w:ascii="Calibri" w:hAnsi="Calibri"/>
          <w:b w:val="0"/>
          <w:i/>
          <w:color w:val="333333"/>
          <w:sz w:val="21"/>
        </w:rPr>
        <w:t>Clarify the role of the drive system in encryption.</w:t>
      </w:r>
    </w:p>
    <w:p>
      <w:r>
        <w:rPr>
          <w:rFonts w:ascii="Calibri" w:hAnsi="Calibri"/>
          <w:b/>
          <w:i w:val="0"/>
          <w:color w:val="2E74B5"/>
          <w:sz w:val="22"/>
        </w:rPr>
        <w:t xml:space="preserve">Response. </w:t>
      </w:r>
      <w:r>
        <w:rPr>
          <w:rFonts w:ascii="Calibri" w:hAnsi="Calibri"/>
          <w:b w:val="0"/>
          <w:i w:val="0"/>
          <w:color w:val="000000"/>
          <w:sz w:val="22"/>
        </w:rPr>
        <w:t>The drive system is now explicitly the transmitter-side key generator; the independently initialized response system is the receiver-side key generator. The original encryption flowchart and discussion remain in place, while a newly added supplementary flowchart shows PPO pinning synchronization between the transmitter and receiver branches, followed by forward and inverse cryptographic operations. No drive key stream is transmitted.</w:t>
      </w:r>
    </w:p>
    <w:p>
      <w:r>
        <w:rPr>
          <w:rFonts w:ascii="Calibri" w:hAnsi="Calibri"/>
          <w:b/>
          <w:i w:val="0"/>
          <w:color w:val="1F4D78"/>
          <w:sz w:val="21"/>
        </w:rPr>
        <w:t xml:space="preserve">Revision location. </w:t>
      </w:r>
      <w:r>
        <w:rPr>
          <w:rFonts w:ascii="Calibri" w:hAnsi="Calibri"/>
          <w:b w:val="0"/>
          <w:i w:val="0"/>
          <w:color w:val="333333"/>
          <w:sz w:val="21"/>
        </w:rPr>
        <w:t>Image Encryption section, original flowchart and newly added transmitter–receiver flowchart.</w:t>
      </w:r>
    </w:p>
    <w:p>
      <w:pPr>
        <w:pStyle w:val="Heading2"/>
      </w:pPr>
      <w:r>
        <w:t>Comment 3.4</w:t>
      </w:r>
    </w:p>
    <w:p>
      <w:pPr>
        <w:spacing w:before="80" w:after="100"/>
        <w:ind w:left="259" w:right="173"/>
        <w:shd w:fill="F2F4F7"/>
      </w:pPr>
      <w:r>
        <w:rPr>
          <w:rFonts w:ascii="Calibri" w:hAnsi="Calibri"/>
          <w:b/>
          <w:i w:val="0"/>
          <w:color w:val="1F3A5F"/>
          <w:sz w:val="21"/>
        </w:rPr>
        <w:t xml:space="preserve">Reviewer comment. </w:t>
      </w:r>
      <w:r>
        <w:rPr>
          <w:rFonts w:ascii="Calibri" w:hAnsi="Calibri"/>
          <w:b w:val="0"/>
          <w:i/>
          <w:color w:val="333333"/>
          <w:sz w:val="21"/>
        </w:rPr>
        <w:t>An error around 10⁻² may be insufficient for reliable recovery; discuss distortion.</w:t>
      </w:r>
    </w:p>
    <w:p>
      <w:r>
        <w:rPr>
          <w:rFonts w:ascii="Calibri" w:hAnsi="Calibri"/>
          <w:b/>
          <w:i w:val="0"/>
          <w:color w:val="2E74B5"/>
          <w:sz w:val="22"/>
        </w:rPr>
        <w:t xml:space="preserve">Response. </w:t>
      </w:r>
      <w:r>
        <w:rPr>
          <w:rFonts w:ascii="Calibri" w:hAnsi="Calibri"/>
          <w:b w:val="0"/>
          <w:i w:val="0"/>
          <w:color w:val="000000"/>
          <w:sz w:val="22"/>
        </w:rPr>
        <w:t>We added a settling criterion, a guard-band quantizer, key-stream Hamming distance, recovered-image MAE, and PSNR. Although the continuous residual is of order 10⁻², the evaluated PPO streams have zero discrete disagreement after the stated acceptance rule and recover the image bit exactly (MAE 0, PSNR infinite). The Node 2 linear baseline demonstrates the opposite case: 18.742% key disagreement produces severe distortion.</w:t>
      </w:r>
    </w:p>
    <w:p>
      <w:r>
        <w:rPr>
          <w:rFonts w:ascii="Calibri" w:hAnsi="Calibri"/>
          <w:b/>
          <w:i w:val="0"/>
          <w:color w:val="1F4D78"/>
          <w:sz w:val="21"/>
        </w:rPr>
        <w:t xml:space="preserve">Revision location. </w:t>
      </w:r>
      <w:r>
        <w:rPr>
          <w:rFonts w:ascii="Calibri" w:hAnsi="Calibri"/>
          <w:b w:val="0"/>
          <w:i w:val="0"/>
          <w:color w:val="333333"/>
          <w:sz w:val="21"/>
        </w:rPr>
        <w:t>Image Encryption section, quantization/settling paragraph and extended-security table.</w:t>
      </w:r>
    </w:p>
    <w:p>
      <w:pPr>
        <w:pStyle w:val="Heading2"/>
      </w:pPr>
      <w:r>
        <w:t>Comment 3.5</w:t>
      </w:r>
    </w:p>
    <w:p>
      <w:pPr>
        <w:spacing w:before="80" w:after="100"/>
        <w:ind w:left="259" w:right="173"/>
        <w:shd w:fill="F2F4F7"/>
      </w:pPr>
      <w:r>
        <w:rPr>
          <w:rFonts w:ascii="Calibri" w:hAnsi="Calibri"/>
          <w:b/>
          <w:i w:val="0"/>
          <w:color w:val="1F3A5F"/>
          <w:sz w:val="21"/>
        </w:rPr>
        <w:t xml:space="preserve">Reviewer comment. </w:t>
      </w:r>
      <w:r>
        <w:rPr>
          <w:rFonts w:ascii="Calibri" w:hAnsi="Calibri"/>
          <w:b w:val="0"/>
          <w:i/>
          <w:color w:val="333333"/>
          <w:sz w:val="21"/>
        </w:rPr>
        <w:t>Evaluate parameter sensitivity, for example with Hamming distance.</w:t>
      </w:r>
    </w:p>
    <w:p>
      <w:r>
        <w:rPr>
          <w:rFonts w:ascii="Calibri" w:hAnsi="Calibri"/>
          <w:b/>
          <w:i w:val="0"/>
          <w:color w:val="2E74B5"/>
          <w:sz w:val="22"/>
        </w:rPr>
        <w:t xml:space="preserve">Response. </w:t>
      </w:r>
      <w:r>
        <w:rPr>
          <w:rFonts w:ascii="Calibri" w:hAnsi="Calibri"/>
          <w:b w:val="0"/>
          <w:i w:val="0"/>
          <w:color w:val="000000"/>
          <w:sz w:val="22"/>
        </w:rPr>
        <w:t>We now perturb the password-derived initial value by 10⁻¹⁴ and compute the normalized bit Hamming distance. The wrong-key stream reaches 49.873%, close to the ideal 50%, and fails to recover the image. We also report NPCR and UACI for one-pixel plaintext sensitivity.</w:t>
      </w:r>
    </w:p>
    <w:p>
      <w:r>
        <w:rPr>
          <w:rFonts w:ascii="Calibri" w:hAnsi="Calibri"/>
          <w:b/>
          <w:i w:val="0"/>
          <w:color w:val="1F4D78"/>
          <w:sz w:val="21"/>
        </w:rPr>
        <w:t xml:space="preserve">Revision location. </w:t>
      </w:r>
      <w:r>
        <w:rPr>
          <w:rFonts w:ascii="Calibri" w:hAnsi="Calibri"/>
          <w:b w:val="0"/>
          <w:i w:val="0"/>
          <w:color w:val="333333"/>
          <w:sz w:val="21"/>
        </w:rPr>
        <w:t>New extended-security table and its accompanying discussion.</w:t>
      </w:r>
    </w:p>
    <w:p>
      <w:pPr>
        <w:pStyle w:val="Heading1"/>
      </w:pPr>
      <w:r>
        <w:t>Summary of principal manuscript changes</w:t>
      </w:r>
    </w:p>
    <w:p>
      <w:pPr>
        <w:pStyle w:val="ListBullet"/>
      </w:pPr>
      <w:r>
        <w:rPr>
          <w:rFonts w:ascii="Calibri" w:hAnsi="Calibri"/>
          <w:b w:val="0"/>
          <w:i w:val="0"/>
          <w:color w:val="000000"/>
          <w:sz w:val="22"/>
        </w:rPr>
        <w:t>All original figures and their associated explanatory passages retained.</w:t>
      </w:r>
    </w:p>
    <w:p>
      <w:pPr>
        <w:pStyle w:val="ListBullet"/>
      </w:pPr>
      <w:r>
        <w:rPr>
          <w:rFonts w:ascii="Calibri" w:hAnsi="Calibri"/>
          <w:b w:val="0"/>
          <w:i w:val="0"/>
          <w:color w:val="000000"/>
          <w:sz w:val="22"/>
        </w:rPr>
        <w:t>Rewritten Abstract and contribution statement.</w:t>
      </w:r>
    </w:p>
    <w:p>
      <w:pPr>
        <w:pStyle w:val="ListBullet"/>
      </w:pPr>
      <w:r>
        <w:rPr>
          <w:rFonts w:ascii="Calibri" w:hAnsi="Calibri"/>
          <w:b w:val="0"/>
          <w:i w:val="0"/>
          <w:color w:val="000000"/>
          <w:sz w:val="22"/>
        </w:rPr>
        <w:t>New local exponential-stability and robustness theorem, proof, and mismatch corollary.</w:t>
      </w:r>
    </w:p>
    <w:p>
      <w:pPr>
        <w:pStyle w:val="ListBullet"/>
      </w:pPr>
      <w:r>
        <w:rPr>
          <w:rFonts w:ascii="Calibri" w:hAnsi="Calibri"/>
          <w:b w:val="0"/>
          <w:i w:val="0"/>
          <w:color w:val="000000"/>
          <w:sz w:val="22"/>
        </w:rPr>
        <w:t>Matched tuned baselines plus explicit single-input/multi-input complexity comparison.</w:t>
      </w:r>
    </w:p>
    <w:p>
      <w:pPr>
        <w:pStyle w:val="ListBullet"/>
      </w:pPr>
      <w:r>
        <w:rPr>
          <w:rFonts w:ascii="Calibri" w:hAnsi="Calibri"/>
          <w:b w:val="0"/>
          <w:i w:val="0"/>
          <w:color w:val="000000"/>
          <w:sz w:val="22"/>
        </w:rPr>
        <w:t>Node 2 reframed as the central difficult-channel result.</w:t>
      </w:r>
    </w:p>
    <w:p>
      <w:pPr>
        <w:pStyle w:val="ListBullet"/>
      </w:pPr>
      <w:r>
        <w:rPr>
          <w:rFonts w:ascii="Calibri" w:hAnsi="Calibri"/>
          <w:b w:val="0"/>
          <w:i w:val="0"/>
          <w:color w:val="000000"/>
          <w:sz w:val="22"/>
        </w:rPr>
        <w:t>Partial-observation evidence moved conceptually next to node selection.</w:t>
      </w:r>
    </w:p>
    <w:p>
      <w:pPr>
        <w:pStyle w:val="ListBullet"/>
      </w:pPr>
      <w:r>
        <w:rPr>
          <w:rFonts w:ascii="Calibri" w:hAnsi="Calibri"/>
          <w:b w:val="0"/>
          <w:i w:val="0"/>
          <w:color w:val="000000"/>
          <w:sz w:val="22"/>
        </w:rPr>
        <w:t>Figures 1–2 reordered without deletion; 2D heat maps and a transmitter–receiver flowchart added as supplementary figures.</w:t>
      </w:r>
    </w:p>
    <w:p>
      <w:pPr>
        <w:pStyle w:val="ListBullet"/>
      </w:pPr>
      <w:r>
        <w:rPr>
          <w:rFonts w:ascii="Calibri" w:hAnsi="Calibri"/>
          <w:b w:val="0"/>
          <w:i w:val="0"/>
          <w:color w:val="000000"/>
          <w:sz w:val="22"/>
        </w:rPr>
        <w:t>Transmitter–receiver key consistency and extended cryptographic metrics added.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777777"/>
        <w:sz w:val="18"/>
      </w:rPr>
      <w:t>Revision submitted to Nonlinear Dynamics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val="0"/>
        <w:i w:val="0"/>
        <w:color w:val="666666"/>
        <w:sz w:val="18"/>
      </w:rPr>
      <w:t>Response to Reviewers | Revised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