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18. tétel - Radioaktivitás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Képek :</w:t>
        <w:br w:type="textWrapping"/>
        <w:t xml:space="preserve">-3 komponens</w:t>
        <w:br w:type="textWrapping"/>
        <w:t xml:space="preserve">-bomlási sor</w:t>
        <w:br w:type="textWrapping"/>
        <w:t xml:space="preserve">-2 eszköz </w:t>
        <w:tab/>
        <w:t xml:space="preserve">-orvosi eszköz(besugárzó)</w:t>
        <w:br w:type="textWrapping"/>
        <w:tab/>
        <w:t xml:space="preserve">kormeghatározó eszköz(C(szén)izotóp segítségével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Curie házaspár→1898→rádium→szurokércből</w:t>
        <w:br w:type="textWrapping"/>
        <w:tab/>
        <w:t xml:space="preserve">Nobel-díj: 1903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radioaktivitást Becquerel francia fiz fedezte fel véletlenül→uránt tartalmazó kísérlet során(asszem ez van ide írva)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→ a C. házaspár ezt folytatja</w:t>
        <w:br w:type="textWrapping"/>
        <w:tab/>
        <w:t xml:space="preserve">1838 felfedezik: radioaktív pollónium rádium(ők használják először a radioaktivitás szót)</w:t>
        <w:br w:type="textWrapping"/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Radioaktív sugárzás – csak az atommagból jön ki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következményei: 1903 (Rutherford féle) eltolódási szabály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alfa sugárzás: rendszám -2, tömegszám -4 mivel He atommag lép ki, csak nagy mennyiségben káros, alagút effektus miatt jöhet létre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béta sugárzás: neutron protonná alakul, elektront sugároz ki, rendszám +1, bőr véd tőle, lemosódik, gyomorban káros,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gamma sugárzás: nagy energiájú elektromágneses sugárzás, nem változik se tömegszám se rendszám, az atommag gerjesztett állapota szűnik meg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m:oMathPara>
        <m:oMathParaPr>
          <m:jc m:val="left"/>
        </m:oMathParaPr>
        <m:oMath>
          <m:r>
            <w:rPr>
              <w:rFonts w:cs="Cambria" w:hAnsi="Cambria" w:eastAsia="Cambria" w:ascii="Cambria"/>
              <w:sz w:val="24"/>
            </w:rPr>
            <m:t xml:space="preserve">N=</m:t>
          </m:r>
          <m:sSub>
            <m:sSubPr>
              <m:ctrlPr>
                <w:rPr>
                  <w:rFonts w:cs="Cambria" w:hAnsi="Cambria" w:eastAsia="Cambria" w:ascii="Cambria"/>
                  <w:sz w:val="24"/>
                </w:rPr>
              </m:ctrlPr>
            </m:sSubPr>
            <m:e>
              <m:r>
                <w:rPr>
                  <w:rFonts w:cs="Cambria" w:hAnsi="Cambria" w:eastAsia="Cambria" w:ascii="Cambria"/>
                  <w:sz w:val="24"/>
                </w:rPr>
                <m:t xml:space="preserve">N</m:t>
              </m:r>
            </m:e>
            <m:sub>
              <m:r>
                <w:rPr>
                  <w:rFonts w:cs="Cambria" w:hAnsi="Cambria" w:eastAsia="Cambria" w:ascii="Cambria"/>
                  <w:sz w:val="24"/>
                </w:rPr>
                <m:t xml:space="preserve">0</m:t>
              </m:r>
            </m:sub>
          </m:sSub>
          <m:r>
            <w:rPr>
              <w:rFonts w:cs="Cambria" w:hAnsi="Cambria" w:eastAsia="Cambria" w:ascii="Cambria"/>
              <w:sz w:val="24"/>
            </w:rPr>
            <m:t xml:space="preserve">*</m:t>
          </m:r>
          <m:sSup>
            <m:sSupPr>
              <m:ctrlPr>
                <w:rPr>
                  <w:rFonts w:cs="Cambria" w:hAnsi="Cambria" w:eastAsia="Cambria" w:ascii="Cambria"/>
                  <w:sz w:val="24"/>
                </w:rPr>
              </m:ctrlPr>
            </m:sSupPr>
            <m:e>
              <m:r>
                <w:rPr>
                  <w:rFonts w:cs="Cambria" w:hAnsi="Cambria" w:eastAsia="Cambria" w:ascii="Cambria"/>
                  <w:sz w:val="24"/>
                </w:rPr>
                <m:t xml:space="preserve">e</m:t>
              </m:r>
            </m:e>
            <m:sup>
              <m:r>
                <w:rPr>
                  <w:rFonts w:cs="Cambria" w:hAnsi="Cambria" w:eastAsia="Cambria" w:ascii="Cambria"/>
                  <w:sz w:val="24"/>
                </w:rPr>
                <m:t xml:space="preserve">-λt</m:t>
              </m:r>
            </m:sup>
          </m:sSup>
        </m:oMath>
      </m:oMathPara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bomlási tv.: anyagelem amiből, leány ami keletkezik lamda: bomlási állandó, t: idő, N: t idő múlva, N0: kiindulási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felezési idő: azaz idő ami alatt az atommagok fele elbomlik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Aktivitás (A): másodpercenkénti bomlások száma, nem csak anyagi minőségtől függ hanem mennyiségtől is, A=lamda*N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 bomlási sor van – legvége az ólom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természetes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mesterséges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mesterséges radioaktivitás: anyagok összeütköztetésével létrehozott atommagok, gyakran radioaktívak instabilak, csak béta és gamma sugárzás.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ind w:left="4956" w:hanging="494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háttérsugárzás: környezetünkben mindenhol</w:t>
        <w:tab/>
        <w:t xml:space="preserve">C: dózis [C]=1 Sv kötőszövet által elnyelt energiamennyiség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természetes: 2 mSv/év (16 mSv/év még nem káros)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mesterséges: kb 0,4 mSv/év orvosi diagnosztikai, terápiai kezelés, ipari eredetű, nagyon kicsi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Mérőeszközök: rádióaktivitás sugárzás észlelése: detektálás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ionizációs kamra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Geiger- Miller számláló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Wilson kamra,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buborékkamra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Sugárártalom: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kozmikus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müszaki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orvosi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repülőgép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földi eredetű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nukleáris fegyverek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alkalmazás: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kormeghatározás (C izotóp)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füstérzékelők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anyagszerkezeti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orvosi diagnosztika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gyógyítás: kobalt ágyú – sugárkezelés </w:t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34"/>
        </w:tabs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17" w:right="1417" w:top="709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