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B1" w:rsidRDefault="001F176B" w:rsidP="001F176B">
      <w:pPr>
        <w:jc w:val="center"/>
        <w:rPr>
          <w:sz w:val="32"/>
        </w:rPr>
      </w:pPr>
      <w:r w:rsidRPr="001F176B">
        <w:rPr>
          <w:sz w:val="32"/>
        </w:rPr>
        <w:t>A hasonlóság fogalma és alkalmazásai háromszögekre vonatkozó tételek bizonyításában.</w:t>
      </w:r>
    </w:p>
    <w:p w:rsidR="001F176B" w:rsidRDefault="007D0980" w:rsidP="001F176B">
      <w:pPr>
        <w:spacing w:after="0"/>
      </w:pPr>
      <w:r w:rsidRPr="00FC7EC2">
        <w:rPr>
          <w:b/>
        </w:rPr>
        <w:t>Középpontos hasonlósági transzformáció</w:t>
      </w:r>
      <w:r>
        <w:t>: adott egy O pont és egy λ</w:t>
      </w:r>
      <w:r w:rsidR="0042053D">
        <w:t xml:space="preserve"> 0-tól különböző valós szám. A tér minden P pontjához rendeljünk hozzá egy P’ pontot a </w:t>
      </w:r>
      <w:r w:rsidR="00FC7EC2">
        <w:t>következőképpen</w:t>
      </w:r>
      <w:r w:rsidR="0042053D">
        <w:t>:</w:t>
      </w:r>
    </w:p>
    <w:p w:rsidR="0042053D" w:rsidRDefault="0042053D" w:rsidP="0042053D">
      <w:pPr>
        <w:pStyle w:val="Listaszerbekezds"/>
        <w:numPr>
          <w:ilvl w:val="0"/>
          <w:numId w:val="1"/>
        </w:numPr>
        <w:spacing w:after="0"/>
      </w:pPr>
      <w:r>
        <w:t>ha P=0, akkor P’=P</w:t>
      </w:r>
    </w:p>
    <w:p w:rsidR="0042053D" w:rsidRDefault="0042053D" w:rsidP="0042053D">
      <w:pPr>
        <w:pStyle w:val="Listaszerbekezds"/>
        <w:numPr>
          <w:ilvl w:val="0"/>
          <w:numId w:val="1"/>
        </w:numPr>
        <w:spacing w:after="0"/>
      </w:pPr>
      <w:r>
        <w:t>ha P≠O, akkor P’ az OP egyenes azon pontja, amelyre OP’= |λ| * OP és ha λ</w:t>
      </w:r>
      <w:proofErr w:type="gramStart"/>
      <w:r>
        <w:t>&gt;0</w:t>
      </w:r>
      <w:proofErr w:type="gramEnd"/>
      <w:r>
        <w:t xml:space="preserve">, akkor P’ az OP félegyenes pontja, ha λ&lt;0, akkor O elválasztja egymástól P-t és </w:t>
      </w:r>
      <w:proofErr w:type="spellStart"/>
      <w:r>
        <w:t>P’-t</w:t>
      </w:r>
      <w:proofErr w:type="spellEnd"/>
      <w:r>
        <w:t>.</w:t>
      </w:r>
    </w:p>
    <w:p w:rsidR="0042053D" w:rsidRDefault="0042053D" w:rsidP="0042053D">
      <w:pPr>
        <w:spacing w:after="0"/>
      </w:pPr>
      <w:r>
        <w:t>Az O pont a középpontos hasonlósági transzformáció középpontja, λ a középpontos hasonlóság aránya.</w:t>
      </w:r>
    </w:p>
    <w:p w:rsidR="0042053D" w:rsidRDefault="0042053D" w:rsidP="0042053D">
      <w:pPr>
        <w:spacing w:after="0"/>
      </w:pPr>
      <w:r>
        <w:t>Ha |λ|&gt; 1, akkor középpontos nagyításról, ha |λ|&lt;1, akkor kicsinyítésről beszélünk, ha pedig |λ|=1, akkor a transzformáció egybevágóság.</w:t>
      </w:r>
    </w:p>
    <w:p w:rsidR="0042053D" w:rsidRDefault="0042053D" w:rsidP="0042053D">
      <w:pPr>
        <w:spacing w:after="0"/>
      </w:pPr>
    </w:p>
    <w:p w:rsidR="0042053D" w:rsidRDefault="0042053D" w:rsidP="0042053D">
      <w:r w:rsidRPr="00FC7EC2">
        <w:rPr>
          <w:b/>
        </w:rPr>
        <w:t>Definíció:</w:t>
      </w:r>
      <w:r>
        <w:t xml:space="preserve"> Két alakzatot hasonlónak nevezünk, ha van olyan hasonlósági transzformáció, amely az egyik alakzatot a másikba viszi. Jele: A~B.</w:t>
      </w:r>
    </w:p>
    <w:p w:rsidR="0042053D" w:rsidRPr="002203BC" w:rsidRDefault="0042053D" w:rsidP="0042053D">
      <w:pPr>
        <w:spacing w:after="0"/>
        <w:rPr>
          <w:b/>
        </w:rPr>
      </w:pPr>
      <w:r w:rsidRPr="002203BC">
        <w:rPr>
          <w:b/>
        </w:rPr>
        <w:t>Két háromszög akkor és csak akkor hasonló</w:t>
      </w:r>
      <w:r w:rsidR="00FC7EC2" w:rsidRPr="002203BC">
        <w:rPr>
          <w:b/>
        </w:rPr>
        <w:t>, ha</w:t>
      </w:r>
      <w:r w:rsidRPr="002203BC">
        <w:rPr>
          <w:b/>
        </w:rPr>
        <w:t>:</w:t>
      </w:r>
    </w:p>
    <w:p w:rsidR="0042053D" w:rsidRPr="0042053D" w:rsidRDefault="0042053D" w:rsidP="0042053D">
      <w:pPr>
        <w:pStyle w:val="Listaszerbekezds"/>
        <w:numPr>
          <w:ilvl w:val="0"/>
          <w:numId w:val="2"/>
        </w:numPr>
        <w:spacing w:after="0"/>
      </w:pPr>
      <w:r>
        <w:t xml:space="preserve">a megfelelő oldalaik hosszának aránya páronként egyenlő, azaz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a'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c'</m:t>
            </m:r>
          </m:den>
        </m:f>
        <m:r>
          <w:rPr>
            <w:rFonts w:ascii="Cambria Math" w:hAnsi="Cambria Math"/>
          </w:rPr>
          <m:t>=λ</m:t>
        </m:r>
      </m:oMath>
    </w:p>
    <w:p w:rsidR="0042053D" w:rsidRPr="0042053D" w:rsidRDefault="0042053D" w:rsidP="0042053D">
      <w:pPr>
        <w:pStyle w:val="Listaszerbekezds"/>
        <w:numPr>
          <w:ilvl w:val="0"/>
          <w:numId w:val="2"/>
        </w:numPr>
        <w:spacing w:after="0"/>
      </w:pPr>
      <w:r>
        <w:rPr>
          <w:rFonts w:eastAsiaTheme="minorEastAsia"/>
        </w:rPr>
        <w:t>két-két oldalhosszuk aránya és az ezek által közbezárt szögek nagysága egyenlő</w:t>
      </w:r>
      <w:proofErr w:type="gramStart"/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a'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b'</m:t>
            </m:r>
          </m:den>
        </m:f>
        <m:r>
          <w:rPr>
            <w:rFonts w:ascii="Cambria Math" w:eastAsiaTheme="minorEastAsia" w:hAnsi="Cambria Math"/>
          </w:rPr>
          <m:t>=λ ,</m:t>
        </m:r>
        <w:proofErr w:type="gramEnd"/>
        <m:r>
          <w:rPr>
            <w:rFonts w:ascii="Cambria Math" w:eastAsiaTheme="minorEastAsia" w:hAnsi="Cambria Math"/>
          </w:rPr>
          <m:t xml:space="preserve"> és γ=γ'</m:t>
        </m:r>
      </m:oMath>
    </w:p>
    <w:p w:rsidR="0042053D" w:rsidRPr="0042053D" w:rsidRDefault="0042053D" w:rsidP="0042053D">
      <w:pPr>
        <w:pStyle w:val="Listaszerbekezds"/>
        <w:numPr>
          <w:ilvl w:val="0"/>
          <w:numId w:val="2"/>
        </w:numPr>
        <w:spacing w:after="0"/>
      </w:pPr>
      <w:r>
        <w:rPr>
          <w:rFonts w:eastAsiaTheme="minorEastAsia"/>
        </w:rPr>
        <w:t>két-két oldalhosszuk aránya egyenlő, és e két-két oldal közül a hosszabbikkal szemközti szögük nagysága egyenlő</w:t>
      </w:r>
    </w:p>
    <w:p w:rsidR="0042053D" w:rsidRPr="00FC7EC2" w:rsidRDefault="00FC7EC2" w:rsidP="0042053D">
      <w:pPr>
        <w:pStyle w:val="Listaszerbekezds"/>
        <w:numPr>
          <w:ilvl w:val="0"/>
          <w:numId w:val="2"/>
        </w:numPr>
        <w:spacing w:after="0"/>
      </w:pPr>
      <w:r>
        <w:rPr>
          <w:rFonts w:eastAsiaTheme="minorEastAsia"/>
        </w:rPr>
        <w:t>két-két szögük páronként egyenlő</w:t>
      </w:r>
    </w:p>
    <w:p w:rsidR="00FC7EC2" w:rsidRDefault="00FC7EC2" w:rsidP="00FC7EC2">
      <w:pPr>
        <w:spacing w:after="120"/>
      </w:pPr>
      <w:r>
        <w:t>Tétel: Két sokszög akkor és csak akkor hasonló, ha megfelelő oldalhosszaik aránya és megfelelő szögeik nagysága páronként egyenlő nagyságú.</w:t>
      </w:r>
    </w:p>
    <w:p w:rsidR="002203BC" w:rsidRPr="002203BC" w:rsidRDefault="002203BC" w:rsidP="002203BC">
      <w:pPr>
        <w:spacing w:after="0"/>
        <w:rPr>
          <w:b/>
        </w:rPr>
      </w:pPr>
      <w:r w:rsidRPr="002203BC">
        <w:rPr>
          <w:b/>
        </w:rPr>
        <w:t>Sokszögek hasonlósága:</w:t>
      </w:r>
    </w:p>
    <w:p w:rsidR="002203BC" w:rsidRDefault="002203BC" w:rsidP="002203BC">
      <w:pPr>
        <w:pStyle w:val="Listaszerbekezds"/>
        <w:numPr>
          <w:ilvl w:val="0"/>
          <w:numId w:val="4"/>
        </w:numPr>
        <w:spacing w:after="120"/>
      </w:pPr>
      <w:r>
        <w:t>ha szögeik megegyeznek és oldalaik aránya páronként megegyezik</w:t>
      </w:r>
    </w:p>
    <w:p w:rsidR="002203BC" w:rsidRDefault="002203BC" w:rsidP="002203BC">
      <w:pPr>
        <w:pStyle w:val="Listaszerbekezds"/>
        <w:numPr>
          <w:ilvl w:val="0"/>
          <w:numId w:val="4"/>
        </w:numPr>
        <w:spacing w:after="120"/>
      </w:pPr>
      <w:r>
        <w:t xml:space="preserve">bármely 2 </w:t>
      </w:r>
      <w:proofErr w:type="gramStart"/>
      <w:r>
        <w:t>kör hasonló</w:t>
      </w:r>
      <w:proofErr w:type="gramEnd"/>
      <w:r>
        <w:t xml:space="preserve"> egymáshoz</w:t>
      </w:r>
    </w:p>
    <w:p w:rsidR="00FC7EC2" w:rsidRPr="002203BC" w:rsidRDefault="00FC7EC2" w:rsidP="00FC7EC2">
      <w:pPr>
        <w:spacing w:after="0"/>
        <w:rPr>
          <w:b/>
        </w:rPr>
      </w:pPr>
      <w:r w:rsidRPr="002203BC">
        <w:rPr>
          <w:b/>
        </w:rPr>
        <w:t>Példák:</w:t>
      </w:r>
    </w:p>
    <w:p w:rsidR="00FC7EC2" w:rsidRDefault="00FC7EC2" w:rsidP="00FC7EC2">
      <w:pPr>
        <w:pStyle w:val="Listaszerbekezds"/>
        <w:numPr>
          <w:ilvl w:val="0"/>
          <w:numId w:val="3"/>
        </w:numPr>
        <w:spacing w:after="0"/>
      </w:pPr>
      <w:r>
        <w:t>szögfelező tétel</w:t>
      </w:r>
    </w:p>
    <w:p w:rsidR="00FC7EC2" w:rsidRDefault="00FC7EC2" w:rsidP="00FC7EC2">
      <w:pPr>
        <w:pStyle w:val="Listaszerbekezds"/>
        <w:numPr>
          <w:ilvl w:val="0"/>
          <w:numId w:val="3"/>
        </w:numPr>
        <w:spacing w:after="0"/>
      </w:pPr>
      <w:proofErr w:type="spellStart"/>
      <w:r>
        <w:t>heron</w:t>
      </w:r>
      <w:proofErr w:type="spellEnd"/>
      <w:r>
        <w:t xml:space="preserve"> bizonyítás</w:t>
      </w:r>
    </w:p>
    <w:p w:rsidR="00FC7EC2" w:rsidRDefault="00FC7EC2" w:rsidP="00FC7EC2">
      <w:pPr>
        <w:pStyle w:val="Listaszerbekezds"/>
        <w:numPr>
          <w:ilvl w:val="0"/>
          <w:numId w:val="3"/>
        </w:numPr>
        <w:spacing w:after="0"/>
      </w:pPr>
      <w:r>
        <w:t>magasság tétel</w:t>
      </w:r>
    </w:p>
    <w:p w:rsidR="00FC7EC2" w:rsidRDefault="00FC7EC2" w:rsidP="00FC7EC2">
      <w:pPr>
        <w:pStyle w:val="Listaszerbekezds"/>
        <w:numPr>
          <w:ilvl w:val="0"/>
          <w:numId w:val="3"/>
        </w:numPr>
        <w:spacing w:after="0"/>
      </w:pPr>
      <w:r>
        <w:t>befogó tétel</w:t>
      </w:r>
    </w:p>
    <w:p w:rsidR="00FC7EC2" w:rsidRDefault="00FC7EC2" w:rsidP="00FC7EC2">
      <w:pPr>
        <w:pStyle w:val="Listaszerbekezds"/>
        <w:numPr>
          <w:ilvl w:val="0"/>
          <w:numId w:val="3"/>
        </w:numPr>
        <w:spacing w:after="0"/>
      </w:pPr>
      <w:r>
        <w:sym w:font="Wingdings" w:char="F0E0"/>
      </w:r>
      <w:r>
        <w:t>egyiket bizonyít</w:t>
      </w:r>
    </w:p>
    <w:p w:rsidR="00FC7EC2" w:rsidRDefault="00FC7EC2" w:rsidP="00FC7EC2">
      <w:pPr>
        <w:spacing w:after="0"/>
      </w:pPr>
      <w:r>
        <w:t>A hasonlóságot nem csak háromszögekre vonatkozó tételekre használjuk fel: szelő tétel érintő tétel</w:t>
      </w:r>
    </w:p>
    <w:p w:rsidR="00FC7EC2" w:rsidRDefault="00FC7EC2" w:rsidP="00FC7EC2">
      <w:r w:rsidRPr="00FC7EC2">
        <w:rPr>
          <w:b/>
        </w:rPr>
        <w:t>Tétel:</w:t>
      </w:r>
      <w:r>
        <w:t xml:space="preserve"> Párhuzamos szelők tétele: Ha egy szög szárait párhuzamosokkal metsszük, akkor az egyik száron keletkező szakaszok aránya megegyezik a másik száron keletkező megfelelő szakaszok arányával.</w:t>
      </w:r>
    </w:p>
    <w:p w:rsidR="00FC7EC2" w:rsidRDefault="00FC7EC2" w:rsidP="002203BC">
      <w:pPr>
        <w:spacing w:after="0"/>
      </w:pPr>
      <w:proofErr w:type="spellStart"/>
      <w:r>
        <w:t>Csongkakúp</w:t>
      </w:r>
      <w:proofErr w:type="spellEnd"/>
      <w:r>
        <w:t>/Gúla térfogata</w:t>
      </w:r>
    </w:p>
    <w:p w:rsidR="00FC7EC2" w:rsidRDefault="002203BC" w:rsidP="002203BC">
      <w:r>
        <w:t>S</w:t>
      </w:r>
      <w:r w:rsidR="00FC7EC2">
        <w:t>zögfüggvények értelmezése is hasonlóságon alapul</w:t>
      </w:r>
    </w:p>
    <w:p w:rsidR="00FC7EC2" w:rsidRDefault="00FC7EC2" w:rsidP="00FC7EC2">
      <w:pPr>
        <w:spacing w:after="0"/>
        <w:rPr>
          <w:b/>
        </w:rPr>
      </w:pPr>
      <w:r w:rsidRPr="00FC7EC2">
        <w:rPr>
          <w:b/>
        </w:rPr>
        <w:t>Alkalmazások:</w:t>
      </w:r>
    </w:p>
    <w:p w:rsidR="00FC7EC2" w:rsidRPr="00FC7EC2" w:rsidRDefault="00FC7EC2" w:rsidP="00FC7EC2">
      <w:pPr>
        <w:pStyle w:val="Listaszerbekezds"/>
        <w:numPr>
          <w:ilvl w:val="0"/>
          <w:numId w:val="3"/>
        </w:numPr>
        <w:spacing w:after="0"/>
        <w:rPr>
          <w:b/>
        </w:rPr>
      </w:pPr>
      <w:r>
        <w:t>optikai eszközök képalkotása</w:t>
      </w:r>
    </w:p>
    <w:p w:rsidR="00FC7EC2" w:rsidRPr="00FC7EC2" w:rsidRDefault="00FC7EC2" w:rsidP="00FC7EC2">
      <w:pPr>
        <w:pStyle w:val="Listaszerbekezds"/>
        <w:numPr>
          <w:ilvl w:val="0"/>
          <w:numId w:val="3"/>
        </w:numPr>
        <w:spacing w:after="0"/>
        <w:rPr>
          <w:b/>
        </w:rPr>
      </w:pPr>
      <w:r>
        <w:t>lejtőn lévő testre ható erők felbontása</w:t>
      </w:r>
    </w:p>
    <w:p w:rsidR="00FC7EC2" w:rsidRPr="00FC7EC2" w:rsidRDefault="00FC7EC2" w:rsidP="00FC7EC2">
      <w:pPr>
        <w:pStyle w:val="Listaszerbekezds"/>
        <w:numPr>
          <w:ilvl w:val="0"/>
          <w:numId w:val="3"/>
        </w:numPr>
        <w:spacing w:after="0"/>
        <w:rPr>
          <w:b/>
        </w:rPr>
      </w:pPr>
      <w:r>
        <w:t>hajítások</w:t>
      </w:r>
    </w:p>
    <w:p w:rsidR="00FC7EC2" w:rsidRPr="00FC7EC2" w:rsidRDefault="00FC7EC2" w:rsidP="00FC7EC2">
      <w:pPr>
        <w:pStyle w:val="Listaszerbekezds"/>
        <w:numPr>
          <w:ilvl w:val="0"/>
          <w:numId w:val="3"/>
        </w:numPr>
        <w:spacing w:after="0"/>
        <w:rPr>
          <w:b/>
        </w:rPr>
      </w:pPr>
      <w:r>
        <w:t>térképészet, távolságmérés, GPS</w:t>
      </w:r>
    </w:p>
    <w:p w:rsidR="00FC7EC2" w:rsidRPr="00FC7EC2" w:rsidRDefault="00FC7EC2" w:rsidP="00FC7EC2">
      <w:pPr>
        <w:pStyle w:val="Listaszerbekezds"/>
        <w:numPr>
          <w:ilvl w:val="0"/>
          <w:numId w:val="3"/>
        </w:numPr>
        <w:spacing w:after="0"/>
        <w:rPr>
          <w:b/>
        </w:rPr>
      </w:pPr>
      <w:r>
        <w:t>súlyvonalas bizonyítás, Euler egyenes</w:t>
      </w:r>
    </w:p>
    <w:p w:rsidR="00FC7EC2" w:rsidRPr="00FC7EC2" w:rsidRDefault="00FC7EC2" w:rsidP="00FC7EC2">
      <w:pPr>
        <w:pStyle w:val="Listaszerbekezds"/>
        <w:numPr>
          <w:ilvl w:val="0"/>
          <w:numId w:val="3"/>
        </w:numPr>
        <w:spacing w:after="0"/>
        <w:rPr>
          <w:b/>
        </w:rPr>
      </w:pPr>
      <w:r>
        <w:t>középvonal</w:t>
      </w:r>
    </w:p>
    <w:sectPr w:rsidR="00FC7EC2" w:rsidRPr="00FC7EC2" w:rsidSect="002203BC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2692A"/>
    <w:multiLevelType w:val="hybridMultilevel"/>
    <w:tmpl w:val="C3BC7C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D2FF5"/>
    <w:multiLevelType w:val="hybridMultilevel"/>
    <w:tmpl w:val="A8EE1D1E"/>
    <w:lvl w:ilvl="0" w:tplc="639A6D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814AB"/>
    <w:multiLevelType w:val="hybridMultilevel"/>
    <w:tmpl w:val="CBF4DB3E"/>
    <w:lvl w:ilvl="0" w:tplc="505C39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50F56"/>
    <w:multiLevelType w:val="hybridMultilevel"/>
    <w:tmpl w:val="A15A6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F176B"/>
    <w:rsid w:val="001F176B"/>
    <w:rsid w:val="002203BC"/>
    <w:rsid w:val="0042053D"/>
    <w:rsid w:val="007D0980"/>
    <w:rsid w:val="00BA1E22"/>
    <w:rsid w:val="00EB39B1"/>
    <w:rsid w:val="00FC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39B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2053D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42053D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20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05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265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2014-05-31T07:50:00Z</dcterms:created>
  <dcterms:modified xsi:type="dcterms:W3CDTF">2014-05-31T09:55:00Z</dcterms:modified>
</cp:coreProperties>
</file>