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ОТЗЫВ НАУЧНОГО РУКОВОДИТЕЛЯ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выпускной квалификационной работе студента 4-го курса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факультета биологической и медицинской физики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физтех-школы биологической и медицинской физики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Московского физико-технического института(ГУ)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Ревкова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color w:val="00000a"/>
          <w:sz w:val="28"/>
          <w:szCs w:val="28"/>
          <w:rtl w:val="0"/>
        </w:rPr>
        <w:t xml:space="preserve">Использование энтропии последовательности ДНК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филогенетическом анализе однонуклеотидных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color w:val="00000a"/>
          <w:sz w:val="28"/>
          <w:szCs w:val="28"/>
          <w:rtl w:val="0"/>
        </w:rPr>
        <w:t xml:space="preserve">полиморфизмов”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Известно, что полногеномные последовательности нерекомбинантных хромосом содержат беспрецедентно большой объем филогенетической информации. Однако существующие практические способы ее извлечения (variant calling) нередко приводят к выравниваниям (alignment), теряющим значительную часть филогенетического “сигнала”, либо содержащим многочисленные артефакты. В работе Ревкова Е.А. анализируется один из типичных источников подобных артефактов – области микросателлитных повторов Y-хромосомы человека. Устанавливается связь между простой скалярной характеристикой нуклеотидных последовательностей (энтропией димеров) и достаточно сложными свойствами филогенетических данных. В частности, показано, что уменьшение “беспорядка” на некотором участке хромосомы приводит к его увеличению на множестве деревьев, построенных по полиморфизмам этого участка. Причиной является то, уменьшение энтропии сиквенса связано с ростом доли повторяющихся фрагментов, а практически все области инделов проблемны с филогенетической точки зрения. Математический формализм, примененный для описания данных закономерностей, восходит к работам О.Бьюнмана, Х.-Ю. Бандельта и А.Дресса.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Работа использует разнообразные методы количественного измерения филогенетического “сигнала”, для проведения эксперимента также применены стандартные биоинформатические процедуры обработки данных. Считаю, что работа заслуживает оценки “Отлично” (10).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Запорожченко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Liberation Serif" w:cs="Liberation Serif" w:eastAsia="Liberation Serif" w:hAnsi="Liberation Serif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iberation Serif" w:cs="Liberation Serif" w:eastAsia="Liberation Serif" w:hAnsi="Liberation Serif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