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line="290"/>
        <w:jc w:val="right"/>
      </w:pPr>
      <w:r>
        <w:rPr>
          <w:rFonts w:ascii="Arial" w:cs="Arial" w:eastAsia="Arial" w:hAnsi="Arial"/>
          <w:b w:val="false"/>
          <w:bCs w:val="false"/>
          <w:i w:val="false"/>
          <w:iCs w:val="false"/>
          <w:color w:val="1C1C1C"/>
          <w:sz w:val="22"/>
          <w:szCs w:val="22"/>
          <w:rtl/>
        </w:rPr>
        <w:t xml:space="preserve"> </w:t>
      </w:r>
    </w:p>
    <w:p>
      <w:pPr>
        <w:bidi/>
        <w:spacing w:after="60" w:line="290"/>
        <w:jc w:val="right"/>
      </w:pPr>
      <w:r>
        <w:rPr>
          <w:rFonts w:ascii="Arial" w:cs="Arial" w:eastAsia="Arial" w:hAnsi="Arial"/>
          <w:b w:val="false"/>
          <w:bCs w:val="false"/>
          <w:i w:val="false"/>
          <w:iCs w:val="false"/>
          <w:color w:val="1C1C1C"/>
          <w:sz w:val="22"/>
          <w:szCs w:val="22"/>
          <w:rtl/>
        </w:rPr>
        <w:t xml:space="preserve"> </w:t>
      </w:r>
    </w:p>
    <w:p>
      <w:pPr>
        <w:bidi/>
        <w:spacing w:after="60" w:line="290"/>
        <w:jc w:val="right"/>
      </w:pPr>
      <w:r>
        <w:rPr>
          <w:rFonts w:ascii="Arial" w:cs="Arial" w:eastAsia="Arial" w:hAnsi="Arial"/>
          <w:b w:val="false"/>
          <w:bCs w:val="false"/>
          <w:i w:val="false"/>
          <w:iCs w:val="false"/>
          <w:color w:val="1C1C1C"/>
          <w:sz w:val="22"/>
          <w:szCs w:val="22"/>
          <w:rtl/>
        </w:rPr>
        <w:t xml:space="preserve"> </w:t>
      </w:r>
    </w:p>
    <w:p>
      <w:pPr>
        <w:bidi/>
        <w:spacing w:after="120"/>
        <w:jc w:val="center"/>
      </w:pPr>
      <w:r>
        <w:rPr>
          <w:rFonts w:ascii="Arial" w:cs="Arial" w:eastAsia="Arial" w:hAnsi="Arial"/>
          <w:b/>
          <w:bCs/>
          <w:color w:val="0F172A"/>
          <w:sz w:val="64"/>
          <w:szCs w:val="64"/>
          <w:rtl/>
        </w:rPr>
        <w:t xml:space="preserve">DSM-Org</w:t>
      </w:r>
    </w:p>
    <w:p>
      <w:pPr>
        <w:bidi/>
        <w:spacing w:after="200"/>
        <w:jc w:val="center"/>
      </w:pPr>
      <w:r>
        <w:rPr>
          <w:rFonts w:ascii="Arial" w:cs="Arial" w:eastAsia="Arial" w:hAnsi="Arial"/>
          <w:color w:val="1E3A5F"/>
          <w:sz w:val="28"/>
          <w:szCs w:val="28"/>
          <w:rtl/>
        </w:rPr>
        <w:t xml:space="preserve">מסגרת סיווג פתוחה לפתולוגיה ארגונית</w:t>
      </w:r>
    </w:p>
    <w:p>
      <w:pPr>
        <w:bidi/>
        <w:spacing w:after="80"/>
        <w:jc w:val="center"/>
      </w:pPr>
      <w:r>
        <w:rPr>
          <w:rFonts w:ascii="Arial" w:cs="Arial" w:eastAsia="Arial" w:hAnsi="Arial"/>
          <w:i/>
          <w:iCs/>
          <w:color w:val="6B7280"/>
          <w:sz w:val="22"/>
          <w:szCs w:val="22"/>
          <w:rtl/>
        </w:rPr>
        <w:t xml:space="preserve">על שפה משותפת כתשתית, על calibration כ-MOAT, ועל סדר גודל שאפשר למדוד</w:t>
      </w:r>
    </w:p>
    <w:p>
      <w:pPr>
        <w:bidi/>
        <w:spacing w:after="0"/>
        <w:jc w:val="center"/>
      </w:pPr>
      <w:r>
        <w:rPr>
          <w:rFonts w:ascii="Arial" w:cs="Arial" w:eastAsia="Arial" w:hAnsi="Arial"/>
          <w:color w:val="6B7280"/>
          <w:sz w:val="20"/>
          <w:szCs w:val="20"/>
          <w:rtl/>
        </w:rPr>
        <w:t xml:space="preserve">ארז טל-שיר  ·  COR-SYS  ·  2026</w:t>
      </w:r>
    </w:p>
    <w:p>
      <w:pPr>
        <w:bidi/>
        <w:spacing w:after="60" w:line="290"/>
        <w:jc w:val="right"/>
      </w:pPr>
      <w:r>
        <w:rPr>
          <w:rFonts w:ascii="Arial" w:cs="Arial" w:eastAsia="Arial" w:hAnsi="Arial"/>
          <w:b w:val="false"/>
          <w:bCs w:val="false"/>
          <w:i w:val="false"/>
          <w:iCs w:val="false"/>
          <w:color w:val="1C1C1C"/>
          <w:sz w:val="22"/>
          <w:szCs w:val="22"/>
          <w:rtl/>
        </w:rPr>
        <w:t xml:space="preserve"> </w:t>
      </w:r>
    </w:p>
    <w:p>
      <w:pPr>
        <w:bidi/>
        <w:spacing w:after="60" w:line="290"/>
        <w:jc w:val="right"/>
      </w:pPr>
      <w:r>
        <w:rPr>
          <w:rFonts w:ascii="Arial" w:cs="Arial" w:eastAsia="Arial" w:hAnsi="Arial"/>
          <w:b w:val="false"/>
          <w:bCs w:val="false"/>
          <w:i w:val="false"/>
          <w:iCs w:val="false"/>
          <w:color w:val="1C1C1C"/>
          <w:sz w:val="22"/>
          <w:szCs w:val="22"/>
          <w:rtl/>
        </w:rPr>
        <w:t xml:space="preserve"> </w:t>
      </w:r>
    </w:p>
    <w:p>
      <w:pPr>
        <w:bidi/>
        <w:spacing w:after="60" w:line="290"/>
        <w:jc w:val="right"/>
      </w:pPr>
      <w:r>
        <w:rPr>
          <w:rFonts w:ascii="Arial" w:cs="Arial" w:eastAsia="Arial" w:hAnsi="Arial"/>
          <w:b w:val="false"/>
          <w:bCs w:val="false"/>
          <w:i w:val="false"/>
          <w:iCs w:val="false"/>
          <w:color w:val="1C1C1C"/>
          <w:sz w:val="22"/>
          <w:szCs w:val="22"/>
          <w:rtl/>
        </w:rPr>
        <w:t xml:space="preserve"> </w:t>
      </w:r>
    </w:p>
    <w:p>
      <w:pPr>
        <w:bidi/>
        <w:spacing w:after="60" w:line="290"/>
        <w:jc w:val="right"/>
      </w:pPr>
      <w:r>
        <w:rPr>
          <w:rFonts w:ascii="Arial" w:cs="Arial" w:eastAsia="Arial" w:hAnsi="Arial"/>
          <w:b w:val="false"/>
          <w:bCs w:val="false"/>
          <w:i w:val="false"/>
          <w:iCs w:val="false"/>
          <w:color w:val="1C1C1C"/>
          <w:sz w:val="22"/>
          <w:szCs w:val="22"/>
          <w:rtl/>
        </w:rPr>
        <w:t xml:space="preserve"> </w:t>
      </w:r>
    </w:p>
    <w:p>
      <w:pPr>
        <w:pBdr>
          <w:bottom w:val="single" w:color="E2E8F0" w:sz="4" w:space="1"/>
        </w:pBdr>
        <w:spacing w:after="120" w:before="120"/>
      </w:pPr>
      <w:r>
        <w:t xml:space="preserve"> </w:t>
      </w:r>
    </w:p>
    <w:p>
      <w:pPr>
        <w:bidi/>
        <w:spacing w:after="60" w:line="290"/>
        <w:jc w:val="right"/>
      </w:pPr>
      <w:r>
        <w:rPr>
          <w:rFonts w:ascii="Arial" w:cs="Arial" w:eastAsia="Arial" w:hAnsi="Arial"/>
          <w:b w:val="false"/>
          <w:bCs w:val="false"/>
          <w:i w:val="false"/>
          <w:iCs w:val="false"/>
          <w:color w:val="1C1C1C"/>
          <w:sz w:val="22"/>
          <w:szCs w:val="22"/>
          <w:rtl/>
        </w:rPr>
        <w:t xml:space="preserve"> </w:t>
      </w:r>
    </w:p>
    <w:p>
      <w:pPr>
        <w:bidi/>
        <w:spacing w:after="60" w:line="290"/>
        <w:jc w:val="right"/>
      </w:pPr>
      <w:r>
        <w:rPr>
          <w:rFonts w:ascii="Arial" w:cs="Arial" w:eastAsia="Arial" w:hAnsi="Arial"/>
          <w:b w:val="false"/>
          <w:bCs w:val="false"/>
          <w:i w:val="false"/>
          <w:iCs w:val="false"/>
          <w:color w:val="1C1C1C"/>
          <w:sz w:val="22"/>
          <w:szCs w:val="22"/>
          <w:rtl/>
        </w:rPr>
        <w:t xml:space="preserve"> </w:t>
      </w:r>
    </w:p>
    <w:p>
      <w:pPr>
        <w:pStyle w:val="Heading1"/>
        <w:bidi/>
        <w:spacing w:after="160" w:before="480"/>
        <w:jc w:val="right"/>
      </w:pPr>
      <w:r>
        <w:rPr>
          <w:rFonts w:ascii="Arial" w:cs="Arial" w:eastAsia="Arial" w:hAnsi="Arial"/>
          <w:b/>
          <w:bCs/>
          <w:color w:val="0F172A"/>
          <w:sz w:val="30"/>
          <w:szCs w:val="30"/>
          <w:rtl/>
        </w:rPr>
        <w:t xml:space="preserve">1. השדה לפני הסיווג</w:t>
      </w:r>
    </w:p>
    <w:p>
      <w:pPr>
        <w:bidi/>
        <w:spacing w:after="200" w:line="290"/>
        <w:jc w:val="right"/>
      </w:pPr>
      <w:r>
        <w:rPr>
          <w:rFonts w:ascii="Arial" w:cs="Arial" w:eastAsia="Arial" w:hAnsi="Arial"/>
          <w:b w:val="false"/>
          <w:bCs w:val="false"/>
          <w:i w:val="false"/>
          <w:iCs w:val="false"/>
          <w:color w:val="1C1C1C"/>
          <w:sz w:val="22"/>
          <w:szCs w:val="22"/>
          <w:rtl/>
        </w:rPr>
        <w:t xml:space="preserve">כל שדה מקצועי שצומח מהר מייצר בעיה מבנית: השפות מתרבות מהר יותר מהידע. יועצי wellbeing, ניהול ביניים, culture consultants, HR BPs — כל אחד מגיע עם פריימוורק שלו. COO שעבד עם שלושה גופים חיצוניים בשלוש שנים האחרונות קיבל שלוש שפות שלא מדברות אחת עם השנייה. ה-CFO רואה שלושה דוחות שלא ניתן להשוות. ה-Board לא יכול לקרוא מגמה. הידע לא מצטבר.</w:t>
      </w:r>
    </w:p>
    <w:p>
      <w:pPr>
        <w:bidi/>
        <w:spacing w:after="200" w:line="290"/>
        <w:jc w:val="right"/>
      </w:pPr>
      <w:r>
        <w:rPr>
          <w:rFonts w:ascii="Arial" w:cs="Arial" w:eastAsia="Arial" w:hAnsi="Arial"/>
          <w:b w:val="false"/>
          <w:bCs w:val="false"/>
          <w:i w:val="false"/>
          <w:iCs w:val="false"/>
          <w:color w:val="1C1C1C"/>
          <w:sz w:val="22"/>
          <w:szCs w:val="22"/>
          <w:rtl/>
        </w:rPr>
        <w:t xml:space="preserve">זה לא כשל של האנשים. זה כשל מבני: אין nomenclature משותף. בלי nomenclature משותף, כל סיכום ייעוצי הוא island. אין meta-analysis אפשרי, אין benchmark, אין ציר זמן שניתן להשוות לאורכו. שני COO שעמדו בפני בעיה זהה לא יוכלו להשוות ממצאים מכיוון שהשפה שבה תוארו הממצאים שונה לחלוטין.</w:t>
      </w:r>
    </w:p>
    <w:p>
      <w:pPr>
        <w:bidi/>
        <w:spacing w:after="200" w:line="290"/>
        <w:jc w:val="right"/>
      </w:pPr>
      <w:r>
        <w:rPr>
          <w:rFonts w:ascii="Arial" w:cs="Arial" w:eastAsia="Arial" w:hAnsi="Arial"/>
          <w:b w:val="false"/>
          <w:bCs w:val="false"/>
          <w:i w:val="false"/>
          <w:iCs w:val="false"/>
          <w:color w:val="1C1C1C"/>
          <w:sz w:val="22"/>
          <w:szCs w:val="22"/>
          <w:rtl/>
        </w:rPr>
        <w:t xml:space="preserve">הרפואה הייתה במצב הזה לפני ICD-10. הפסיכיאטריה לפני DSM-III. הגיאולוגיה לפני Richter. בכל המקרים, מה שפרץ את הדרך לא היה algorithm חכם יותר — זה היה naming convention שמספיק אנשים החליטו לאמץ. DSM-Org הוא ניסיון לייצר את ה-naming convention הזה לשדה הפתולוגיה הארגונית.</w:t>
      </w:r>
    </w:p>
    <w:p>
      <w:pPr>
        <w:bidi/>
        <w:spacing w:after="200" w:line="290"/>
        <w:jc w:val="right"/>
      </w:pPr>
      <w:r>
        <w:rPr>
          <w:rFonts w:ascii="Arial" w:cs="Arial" w:eastAsia="Arial" w:hAnsi="Arial"/>
          <w:b w:val="false"/>
          <w:bCs w:val="false"/>
          <w:i w:val="false"/>
          <w:iCs w:val="false"/>
          <w:color w:val="1C1C1C"/>
          <w:sz w:val="22"/>
          <w:szCs w:val="22"/>
          <w:rtl/>
        </w:rPr>
        <w:t xml:space="preserve">המינוח שנבחר מכוון: DSM-Org מתייחס ל-Diagnostic and Statistical Manual of Mental Disorders, הסטנדרט הפסיכיאטרי שהפך לתשתית גלובלית. ההשוואה אינה מטאפורית. המנגנון המבני שהפך את DSM-5 לסטנדרט הוא בדיוק המנגנון שעליו DSM-Org מבקש לרכב.</w:t>
      </w:r>
    </w:p>
    <w:p>
      <w:pPr>
        <w:bidi/>
        <w:spacing w:after="60" w:line="290"/>
        <w:jc w:val="right"/>
      </w:pPr>
      <w:r>
        <w:rPr>
          <w:rFonts w:ascii="Arial" w:cs="Arial" w:eastAsia="Arial" w:hAnsi="Arial"/>
          <w:b w:val="false"/>
          <w:bCs w:val="false"/>
          <w:i w:val="false"/>
          <w:iCs w:val="false"/>
          <w:color w:val="1C1C1C"/>
          <w:sz w:val="22"/>
          <w:szCs w:val="22"/>
          <w:rtl/>
        </w:rPr>
        <w:t xml:space="preserve"> </w:t>
      </w:r>
    </w:p>
    <w:p>
      <w:pPr>
        <w:pBdr>
          <w:bottom w:val="single" w:color="E2E8F0" w:sz="4" w:space="1"/>
        </w:pBdr>
        <w:spacing w:after="120" w:before="120"/>
      </w:pPr>
      <w:r>
        <w:t xml:space="preserve"> </w:t>
      </w:r>
    </w:p>
    <w:p>
      <w:pPr>
        <w:pStyle w:val="Heading1"/>
        <w:bidi/>
        <w:spacing w:after="160" w:before="480"/>
        <w:jc w:val="right"/>
      </w:pPr>
      <w:r>
        <w:rPr>
          <w:rFonts w:ascii="Arial" w:cs="Arial" w:eastAsia="Arial" w:hAnsi="Arial"/>
          <w:b/>
          <w:bCs/>
          <w:color w:val="0F172A"/>
          <w:sz w:val="30"/>
          <w:szCs w:val="30"/>
          <w:rtl/>
        </w:rPr>
        <w:t xml:space="preserve">2. איך מסגרת סיווג הופכת לתשתית</w:t>
      </w:r>
    </w:p>
    <w:p>
      <w:pPr>
        <w:bidi/>
        <w:spacing w:after="200" w:line="290"/>
        <w:jc w:val="right"/>
      </w:pPr>
      <w:r>
        <w:rPr>
          <w:rFonts w:ascii="Arial" w:cs="Arial" w:eastAsia="Arial" w:hAnsi="Arial"/>
          <w:b w:val="false"/>
          <w:bCs w:val="false"/>
          <w:i w:val="false"/>
          <w:iCs w:val="false"/>
          <w:color w:val="1C1C1C"/>
          <w:sz w:val="22"/>
          <w:szCs w:val="22"/>
          <w:rtl/>
        </w:rPr>
        <w:t xml:space="preserve">מדד ריכטר אינו מודד רעידות אדמה בצורה מדויקת יותר מכל מדד חלופי. הוא הפך לתשתית כי גיאולוגים, חברות ביטוח, תקנות בנייה ותקשורת — כולם אימצו אותו עד שעלות המעבר למדד "טוב יותר" עלתה על כל חוסר שביעות רצון. זהו lock-in לשוני, לא טכנולוגי.</w:t>
      </w:r>
    </w:p>
    <w:p>
      <w:pPr>
        <w:bidi/>
        <w:spacing w:after="200" w:line="290"/>
        <w:jc w:val="right"/>
      </w:pPr>
      <w:r>
        <w:rPr>
          <w:rFonts w:ascii="Arial" w:cs="Arial" w:eastAsia="Arial" w:hAnsi="Arial"/>
          <w:b w:val="false"/>
          <w:bCs w:val="false"/>
          <w:i w:val="false"/>
          <w:iCs w:val="false"/>
          <w:color w:val="1C1C1C"/>
          <w:sz w:val="22"/>
          <w:szCs w:val="22"/>
          <w:rtl/>
        </w:rPr>
        <w:t xml:space="preserve">המנגנון המתמטי: ערך מסגרת סיווג אינו עולה ליניארית עם מספר האימוצים. הוא עולה בריבוע. כאשר n פרקטיקאים מדברים DSM-Org, ערך ה-framework לפרקטיקאי חדש הוא פרופורציונלי ל-n, לא ל-1. ה-value של כל אימוץ נוסף גדל עם כל אימוץ שקדם לו. זה Metcalfe's law על שפה.</w:t>
      </w:r>
    </w:p>
    <w:p>
      <w:pPr>
        <w:bidi/>
        <w:spacing w:after="200" w:line="290"/>
        <w:jc w:val="right"/>
      </w:pPr>
      <w:r>
        <w:rPr>
          <w:rFonts w:ascii="Arial" w:cs="Arial" w:eastAsia="Arial" w:hAnsi="Arial"/>
          <w:b w:val="false"/>
          <w:bCs w:val="false"/>
          <w:i w:val="false"/>
          <w:iCs w:val="false"/>
          <w:color w:val="1C1C1C"/>
          <w:sz w:val="22"/>
          <w:szCs w:val="22"/>
          <w:rtl/>
        </w:rPr>
        <w:t xml:space="preserve">ישנה נקודת מפנה: כאשר מספיק סוכנים מסתמכים על naming convention, הוא הופך לתשתית קואורדינציה. COO שמדבר עם משקיע, עם יועץ חיצוני, עם ה-HR ועם ה-CFO — כולם צריכים לדבר שפה אחת כדי שהמידע יזרום. אם השפה של ארז היא השפה שהם אימצו ראשון, הוא הפך להיות המרכז של הרשת הזו.</w:t>
      </w:r>
    </w:p>
    <w:p>
      <w:pPr>
        <w:bidi/>
        <w:spacing w:after="200" w:line="290"/>
        <w:jc w:val="right"/>
      </w:pPr>
      <w:r>
        <w:rPr>
          <w:rFonts w:ascii="Arial" w:cs="Arial" w:eastAsia="Arial" w:hAnsi="Arial"/>
          <w:b w:val="false"/>
          <w:bCs w:val="false"/>
          <w:i w:val="false"/>
          <w:iCs w:val="false"/>
          <w:color w:val="1C1C1C"/>
          <w:sz w:val="22"/>
          <w:szCs w:val="22"/>
          <w:rtl/>
        </w:rPr>
        <w:t xml:space="preserve">חשוב לציין: אינך צריך להיות "נכון" כדי להפוך לסטנדרט. אתה צריך להגיע ראשון לסף האימוץ. Linnaeus's taxonomy of species was not perfectly correct — but it became the foundation everything else was built on. DSM-5 has been criticized extensively within psychiatry — but it remains the reference. Being first with a coherent, researchable framework matters more than being optimal.</w:t>
      </w:r>
    </w:p>
    <w:p>
      <w:pPr>
        <w:bidi/>
        <w:spacing w:after="200" w:line="290"/>
        <w:jc w:val="right"/>
      </w:pPr>
      <w:r>
        <w:rPr>
          <w:rFonts w:ascii="Arial" w:cs="Arial" w:eastAsia="Arial" w:hAnsi="Arial"/>
          <w:b w:val="false"/>
          <w:bCs w:val="false"/>
          <w:i w:val="false"/>
          <w:iCs w:val="false"/>
          <w:color w:val="1C1C1C"/>
          <w:sz w:val="22"/>
          <w:szCs w:val="22"/>
          <w:rtl/>
        </w:rPr>
        <w:t xml:space="preserve">מדד MOAT לפני לקוח ראשון, אם כן, הוא לא מספר הלקוחות. הוא </w:t>
      </w:r>
      <w:r>
        <w:rPr>
          <w:rFonts w:ascii="Arial" w:cs="Arial" w:eastAsia="Arial" w:hAnsi="Arial"/>
          <w:b/>
          <w:bCs/>
          <w:i w:val="false"/>
          <w:iCs w:val="false"/>
          <w:color w:val="1C1C1C"/>
          <w:sz w:val="22"/>
          <w:szCs w:val="22"/>
          <w:rtl/>
        </w:rPr>
        <w:t xml:space="preserve">כמה practitioners שאינם ארז משתמשים ב-NOD, ZSG, OLD, CLT</w:t>
      </w:r>
      <w:r>
        <w:rPr>
          <w:rFonts w:ascii="Arial" w:cs="Arial" w:eastAsia="Arial" w:hAnsi="Arial"/>
          <w:b w:val="false"/>
          <w:bCs w:val="false"/>
          <w:i w:val="false"/>
          <w:iCs w:val="false"/>
          <w:color w:val="1C1C1C"/>
          <w:sz w:val="22"/>
          <w:szCs w:val="22"/>
          <w:rtl/>
        </w:rPr>
        <w:t xml:space="preserve"> בשיחות מקצועיות. כל שימוש כזה הוא השקעה בתשתית, לא תוכן שיווקי.</w:t>
      </w:r>
    </w:p>
    <w:p>
      <w:pPr>
        <w:bidi/>
        <w:spacing w:after="60" w:line="290"/>
        <w:jc w:val="right"/>
      </w:pPr>
      <w:r>
        <w:rPr>
          <w:rFonts w:ascii="Arial" w:cs="Arial" w:eastAsia="Arial" w:hAnsi="Arial"/>
          <w:b w:val="false"/>
          <w:bCs w:val="false"/>
          <w:i w:val="false"/>
          <w:iCs w:val="false"/>
          <w:color w:val="1C1C1C"/>
          <w:sz w:val="22"/>
          <w:szCs w:val="22"/>
          <w:rtl/>
        </w:rPr>
        <w:t xml:space="preserve"> </w:t>
      </w:r>
    </w:p>
    <w:p>
      <w:pPr>
        <w:pBdr>
          <w:bottom w:val="single" w:color="E2E8F0" w:sz="4" w:space="1"/>
        </w:pBdr>
        <w:spacing w:after="120" w:before="120"/>
      </w:pPr>
      <w:r>
        <w:t xml:space="preserve"> </w:t>
      </w:r>
    </w:p>
    <w:p>
      <w:pPr>
        <w:pStyle w:val="Heading1"/>
        <w:bidi/>
        <w:spacing w:after="160" w:before="480"/>
        <w:jc w:val="right"/>
      </w:pPr>
      <w:r>
        <w:rPr>
          <w:rFonts w:ascii="Arial" w:cs="Arial" w:eastAsia="Arial" w:hAnsi="Arial"/>
          <w:b/>
          <w:bCs/>
          <w:color w:val="0F172A"/>
          <w:sz w:val="30"/>
          <w:szCs w:val="30"/>
          <w:rtl/>
        </w:rPr>
        <w:t xml:space="preserve">3. חמש הפתולוגיות: הגדרות ובסיס מחקרי</w:t>
      </w:r>
    </w:p>
    <w:p>
      <w:pPr>
        <w:bidi/>
        <w:spacing w:after="200" w:line="290"/>
        <w:jc w:val="right"/>
      </w:pPr>
      <w:r>
        <w:rPr>
          <w:rFonts w:ascii="Arial" w:cs="Arial" w:eastAsia="Arial" w:hAnsi="Arial"/>
          <w:b w:val="false"/>
          <w:bCs w:val="false"/>
          <w:i w:val="false"/>
          <w:iCs w:val="false"/>
          <w:color w:val="1C1C1C"/>
          <w:sz w:val="22"/>
          <w:szCs w:val="22"/>
          <w:rtl/>
        </w:rPr>
        <w:t xml:space="preserve">DSM-Org מגדיר ארבע פתולוגיות ראשוניות ומגבר אחד. הפתולוגיות הראשוניות הן תיאורים של מצבי כשל שנחקרו באופן נרחב בספרות האקדמית; הן ניתנות לגילוי, למדידה ולהתערבות. המגבר, Cascade State, אינו פתולוגיה עצמאית — הוא מצב מערכתי בו כל פתולוגיה מחזקת את האחרות.</w:t>
      </w:r>
    </w:p>
    <w:p>
      <w:pPr>
        <w:pStyle w:val="Heading2"/>
        <w:bidi/>
        <w:spacing w:after="120" w:before="300"/>
        <w:jc w:val="right"/>
      </w:pPr>
      <w:r>
        <w:rPr>
          <w:rFonts w:ascii="Arial" w:cs="Arial" w:eastAsia="Arial" w:hAnsi="Arial"/>
          <w:b/>
          <w:bCs/>
          <w:color w:val="1E3A5F"/>
          <w:sz w:val="24"/>
          <w:szCs w:val="24"/>
          <w:rtl/>
        </w:rPr>
        <w:t xml:space="preserve">NOD — Normalization of Deviance</w:t>
      </w:r>
    </w:p>
    <w:p>
      <w:pPr>
        <w:bidi/>
        <w:spacing w:after="200" w:line="290"/>
        <w:jc w:val="right"/>
      </w:pPr>
      <w:r>
        <w:rPr>
          <w:rFonts w:ascii="Arial" w:cs="Arial" w:eastAsia="Arial" w:hAnsi="Arial"/>
          <w:b w:val="false"/>
          <w:bCs w:val="false"/>
          <w:i w:val="false"/>
          <w:iCs w:val="false"/>
          <w:color w:val="1C1C1C"/>
          <w:sz w:val="22"/>
          <w:szCs w:val="22"/>
          <w:rtl/>
        </w:rPr>
        <w:t xml:space="preserve">המחקר: </w:t>
      </w:r>
      <w:r>
        <w:rPr>
          <w:rFonts w:ascii="Arial" w:cs="Arial" w:eastAsia="Arial" w:hAnsi="Arial"/>
          <w:b/>
          <w:bCs/>
          <w:i/>
          <w:iCs/>
          <w:color w:val="1C1C1C"/>
          <w:sz w:val="22"/>
          <w:szCs w:val="22"/>
          <w:rtl/>
        </w:rPr>
        <w:t xml:space="preserve">Diane Vaughan (1996)</w:t>
      </w:r>
      <w:r>
        <w:rPr>
          <w:rFonts w:ascii="Arial" w:cs="Arial" w:eastAsia="Arial" w:hAnsi="Arial"/>
          <w:b w:val="false"/>
          <w:bCs w:val="false"/>
          <w:i w:val="false"/>
          <w:iCs w:val="false"/>
          <w:color w:val="1C1C1C"/>
          <w:sz w:val="22"/>
          <w:szCs w:val="22"/>
          <w:rtl/>
        </w:rPr>
        <w:t xml:space="preserve">, "The Challenger Launch Decision." וונג'ן חקרה כיצד NASA קיבלה החלטת שיגור הצ'לנג'ר על אף שהיו מספיק אותות ל-O-ring failure. המסקנה: הארגון נרמל סטיות בהדרגה כל כך עד שמה שהיה פעם חריג הפך לנורמה ללא תיעוד מפורש.</w:t>
      </w:r>
    </w:p>
    <w:p>
      <w:pPr>
        <w:bidi/>
        <w:spacing w:after="200" w:line="290"/>
        <w:jc w:val="right"/>
      </w:pPr>
      <w:r>
        <w:rPr>
          <w:rFonts w:ascii="Arial" w:cs="Arial" w:eastAsia="Arial" w:hAnsi="Arial"/>
          <w:b w:val="false"/>
          <w:bCs w:val="false"/>
          <w:i w:val="false"/>
          <w:iCs w:val="false"/>
          <w:color w:val="1C1C1C"/>
          <w:sz w:val="22"/>
          <w:szCs w:val="22"/>
          <w:rtl/>
        </w:rPr>
        <w:t xml:space="preserve">ב-NOD ארגון סופג אירועים שמסמנים כשל מתפתח ו"שוכח" אותם מהר יותר ממה שהוא לומד מהם. זמן ההתאוששות מאירועים אינו יורד עם הזמן — הוא עולה. הארגון הופך פחות resilient עם כל אירוע כי הוא מנרמל רמה חדשה של סיכון במקום לתקן אותה.</w:t>
      </w:r>
    </w:p>
    <w:p>
      <w:pPr>
        <w:bidi/>
        <w:spacing w:after="200" w:line="290"/>
        <w:jc w:val="right"/>
      </w:pPr>
      <w:r>
        <w:rPr>
          <w:rFonts w:ascii="Arial" w:cs="Arial" w:eastAsia="Arial" w:hAnsi="Arial"/>
          <w:b w:val="false"/>
          <w:bCs w:val="false"/>
          <w:i w:val="false"/>
          <w:iCs w:val="false"/>
          <w:color w:val="1C1C1C"/>
          <w:sz w:val="22"/>
          <w:szCs w:val="22"/>
          <w:rtl/>
        </w:rPr>
        <w:t xml:space="preserve">חתימת T/A/M: </w:t>
      </w:r>
      <w:r>
        <w:rPr>
          <w:rFonts w:ascii="Arial" w:cs="Arial" w:eastAsia="Arial" w:hAnsi="Arial"/>
          <w:b/>
          <w:bCs/>
          <w:i/>
          <w:iCs/>
          <w:color w:val="1C1C1C"/>
          <w:sz w:val="22"/>
          <w:szCs w:val="22"/>
          <w:rtl/>
        </w:rPr>
        <w:t xml:space="preserve">Time 4/5, Attention 3/5, Money 5/5.</w:t>
      </w:r>
      <w:r>
        <w:rPr>
          <w:rFonts w:ascii="Arial" w:cs="Arial" w:eastAsia="Arial" w:hAnsi="Arial"/>
          <w:b w:val="false"/>
          <w:bCs w:val="false"/>
          <w:i w:val="false"/>
          <w:iCs w:val="false"/>
          <w:color w:val="1C1C1C"/>
          <w:sz w:val="22"/>
          <w:szCs w:val="22"/>
          <w:rtl/>
        </w:rPr>
        <w:t xml:space="preserve"> המחיר הגבוה ביותר הוא פיננסי — אירועים שהיו נמנעים אם הפערים לא היו מנורמלים, כישלוני מוצר, נזקי לקוח, סיכוני ציות.</w:t>
      </w:r>
    </w:p>
    <w:p>
      <w:pPr>
        <w:pStyle w:val="Heading2"/>
        <w:bidi/>
        <w:spacing w:after="120" w:before="300"/>
        <w:jc w:val="right"/>
      </w:pPr>
      <w:r>
        <w:rPr>
          <w:rFonts w:ascii="Arial" w:cs="Arial" w:eastAsia="Arial" w:hAnsi="Arial"/>
          <w:b/>
          <w:bCs/>
          <w:color w:val="1E3A5F"/>
          <w:sz w:val="24"/>
          <w:szCs w:val="24"/>
          <w:rtl/>
        </w:rPr>
        <w:t xml:space="preserve">ZSG — Zero Safety Ground</w:t>
      </w:r>
    </w:p>
    <w:p>
      <w:pPr>
        <w:bidi/>
        <w:spacing w:after="200" w:line="290"/>
        <w:jc w:val="right"/>
      </w:pPr>
      <w:r>
        <w:rPr>
          <w:rFonts w:ascii="Arial" w:cs="Arial" w:eastAsia="Arial" w:hAnsi="Arial"/>
          <w:b w:val="false"/>
          <w:bCs w:val="false"/>
          <w:i w:val="false"/>
          <w:iCs w:val="false"/>
          <w:color w:val="1C1C1C"/>
          <w:sz w:val="22"/>
          <w:szCs w:val="22"/>
          <w:rtl/>
        </w:rPr>
        <w:t xml:space="preserve">המחקר: </w:t>
      </w:r>
      <w:r>
        <w:rPr>
          <w:rFonts w:ascii="Arial" w:cs="Arial" w:eastAsia="Arial" w:hAnsi="Arial"/>
          <w:b/>
          <w:bCs/>
          <w:i/>
          <w:iCs/>
          <w:color w:val="1C1C1C"/>
          <w:sz w:val="22"/>
          <w:szCs w:val="22"/>
          <w:rtl/>
        </w:rPr>
        <w:t xml:space="preserve">Amy Edmondson (1999)</w:t>
      </w:r>
      <w:r>
        <w:rPr>
          <w:rFonts w:ascii="Arial" w:cs="Arial" w:eastAsia="Arial" w:hAnsi="Arial"/>
          <w:b w:val="false"/>
          <w:bCs w:val="false"/>
          <w:i w:val="false"/>
          <w:iCs w:val="false"/>
          <w:color w:val="1C1C1C"/>
          <w:sz w:val="22"/>
          <w:szCs w:val="22"/>
          <w:rtl/>
        </w:rPr>
        <w:t xml:space="preserve">, "Psychological Safety and Learning Behavior in Work Teams." אדמונדסון הראתה שצוותים עם psychological safety גבוהה מדווחים על יותר שגיאות — לא כי הם טועים יותר, אלא כי הם מדווחים. הגילוי ההפוך: צוותים שנראים "ללא בעיות" הם לרוב צוותים שבהם הדיווח עצמו אינו בטוח.</w:t>
      </w:r>
    </w:p>
    <w:p>
      <w:pPr>
        <w:bidi/>
        <w:spacing w:after="200" w:line="290"/>
        <w:jc w:val="right"/>
      </w:pPr>
      <w:r>
        <w:rPr>
          <w:rFonts w:ascii="Arial" w:cs="Arial" w:eastAsia="Arial" w:hAnsi="Arial"/>
          <w:b w:val="false"/>
          <w:bCs w:val="false"/>
          <w:i w:val="false"/>
          <w:iCs w:val="false"/>
          <w:color w:val="1C1C1C"/>
          <w:sz w:val="22"/>
          <w:szCs w:val="22"/>
          <w:rtl/>
        </w:rPr>
        <w:t xml:space="preserve">ב-ZSG המידע שאמור להפעיל מנגנוני תיקון לעולם לא מגיע להחלטה. לא בגלל שהמידע לא קיים — אלא בגלל שהעלות הנתפסת של דיווחו גבוהה יותר מהעלות הנתפסת של השתקתו. הפתולוגיה אינה בשתיקה עצמה; הפתולוגיה היא בכך שה-incentive structure הפך שתיקה לאופציה הרציונלית.</w:t>
      </w:r>
    </w:p>
    <w:p>
      <w:pPr>
        <w:bidi/>
        <w:spacing w:after="200" w:line="290"/>
        <w:jc w:val="right"/>
      </w:pPr>
      <w:r>
        <w:rPr>
          <w:rFonts w:ascii="Arial" w:cs="Arial" w:eastAsia="Arial" w:hAnsi="Arial"/>
          <w:b w:val="false"/>
          <w:bCs w:val="false"/>
          <w:i w:val="false"/>
          <w:iCs w:val="false"/>
          <w:color w:val="1C1C1C"/>
          <w:sz w:val="22"/>
          <w:szCs w:val="22"/>
          <w:rtl/>
        </w:rPr>
        <w:t xml:space="preserve">חתימת T/A/M: </w:t>
      </w:r>
      <w:r>
        <w:rPr>
          <w:rFonts w:ascii="Arial" w:cs="Arial" w:eastAsia="Arial" w:hAnsi="Arial"/>
          <w:b/>
          <w:bCs/>
          <w:i/>
          <w:iCs/>
          <w:color w:val="1C1C1C"/>
          <w:sz w:val="22"/>
          <w:szCs w:val="22"/>
          <w:rtl/>
        </w:rPr>
        <w:t xml:space="preserve">Time 3/5, Attention 3/5, Money 5/5.</w:t>
      </w:r>
      <w:r>
        <w:rPr>
          <w:rFonts w:ascii="Arial" w:cs="Arial" w:eastAsia="Arial" w:hAnsi="Arial"/>
          <w:b w:val="false"/>
          <w:bCs w:val="false"/>
          <w:i w:val="false"/>
          <w:iCs w:val="false"/>
          <w:color w:val="1C1C1C"/>
          <w:sz w:val="22"/>
          <w:szCs w:val="22"/>
          <w:rtl/>
        </w:rPr>
        <w:t xml:space="preserve"> המחיר הישיר הוא פיננסי — החלטות שנעשות בלי מידע קריטי שהיה קיים. ה-failure modes של ZSG הם בדרך כלל גדולים ובלתי-צפויים כי ה-warning signals נחסמו לפני שהספיקו לעשות את ה-escalation.</w:t>
      </w:r>
    </w:p>
    <w:p>
      <w:pPr>
        <w:pStyle w:val="Heading2"/>
        <w:bidi/>
        <w:spacing w:after="120" w:before="300"/>
        <w:jc w:val="right"/>
      </w:pPr>
      <w:r>
        <w:rPr>
          <w:rFonts w:ascii="Arial" w:cs="Arial" w:eastAsia="Arial" w:hAnsi="Arial"/>
          <w:b/>
          <w:bCs/>
          <w:color w:val="1E3A5F"/>
          <w:sz w:val="24"/>
          <w:szCs w:val="24"/>
          <w:rtl/>
        </w:rPr>
        <w:t xml:space="preserve">OLD — Organizational Learning Deficit</w:t>
      </w:r>
    </w:p>
    <w:p>
      <w:pPr>
        <w:bidi/>
        <w:spacing w:after="200" w:line="290"/>
        <w:jc w:val="right"/>
      </w:pPr>
      <w:r>
        <w:rPr>
          <w:rFonts w:ascii="Arial" w:cs="Arial" w:eastAsia="Arial" w:hAnsi="Arial"/>
          <w:b w:val="false"/>
          <w:bCs w:val="false"/>
          <w:i w:val="false"/>
          <w:iCs w:val="false"/>
          <w:color w:val="1C1C1C"/>
          <w:sz w:val="22"/>
          <w:szCs w:val="22"/>
          <w:rtl/>
        </w:rPr>
        <w:t xml:space="preserve">המחקר: </w:t>
      </w:r>
      <w:r>
        <w:rPr>
          <w:rFonts w:ascii="Arial" w:cs="Arial" w:eastAsia="Arial" w:hAnsi="Arial"/>
          <w:b/>
          <w:bCs/>
          <w:i/>
          <w:iCs/>
          <w:color w:val="1C1C1C"/>
          <w:sz w:val="22"/>
          <w:szCs w:val="22"/>
          <w:rtl/>
        </w:rPr>
        <w:t xml:space="preserve">Chris Argyris &amp; Donald Schön (1978)</w:t>
      </w:r>
      <w:r>
        <w:rPr>
          <w:rFonts w:ascii="Arial" w:cs="Arial" w:eastAsia="Arial" w:hAnsi="Arial"/>
          <w:b w:val="false"/>
          <w:bCs w:val="false"/>
          <w:i w:val="false"/>
          <w:iCs w:val="false"/>
          <w:color w:val="1C1C1C"/>
          <w:sz w:val="22"/>
          <w:szCs w:val="22"/>
          <w:rtl/>
        </w:rPr>
        <w:t xml:space="preserve">, "Organizational Learning." ארגיריס הבחין בין single-loop learning (תיקון השגיאה) לבין double-loop learning (תיקון ההנחה שיצרה את השגיאה). רוב הארגונים תקועים ב-single-loop — הם פותרים סימפטומים ולא סיבות שורש.</w:t>
      </w:r>
    </w:p>
    <w:p>
      <w:pPr>
        <w:bidi/>
        <w:spacing w:after="200" w:line="290"/>
        <w:jc w:val="right"/>
      </w:pPr>
      <w:r>
        <w:rPr>
          <w:rFonts w:ascii="Arial" w:cs="Arial" w:eastAsia="Arial" w:hAnsi="Arial"/>
          <w:b w:val="false"/>
          <w:bCs w:val="false"/>
          <w:i w:val="false"/>
          <w:iCs w:val="false"/>
          <w:color w:val="1C1C1C"/>
          <w:sz w:val="22"/>
          <w:szCs w:val="22"/>
          <w:rtl/>
        </w:rPr>
        <w:t xml:space="preserve">ב-OLD ארגון מייצר post-mortems, retrospectives, דוחות תקלות — אבל הדפוס שיצר את התקלה ממשיך לפעול. ה-learning loop אינו שבור בגלל שהאנשים לא רוצים ללמוד; הוא שבור בגלל שה-feedback loop בין error לבין תיקון הנחה אינו בנוי מבנית. הידע נשאר אצל האינדיבידואל ולא הופך לשינוי מוסדי.</w:t>
      </w:r>
    </w:p>
    <w:p>
      <w:pPr>
        <w:bidi/>
        <w:spacing w:after="200" w:line="290"/>
        <w:jc w:val="right"/>
      </w:pPr>
      <w:r>
        <w:rPr>
          <w:rFonts w:ascii="Arial" w:cs="Arial" w:eastAsia="Arial" w:hAnsi="Arial"/>
          <w:b w:val="false"/>
          <w:bCs w:val="false"/>
          <w:i w:val="false"/>
          <w:iCs w:val="false"/>
          <w:color w:val="1C1C1C"/>
          <w:sz w:val="22"/>
          <w:szCs w:val="22"/>
          <w:rtl/>
        </w:rPr>
        <w:t xml:space="preserve">חתימת T/A/M: </w:t>
      </w:r>
      <w:r>
        <w:rPr>
          <w:rFonts w:ascii="Arial" w:cs="Arial" w:eastAsia="Arial" w:hAnsi="Arial"/>
          <w:b/>
          <w:bCs/>
          <w:i/>
          <w:iCs/>
          <w:color w:val="1C1C1C"/>
          <w:sz w:val="22"/>
          <w:szCs w:val="22"/>
          <w:rtl/>
        </w:rPr>
        <w:t xml:space="preserve">Time 3/5, Attention 4/5, Money 4/5.</w:t>
      </w:r>
      <w:r>
        <w:rPr>
          <w:rFonts w:ascii="Arial" w:cs="Arial" w:eastAsia="Arial" w:hAnsi="Arial"/>
          <w:b w:val="false"/>
          <w:bCs w:val="false"/>
          <w:i w:val="false"/>
          <w:iCs w:val="false"/>
          <w:color w:val="1C1C1C"/>
          <w:sz w:val="22"/>
          <w:szCs w:val="22"/>
          <w:rtl/>
        </w:rPr>
        <w:t xml:space="preserve"> עלות הקשב גבוהה כי אנשים משקיעים זמן רב ב-post-mortems שלא מייצרים שינוי. זהו סוג הפתולוגיה שמייצרת ציניות ארגונית — "עשינו את הדיון, שוב לא יקרה כלום."</w:t>
      </w:r>
    </w:p>
    <w:p>
      <w:pPr>
        <w:pStyle w:val="Heading2"/>
        <w:bidi/>
        <w:spacing w:after="120" w:before="300"/>
        <w:jc w:val="right"/>
      </w:pPr>
      <w:r>
        <w:rPr>
          <w:rFonts w:ascii="Arial" w:cs="Arial" w:eastAsia="Arial" w:hAnsi="Arial"/>
          <w:b/>
          <w:bCs/>
          <w:color w:val="1E3A5F"/>
          <w:sz w:val="24"/>
          <w:szCs w:val="24"/>
          <w:rtl/>
        </w:rPr>
        <w:t xml:space="preserve">CLT — Cognitive Load Trap</w:t>
      </w:r>
    </w:p>
    <w:p>
      <w:pPr>
        <w:bidi/>
        <w:spacing w:after="200" w:line="290"/>
        <w:jc w:val="right"/>
      </w:pPr>
      <w:r>
        <w:rPr>
          <w:rFonts w:ascii="Arial" w:cs="Arial" w:eastAsia="Arial" w:hAnsi="Arial"/>
          <w:b w:val="false"/>
          <w:bCs w:val="false"/>
          <w:i w:val="false"/>
          <w:iCs w:val="false"/>
          <w:color w:val="1C1C1C"/>
          <w:sz w:val="22"/>
          <w:szCs w:val="22"/>
          <w:rtl/>
        </w:rPr>
        <w:t xml:space="preserve">המחקר: </w:t>
      </w:r>
      <w:r>
        <w:rPr>
          <w:rFonts w:ascii="Arial" w:cs="Arial" w:eastAsia="Arial" w:hAnsi="Arial"/>
          <w:b/>
          <w:bCs/>
          <w:i/>
          <w:iCs/>
          <w:color w:val="1C1C1C"/>
          <w:sz w:val="22"/>
          <w:szCs w:val="22"/>
          <w:rtl/>
        </w:rPr>
        <w:t xml:space="preserve">John Sweller (1988)</w:t>
      </w:r>
      <w:r>
        <w:rPr>
          <w:rFonts w:ascii="Arial" w:cs="Arial" w:eastAsia="Arial" w:hAnsi="Arial"/>
          <w:b w:val="false"/>
          <w:bCs w:val="false"/>
          <w:i w:val="false"/>
          <w:iCs w:val="false"/>
          <w:color w:val="1C1C1C"/>
          <w:sz w:val="22"/>
          <w:szCs w:val="22"/>
          <w:rtl/>
        </w:rPr>
        <w:t xml:space="preserve">, cognitive load theory. סוולר הראה שיש מגבלה על כמות המידע שזיכרון העבודה יכול לעבד בו-זמנית. כאשר extraneous cognitive load עולה על הקיבולת, quality of decisions יורדת — גם אצל אנשים מוכשרים.</w:t>
      </w:r>
    </w:p>
    <w:p>
      <w:pPr>
        <w:bidi/>
        <w:spacing w:after="200" w:line="290"/>
        <w:jc w:val="right"/>
      </w:pPr>
      <w:r>
        <w:rPr>
          <w:rFonts w:ascii="Arial" w:cs="Arial" w:eastAsia="Arial" w:hAnsi="Arial"/>
          <w:b w:val="false"/>
          <w:bCs w:val="false"/>
          <w:i w:val="false"/>
          <w:iCs w:val="false"/>
          <w:color w:val="1C1C1C"/>
          <w:sz w:val="22"/>
          <w:szCs w:val="22"/>
          <w:rtl/>
        </w:rPr>
        <w:t xml:space="preserve">ב-CLT הפתולוגיה אינה "אנשים עייפים." הפתולוגיה היא בכך שארכיטקטורת המידע של המערכת מייצרת עומס שיטתי שחורג מהקיבולת הקוגניטיבית של המפעילים. זה כשל עיצוב, לא כשל אנשים. Gloria Mark (UC Irvine) הראתה שמנהל ממוצע עובר בין tasks כל 3.5 דקות — ובכל מעבר יש recovery time של עד 23 דקות. המשמעות: ה-system design גוזל יותר ממחצית קיבולת ה-attention ל-context switching בלבד.</w:t>
      </w:r>
    </w:p>
    <w:p>
      <w:pPr>
        <w:bidi/>
        <w:spacing w:after="200" w:line="290"/>
        <w:jc w:val="right"/>
      </w:pPr>
      <w:r>
        <w:rPr>
          <w:rFonts w:ascii="Arial" w:cs="Arial" w:eastAsia="Arial" w:hAnsi="Arial"/>
          <w:b w:val="false"/>
          <w:bCs w:val="false"/>
          <w:i w:val="false"/>
          <w:iCs w:val="false"/>
          <w:color w:val="1C1C1C"/>
          <w:sz w:val="22"/>
          <w:szCs w:val="22"/>
          <w:rtl/>
        </w:rPr>
        <w:t xml:space="preserve">חתימת T/A/M: </w:t>
      </w:r>
      <w:r>
        <w:rPr>
          <w:rFonts w:ascii="Arial" w:cs="Arial" w:eastAsia="Arial" w:hAnsi="Arial"/>
          <w:b/>
          <w:bCs/>
          <w:i/>
          <w:iCs/>
          <w:color w:val="1C1C1C"/>
          <w:sz w:val="22"/>
          <w:szCs w:val="22"/>
          <w:rtl/>
        </w:rPr>
        <w:t xml:space="preserve">Time 2/5, Attention 5/5, Money 4/5.</w:t>
      </w:r>
      <w:r>
        <w:rPr>
          <w:rFonts w:ascii="Arial" w:cs="Arial" w:eastAsia="Arial" w:hAnsi="Arial"/>
          <w:b w:val="false"/>
          <w:bCs w:val="false"/>
          <w:i w:val="false"/>
          <w:iCs w:val="false"/>
          <w:color w:val="1C1C1C"/>
          <w:sz w:val="22"/>
          <w:szCs w:val="22"/>
          <w:rtl/>
        </w:rPr>
        <w:t xml:space="preserve"> עלות הקשב היא הגבוהה ביותר בין כל הפתולוגיות. ה-damage של CLT הוא ב-decision quality, לא ב-decision speed — ולכן הוא קשה לאיתור: הארגון ממשיך לקבל החלטות, רק באיכות נמוכה יותר ממה שהיה אפשרי.</w:t>
      </w:r>
    </w:p>
    <w:p>
      <w:pPr>
        <w:pStyle w:val="Heading2"/>
        <w:bidi/>
        <w:spacing w:after="120" w:before="300"/>
        <w:jc w:val="right"/>
      </w:pPr>
      <w:r>
        <w:rPr>
          <w:rFonts w:ascii="Arial" w:cs="Arial" w:eastAsia="Arial" w:hAnsi="Arial"/>
          <w:b/>
          <w:bCs/>
          <w:color w:val="1E3A5F"/>
          <w:sz w:val="24"/>
          <w:szCs w:val="24"/>
          <w:rtl/>
        </w:rPr>
        <w:t xml:space="preserve">CS — Cascade State (מגבר, לא פתולוגיה)</w:t>
      </w:r>
    </w:p>
    <w:p>
      <w:pPr>
        <w:bidi/>
        <w:spacing w:after="200" w:line="290"/>
        <w:jc w:val="right"/>
      </w:pPr>
      <w:r>
        <w:rPr>
          <w:rFonts w:ascii="Arial" w:cs="Arial" w:eastAsia="Arial" w:hAnsi="Arial"/>
          <w:b w:val="false"/>
          <w:bCs w:val="false"/>
          <w:i w:val="false"/>
          <w:iCs w:val="false"/>
          <w:color w:val="1C1C1C"/>
          <w:sz w:val="22"/>
          <w:szCs w:val="22"/>
          <w:rtl/>
        </w:rPr>
        <w:t xml:space="preserve">CS מזוהה כאשר שלושת הצירים DR, ND, UC — Decision Latency, Normalization of Deviance, Calibration — עולים בו-זמנית על סף קריטי. CS אינו פתולוגיה עצמאית שניתן לאבחן ולטפל בה. הוא מצב מערכתי בו כל פתולוגיה מגבירה את האחרות.</w:t>
      </w:r>
    </w:p>
    <w:p>
      <w:pPr>
        <w:bidi/>
        <w:spacing w:after="200" w:line="290"/>
        <w:jc w:val="right"/>
      </w:pPr>
      <w:r>
        <w:rPr>
          <w:rFonts w:ascii="Arial" w:cs="Arial" w:eastAsia="Arial" w:hAnsi="Arial"/>
          <w:b w:val="false"/>
          <w:bCs w:val="false"/>
          <w:i w:val="false"/>
          <w:iCs w:val="false"/>
          <w:color w:val="1C1C1C"/>
          <w:sz w:val="22"/>
          <w:szCs w:val="22"/>
          <w:rtl/>
        </w:rPr>
        <w:t xml:space="preserve">קסקדות ה-CS: NOD מאיץ ZSG — כאשר סטיות מנורמלות, דיווח עליהן נהיה בלתי-בטוח. ZSG מעמיק CLT — כאשר אנשים מסתירים בעיות, המנהלים נדרשים לקבל החלטות עם פחות מידע ויותר uncertainty. CLT חוסם תיקון OLD — כאשר העומס הקוגניטיבי גבוה, אין קיבולת לתהליך double-loop. זה המצב שבו אין נקודת כניסה ברורה לתיקון. כל התחלה של intervention פוגשת resistance מכל כיוון.</w:t>
      </w:r>
    </w:p>
    <w:p>
      <w:pPr>
        <w:bidi/>
        <w:spacing w:after="200" w:line="290"/>
        <w:jc w:val="right"/>
      </w:pPr>
      <w:r>
        <w:rPr>
          <w:rFonts w:ascii="Arial" w:cs="Arial" w:eastAsia="Arial" w:hAnsi="Arial"/>
          <w:b w:val="false"/>
          <w:bCs w:val="false"/>
          <w:i w:val="false"/>
          <w:iCs w:val="false"/>
          <w:color w:val="1C1C1C"/>
          <w:sz w:val="22"/>
          <w:szCs w:val="22"/>
          <w:rtl/>
        </w:rPr>
        <w:t xml:space="preserve">חתימת T/A/M בזמן CS: </w:t>
      </w:r>
      <w:r>
        <w:rPr>
          <w:rFonts w:ascii="Arial" w:cs="Arial" w:eastAsia="Arial" w:hAnsi="Arial"/>
          <w:b/>
          <w:bCs/>
          <w:i/>
          <w:iCs/>
          <w:color w:val="1C1C1C"/>
          <w:sz w:val="22"/>
          <w:szCs w:val="22"/>
          <w:rtl/>
        </w:rPr>
        <w:t xml:space="preserve">Time 4/5, Attention 5/5, Money 5/5.</w:t>
      </w:r>
      <w:r>
        <w:rPr>
          <w:rFonts w:ascii="Arial" w:cs="Arial" w:eastAsia="Arial" w:hAnsi="Arial"/>
          <w:b w:val="false"/>
          <w:bCs w:val="false"/>
          <w:i w:val="false"/>
          <w:iCs w:val="false"/>
          <w:color w:val="1C1C1C"/>
          <w:sz w:val="22"/>
          <w:szCs w:val="22"/>
          <w:rtl/>
        </w:rPr>
        <w:t xml:space="preserve"> CS הוא ה-profile היחיד בו כל שלושת הממדים גבוהים בו-זמנית. מבחינה מחקרית, זה תואם מה שאנתרופולוגים ארגוניים מכנים "organizational collapse precursor state."</w:t>
      </w:r>
    </w:p>
    <w:p>
      <w:pPr>
        <w:bidi/>
        <w:spacing w:after="60" w:line="290"/>
        <w:jc w:val="right"/>
      </w:pPr>
      <w:r>
        <w:rPr>
          <w:rFonts w:ascii="Arial" w:cs="Arial" w:eastAsia="Arial" w:hAnsi="Arial"/>
          <w:b w:val="false"/>
          <w:bCs w:val="false"/>
          <w:i w:val="false"/>
          <w:iCs w:val="false"/>
          <w:color w:val="1C1C1C"/>
          <w:sz w:val="22"/>
          <w:szCs w:val="22"/>
          <w:rtl/>
        </w:rPr>
        <w:t xml:space="preserve"> </w:t>
      </w:r>
    </w:p>
    <w:p>
      <w:pPr>
        <w:bidi/>
        <w:spacing w:after="200" w:line="290"/>
        <w:jc w:val="right"/>
      </w:pPr>
      <w:r>
        <w:rPr>
          <w:rFonts w:ascii="Arial" w:cs="Arial" w:eastAsia="Arial" w:hAnsi="Arial"/>
          <w:b/>
          <w:bCs/>
          <w:i w:val="false"/>
          <w:iCs w:val="false"/>
          <w:color w:val="1C1C1C"/>
          <w:sz w:val="22"/>
          <w:szCs w:val="22"/>
          <w:rtl/>
        </w:rPr>
        <w:t xml:space="preserve">טבלת עלויות T/A/M לפי פתולוגיה:</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20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bidi/>
              <w:jc w:val="center"/>
            </w:pPr>
            <w:r>
              <w:rPr>
                <w:rFonts w:ascii="Arial" w:cs="Arial" w:eastAsia="Arial" w:hAnsi="Arial"/>
                <w:b/>
                <w:bCs/>
                <w:color w:val="FFFFFF"/>
                <w:sz w:val="20"/>
                <w:szCs w:val="20"/>
                <w:rtl/>
              </w:rPr>
              <w:t xml:space="preserve">עלות כסף</w:t>
            </w:r>
          </w:p>
        </w:tc>
        <w:tc>
          <w:tcPr>
            <w:tcW w:type="dxa" w:w="18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bidi/>
              <w:jc w:val="center"/>
            </w:pPr>
            <w:r>
              <w:rPr>
                <w:rFonts w:ascii="Arial" w:cs="Arial" w:eastAsia="Arial" w:hAnsi="Arial"/>
                <w:b/>
                <w:bCs/>
                <w:color w:val="FFFFFF"/>
                <w:sz w:val="20"/>
                <w:szCs w:val="20"/>
                <w:rtl/>
              </w:rPr>
              <w:t xml:space="preserve">עלות קשב</w:t>
            </w:r>
          </w:p>
        </w:tc>
        <w:tc>
          <w:tcPr>
            <w:tcW w:type="dxa" w:w="18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bidi/>
              <w:jc w:val="center"/>
            </w:pPr>
            <w:r>
              <w:rPr>
                <w:rFonts w:ascii="Arial" w:cs="Arial" w:eastAsia="Arial" w:hAnsi="Arial"/>
                <w:b/>
                <w:bCs/>
                <w:color w:val="FFFFFF"/>
                <w:sz w:val="20"/>
                <w:szCs w:val="20"/>
                <w:rtl/>
              </w:rPr>
              <w:t xml:space="preserve">עלות זמן</w:t>
            </w:r>
          </w:p>
        </w:tc>
        <w:tc>
          <w:tcPr>
            <w:tcW w:type="dxa" w:w="3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vAlign w:val="center"/>
          </w:tcPr>
          <w:p>
            <w:pPr>
              <w:bidi/>
              <w:jc w:val="center"/>
            </w:pPr>
            <w:r>
              <w:rPr>
                <w:rFonts w:ascii="Arial" w:cs="Arial" w:eastAsia="Arial" w:hAnsi="Arial"/>
                <w:b/>
                <w:bCs/>
                <w:color w:val="FFFFFF"/>
                <w:sz w:val="20"/>
                <w:szCs w:val="20"/>
                <w:rtl/>
              </w:rPr>
              <w:t xml:space="preserve">פתולוגיה</w:t>
            </w:r>
          </w:p>
        </w:tc>
      </w:tr>
      <w:tr>
        <w:tc>
          <w:tcPr>
            <w:tcW w:type="dxa" w:w="18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5 / 5</w:t>
            </w:r>
          </w:p>
        </w:tc>
        <w:tc>
          <w:tcPr>
            <w:tcW w:type="dxa" w:w="18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3 / 5</w:t>
            </w:r>
          </w:p>
        </w:tc>
        <w:tc>
          <w:tcPr>
            <w:tcW w:type="dxa" w:w="18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4 / 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bidi/>
              <w:jc w:val="center"/>
            </w:pPr>
            <w:r>
              <w:rPr>
                <w:rFonts w:ascii="Arial" w:cs="Arial" w:eastAsia="Arial" w:hAnsi="Arial"/>
                <w:b/>
                <w:bCs/>
                <w:color w:val="1C1C1C"/>
                <w:sz w:val="20"/>
                <w:szCs w:val="20"/>
                <w:rtl/>
              </w:rPr>
              <w:t xml:space="preserve">NOD — נרמול סטיות</w:t>
            </w:r>
          </w:p>
        </w:tc>
      </w:tr>
      <w:tr>
        <w:tc>
          <w:tcPr>
            <w:tcW w:type="dxa" w:w="18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5 / 5</w:t>
            </w:r>
          </w:p>
        </w:tc>
        <w:tc>
          <w:tcPr>
            <w:tcW w:type="dxa" w:w="18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3 / 5</w:t>
            </w:r>
          </w:p>
        </w:tc>
        <w:tc>
          <w:tcPr>
            <w:tcW w:type="dxa" w:w="18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3 / 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bidi/>
              <w:jc w:val="center"/>
            </w:pPr>
            <w:r>
              <w:rPr>
                <w:rFonts w:ascii="Arial" w:cs="Arial" w:eastAsia="Arial" w:hAnsi="Arial"/>
                <w:b/>
                <w:bCs/>
                <w:color w:val="1C1C1C"/>
                <w:sz w:val="20"/>
                <w:szCs w:val="20"/>
                <w:rtl/>
              </w:rPr>
              <w:t xml:space="preserve">ZSG — ריצפת בטיחות אפסית</w:t>
            </w:r>
          </w:p>
        </w:tc>
      </w:tr>
      <w:tr>
        <w:tc>
          <w:tcPr>
            <w:tcW w:type="dxa" w:w="18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4 / 5</w:t>
            </w:r>
          </w:p>
        </w:tc>
        <w:tc>
          <w:tcPr>
            <w:tcW w:type="dxa" w:w="18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4 / 5</w:t>
            </w:r>
          </w:p>
        </w:tc>
        <w:tc>
          <w:tcPr>
            <w:tcW w:type="dxa" w:w="18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3 / 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bidi/>
              <w:jc w:val="center"/>
            </w:pPr>
            <w:r>
              <w:rPr>
                <w:rFonts w:ascii="Arial" w:cs="Arial" w:eastAsia="Arial" w:hAnsi="Arial"/>
                <w:b/>
                <w:bCs/>
                <w:color w:val="1C1C1C"/>
                <w:sz w:val="20"/>
                <w:szCs w:val="20"/>
                <w:rtl/>
              </w:rPr>
              <w:t xml:space="preserve">OLD — גירעון למידה ארגונית</w:t>
            </w:r>
          </w:p>
        </w:tc>
      </w:tr>
      <w:tr>
        <w:tc>
          <w:tcPr>
            <w:tcW w:type="dxa" w:w="18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4 / 5</w:t>
            </w:r>
          </w:p>
        </w:tc>
        <w:tc>
          <w:tcPr>
            <w:tcW w:type="dxa" w:w="18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5 / 5</w:t>
            </w:r>
          </w:p>
        </w:tc>
        <w:tc>
          <w:tcPr>
            <w:tcW w:type="dxa" w:w="18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2 / 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bidi/>
              <w:jc w:val="center"/>
            </w:pPr>
            <w:r>
              <w:rPr>
                <w:rFonts w:ascii="Arial" w:cs="Arial" w:eastAsia="Arial" w:hAnsi="Arial"/>
                <w:b/>
                <w:bCs/>
                <w:color w:val="1C1C1C"/>
                <w:sz w:val="20"/>
                <w:szCs w:val="20"/>
                <w:rtl/>
              </w:rPr>
              <w:t xml:space="preserve">CLT — מלכודת עומס קוגניטיבי</w:t>
            </w:r>
          </w:p>
        </w:tc>
      </w:tr>
      <w:tr>
        <w:tc>
          <w:tcPr>
            <w:tcW w:type="dxa" w:w="1800"/>
            <w:tcBorders>
              <w:top w:val="single" w:color="CBD5E1" w:sz="1"/>
              <w:left w:val="single" w:color="CBD5E1" w:sz="1"/>
              <w:bottom w:val="single" w:color="CBD5E1" w:sz="1"/>
              <w:right w:val="single" w:color="CBD5E1" w:sz="1"/>
            </w:tcBorders>
            <w:shd w:fill="FFF1F2"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5 / 5</w:t>
            </w:r>
          </w:p>
        </w:tc>
        <w:tc>
          <w:tcPr>
            <w:tcW w:type="dxa" w:w="1800"/>
            <w:tcBorders>
              <w:top w:val="single" w:color="CBD5E1" w:sz="1"/>
              <w:left w:val="single" w:color="CBD5E1" w:sz="1"/>
              <w:bottom w:val="single" w:color="CBD5E1" w:sz="1"/>
              <w:right w:val="single" w:color="CBD5E1" w:sz="1"/>
            </w:tcBorders>
            <w:shd w:fill="FFF1F2"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5 / 5</w:t>
            </w:r>
          </w:p>
        </w:tc>
        <w:tc>
          <w:tcPr>
            <w:tcW w:type="dxa" w:w="1800"/>
            <w:tcBorders>
              <w:top w:val="single" w:color="CBD5E1" w:sz="1"/>
              <w:left w:val="single" w:color="CBD5E1" w:sz="1"/>
              <w:bottom w:val="single" w:color="CBD5E1" w:sz="1"/>
              <w:right w:val="single" w:color="CBD5E1" w:sz="1"/>
            </w:tcBorders>
            <w:shd w:fill="FFF1F2" w:val="clear"/>
            <w:tcMar>
              <w:top w:type="dxa" w:w="80"/>
              <w:left w:type="dxa" w:w="140"/>
              <w:bottom w:type="dxa" w:w="80"/>
              <w:right w:type="dxa" w:w="140"/>
            </w:tcMar>
            <w:vAlign w:val="center"/>
          </w:tcPr>
          <w:p>
            <w:pPr>
              <w:bidi/>
              <w:jc w:val="center"/>
            </w:pPr>
            <w:r>
              <w:rPr>
                <w:rFonts w:ascii="Arial" w:cs="Arial" w:eastAsia="Arial" w:hAnsi="Arial"/>
                <w:b w:val="false"/>
                <w:bCs w:val="false"/>
                <w:color w:val="1C1C1C"/>
                <w:sz w:val="20"/>
                <w:szCs w:val="20"/>
                <w:rtl/>
              </w:rPr>
              <w:t xml:space="preserve">4 / 5</w:t>
            </w:r>
          </w:p>
        </w:tc>
        <w:tc>
          <w:tcPr>
            <w:tcW w:type="dxa" w:w="3200"/>
            <w:tcBorders>
              <w:top w:val="single" w:color="CBD5E1" w:sz="1"/>
              <w:left w:val="single" w:color="CBD5E1" w:sz="1"/>
              <w:bottom w:val="single" w:color="CBD5E1" w:sz="1"/>
              <w:right w:val="single" w:color="CBD5E1" w:sz="1"/>
            </w:tcBorders>
            <w:shd w:fill="FFF1F2" w:val="clear"/>
            <w:tcMar>
              <w:top w:type="dxa" w:w="80"/>
              <w:left w:type="dxa" w:w="140"/>
              <w:bottom w:type="dxa" w:w="80"/>
              <w:right w:type="dxa" w:w="140"/>
            </w:tcMar>
            <w:vAlign w:val="center"/>
          </w:tcPr>
          <w:p>
            <w:pPr>
              <w:bidi/>
              <w:jc w:val="center"/>
            </w:pPr>
            <w:r>
              <w:rPr>
                <w:rFonts w:ascii="Arial" w:cs="Arial" w:eastAsia="Arial" w:hAnsi="Arial"/>
                <w:b/>
                <w:bCs/>
                <w:color w:val="1C1C1C"/>
                <w:sz w:val="20"/>
                <w:szCs w:val="20"/>
                <w:rtl/>
              </w:rPr>
              <w:t xml:space="preserve">CS — מצב קסקדה (מגבר)</w:t>
            </w:r>
          </w:p>
        </w:tc>
      </w:tr>
    </w:tbl>
    <w:p>
      <w:pPr>
        <w:bidi/>
        <w:spacing w:after="60" w:line="290"/>
        <w:jc w:val="right"/>
      </w:pPr>
      <w:r>
        <w:rPr>
          <w:rFonts w:ascii="Arial" w:cs="Arial" w:eastAsia="Arial" w:hAnsi="Arial"/>
          <w:b w:val="false"/>
          <w:bCs w:val="false"/>
          <w:i w:val="false"/>
          <w:iCs w:val="false"/>
          <w:color w:val="1C1C1C"/>
          <w:sz w:val="22"/>
          <w:szCs w:val="22"/>
          <w:rtl/>
        </w:rPr>
        <w:t xml:space="preserve"> </w:t>
      </w:r>
    </w:p>
    <w:p>
      <w:pPr>
        <w:pBdr>
          <w:bottom w:val="single" w:color="E2E8F0" w:sz="4" w:space="1"/>
        </w:pBdr>
        <w:spacing w:after="120" w:before="120"/>
      </w:pPr>
      <w:r>
        <w:t xml:space="preserve"> </w:t>
      </w:r>
    </w:p>
    <w:p>
      <w:pPr>
        <w:pStyle w:val="Heading1"/>
        <w:bidi/>
        <w:spacing w:after="160" w:before="480"/>
        <w:jc w:val="right"/>
      </w:pPr>
      <w:r>
        <w:rPr>
          <w:rFonts w:ascii="Arial" w:cs="Arial" w:eastAsia="Arial" w:hAnsi="Arial"/>
          <w:b/>
          <w:bCs/>
          <w:color w:val="0F172A"/>
          <w:sz w:val="30"/>
          <w:szCs w:val="30"/>
          <w:rtl/>
        </w:rPr>
        <w:t xml:space="preserve">4. מתודולוגיה פתוחה, Calibration פרטי</w:t>
      </w:r>
    </w:p>
    <w:p>
      <w:pPr>
        <w:bidi/>
        <w:spacing w:after="200" w:line="290"/>
        <w:jc w:val="right"/>
      </w:pPr>
      <w:r>
        <w:rPr>
          <w:rFonts w:ascii="Arial" w:cs="Arial" w:eastAsia="Arial" w:hAnsi="Arial"/>
          <w:b w:val="false"/>
          <w:bCs w:val="false"/>
          <w:i w:val="false"/>
          <w:iCs w:val="false"/>
          <w:color w:val="1C1C1C"/>
          <w:sz w:val="22"/>
          <w:szCs w:val="22"/>
          <w:rtl/>
        </w:rPr>
        <w:t xml:space="preserve">הניגוד המוכר: IBM שמר את Unix סגור — ולאחר מכן איבד לחלוטין לאנשים שפרסמו Linux בפתיחות. Red Hat פרסמה את Linux בחינם — ונמכרה ל-IBM ב-34 מיליארד דולר. MySQL פרסמה את קוד המקור פתוח — Oracle רכשה אותה ב-7.4 מיליארד. המסקנה שנלמדה שוב ושוב: פרסום המתודולוגיה פתוח אינו מחסל את ה-moat. הוא בונה אותו.</w:t>
      </w:r>
    </w:p>
    <w:p>
      <w:pPr>
        <w:bidi/>
        <w:spacing w:after="200" w:line="290"/>
        <w:jc w:val="right"/>
      </w:pPr>
      <w:r>
        <w:rPr>
          <w:rFonts w:ascii="Arial" w:cs="Arial" w:eastAsia="Arial" w:hAnsi="Arial"/>
          <w:b w:val="false"/>
          <w:bCs w:val="false"/>
          <w:i w:val="false"/>
          <w:iCs w:val="false"/>
          <w:color w:val="1C1C1C"/>
          <w:sz w:val="22"/>
          <w:szCs w:val="22"/>
          <w:rtl/>
        </w:rPr>
        <w:t xml:space="preserve">המנגנון: כאשר אתה פותח את המתודולוגיה — הגדרות הפתולוגיות, rubric האבחון, מסגרת T/A/M, פרוטוקולי ההתערבות — אתה מייצר תלות. פרקטיקאי שאימץ את DSM-Org לעבודה שלו מצטט את ארז. ארגון שמשתמש בשפה מחפש את מי שפיתח אותה לצורך implementation. המתודולוגיה הפתוחה היא lead gen, לא מתחרה.</w:t>
      </w:r>
    </w:p>
    <w:p>
      <w:pPr>
        <w:bidi/>
        <w:spacing w:after="200" w:line="290"/>
        <w:jc w:val="right"/>
      </w:pPr>
      <w:r>
        <w:rPr>
          <w:rFonts w:ascii="Arial" w:cs="Arial" w:eastAsia="Arial" w:hAnsi="Arial"/>
          <w:b w:val="false"/>
          <w:bCs w:val="false"/>
          <w:i w:val="false"/>
          <w:iCs w:val="false"/>
          <w:color w:val="1C1C1C"/>
          <w:sz w:val="22"/>
          <w:szCs w:val="22"/>
          <w:rtl/>
        </w:rPr>
        <w:t xml:space="preserve">מה </w:t>
      </w:r>
      <w:r>
        <w:rPr>
          <w:rFonts w:ascii="Arial" w:cs="Arial" w:eastAsia="Arial" w:hAnsi="Arial"/>
          <w:b/>
          <w:bCs/>
          <w:i w:val="false"/>
          <w:iCs w:val="false"/>
          <w:color w:val="1C1C1C"/>
          <w:sz w:val="22"/>
          <w:szCs w:val="22"/>
          <w:rtl/>
        </w:rPr>
        <w:t xml:space="preserve">נשאר סגור</w:t>
      </w:r>
      <w:r>
        <w:rPr>
          <w:rFonts w:ascii="Arial" w:cs="Arial" w:eastAsia="Arial" w:hAnsi="Arial"/>
          <w:b w:val="false"/>
          <w:bCs w:val="false"/>
          <w:i w:val="false"/>
          <w:iCs w:val="false"/>
          <w:color w:val="1C1C1C"/>
          <w:sz w:val="22"/>
          <w:szCs w:val="22"/>
          <w:rtl/>
        </w:rPr>
        <w:t xml:space="preserve"> הוא ה-complement: ה-calibration. threshold weights — מה ציון DR 6.2/10 אומר לחברת Fintech ישראלית בת 90 איש בשנת 2026. sector norms — נורמות בסיס לפי תעשייה וגודל. comorbidity coefficients — הפרמטרים שקובעים מתי ZSG→CS הוא סיכון ממשי ומתי הוא latent. אלה לא ניתנים לגילוי מהגדרות הפתולוגיות. הם נגזרים מנתוני לקוחות אמיתיים ו-judgment מצטבר.</w:t>
      </w:r>
    </w:p>
    <w:p>
      <w:pPr>
        <w:bidi/>
        <w:spacing w:after="200" w:line="290"/>
        <w:jc w:val="right"/>
      </w:pPr>
      <w:r>
        <w:rPr>
          <w:rFonts w:ascii="Arial" w:cs="Arial" w:eastAsia="Arial" w:hAnsi="Arial"/>
          <w:b w:val="false"/>
          <w:bCs w:val="false"/>
          <w:i w:val="false"/>
          <w:iCs w:val="false"/>
          <w:color w:val="1C1C1C"/>
          <w:sz w:val="22"/>
          <w:szCs w:val="22"/>
          <w:rtl/>
        </w:rPr>
        <w:t xml:space="preserve">ה-calibration הוא בדיוק מה שאינו ניתן ל-open source. הוא ידע מגולם. ה-judgment של מה ציון ספציפי אומר לארגון ספציפי בהקשר ספציפי — זה מצטבר עם כל לקוח ולא ניתן להעביר בין שורות. מתחרה שיעתיק את ה-framework יוכל לעשות אבחנות. לא יוכל לתת את אותה רמת דיוק שבאה מ-n נקודות נתונים מהשוק.</w:t>
      </w:r>
    </w:p>
    <w:p>
      <w:pPr>
        <w:bidi/>
        <w:spacing w:after="200" w:line="290"/>
        <w:jc w:val="right"/>
      </w:pPr>
      <w:r>
        <w:rPr>
          <w:rFonts w:ascii="Arial" w:cs="Arial" w:eastAsia="Arial" w:hAnsi="Arial"/>
          <w:b w:val="false"/>
          <w:bCs w:val="false"/>
          <w:i w:val="false"/>
          <w:iCs w:val="false"/>
          <w:color w:val="1C1C1C"/>
          <w:sz w:val="22"/>
          <w:szCs w:val="22"/>
          <w:rtl/>
        </w:rPr>
        <w:t xml:space="preserve">השלכה מעשית: לקוח ראשון שווה יותר ב-calibration data מאשר בהכנסה. כל לקוח מוסיף נקודת נתון שמכווינת את ה-model. ה-compound effect של נתונים הוא ה-moat שמתחרה שמתחיל היום לא יוכל לפגוש בפחות מ-n engagements.</w:t>
      </w:r>
    </w:p>
    <w:p>
      <w:pPr>
        <w:bidi/>
        <w:spacing w:after="60" w:line="290"/>
        <w:jc w:val="right"/>
      </w:pPr>
      <w:r>
        <w:rPr>
          <w:rFonts w:ascii="Arial" w:cs="Arial" w:eastAsia="Arial" w:hAnsi="Arial"/>
          <w:b w:val="false"/>
          <w:bCs w:val="false"/>
          <w:i w:val="false"/>
          <w:iCs w:val="false"/>
          <w:color w:val="1C1C1C"/>
          <w:sz w:val="22"/>
          <w:szCs w:val="22"/>
          <w:rtl/>
        </w:rPr>
        <w:t xml:space="preserve"> </w:t>
      </w:r>
    </w:p>
    <w:p>
      <w:pPr>
        <w:pBdr>
          <w:bottom w:val="single" w:color="E2E8F0" w:sz="4" w:space="1"/>
        </w:pBdr>
        <w:spacing w:after="120" w:before="120"/>
      </w:pPr>
      <w:r>
        <w:t xml:space="preserve"> </w:t>
      </w:r>
    </w:p>
    <w:p>
      <w:pPr>
        <w:pStyle w:val="Heading1"/>
        <w:bidi/>
        <w:spacing w:after="160" w:before="480"/>
        <w:jc w:val="right"/>
      </w:pPr>
      <w:r>
        <w:rPr>
          <w:rFonts w:ascii="Arial" w:cs="Arial" w:eastAsia="Arial" w:hAnsi="Arial"/>
          <w:b/>
          <w:bCs/>
          <w:color w:val="0F172A"/>
          <w:sz w:val="30"/>
          <w:szCs w:val="30"/>
          <w:rtl/>
        </w:rPr>
        <w:t xml:space="preserve">5. השלכות מעשיות</w:t>
      </w:r>
    </w:p>
    <w:p>
      <w:pPr>
        <w:pStyle w:val="Heading2"/>
        <w:bidi/>
        <w:spacing w:after="120" w:before="300"/>
        <w:jc w:val="right"/>
      </w:pPr>
      <w:r>
        <w:rPr>
          <w:rFonts w:ascii="Arial" w:cs="Arial" w:eastAsia="Arial" w:hAnsi="Arial"/>
          <w:b/>
          <w:bCs/>
          <w:color w:val="1E3A5F"/>
          <w:sz w:val="24"/>
          <w:szCs w:val="24"/>
          <w:rtl/>
        </w:rPr>
        <w:t xml:space="preserve">עבור ארגונים</w:t>
      </w:r>
    </w:p>
    <w:p>
      <w:pPr>
        <w:bidi/>
        <w:spacing w:after="200" w:line="290"/>
        <w:jc w:val="right"/>
      </w:pPr>
      <w:r>
        <w:rPr>
          <w:rFonts w:ascii="Arial" w:cs="Arial" w:eastAsia="Arial" w:hAnsi="Arial"/>
          <w:b w:val="false"/>
          <w:bCs w:val="false"/>
          <w:i w:val="false"/>
          <w:iCs w:val="false"/>
          <w:color w:val="1C1C1C"/>
          <w:sz w:val="22"/>
          <w:szCs w:val="22"/>
          <w:rtl/>
        </w:rPr>
        <w:t xml:space="preserve">ארגון שמאמץ את שפת DSM-Org מקבל דבר שאין לו כרגע: ציר זמן שניתן להשוות. לא דוח wellbeing שמוחלף מדי שנה עם methodology שונה. ציונים שניתן לעקוב אחריהם לאורך quarters, להשוות לבנצ'מרק של ארגונים דומים, לדווח עליהם לבוארד ולמשקיעים בשפה שאינה "culture soft." NOD 7.2 ירד ל-5.4 בשלושה quarters — זה statement פיננסי, לא assessment.</w:t>
      </w:r>
    </w:p>
    <w:p>
      <w:pPr>
        <w:bidi/>
        <w:spacing w:after="200" w:line="290"/>
        <w:jc w:val="right"/>
      </w:pPr>
      <w:r>
        <w:rPr>
          <w:rFonts w:ascii="Arial" w:cs="Arial" w:eastAsia="Arial" w:hAnsi="Arial"/>
          <w:b w:val="false"/>
          <w:bCs w:val="false"/>
          <w:i w:val="false"/>
          <w:iCs w:val="false"/>
          <w:color w:val="1C1C1C"/>
          <w:sz w:val="22"/>
          <w:szCs w:val="22"/>
          <w:rtl/>
        </w:rPr>
        <w:t xml:space="preserve">ה-ROI הוא מדיד מהרגע הראשון: תהליך שחוסך שעת עבודה לעובד לשבוע חוסך לארגון בן 100 עובדים כ-520,000 ₪ בשנה בעלות כוח אדם בלבד. זו הגרנטיה שעליה DSM-Org עומד: אם לא ניתן להוכיח את החיסכון — לא מגישים הצעה.</w:t>
      </w:r>
    </w:p>
    <w:p>
      <w:pPr>
        <w:pStyle w:val="Heading2"/>
        <w:bidi/>
        <w:spacing w:after="120" w:before="300"/>
        <w:jc w:val="right"/>
      </w:pPr>
      <w:r>
        <w:rPr>
          <w:rFonts w:ascii="Arial" w:cs="Arial" w:eastAsia="Arial" w:hAnsi="Arial"/>
          <w:b/>
          <w:bCs/>
          <w:color w:val="1E3A5F"/>
          <w:sz w:val="24"/>
          <w:szCs w:val="24"/>
          <w:rtl/>
        </w:rPr>
        <w:t xml:space="preserve">עבור השדה</w:t>
      </w:r>
    </w:p>
    <w:p>
      <w:pPr>
        <w:bidi/>
        <w:spacing w:after="200" w:line="290"/>
        <w:jc w:val="right"/>
      </w:pPr>
      <w:r>
        <w:rPr>
          <w:rFonts w:ascii="Arial" w:cs="Arial" w:eastAsia="Arial" w:hAnsi="Arial"/>
          <w:b w:val="false"/>
          <w:bCs w:val="false"/>
          <w:i w:val="false"/>
          <w:iCs w:val="false"/>
          <w:color w:val="1C1C1C"/>
          <w:sz w:val="22"/>
          <w:szCs w:val="22"/>
          <w:rtl/>
        </w:rPr>
        <w:t xml:space="preserve">DSM-Org אינו framework סגור. הוא הזמנה: כל practitioner שמוצא את ההגדרות שימושיות מוזמן לאמץ אותן, לצטט אותן, להרחיב אותן. הדרישה היחידה היא attribution. כל שימוש שכזה מחזק את הנראות ואת ה-citation network. זוהי ההבדל בין חברה שמוכרת שירות לבין practitioner שבנה תשתית.</w:t>
      </w:r>
    </w:p>
    <w:p>
      <w:pPr>
        <w:bidi/>
        <w:spacing w:after="200" w:line="290"/>
        <w:jc w:val="right"/>
      </w:pPr>
      <w:r>
        <w:rPr>
          <w:rFonts w:ascii="Arial" w:cs="Arial" w:eastAsia="Arial" w:hAnsi="Arial"/>
          <w:b w:val="false"/>
          <w:bCs w:val="false"/>
          <w:i w:val="false"/>
          <w:iCs w:val="false"/>
          <w:color w:val="1C1C1C"/>
          <w:sz w:val="22"/>
          <w:szCs w:val="22"/>
          <w:rtl/>
        </w:rPr>
        <w:t xml:space="preserve">המדד שאומר שה-framework הצליח: כאשר COO מדבר עם עמית ואומר "אנחנו מזהים NOD ב-Product" — ועמיתו יודע בדיוק למה הכוונה — ה-framework הפך לתשתית. זה לא ניתן למדידה ברגע נקודתי. זה נמדד לאורך זמן בשאלה אחת: כמה שיחות מתרחשות בשפה הזו ללא נוכחות ארז.</w:t>
      </w:r>
    </w:p>
    <w:p>
      <w:pPr>
        <w:pStyle w:val="Heading2"/>
        <w:bidi/>
        <w:spacing w:after="120" w:before="300"/>
        <w:jc w:val="right"/>
      </w:pPr>
      <w:r>
        <w:rPr>
          <w:rFonts w:ascii="Arial" w:cs="Arial" w:eastAsia="Arial" w:hAnsi="Arial"/>
          <w:b/>
          <w:bCs/>
          <w:color w:val="1E3A5F"/>
          <w:sz w:val="24"/>
          <w:szCs w:val="24"/>
          <w:rtl/>
        </w:rPr>
        <w:t xml:space="preserve">על ה-MOAT לפני לקוח ראשון</w:t>
      </w:r>
    </w:p>
    <w:p>
      <w:pPr>
        <w:bidi/>
        <w:spacing w:after="200" w:line="290"/>
        <w:jc w:val="right"/>
      </w:pPr>
      <w:r>
        <w:rPr>
          <w:rFonts w:ascii="Arial" w:cs="Arial" w:eastAsia="Arial" w:hAnsi="Arial"/>
          <w:b w:val="false"/>
          <w:bCs w:val="false"/>
          <w:i w:val="false"/>
          <w:iCs w:val="false"/>
          <w:color w:val="1C1C1C"/>
          <w:sz w:val="22"/>
          <w:szCs w:val="22"/>
          <w:rtl/>
        </w:rPr>
        <w:t xml:space="preserve">ה-MOAT האמיתי של COR-SYS אינו האפליקציה. הוא הניסוח. כל פוסט ב-LinkedIn שמשתמש ב-NOD בהקשר ממשי הוא שתילת זרע בשפה. כל citation מ-practitioner חיצוני הוא נקודת anchor ב-citation network. כל ארגון שמתחיל לדווח בשפת DSM-Org הוא ראיה שה-coordination attractor הופעל.</w:t>
      </w:r>
    </w:p>
    <w:p>
      <w:pPr>
        <w:bidi/>
        <w:spacing w:after="200" w:line="290"/>
        <w:jc w:val="right"/>
      </w:pPr>
      <w:r>
        <w:rPr>
          <w:rFonts w:ascii="Arial" w:cs="Arial" w:eastAsia="Arial" w:hAnsi="Arial"/>
          <w:b w:val="false"/>
          <w:bCs w:val="false"/>
          <w:i w:val="false"/>
          <w:iCs w:val="false"/>
          <w:color w:val="1C1C1C"/>
          <w:sz w:val="22"/>
          <w:szCs w:val="22"/>
          <w:rtl/>
        </w:rPr>
        <w:t xml:space="preserve">פרסום white paper זה הוא פעולה מהסוג הזה. לא מכירה. לא marketing. זריעת שפה.</w:t>
      </w:r>
    </w:p>
    <w:p>
      <w:pPr>
        <w:bidi/>
        <w:spacing w:after="60" w:line="290"/>
        <w:jc w:val="right"/>
      </w:pPr>
      <w:r>
        <w:rPr>
          <w:rFonts w:ascii="Arial" w:cs="Arial" w:eastAsia="Arial" w:hAnsi="Arial"/>
          <w:b w:val="false"/>
          <w:bCs w:val="false"/>
          <w:i w:val="false"/>
          <w:iCs w:val="false"/>
          <w:color w:val="1C1C1C"/>
          <w:sz w:val="22"/>
          <w:szCs w:val="22"/>
          <w:rtl/>
        </w:rPr>
        <w:t xml:space="preserve"> </w:t>
      </w:r>
    </w:p>
    <w:p>
      <w:pPr>
        <w:bidi/>
        <w:spacing w:after="60" w:line="290"/>
        <w:jc w:val="right"/>
      </w:pPr>
      <w:r>
        <w:rPr>
          <w:rFonts w:ascii="Arial" w:cs="Arial" w:eastAsia="Arial" w:hAnsi="Arial"/>
          <w:b w:val="false"/>
          <w:bCs w:val="false"/>
          <w:i w:val="false"/>
          <w:iCs w:val="false"/>
          <w:color w:val="1C1C1C"/>
          <w:sz w:val="22"/>
          <w:szCs w:val="22"/>
          <w:rtl/>
        </w:rPr>
        <w:t xml:space="preserve"> </w:t>
      </w:r>
    </w:p>
    <w:p>
      <w:pPr>
        <w:pBdr>
          <w:bottom w:val="single" w:color="E2E8F0" w:sz="4" w:space="1"/>
        </w:pBdr>
        <w:spacing w:after="120" w:before="120"/>
      </w:pPr>
      <w:r>
        <w:t xml:space="preserve"> </w:t>
      </w:r>
    </w:p>
    <w:p>
      <w:pPr>
        <w:bidi/>
        <w:spacing w:after="60" w:line="290"/>
        <w:jc w:val="right"/>
      </w:pPr>
      <w:r>
        <w:rPr>
          <w:rFonts w:ascii="Arial" w:cs="Arial" w:eastAsia="Arial" w:hAnsi="Arial"/>
          <w:b w:val="false"/>
          <w:bCs w:val="false"/>
          <w:i w:val="false"/>
          <w:iCs w:val="false"/>
          <w:color w:val="1C1C1C"/>
          <w:sz w:val="22"/>
          <w:szCs w:val="22"/>
          <w:rtl/>
        </w:rPr>
        <w:t xml:space="preserve"> </w:t>
      </w:r>
    </w:p>
    <w:p>
      <w:pPr>
        <w:pStyle w:val="Heading1"/>
        <w:bidi/>
        <w:spacing w:after="160" w:before="480"/>
        <w:jc w:val="right"/>
      </w:pPr>
      <w:r>
        <w:rPr>
          <w:rFonts w:ascii="Arial" w:cs="Arial" w:eastAsia="Arial" w:hAnsi="Arial"/>
          <w:b/>
          <w:bCs/>
          <w:color w:val="0F172A"/>
          <w:sz w:val="30"/>
          <w:szCs w:val="30"/>
          <w:rtl/>
        </w:rPr>
        <w:t xml:space="preserve">מקורות</w:t>
      </w:r>
    </w:p>
    <w:p>
      <w:pPr>
        <w:bidi/>
        <w:spacing w:after="200" w:line="290"/>
        <w:jc w:val="right"/>
      </w:pPr>
      <w:r>
        <w:rPr>
          <w:rFonts w:ascii="Arial" w:cs="Arial" w:eastAsia="Arial" w:hAnsi="Arial"/>
          <w:b w:val="false"/>
          <w:bCs w:val="false"/>
          <w:i w:val="false"/>
          <w:iCs w:val="false"/>
          <w:color w:val="1C1C1C"/>
          <w:sz w:val="22"/>
          <w:szCs w:val="22"/>
          <w:rtl/>
        </w:rPr>
        <w:t xml:space="preserve">Vaughan, D. (1996). </w:t>
      </w:r>
      <w:r>
        <w:rPr>
          <w:rFonts w:ascii="Arial" w:cs="Arial" w:eastAsia="Arial" w:hAnsi="Arial"/>
          <w:b w:val="false"/>
          <w:bCs w:val="false"/>
          <w:i/>
          <w:iCs/>
          <w:color w:val="1C1C1C"/>
          <w:sz w:val="22"/>
          <w:szCs w:val="22"/>
          <w:rtl/>
        </w:rPr>
        <w:t xml:space="preserve">The Challenger Launch Decision: Risky Technology, Culture, and Deviance at NASA. </w:t>
      </w:r>
      <w:r>
        <w:rPr>
          <w:rFonts w:ascii="Arial" w:cs="Arial" w:eastAsia="Arial" w:hAnsi="Arial"/>
          <w:b w:val="false"/>
          <w:bCs w:val="false"/>
          <w:i w:val="false"/>
          <w:iCs w:val="false"/>
          <w:color w:val="1C1C1C"/>
          <w:sz w:val="22"/>
          <w:szCs w:val="22"/>
          <w:rtl/>
        </w:rPr>
        <w:t xml:space="preserve">University of Chicago Press.</w:t>
      </w:r>
    </w:p>
    <w:p>
      <w:pPr>
        <w:bidi/>
        <w:spacing w:after="200" w:line="290"/>
        <w:jc w:val="right"/>
      </w:pPr>
      <w:r>
        <w:rPr>
          <w:rFonts w:ascii="Arial" w:cs="Arial" w:eastAsia="Arial" w:hAnsi="Arial"/>
          <w:b w:val="false"/>
          <w:bCs w:val="false"/>
          <w:i w:val="false"/>
          <w:iCs w:val="false"/>
          <w:color w:val="1C1C1C"/>
          <w:sz w:val="22"/>
          <w:szCs w:val="22"/>
          <w:rtl/>
        </w:rPr>
        <w:t xml:space="preserve">Edmondson, A. (1999). Psychological Safety and Learning Behavior in Work Teams. </w:t>
      </w:r>
      <w:r>
        <w:rPr>
          <w:rFonts w:ascii="Arial" w:cs="Arial" w:eastAsia="Arial" w:hAnsi="Arial"/>
          <w:b w:val="false"/>
          <w:bCs w:val="false"/>
          <w:i/>
          <w:iCs/>
          <w:color w:val="1C1C1C"/>
          <w:sz w:val="22"/>
          <w:szCs w:val="22"/>
          <w:rtl/>
        </w:rPr>
        <w:t xml:space="preserve">Administrative Science Quarterly, 44(2), 350-383.</w:t>
      </w:r>
    </w:p>
    <w:p>
      <w:pPr>
        <w:bidi/>
        <w:spacing w:after="200" w:line="290"/>
        <w:jc w:val="right"/>
      </w:pPr>
      <w:r>
        <w:rPr>
          <w:rFonts w:ascii="Arial" w:cs="Arial" w:eastAsia="Arial" w:hAnsi="Arial"/>
          <w:b w:val="false"/>
          <w:bCs w:val="false"/>
          <w:i w:val="false"/>
          <w:iCs w:val="false"/>
          <w:color w:val="1C1C1C"/>
          <w:sz w:val="22"/>
          <w:szCs w:val="22"/>
          <w:rtl/>
        </w:rPr>
        <w:t xml:space="preserve">Argyris, C. &amp; Schön, D. (1978). </w:t>
      </w:r>
      <w:r>
        <w:rPr>
          <w:rFonts w:ascii="Arial" w:cs="Arial" w:eastAsia="Arial" w:hAnsi="Arial"/>
          <w:b w:val="false"/>
          <w:bCs w:val="false"/>
          <w:i/>
          <w:iCs/>
          <w:color w:val="1C1C1C"/>
          <w:sz w:val="22"/>
          <w:szCs w:val="22"/>
          <w:rtl/>
        </w:rPr>
        <w:t xml:space="preserve">Organizational Learning: A Theory of Action Perspective. </w:t>
      </w:r>
      <w:r>
        <w:rPr>
          <w:rFonts w:ascii="Arial" w:cs="Arial" w:eastAsia="Arial" w:hAnsi="Arial"/>
          <w:b w:val="false"/>
          <w:bCs w:val="false"/>
          <w:i w:val="false"/>
          <w:iCs w:val="false"/>
          <w:color w:val="1C1C1C"/>
          <w:sz w:val="22"/>
          <w:szCs w:val="22"/>
          <w:rtl/>
        </w:rPr>
        <w:t xml:space="preserve">Addison-Wesley.</w:t>
      </w:r>
    </w:p>
    <w:p>
      <w:pPr>
        <w:bidi/>
        <w:spacing w:after="200" w:line="290"/>
        <w:jc w:val="right"/>
      </w:pPr>
      <w:r>
        <w:rPr>
          <w:rFonts w:ascii="Arial" w:cs="Arial" w:eastAsia="Arial" w:hAnsi="Arial"/>
          <w:b w:val="false"/>
          <w:bCs w:val="false"/>
          <w:i w:val="false"/>
          <w:iCs w:val="false"/>
          <w:color w:val="1C1C1C"/>
          <w:sz w:val="22"/>
          <w:szCs w:val="22"/>
          <w:rtl/>
        </w:rPr>
        <w:t xml:space="preserve">Sweller, J. (1988). Cognitive Load During Problem Solving: Effects on Learning. </w:t>
      </w:r>
      <w:r>
        <w:rPr>
          <w:rFonts w:ascii="Arial" w:cs="Arial" w:eastAsia="Arial" w:hAnsi="Arial"/>
          <w:b w:val="false"/>
          <w:bCs w:val="false"/>
          <w:i/>
          <w:iCs/>
          <w:color w:val="1C1C1C"/>
          <w:sz w:val="22"/>
          <w:szCs w:val="22"/>
          <w:rtl/>
        </w:rPr>
        <w:t xml:space="preserve">Cognitive Science, 12(2), 257-285.</w:t>
      </w:r>
    </w:p>
    <w:p>
      <w:pPr>
        <w:bidi/>
        <w:spacing w:after="200" w:line="290"/>
        <w:jc w:val="right"/>
      </w:pPr>
      <w:r>
        <w:rPr>
          <w:rFonts w:ascii="Arial" w:cs="Arial" w:eastAsia="Arial" w:hAnsi="Arial"/>
          <w:b w:val="false"/>
          <w:bCs w:val="false"/>
          <w:i w:val="false"/>
          <w:iCs w:val="false"/>
          <w:color w:val="1C1C1C"/>
          <w:sz w:val="22"/>
          <w:szCs w:val="22"/>
          <w:rtl/>
        </w:rPr>
        <w:t xml:space="preserve">Mark, G., Gudith, D., &amp; Klocke, U. (2008). The Cost of Interrupted Work: More Speed and Stress. </w:t>
      </w:r>
      <w:r>
        <w:rPr>
          <w:rFonts w:ascii="Arial" w:cs="Arial" w:eastAsia="Arial" w:hAnsi="Arial"/>
          <w:b w:val="false"/>
          <w:bCs w:val="false"/>
          <w:i/>
          <w:iCs/>
          <w:color w:val="1C1C1C"/>
          <w:sz w:val="22"/>
          <w:szCs w:val="22"/>
          <w:rtl/>
        </w:rPr>
        <w:t xml:space="preserve">Proceedings of CHI 2008.</w:t>
      </w:r>
    </w:p>
    <w:p>
      <w:pPr>
        <w:bidi/>
        <w:spacing w:after="200" w:line="290"/>
        <w:jc w:val="right"/>
      </w:pPr>
      <w:r>
        <w:rPr>
          <w:rFonts w:ascii="Arial" w:cs="Arial" w:eastAsia="Arial" w:hAnsi="Arial"/>
          <w:b w:val="false"/>
          <w:bCs w:val="false"/>
          <w:i w:val="false"/>
          <w:iCs w:val="false"/>
          <w:color w:val="1C1C1C"/>
          <w:sz w:val="22"/>
          <w:szCs w:val="22"/>
          <w:rtl/>
        </w:rPr>
        <w:t xml:space="preserve">Hobfoll, S.E. (1989). Conservation of Resources: A New Attempt at Conceptualizing Stress. </w:t>
      </w:r>
      <w:r>
        <w:rPr>
          <w:rFonts w:ascii="Arial" w:cs="Arial" w:eastAsia="Arial" w:hAnsi="Arial"/>
          <w:b w:val="false"/>
          <w:bCs w:val="false"/>
          <w:i/>
          <w:iCs/>
          <w:color w:val="1C1C1C"/>
          <w:sz w:val="22"/>
          <w:szCs w:val="22"/>
          <w:rtl/>
        </w:rPr>
        <w:t xml:space="preserve">American Psychologist, 44(3), 513-524.</w:t>
      </w:r>
    </w:p>
    <w:p>
      <w:pPr>
        <w:bidi/>
        <w:spacing w:after="60" w:line="290"/>
        <w:jc w:val="right"/>
      </w:pPr>
      <w:r>
        <w:rPr>
          <w:rFonts w:ascii="Arial" w:cs="Arial" w:eastAsia="Arial" w:hAnsi="Arial"/>
          <w:b w:val="false"/>
          <w:bCs w:val="false"/>
          <w:i w:val="false"/>
          <w:iCs w:val="false"/>
          <w:color w:val="1C1C1C"/>
          <w:sz w:val="22"/>
          <w:szCs w:val="22"/>
          <w:rtl/>
        </w:rPr>
        <w:t xml:space="preserve"> </w:t>
      </w:r>
    </w:p>
    <w:p>
      <w:pPr>
        <w:bidi/>
        <w:spacing w:after="60" w:line="290"/>
        <w:jc w:val="right"/>
      </w:pPr>
      <w:r>
        <w:rPr>
          <w:rFonts w:ascii="Arial" w:cs="Arial" w:eastAsia="Arial" w:hAnsi="Arial"/>
          <w:b w:val="false"/>
          <w:bCs w:val="false"/>
          <w:i w:val="false"/>
          <w:iCs w:val="false"/>
          <w:color w:val="1C1C1C"/>
          <w:sz w:val="22"/>
          <w:szCs w:val="22"/>
          <w:rtl/>
        </w:rPr>
        <w:t xml:space="preserve"> </w:t>
      </w:r>
    </w:p>
    <w:sectPr>
      <w:headerReference w:type="default" r:id="rId7"/>
      <w:footerReference w:type="default" r:id="rId8"/>
      <w:pgSz w:w="11906" w:h="16838"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bidi/>
      <w:spacing w:after="0"/>
      <w:jc w:val="right"/>
    </w:pPr>
    <w:r>
      <w:rPr>
        <w:rFonts w:ascii="Arial" w:cs="Arial" w:eastAsia="Arial" w:hAnsi="Arial"/>
        <w:color w:val="6B7280"/>
        <w:sz w:val="18"/>
        <w:szCs w:val="18"/>
        <w:rtl/>
      </w:rPr>
      <w:t xml:space="preserve">COR-SYS  |  מסמך מחקר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1E3A5F"/>
      <w:sz w:val="24"/>
      <w:szCs w:val="24"/>
    </w:rPr>
  </w:style>
  <w:style w:type="paragraph" w:styleId="Heading3">
    <w:name w:val="Heading 3"/>
    <w:basedOn w:val="Normal"/>
    <w:next w:val="Normal"/>
    <w:qFormat/>
    <w:pPr>
      <w:spacing w:after="100" w:before="24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2026-03-26T22:22:52.099Z</dcterms:created>
  <dcterms:modified xsi:type="dcterms:W3CDTF">2026-03-26T22:22:52.099Z</dcterms:modified>
</cp:coreProperties>
</file>

<file path=docProps/custom.xml><?xml version="1.0" encoding="utf-8"?>
<Properties xmlns="http://schemas.openxmlformats.org/officeDocument/2006/custom-properties" xmlns:vt="http://schemas.openxmlformats.org/officeDocument/2006/docPropsVTypes"/>
</file>