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Regional Surgical Distribution Website Content</w:t>
      </w:r>
    </w:p>
    <w:p>
      <w:pPr>
        <w:pStyle w:val="Heading2"/>
      </w:pPr>
      <w:r>
        <w:t>Company Tagline</w:t>
      </w:r>
    </w:p>
    <w:p>
      <w:r>
        <w:t>Driving Surgical Growth Across the Southeast.</w:t>
      </w:r>
    </w:p>
    <w:p>
      <w:pPr>
        <w:pStyle w:val="Heading2"/>
      </w:pPr>
      <w:r>
        <w:t>Mission Statement</w:t>
      </w:r>
    </w:p>
    <w:p>
      <w:r>
        <w:t>Our mission is to deliver advanced surgical technologies with precision, urgency, and integrity — empowering foot and ankle surgeons with the products, support, and reliability required to achieve exceptional patient outcomes.</w:t>
      </w:r>
    </w:p>
    <w:p>
      <w:pPr>
        <w:pStyle w:val="Heading2"/>
      </w:pPr>
      <w:r>
        <w:t>Vision Statement</w:t>
      </w:r>
    </w:p>
    <w:p>
      <w:r>
        <w:t>To become the dominant foot and ankle distribution partner across the Southeast, recognized for operational excellence, surgeon loyalty, and consistent revenue growth for our manufacturing partners.</w:t>
      </w:r>
    </w:p>
    <w:p>
      <w:pPr>
        <w:pStyle w:val="Heading2"/>
      </w:pPr>
      <w:r>
        <w:t>Homepage – Hero Section</w:t>
      </w:r>
    </w:p>
    <w:p>
      <w:r>
        <w:t>Headline: The Regional Leader in Foot &amp; Ankle Surgical Distribution</w:t>
      </w:r>
    </w:p>
    <w:p>
      <w:r>
        <w:t>Subheadline: Delivering advanced biologics and fixation technologies across the Southeast with precision, reliability, and unmatched case support.</w:t>
      </w:r>
    </w:p>
    <w:p>
      <w:pPr>
        <w:pStyle w:val="Heading2"/>
      </w:pPr>
      <w:r>
        <w:t>Brand Positioning Statement</w:t>
      </w:r>
    </w:p>
    <w:p>
      <w:r>
        <w:t>We are a specialized surgical distribution firm focused exclusively on foot and ankle solutions throughout the Southeast region. Representing leading technologies from Medline, OSSIO, BoneSupport, Acera Surgical, and Biopoly. We provide comprehensive surgical support — from pre-case planning and logistics coordination to in-room execution and post-case follow-through. Our model is built for scalability, accountability, and long-term manufacturer growth.</w:t>
      </w:r>
    </w:p>
    <w:p>
      <w:pPr>
        <w:pStyle w:val="Heading2"/>
      </w:pPr>
      <w:r>
        <w:t>Growth Strategy</w:t>
      </w:r>
    </w:p>
    <w:p>
      <w:pPr>
        <w:pStyle w:val="ListBullet"/>
      </w:pPr>
      <w:r>
        <w:t>Territory Development – Structured expansion into high-volume foot and ankle markets.</w:t>
      </w:r>
    </w:p>
    <w:p>
      <w:pPr>
        <w:pStyle w:val="ListBullet"/>
      </w:pPr>
      <w:r>
        <w:t>Surgeon Alignment – Targeted onboarding of high-performing surgeons and ASC networks.</w:t>
      </w:r>
    </w:p>
    <w:p>
      <w:pPr>
        <w:pStyle w:val="ListBullet"/>
      </w:pPr>
      <w:r>
        <w:t>Operational Infrastructure – Standardized case protocols, inventory tracking systems, and performance metrics tied to growth.</w:t>
      </w:r>
    </w:p>
    <w:p>
      <w:pPr>
        <w:pStyle w:val="ListBullet"/>
      </w:pPr>
      <w:r>
        <w:t>Manufacturer Partnership Model – Transparent reporting, territory performance analytics, and quarterly growth strategy meetings.</w:t>
      </w:r>
    </w:p>
    <w:p>
      <w:pPr>
        <w:pStyle w:val="Heading2"/>
      </w:pPr>
      <w:r>
        <w:t>Core Services</w:t>
      </w:r>
    </w:p>
    <w:p>
      <w:pPr>
        <w:pStyle w:val="ListBullet"/>
      </w:pPr>
      <w:r>
        <w:t>Surgical Case Coverage</w:t>
      </w:r>
    </w:p>
    <w:p>
      <w:pPr>
        <w:pStyle w:val="ListBullet"/>
      </w:pPr>
      <w:r>
        <w:t>Biologics &amp; Fixation Solutions</w:t>
      </w:r>
    </w:p>
    <w:p>
      <w:pPr>
        <w:pStyle w:val="ListBullet"/>
      </w:pPr>
      <w:r>
        <w:t>Inventory &amp; Logistics Management</w:t>
      </w:r>
    </w:p>
    <w:p>
      <w:pPr>
        <w:pStyle w:val="ListBullet"/>
      </w:pPr>
      <w:r>
        <w:t>Surgeon Education &amp; Clinical Support</w:t>
      </w:r>
    </w:p>
    <w:p>
      <w:pPr>
        <w:pStyle w:val="Heading2"/>
      </w:pPr>
      <w:r>
        <w:t>Manufacturer Partnership Positioning</w:t>
      </w:r>
    </w:p>
    <w:p>
      <w:r>
        <w:t>We are building a high-performance surgical distribution platform designed to scale across multiple territories while maintaining boutique-level service and OR presence. Our focus is long-term growth, surgeon loyalty, and measurable revenue expansion for our manufacturing partners.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