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8.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70.png" ContentType="image/png"/>
  <Override PartName="/word/media/rId73.png" ContentType="image/png"/>
  <Override PartName="/word/media/rId78.png" ContentType="image/png"/>
  <Override PartName="/word/media/rId8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answer</w:t>
      </w:r>
      <w:r>
        <w:t xml:space="preserve"> </w:t>
      </w:r>
      <w:r>
        <w:t xml:space="preserve">to</w:t>
      </w:r>
      <w:r>
        <w:t xml:space="preserve"> </w:t>
      </w:r>
      <w:r>
        <w:t xml:space="preserve">labrotary</w:t>
      </w:r>
      <w:r>
        <w:t xml:space="preserve"> </w:t>
      </w:r>
      <w:r>
        <w:t xml:space="preserve">work</w:t>
      </w:r>
      <w:r>
        <w:t xml:space="preserve"> </w:t>
      </w:r>
      <w:r>
        <w:t xml:space="preserve">9</w:t>
      </w:r>
    </w:p>
    <w:p>
      <w:pPr>
        <w:pStyle w:val="Subtitle"/>
      </w:pPr>
      <w:r>
        <w:t xml:space="preserve">Discipline:</w:t>
      </w:r>
      <w:r>
        <w:t xml:space="preserve"> </w:t>
      </w:r>
      <w:r>
        <w:t xml:space="preserve">Computer</w:t>
      </w:r>
      <w:r>
        <w:t xml:space="preserve"> </w:t>
      </w:r>
      <w:r>
        <w:t xml:space="preserve">Architecture</w:t>
      </w:r>
    </w:p>
    <w:p>
      <w:pPr>
        <w:pStyle w:val="Author"/>
      </w:pPr>
      <w:r>
        <w:t xml:space="preserve">Ерфан</w:t>
      </w:r>
      <w:r>
        <w:t xml:space="preserve"> </w:t>
      </w:r>
      <w:r>
        <w:t xml:space="preserve">Хосейнабади</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bookmarkStart w:id="20" w:name="work-goal"/>
    <w:p>
      <w:pPr>
        <w:pStyle w:val="Heading1"/>
      </w:pPr>
      <w:r>
        <w:rPr>
          <w:rStyle w:val="SectionNumber"/>
        </w:rPr>
        <w:t xml:space="preserve">1</w:t>
      </w:r>
      <w:r>
        <w:tab/>
      </w:r>
      <w:r>
        <w:t xml:space="preserve">Work Goal</w:t>
      </w:r>
    </w:p>
    <w:p>
      <w:pPr>
        <w:pStyle w:val="FirstParagraph"/>
      </w:pPr>
      <w:r>
        <w:t xml:space="preserve">Acquiring skills in writing programs using subroutines. Familiarization with debugging methods using GDB and its main capabilities.</w:t>
      </w:r>
    </w:p>
    <w:bookmarkEnd w:id="20"/>
    <w:bookmarkStart w:id="21" w:name="assignment"/>
    <w:p>
      <w:pPr>
        <w:pStyle w:val="Heading1"/>
      </w:pPr>
      <w:r>
        <w:rPr>
          <w:rStyle w:val="SectionNumber"/>
        </w:rPr>
        <w:t xml:space="preserve">2</w:t>
      </w:r>
      <w:r>
        <w:tab/>
      </w:r>
      <w:r>
        <w:t xml:space="preserve">Assignment</w:t>
      </w:r>
    </w:p>
    <w:p>
      <w:pPr>
        <w:numPr>
          <w:ilvl w:val="0"/>
          <w:numId w:val="1001"/>
        </w:numPr>
        <w:pStyle w:val="Compact"/>
      </w:pPr>
      <w:r>
        <w:t xml:space="preserve">Implementation of subroutines in NASM</w:t>
      </w:r>
    </w:p>
    <w:p>
      <w:pPr>
        <w:numPr>
          <w:ilvl w:val="0"/>
          <w:numId w:val="1001"/>
        </w:numPr>
        <w:pStyle w:val="Compact"/>
      </w:pPr>
      <w:r>
        <w:t xml:space="preserve">Debugging programs using GDB</w:t>
      </w:r>
    </w:p>
    <w:p>
      <w:pPr>
        <w:numPr>
          <w:ilvl w:val="0"/>
          <w:numId w:val="1001"/>
        </w:numPr>
        <w:pStyle w:val="Compact"/>
      </w:pPr>
      <w:r>
        <w:t xml:space="preserve">Independent completion of tasks based on the materials of the laboratory work</w:t>
      </w:r>
    </w:p>
    <w:bookmarkEnd w:id="21"/>
    <w:bookmarkStart w:id="22" w:name="theoretical-introduction"/>
    <w:p>
      <w:pPr>
        <w:pStyle w:val="Heading1"/>
      </w:pPr>
      <w:r>
        <w:rPr>
          <w:rStyle w:val="SectionNumber"/>
        </w:rPr>
        <w:t xml:space="preserve">3</w:t>
      </w:r>
      <w:r>
        <w:tab/>
      </w:r>
      <w:r>
        <w:t xml:space="preserve">Theoretical Introduction</w:t>
      </w:r>
    </w:p>
    <w:p>
      <w:pPr>
        <w:pStyle w:val="FirstParagraph"/>
      </w:pPr>
      <w:r>
        <w:t xml:space="preserve">Debugging is the process of finding and fixing errors in a program. In general, it can be divided into four stages:</w:t>
      </w:r>
    </w:p>
    <w:p>
      <w:pPr>
        <w:numPr>
          <w:ilvl w:val="0"/>
          <w:numId w:val="1002"/>
        </w:numPr>
        <w:pStyle w:val="Compact"/>
      </w:pPr>
      <w:r>
        <w:t xml:space="preserve">Error detection;</w:t>
      </w:r>
    </w:p>
    <w:p>
      <w:pPr>
        <w:numPr>
          <w:ilvl w:val="0"/>
          <w:numId w:val="1002"/>
        </w:numPr>
        <w:pStyle w:val="Compact"/>
      </w:pPr>
      <w:r>
        <w:t xml:space="preserve">Locating the error;</w:t>
      </w:r>
    </w:p>
    <w:p>
      <w:pPr>
        <w:numPr>
          <w:ilvl w:val="0"/>
          <w:numId w:val="1002"/>
        </w:numPr>
        <w:pStyle w:val="Compact"/>
      </w:pPr>
      <w:r>
        <w:t xml:space="preserve">Determining the cause of the error;</w:t>
      </w:r>
    </w:p>
    <w:p>
      <w:pPr>
        <w:numPr>
          <w:ilvl w:val="0"/>
          <w:numId w:val="1002"/>
        </w:numPr>
        <w:pStyle w:val="Compact"/>
      </w:pPr>
      <w:r>
        <w:t xml:space="preserve">Fixing the error.</w:t>
      </w:r>
    </w:p>
    <w:p>
      <w:pPr>
        <w:pStyle w:val="FirstParagraph"/>
      </w:pPr>
      <w:r>
        <w:t xml:space="preserve">The following types of errors can be distinguished:</w:t>
      </w:r>
    </w:p>
    <w:p>
      <w:pPr>
        <w:numPr>
          <w:ilvl w:val="0"/>
          <w:numId w:val="1003"/>
        </w:numPr>
        <w:pStyle w:val="Compact"/>
      </w:pPr>
      <w:r>
        <w:t xml:space="preserve">Syntax errors — detected during the compilation of the source code and are caused by a violation of the expected form or structure of the language;</w:t>
      </w:r>
    </w:p>
    <w:p>
      <w:pPr>
        <w:numPr>
          <w:ilvl w:val="0"/>
          <w:numId w:val="1003"/>
        </w:numPr>
        <w:pStyle w:val="Compact"/>
      </w:pPr>
      <w:r>
        <w:t xml:space="preserve">Semantic errors — are logical and lead to the fact that the program starts, runs, but does not give the desired result;</w:t>
      </w:r>
    </w:p>
    <w:p>
      <w:pPr>
        <w:numPr>
          <w:ilvl w:val="0"/>
          <w:numId w:val="1003"/>
        </w:numPr>
        <w:pStyle w:val="Compact"/>
      </w:pPr>
      <w:r>
        <w:t xml:space="preserve">Runtime errors — are not detected during compilation and cause the program execution to be interrupted (for example, these are errors related to overflow or division by zero).</w:t>
      </w:r>
    </w:p>
    <w:p>
      <w:pPr>
        <w:pStyle w:val="FirstParagraph"/>
      </w:pPr>
      <w:r>
        <w:t xml:space="preserve">The second stage is finding the location of the error. Some errors are quite difficult to detect. The best way to find the place in the program where the error is located is to break the program into parts and debug them separately from each other.</w:t>
      </w:r>
    </w:p>
    <w:p>
      <w:pPr>
        <w:pStyle w:val="BodyText"/>
      </w:pPr>
      <w:r>
        <w:t xml:space="preserve">The third stage is determining the cause of the error. After determining the location of the error, it is usually easier to determine the cause of the incorrect operation of the program.</w:t>
      </w:r>
      <w:r>
        <w:t xml:space="preserve"> </w:t>
      </w:r>
      <w:r>
        <w:t xml:space="preserve">The last stage is fixing the error. After that, when the program is restarted, the next error may be found, and the debugging process will start again.</w:t>
      </w:r>
    </w:p>
    <w:bookmarkEnd w:id="22"/>
    <w:bookmarkStart w:id="85" w:name="performing-laboratory-work"/>
    <w:p>
      <w:pPr>
        <w:pStyle w:val="Heading1"/>
      </w:pPr>
      <w:r>
        <w:rPr>
          <w:rStyle w:val="SectionNumber"/>
        </w:rPr>
        <w:t xml:space="preserve">4</w:t>
      </w:r>
      <w:r>
        <w:tab/>
      </w:r>
      <w:r>
        <w:t xml:space="preserve">Performing Laboratory Work</w:t>
      </w:r>
    </w:p>
    <w:bookmarkStart w:id="77" w:name="implementation-of-subroutines-in-nasm"/>
    <w:p>
      <w:pPr>
        <w:pStyle w:val="Heading2"/>
      </w:pPr>
      <w:r>
        <w:rPr>
          <w:rStyle w:val="SectionNumber"/>
        </w:rPr>
        <w:t xml:space="preserve">4.1</w:t>
      </w:r>
      <w:r>
        <w:tab/>
      </w:r>
      <w:r>
        <w:t xml:space="preserve">Implementation of Subroutines in NASM</w:t>
      </w:r>
    </w:p>
    <w:p>
      <w:pPr>
        <w:pStyle w:val="FirstParagraph"/>
      </w:pPr>
      <w:r>
        <w:t xml:space="preserve">I create a directory for performing laboratory work No. 9 (Figure 1).</w:t>
      </w:r>
    </w:p>
    <w:p>
      <w:pPr>
        <w:pStyle w:val="CaptionedFigure"/>
      </w:pPr>
      <w:r>
        <w:drawing>
          <wp:inline>
            <wp:extent cx="3733800" cy="4664354"/>
            <wp:effectExtent b="0" l="0" r="0" t="0"/>
            <wp:docPr descr="Creating a working directory"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 Creating a working directory</w:t>
      </w:r>
    </w:p>
    <w:p>
      <w:pPr>
        <w:pStyle w:val="BodyText"/>
      </w:pPr>
      <w:r>
        <w:t xml:space="preserve">I copy the code from the listing into the file, compile and run it. This program performs the calculation of the function (Figure 2).</w:t>
      </w:r>
    </w:p>
    <w:p>
      <w:pPr>
        <w:pStyle w:val="CaptionedFigure"/>
      </w:pPr>
      <w:r>
        <w:drawing>
          <wp:inline>
            <wp:extent cx="3733800" cy="4664354"/>
            <wp:effectExtent b="0" l="0" r="0" t="0"/>
            <wp:docPr descr="Running the program from the listing"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2: Running the program from the listing</w:t>
      </w:r>
    </w:p>
    <w:p>
      <w:pPr>
        <w:pStyle w:val="BodyText"/>
      </w:pPr>
      <w:r>
        <w:t xml:space="preserve">I change the program text by adding a subroutine to it. Now it calculates the value of the function for the expression f(g(x)) (Figure 3).</w:t>
      </w:r>
    </w:p>
    <w:p>
      <w:pPr>
        <w:pStyle w:val="CaptionedFigure"/>
      </w:pPr>
      <w:r>
        <w:drawing>
          <wp:inline>
            <wp:extent cx="3733800" cy="4664354"/>
            <wp:effectExtent b="0" l="0" r="0" t="0"/>
            <wp:docPr descr="Changing the program of the first listing"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3: Changing the program of the first listing</w:t>
      </w:r>
    </w:p>
    <w:p>
      <w:pPr>
        <w:pStyle w:val="BodyText"/>
      </w:pPr>
      <w:r>
        <w:t xml:space="preserve">Program code:</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rPr>
          <w:rStyle w:val="FunctionTok"/>
        </w:rPr>
        <w:t xml:space="preserve">msg:</w:t>
      </w:r>
      <w:r>
        <w:rPr>
          <w:rStyle w:val="NormalTok"/>
        </w:rPr>
        <w:t xml:space="preserve"> </w:t>
      </w:r>
      <w:r>
        <w:rPr>
          <w:rStyle w:val="DataTypeTok"/>
        </w:rPr>
        <w:t xml:space="preserve">DB</w:t>
      </w:r>
      <w:r>
        <w:rPr>
          <w:rStyle w:val="NormalTok"/>
        </w:rPr>
        <w:t xml:space="preserve"> </w:t>
      </w:r>
      <w:r>
        <w:rPr>
          <w:rStyle w:val="StringTok"/>
        </w:rPr>
        <w:t xml:space="preserve">'enter x: '</w:t>
      </w:r>
      <w:r>
        <w:rPr>
          <w:rStyle w:val="OperatorTok"/>
        </w:rPr>
        <w:t xml:space="preserve">,</w:t>
      </w:r>
      <w:r>
        <w:rPr>
          <w:rStyle w:val="NormalTok"/>
        </w:rPr>
        <w:t xml:space="preserve"> </w:t>
      </w:r>
      <w:r>
        <w:rPr>
          <w:rStyle w:val="DecValTok"/>
        </w:rPr>
        <w:t xml:space="preserve">0</w:t>
      </w:r>
      <w:r>
        <w:br/>
      </w:r>
      <w:r>
        <w:rPr>
          <w:rStyle w:val="FunctionTok"/>
        </w:rPr>
        <w:t xml:space="preserve">result:</w:t>
      </w:r>
      <w:r>
        <w:rPr>
          <w:rStyle w:val="NormalTok"/>
        </w:rPr>
        <w:t xml:space="preserve"> </w:t>
      </w:r>
      <w:r>
        <w:rPr>
          <w:rStyle w:val="DataTypeTok"/>
        </w:rPr>
        <w:t xml:space="preserve">DB</w:t>
      </w:r>
      <w:r>
        <w:rPr>
          <w:rStyle w:val="NormalTok"/>
        </w:rPr>
        <w:t xml:space="preserve"> </w:t>
      </w:r>
      <w:r>
        <w:rPr>
          <w:rStyle w:val="StringTok"/>
        </w:rPr>
        <w:t xml:space="preserve">'2(3x-1)+7='</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.bss</w:t>
      </w:r>
      <w:r>
        <w:br/>
      </w:r>
      <w:r>
        <w:rPr>
          <w:rStyle w:val="FunctionTok"/>
        </w:rPr>
        <w:t xml:space="preserve">x:</w:t>
      </w:r>
      <w:r>
        <w:rPr>
          <w:rStyle w:val="NormalTok"/>
        </w:rPr>
        <w:t xml:space="preserve"> </w:t>
      </w:r>
      <w:r>
        <w:rPr>
          <w:rStyle w:val="DataTypeTok"/>
        </w:rPr>
        <w:t xml:space="preserve">RESB</w:t>
      </w:r>
      <w:r>
        <w:rPr>
          <w:rStyle w:val="NormalTok"/>
        </w:rPr>
        <w:t xml:space="preserve"> </w:t>
      </w:r>
      <w:r>
        <w:rPr>
          <w:rStyle w:val="DecValTok"/>
        </w:rPr>
        <w:t xml:space="preserve">80</w:t>
      </w:r>
      <w:r>
        <w:br/>
      </w:r>
      <w:r>
        <w:rPr>
          <w:rStyle w:val="FunctionTok"/>
        </w:rPr>
        <w:t xml:space="preserve">res:</w:t>
      </w:r>
      <w:r>
        <w:rPr>
          <w:rStyle w:val="NormalTok"/>
        </w:rPr>
        <w:t xml:space="preserve"> </w:t>
      </w:r>
      <w:r>
        <w:rPr>
          <w:rStyle w:val="DataTypeTok"/>
        </w:rPr>
        <w:t xml:space="preserve">RESB</w:t>
      </w:r>
      <w:r>
        <w:rPr>
          <w:rStyle w:val="NormalTok"/>
        </w:rPr>
        <w:t xml:space="preserve"> </w:t>
      </w:r>
      <w:r>
        <w:rPr>
          <w:rStyle w:val="DecValTok"/>
        </w:rPr>
        <w:t xml:space="preserve">80</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w:t>
      </w:r>
      <w:r>
        <w:br/>
      </w:r>
      <w:r>
        <w:rPr>
          <w:rStyle w:val="ControlFlowTok"/>
        </w:rPr>
        <w:t xml:space="preserve">call</w:t>
      </w:r>
      <w:r>
        <w:rPr>
          <w:rStyle w:val="NormalTok"/>
        </w:rPr>
        <w:t xml:space="preserve"> sprint</w:t>
      </w:r>
      <w:r>
        <w:br/>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x</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br/>
      </w:r>
      <w:r>
        <w:rPr>
          <w:rStyle w:val="ControlFlowTok"/>
        </w:rPr>
        <w:t xml:space="preserve">call</w:t>
      </w:r>
      <w:r>
        <w:rPr>
          <w:rStyle w:val="NormalTok"/>
        </w:rPr>
        <w:t xml:space="preserve"> sread</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x</w:t>
      </w:r>
      <w:r>
        <w:br/>
      </w:r>
      <w:r>
        <w:rPr>
          <w:rStyle w:val="ControlFlowTok"/>
        </w:rPr>
        <w:t xml:space="preserve">call</w:t>
      </w:r>
      <w:r>
        <w:rPr>
          <w:rStyle w:val="NormalTok"/>
        </w:rPr>
        <w:t xml:space="preserve"> atoi</w:t>
      </w:r>
      <w:r>
        <w:br/>
      </w:r>
      <w:r>
        <w:br/>
      </w:r>
      <w:r>
        <w:rPr>
          <w:rStyle w:val="ControlFlowTok"/>
        </w:rPr>
        <w:t xml:space="preserve">call</w:t>
      </w:r>
      <w:r>
        <w:rPr>
          <w:rStyle w:val="NormalTok"/>
        </w:rPr>
        <w:t xml:space="preserve"> _calcul</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result</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OperatorTok"/>
        </w:rPr>
        <w:t xml:space="preserve">[</w:t>
      </w:r>
      <w:r>
        <w:rPr>
          <w:rStyle w:val="NormalTok"/>
        </w:rPr>
        <w:t xml:space="preserve">res</w:t>
      </w:r>
      <w:r>
        <w:rPr>
          <w:rStyle w:val="OperatorTok"/>
        </w:rPr>
        <w:t xml:space="preserve">]</w:t>
      </w:r>
      <w:r>
        <w:br/>
      </w:r>
      <w:r>
        <w:rPr>
          <w:rStyle w:val="ControlFlowTok"/>
        </w:rPr>
        <w:t xml:space="preserve">call</w:t>
      </w:r>
      <w:r>
        <w:rPr>
          <w:rStyle w:val="NormalTok"/>
        </w:rPr>
        <w:t xml:space="preserve"> iprintLF</w:t>
      </w:r>
      <w:r>
        <w:br/>
      </w:r>
      <w:r>
        <w:br/>
      </w:r>
      <w:r>
        <w:rPr>
          <w:rStyle w:val="ControlFlowTok"/>
        </w:rPr>
        <w:t xml:space="preserve">call</w:t>
      </w:r>
      <w:r>
        <w:rPr>
          <w:rStyle w:val="NormalTok"/>
        </w:rPr>
        <w:t xml:space="preserve"> quit</w:t>
      </w:r>
      <w:r>
        <w:br/>
      </w:r>
      <w:r>
        <w:br/>
      </w:r>
      <w:r>
        <w:rPr>
          <w:rStyle w:val="FunctionTok"/>
        </w:rPr>
        <w:t xml:space="preserve">_calcul:</w:t>
      </w:r>
      <w:r>
        <w:br/>
      </w:r>
      <w:r>
        <w:rPr>
          <w:rStyle w:val="KeywordTok"/>
        </w:rPr>
        <w:t xml:space="preserve">push</w:t>
      </w:r>
      <w:r>
        <w:rPr>
          <w:rStyle w:val="NormalTok"/>
        </w:rPr>
        <w:t xml:space="preserve"> </w:t>
      </w:r>
      <w:r>
        <w:rPr>
          <w:rStyle w:val="KeywordTok"/>
        </w:rPr>
        <w:t xml:space="preserve">eax</w:t>
      </w:r>
      <w:r>
        <w:br/>
      </w:r>
      <w:r>
        <w:rPr>
          <w:rStyle w:val="ControlFlowTok"/>
        </w:rPr>
        <w:t xml:space="preserve">call</w:t>
      </w:r>
      <w:r>
        <w:rPr>
          <w:rStyle w:val="NormalTok"/>
        </w:rPr>
        <w:t xml:space="preserve"> _subcalcul</w:t>
      </w:r>
      <w:r>
        <w:br/>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2</w:t>
      </w:r>
      <w:r>
        <w:br/>
      </w:r>
      <w:r>
        <w:rPr>
          <w:rStyle w:val="KeywordTok"/>
        </w:rPr>
        <w:t xml:space="preserve">mul</w:t>
      </w:r>
      <w:r>
        <w:rPr>
          <w:rStyle w:val="NormalTok"/>
        </w:rPr>
        <w:t xml:space="preserve"> </w:t>
      </w:r>
      <w:r>
        <w:rPr>
          <w:rStyle w:val="KeywordTok"/>
        </w:rPr>
        <w:t xml:space="preserve">ebx</w:t>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7</w:t>
      </w:r>
      <w:r>
        <w:br/>
      </w:r>
      <w:r>
        <w:br/>
      </w:r>
      <w:r>
        <w:rPr>
          <w:rStyle w:val="KeywordTok"/>
        </w:rPr>
        <w:t xml:space="preserve">mov</w:t>
      </w:r>
      <w:r>
        <w:rPr>
          <w:rStyle w:val="NormalTok"/>
        </w:rPr>
        <w:t xml:space="preserve"> </w:t>
      </w:r>
      <w:r>
        <w:rPr>
          <w:rStyle w:val="OperatorTok"/>
        </w:rPr>
        <w:t xml:space="preserve">[</w:t>
      </w:r>
      <w:r>
        <w:rPr>
          <w:rStyle w:val="NormalTok"/>
        </w:rPr>
        <w:t xml:space="preserve">res</w:t>
      </w:r>
      <w:r>
        <w:rPr>
          <w:rStyle w:val="OperatorTok"/>
        </w:rPr>
        <w:t xml:space="preserve">],</w:t>
      </w:r>
      <w:r>
        <w:rPr>
          <w:rStyle w:val="NormalTok"/>
        </w:rPr>
        <w:t xml:space="preserve"> </w:t>
      </w:r>
      <w:r>
        <w:rPr>
          <w:rStyle w:val="KeywordTok"/>
        </w:rPr>
        <w:t xml:space="preserve">eax</w:t>
      </w:r>
      <w:r>
        <w:br/>
      </w:r>
      <w:r>
        <w:rPr>
          <w:rStyle w:val="KeywordTok"/>
        </w:rPr>
        <w:t xml:space="preserve">pop</w:t>
      </w:r>
      <w:r>
        <w:rPr>
          <w:rStyle w:val="NormalTok"/>
        </w:rPr>
        <w:t xml:space="preserve"> </w:t>
      </w:r>
      <w:r>
        <w:rPr>
          <w:rStyle w:val="KeywordTok"/>
        </w:rPr>
        <w:t xml:space="preserve">eax</w:t>
      </w:r>
      <w:r>
        <w:br/>
      </w:r>
      <w:r>
        <w:rPr>
          <w:rStyle w:val="ControlFlowTok"/>
        </w:rPr>
        <w:t xml:space="preserve">ret</w:t>
      </w:r>
      <w:r>
        <w:br/>
      </w:r>
      <w:r>
        <w:br/>
      </w:r>
      <w:r>
        <w:rPr>
          <w:rStyle w:val="FunctionTok"/>
        </w:rPr>
        <w:t xml:space="preserve">_subcalcul:</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3</w:t>
      </w:r>
      <w:r>
        <w:br/>
      </w:r>
      <w:r>
        <w:rPr>
          <w:rStyle w:val="KeywordTok"/>
        </w:rPr>
        <w:t xml:space="preserve">mul</w:t>
      </w:r>
      <w:r>
        <w:rPr>
          <w:rStyle w:val="NormalTok"/>
        </w:rPr>
        <w:t xml:space="preserve"> </w:t>
      </w:r>
      <w:r>
        <w:rPr>
          <w:rStyle w:val="KeywordTok"/>
        </w:rPr>
        <w:t xml:space="preserve">ebx</w:t>
      </w:r>
      <w:r>
        <w:br/>
      </w:r>
      <w:r>
        <w:rPr>
          <w:rStyle w:val="KeywordTok"/>
        </w:rPr>
        <w:t xml:space="preserve">sub</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1</w:t>
      </w:r>
      <w:r>
        <w:br/>
      </w:r>
      <w:r>
        <w:rPr>
          <w:rStyle w:val="ControlFlowTok"/>
        </w:rPr>
        <w:t xml:space="preserve">ret</w:t>
      </w:r>
    </w:p>
    <w:bookmarkStart w:id="47" w:name="debugging-programs-using-gdb"/>
    <w:p>
      <w:pPr>
        <w:pStyle w:val="Heading3"/>
      </w:pPr>
      <w:r>
        <w:rPr>
          <w:rStyle w:val="SectionNumber"/>
        </w:rPr>
        <w:t xml:space="preserve">4.1.1</w:t>
      </w:r>
      <w:r>
        <w:tab/>
      </w:r>
      <w:r>
        <w:t xml:space="preserve">Debugging Programs Using GDB</w:t>
      </w:r>
    </w:p>
    <w:p>
      <w:pPr>
        <w:pStyle w:val="FirstParagraph"/>
      </w:pPr>
      <w:r>
        <w:t xml:space="preserve">I copy the program from the second listing into the created file, translate it with the creation of a listing and debugging file, link and run it in the debugger (Figure 4).</w:t>
      </w:r>
    </w:p>
    <w:p>
      <w:pPr>
        <w:pStyle w:val="CaptionedFigure"/>
      </w:pPr>
      <w:r>
        <w:drawing>
          <wp:inline>
            <wp:extent cx="3733800" cy="4664354"/>
            <wp:effectExtent b="0" l="0" r="0" t="0"/>
            <wp:docPr descr="Running the program in the debugger"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4: Running the program in the debugger</w:t>
      </w:r>
    </w:p>
    <w:p>
      <w:pPr>
        <w:pStyle w:val="BodyText"/>
      </w:pPr>
      <w:r>
        <w:t xml:space="preserve">Having run the program with the</w:t>
      </w:r>
      <w:r>
        <w:t xml:space="preserve"> </w:t>
      </w:r>
      <w:r>
        <w:rPr>
          <w:rStyle w:val="VerbatimChar"/>
        </w:rPr>
        <w:t xml:space="preserve">run</w:t>
      </w:r>
      <w:r>
        <w:t xml:space="preserve"> </w:t>
      </w:r>
      <w:r>
        <w:t xml:space="preserve">command, I made sure that it works correctly (Figure 5).</w:t>
      </w:r>
    </w:p>
    <w:p>
      <w:pPr>
        <w:pStyle w:val="CaptionedFigure"/>
      </w:pPr>
      <w:r>
        <w:drawing>
          <wp:inline>
            <wp:extent cx="3733800" cy="4664354"/>
            <wp:effectExtent b="0" l="0" r="0" t="0"/>
            <wp:docPr descr="Checking the program with the debugger"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5: Checking the program with the debugger</w:t>
      </w:r>
    </w:p>
    <w:p>
      <w:pPr>
        <w:pStyle w:val="BodyText"/>
      </w:pPr>
      <w:r>
        <w:t xml:space="preserve">For a more detailed analysis of the program, I add a breakpoint to the</w:t>
      </w:r>
      <w:r>
        <w:t xml:space="preserve"> </w:t>
      </w:r>
      <w:r>
        <w:rPr>
          <w:rStyle w:val="VerbatimChar"/>
        </w:rPr>
        <w:t xml:space="preserve">_start</w:t>
      </w:r>
      <w:r>
        <w:t xml:space="preserve"> </w:t>
      </w:r>
      <w:r>
        <w:t xml:space="preserve">label and run the debugging again (Figure 6).</w:t>
      </w:r>
    </w:p>
    <w:p>
      <w:pPr>
        <w:pStyle w:val="CaptionedFigure"/>
      </w:pPr>
      <w:r>
        <w:drawing>
          <wp:inline>
            <wp:extent cx="3733800" cy="4664354"/>
            <wp:effectExtent b="0" l="0" r="0" t="0"/>
            <wp:docPr descr="Running the debugger with a breakpoint"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6: Running the debugger with a breakpoint</w:t>
      </w:r>
    </w:p>
    <w:p>
      <w:pPr>
        <w:pStyle w:val="BodyText"/>
      </w:pPr>
      <w:r>
        <w:t xml:space="preserve">Next, I look at the disassembled code of the program, translated into a command with Intel syntax (Figure 7).</w:t>
      </w:r>
    </w:p>
    <w:p>
      <w:pPr>
        <w:pStyle w:val="BodyText"/>
      </w:pPr>
      <w:r>
        <w:t xml:space="preserve">The differences between ATT and Intel syntax are in the order of operands (ATT: source operand first; Intel: destination operand first), their size (ATT: explicitly specified with suffixes; Intel: implicitly determined by context), and register names (ATT: preceded by</w:t>
      </w:r>
      <w:r>
        <w:t xml:space="preserve"> </w:t>
      </w:r>
      <w:r>
        <w:t xml:space="preserve">‘</w:t>
      </w:r>
      <w:r>
        <w:t xml:space="preserve">%</w:t>
      </w:r>
      <w:r>
        <w:t xml:space="preserve">’</w:t>
      </w:r>
      <w:r>
        <w:t xml:space="preserve">; Intel: without prefixes).</w:t>
      </w:r>
    </w:p>
    <w:p>
      <w:pPr>
        <w:pStyle w:val="CaptionedFigure"/>
      </w:pPr>
      <w:r>
        <w:drawing>
          <wp:inline>
            <wp:extent cx="3733800" cy="4664354"/>
            <wp:effectExtent b="0" l="0" r="0" t="0"/>
            <wp:docPr descr="Disassembling the program"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7: Disassembling the program</w:t>
      </w:r>
    </w:p>
    <w:p>
      <w:pPr>
        <w:pStyle w:val="BodyText"/>
      </w:pPr>
      <w:r>
        <w:t xml:space="preserve">I enable pseudo-graphics mode for easier analysis of the program (Figure 8).</w:t>
      </w:r>
    </w:p>
    <w:p>
      <w:pPr>
        <w:pStyle w:val="CaptionedFigure"/>
      </w:pPr>
      <w:r>
        <w:drawing>
          <wp:inline>
            <wp:extent cx="3733800" cy="4664354"/>
            <wp:effectExtent b="0" l="0" r="0" t="0"/>
            <wp:docPr descr="Pseudo-graphics mode"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8: Pseudo-graphics mode</w:t>
      </w:r>
    </w:p>
    <w:bookmarkEnd w:id="47"/>
    <w:bookmarkStart w:id="53" w:name="adding-breakpoints"/>
    <w:p>
      <w:pPr>
        <w:pStyle w:val="Heading3"/>
      </w:pPr>
      <w:r>
        <w:rPr>
          <w:rStyle w:val="SectionNumber"/>
        </w:rPr>
        <w:t xml:space="preserve">4.1.2</w:t>
      </w:r>
      <w:r>
        <w:tab/>
      </w:r>
      <w:r>
        <w:t xml:space="preserve">Adding Breakpoints</w:t>
      </w:r>
    </w:p>
    <w:p>
      <w:pPr>
        <w:pStyle w:val="FirstParagraph"/>
      </w:pPr>
      <w:r>
        <w:t xml:space="preserve">I check in pseudo-graphics mode that the breakpoint is saved (Figure 9).</w:t>
      </w:r>
    </w:p>
    <w:p>
      <w:pPr>
        <w:pStyle w:val="CaptionedFigure"/>
      </w:pPr>
      <w:r>
        <w:drawing>
          <wp:inline>
            <wp:extent cx="3733800" cy="4664354"/>
            <wp:effectExtent b="0" l="0" r="0" t="0"/>
            <wp:docPr descr="Breakpoint list"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9: Breakpoint list</w:t>
      </w:r>
    </w:p>
    <w:p>
      <w:pPr>
        <w:pStyle w:val="BodyText"/>
      </w:pPr>
      <w:r>
        <w:t xml:space="preserve">I set another breakpoint at the instruction address (Figure 10).</w:t>
      </w:r>
    </w:p>
    <w:p>
      <w:pPr>
        <w:pStyle w:val="CaptionedFigure"/>
      </w:pPr>
      <w:r>
        <w:drawing>
          <wp:inline>
            <wp:extent cx="3733800" cy="4664354"/>
            <wp:effectExtent b="0" l="0" r="0" t="0"/>
            <wp:docPr descr="Adding a second breakpoint" title="" id="51" name="Picture"/>
            <a:graphic>
              <a:graphicData uri="http://schemas.openxmlformats.org/drawingml/2006/picture">
                <pic:pic>
                  <pic:nvPicPr>
                    <pic:cNvPr descr="image/10.png" id="52" name="Picture"/>
                    <pic:cNvPicPr>
                      <a:picLocks noChangeArrowheads="1" noChangeAspect="1"/>
                    </pic:cNvPicPr>
                  </pic:nvPicPr>
                  <pic:blipFill>
                    <a:blip r:embed="rId48"/>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10: Adding a second breakpoint</w:t>
      </w:r>
    </w:p>
    <w:bookmarkEnd w:id="53"/>
    <w:bookmarkStart w:id="69" w:name="working-with-program-data-in-gdb"/>
    <w:p>
      <w:pPr>
        <w:pStyle w:val="Heading3"/>
      </w:pPr>
      <w:r>
        <w:rPr>
          <w:rStyle w:val="SectionNumber"/>
        </w:rPr>
        <w:t xml:space="preserve">4.1.3</w:t>
      </w:r>
      <w:r>
        <w:tab/>
      </w:r>
      <w:r>
        <w:t xml:space="preserve">Working with Program Data in GDB</w:t>
      </w:r>
    </w:p>
    <w:p>
      <w:pPr>
        <w:pStyle w:val="FirstParagraph"/>
      </w:pPr>
      <w:r>
        <w:t xml:space="preserve">I view the contents of the registers using the</w:t>
      </w:r>
      <w:r>
        <w:t xml:space="preserve"> </w:t>
      </w:r>
      <w:r>
        <w:rPr>
          <w:rStyle w:val="VerbatimChar"/>
        </w:rPr>
        <w:t xml:space="preserve">info registers</w:t>
      </w:r>
      <w:r>
        <w:t xml:space="preserve"> </w:t>
      </w:r>
      <w:r>
        <w:t xml:space="preserve">command (Figure 11).</w:t>
      </w:r>
    </w:p>
    <w:p>
      <w:pPr>
        <w:pStyle w:val="CaptionedFigure"/>
      </w:pPr>
      <w:r>
        <w:drawing>
          <wp:inline>
            <wp:extent cx="3733800" cy="4664354"/>
            <wp:effectExtent b="0" l="0" r="0" t="0"/>
            <wp:docPr descr="Viewing the contents of registers" title="" id="55" name="Picture"/>
            <a:graphic>
              <a:graphicData uri="http://schemas.openxmlformats.org/drawingml/2006/picture">
                <pic:pic>
                  <pic:nvPicPr>
                    <pic:cNvPr descr="image/11.png" id="56" name="Picture"/>
                    <pic:cNvPicPr>
                      <a:picLocks noChangeArrowheads="1" noChangeAspect="1"/>
                    </pic:cNvPicPr>
                  </pic:nvPicPr>
                  <pic:blipFill>
                    <a:blip r:embed="rId54"/>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11: Viewing the contents of registers</w:t>
      </w:r>
    </w:p>
    <w:p>
      <w:pPr>
        <w:pStyle w:val="BodyText"/>
      </w:pPr>
      <w:r>
        <w:t xml:space="preserve">I look at the contents of the variables by name and by address (Figure 12).</w:t>
      </w:r>
    </w:p>
    <w:p>
      <w:pPr>
        <w:pStyle w:val="CaptionedFigure"/>
      </w:pPr>
      <w:r>
        <w:drawing>
          <wp:inline>
            <wp:extent cx="3733800" cy="4664354"/>
            <wp:effectExtent b="0" l="0" r="0" t="0"/>
            <wp:docPr descr="Viewing the contents of variables in two ways" title="" id="58" name="Picture"/>
            <a:graphic>
              <a:graphicData uri="http://schemas.openxmlformats.org/drawingml/2006/picture">
                <pic:pic>
                  <pic:nvPicPr>
                    <pic:cNvPr descr="image/12.png" id="59" name="Picture"/>
                    <pic:cNvPicPr>
                      <a:picLocks noChangeArrowheads="1" noChangeAspect="1"/>
                    </pic:cNvPicPr>
                  </pic:nvPicPr>
                  <pic:blipFill>
                    <a:blip r:embed="rId57"/>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12: Viewing the contents of variables in two ways</w:t>
      </w:r>
    </w:p>
    <w:p>
      <w:pPr>
        <w:pStyle w:val="BodyText"/>
      </w:pPr>
      <w:r>
        <w:t xml:space="preserve">I change the contents of variables by name and by address (Figure 13).</w:t>
      </w:r>
    </w:p>
    <w:p>
      <w:pPr>
        <w:pStyle w:val="CaptionedFigure"/>
      </w:pPr>
      <w:r>
        <w:drawing>
          <wp:inline>
            <wp:extent cx="3733800" cy="4664354"/>
            <wp:effectExtent b="0" l="0" r="0" t="0"/>
            <wp:docPr descr="Changing the contents of variables in two ways" title="" id="61" name="Picture"/>
            <a:graphic>
              <a:graphicData uri="http://schemas.openxmlformats.org/drawingml/2006/picture">
                <pic:pic>
                  <pic:nvPicPr>
                    <pic:cNvPr descr="image/13.png" id="62" name="Picture"/>
                    <pic:cNvPicPr>
                      <a:picLocks noChangeArrowheads="1" noChangeAspect="1"/>
                    </pic:cNvPicPr>
                  </pic:nvPicPr>
                  <pic:blipFill>
                    <a:blip r:embed="rId60"/>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13: Changing the contents of variables in two ways</w:t>
      </w:r>
    </w:p>
    <w:p>
      <w:pPr>
        <w:pStyle w:val="BodyText"/>
      </w:pPr>
      <w:r>
        <w:t xml:space="preserve">I output the value of the</w:t>
      </w:r>
      <w:r>
        <w:t xml:space="preserve"> </w:t>
      </w:r>
      <w:r>
        <w:rPr>
          <w:rStyle w:val="VerbatimChar"/>
        </w:rPr>
        <w:t xml:space="preserve">edx</w:t>
      </w:r>
      <w:r>
        <w:t xml:space="preserve"> </w:t>
      </w:r>
      <w:r>
        <w:t xml:space="preserve">register in various formats (Figure 14).</w:t>
      </w:r>
    </w:p>
    <w:p>
      <w:pPr>
        <w:pStyle w:val="CaptionedFigure"/>
      </w:pPr>
      <w:r>
        <w:drawing>
          <wp:inline>
            <wp:extent cx="3733800" cy="4664354"/>
            <wp:effectExtent b="0" l="0" r="0" t="0"/>
            <wp:docPr descr="Viewing the register value in different representations"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14: Viewing the register value in different representations</w:t>
      </w:r>
    </w:p>
    <w:p>
      <w:pPr>
        <w:pStyle w:val="BodyText"/>
      </w:pPr>
      <w:r>
        <w:t xml:space="preserve">Using the</w:t>
      </w:r>
      <w:r>
        <w:t xml:space="preserve"> </w:t>
      </w:r>
      <w:r>
        <w:rPr>
          <w:rStyle w:val="VerbatimChar"/>
        </w:rPr>
        <w:t xml:space="preserve">set</w:t>
      </w:r>
      <w:r>
        <w:t xml:space="preserve"> </w:t>
      </w:r>
      <w:r>
        <w:t xml:space="preserve">command, I change the contents of the</w:t>
      </w:r>
      <w:r>
        <w:t xml:space="preserve"> </w:t>
      </w:r>
      <w:r>
        <w:rPr>
          <w:rStyle w:val="VerbatimChar"/>
        </w:rPr>
        <w:t xml:space="preserve">ebx</w:t>
      </w:r>
      <w:r>
        <w:t xml:space="preserve"> </w:t>
      </w:r>
      <w:r>
        <w:t xml:space="preserve">register (Figure 15).</w:t>
      </w:r>
    </w:p>
    <w:p>
      <w:pPr>
        <w:pStyle w:val="CaptionedFigure"/>
      </w:pPr>
      <w:r>
        <w:drawing>
          <wp:inline>
            <wp:extent cx="3733800" cy="4664354"/>
            <wp:effectExtent b="0" l="0" r="0" t="0"/>
            <wp:docPr descr="Examples of using the set command"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15: Examples of using the set command</w:t>
      </w:r>
    </w:p>
    <w:bookmarkEnd w:id="69"/>
    <w:bookmarkStart w:id="76" w:name="processing-command-line-arguments-in-gdb"/>
    <w:p>
      <w:pPr>
        <w:pStyle w:val="Heading3"/>
      </w:pPr>
      <w:r>
        <w:rPr>
          <w:rStyle w:val="SectionNumber"/>
        </w:rPr>
        <w:t xml:space="preserve">4.1.4</w:t>
      </w:r>
      <w:r>
        <w:tab/>
      </w:r>
      <w:r>
        <w:t xml:space="preserve">Processing Command-Line Arguments in GDB</w:t>
      </w:r>
    </w:p>
    <w:p>
      <w:pPr>
        <w:pStyle w:val="FirstParagraph"/>
      </w:pPr>
      <w:r>
        <w:t xml:space="preserve">I copy the program from the previous laboratory work to the current directory and create an executable file with a listing and debugging file (Figure 16).</w:t>
      </w:r>
    </w:p>
    <w:p>
      <w:pPr>
        <w:pStyle w:val="CaptionedFigure"/>
      </w:pPr>
      <w:r>
        <w:drawing>
          <wp:inline>
            <wp:extent cx="3733800" cy="4664354"/>
            <wp:effectExtent b="0" l="0" r="0" t="0"/>
            <wp:docPr descr="Preparing a new program" title="" id="71" name="Picture"/>
            <a:graphic>
              <a:graphicData uri="http://schemas.openxmlformats.org/drawingml/2006/picture">
                <pic:pic>
                  <pic:nvPicPr>
                    <pic:cNvPr descr="image/16.png" id="72" name="Picture"/>
                    <pic:cNvPicPr>
                      <a:picLocks noChangeArrowheads="1" noChangeAspect="1"/>
                    </pic:cNvPicPr>
                  </pic:nvPicPr>
                  <pic:blipFill>
                    <a:blip r:embed="rId70"/>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16: Preparing a new program</w:t>
      </w:r>
    </w:p>
    <w:p>
      <w:pPr>
        <w:pStyle w:val="BodyText"/>
      </w:pPr>
      <w:r>
        <w:t xml:space="preserve">I run the program in debug mode specifying arguments, specify a breakpoint and start debugging. I check the operation of the stack, changing the argument of the command to view the</w:t>
      </w:r>
      <w:r>
        <w:t xml:space="preserve"> </w:t>
      </w:r>
      <w:r>
        <w:rPr>
          <w:rStyle w:val="VerbatimChar"/>
        </w:rPr>
        <w:t xml:space="preserve">esp</w:t>
      </w:r>
      <w:r>
        <w:t xml:space="preserve"> </w:t>
      </w:r>
      <w:r>
        <w:t xml:space="preserve">register to +4 (the number is determined by the system’s bit depth, and a void pointer occupies 4 bytes); an error with the argument +24 means that the input program arguments have ended. (Figure 17).</w:t>
      </w:r>
    </w:p>
    <w:p>
      <w:pPr>
        <w:pStyle w:val="CaptionedFigure"/>
      </w:pPr>
      <w:r>
        <w:drawing>
          <wp:inline>
            <wp:extent cx="3733800" cy="4664354"/>
            <wp:effectExtent b="0" l="0" r="0" t="0"/>
            <wp:docPr descr="Checking the stack operation" title="" id="74" name="Picture"/>
            <a:graphic>
              <a:graphicData uri="http://schemas.openxmlformats.org/drawingml/2006/picture">
                <pic:pic>
                  <pic:nvPicPr>
                    <pic:cNvPr descr="image/17.png" id="75" name="Picture"/>
                    <pic:cNvPicPr>
                      <a:picLocks noChangeArrowheads="1" noChangeAspect="1"/>
                    </pic:cNvPicPr>
                  </pic:nvPicPr>
                  <pic:blipFill>
                    <a:blip r:embed="rId73"/>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17: Checking the stack operation</w:t>
      </w:r>
    </w:p>
    <w:bookmarkEnd w:id="76"/>
    <w:bookmarkEnd w:id="77"/>
    <w:bookmarkStart w:id="84" w:name="independent-work-assignment"/>
    <w:p>
      <w:pPr>
        <w:pStyle w:val="Heading2"/>
      </w:pPr>
      <w:r>
        <w:rPr>
          <w:rStyle w:val="SectionNumber"/>
        </w:rPr>
        <w:t xml:space="preserve">4.2</w:t>
      </w:r>
      <w:r>
        <w:tab/>
      </w:r>
      <w:r>
        <w:t xml:space="preserve">Independent Work Assignment</w:t>
      </w:r>
    </w:p>
    <w:p>
      <w:pPr>
        <w:numPr>
          <w:ilvl w:val="0"/>
          <w:numId w:val="1004"/>
        </w:numPr>
        <w:pStyle w:val="Compact"/>
      </w:pPr>
      <w:r>
        <w:t xml:space="preserve">I change the program of the independent part of the previous laboratory work using a subroutine (Figure 18).</w:t>
      </w:r>
    </w:p>
    <w:p>
      <w:pPr>
        <w:pStyle w:val="CaptionedFigure"/>
      </w:pPr>
      <w:r>
        <w:drawing>
          <wp:inline>
            <wp:extent cx="3733800" cy="4652947"/>
            <wp:effectExtent b="0" l="0" r="0" t="0"/>
            <wp:docPr descr="Modified program of the previous laboratory work" title="" id="79" name="Picture"/>
            <a:graphic>
              <a:graphicData uri="http://schemas.openxmlformats.org/drawingml/2006/picture">
                <pic:pic>
                  <pic:nvPicPr>
                    <pic:cNvPr descr="image/18.png" id="80" name="Picture"/>
                    <pic:cNvPicPr>
                      <a:picLocks noChangeArrowheads="1" noChangeAspect="1"/>
                    </pic:cNvPicPr>
                  </pic:nvPicPr>
                  <pic:blipFill>
                    <a:blip r:embed="rId78"/>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18: Modified program of the previous laboratory work</w:t>
      </w:r>
    </w:p>
    <w:p>
      <w:pPr>
        <w:pStyle w:val="BodyText"/>
      </w:pPr>
      <w:r>
        <w:t xml:space="preserve">Program code:</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rPr>
          <w:rStyle w:val="NormalTok"/>
        </w:rPr>
        <w:t xml:space="preserve">msg_func </w:t>
      </w:r>
      <w:r>
        <w:rPr>
          <w:rStyle w:val="DataTypeTok"/>
        </w:rPr>
        <w:t xml:space="preserve">db</w:t>
      </w:r>
      <w:r>
        <w:rPr>
          <w:rStyle w:val="NormalTok"/>
        </w:rPr>
        <w:t xml:space="preserve"> </w:t>
      </w:r>
      <w:r>
        <w:rPr>
          <w:rStyle w:val="StringTok"/>
        </w:rPr>
        <w:t xml:space="preserve">"Function: f(x) = 5 * (2 + x)"</w:t>
      </w:r>
      <w:r>
        <w:rPr>
          <w:rStyle w:val="OperatorTok"/>
        </w:rPr>
        <w:t xml:space="preserve">,</w:t>
      </w:r>
      <w:r>
        <w:rPr>
          <w:rStyle w:val="NormalTok"/>
        </w:rPr>
        <w:t xml:space="preserve"> </w:t>
      </w:r>
      <w:r>
        <w:rPr>
          <w:rStyle w:val="DecValTok"/>
        </w:rPr>
        <w:t xml:space="preserve">0</w:t>
      </w:r>
      <w:r>
        <w:br/>
      </w:r>
      <w:r>
        <w:rPr>
          <w:rStyle w:val="NormalTok"/>
        </w:rPr>
        <w:t xml:space="preserve">msg_result </w:t>
      </w:r>
      <w:r>
        <w:rPr>
          <w:rStyle w:val="DataTypeTok"/>
        </w:rPr>
        <w:t xml:space="preserve">db</w:t>
      </w:r>
      <w:r>
        <w:rPr>
          <w:rStyle w:val="NormalTok"/>
        </w:rPr>
        <w:t xml:space="preserve"> </w:t>
      </w:r>
      <w:r>
        <w:rPr>
          <w:rStyle w:val="StringTok"/>
        </w:rPr>
        <w:t xml:space="preserve">"Result: "</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.bss</w:t>
      </w:r>
      <w:r>
        <w:br/>
      </w:r>
      <w:r>
        <w:rPr>
          <w:rStyle w:val="NormalTok"/>
        </w:rPr>
        <w:t xml:space="preserve">x_input </w:t>
      </w:r>
      <w:r>
        <w:rPr>
          <w:rStyle w:val="DataTypeTok"/>
        </w:rPr>
        <w:t xml:space="preserve">resd</w:t>
      </w:r>
      <w:r>
        <w:rPr>
          <w:rStyle w:val="NormalTok"/>
        </w:rPr>
        <w:t xml:space="preserve"> </w:t>
      </w:r>
      <w:r>
        <w:rPr>
          <w:rStyle w:val="DecValTok"/>
        </w:rPr>
        <w:t xml:space="preserve">1</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br/>
      </w:r>
      <w:r>
        <w:rPr>
          <w:rStyle w:val="FunctionTok"/>
        </w:rPr>
        <w:t xml:space="preserve">calculate_f:</w:t>
      </w:r>
      <w:r>
        <w:br/>
      </w:r>
      <w:r>
        <w:rPr>
          <w:rStyle w:val="NormalTok"/>
        </w:rPr>
        <w:t xml:space="preserve">  </w:t>
      </w:r>
      <w:r>
        <w:rPr>
          <w:rStyle w:val="KeywordTok"/>
        </w:rPr>
        <w:t xml:space="preserve">push</w:t>
      </w:r>
      <w:r>
        <w:rPr>
          <w:rStyle w:val="NormalTok"/>
        </w:rPr>
        <w:t xml:space="preserve"> </w:t>
      </w:r>
      <w:r>
        <w:rPr>
          <w:rStyle w:val="KeywordTok"/>
        </w:rPr>
        <w:t xml:space="preserve">ebp</w:t>
      </w:r>
      <w:r>
        <w:br/>
      </w:r>
      <w:r>
        <w:rPr>
          <w:rStyle w:val="NormalTok"/>
        </w:rPr>
        <w:t xml:space="preserve">  </w:t>
      </w:r>
      <w:r>
        <w:rPr>
          <w:rStyle w:val="KeywordTok"/>
        </w:rPr>
        <w:t xml:space="preserve">mov</w:t>
      </w:r>
      <w:r>
        <w:rPr>
          <w:rStyle w:val="NormalTok"/>
        </w:rPr>
        <w:t xml:space="preserve"> </w:t>
      </w:r>
      <w:r>
        <w:rPr>
          <w:rStyle w:val="KeywordTok"/>
        </w:rPr>
        <w:t xml:space="preserve">ebp</w:t>
      </w:r>
      <w:r>
        <w:rPr>
          <w:rStyle w:val="OperatorTok"/>
        </w:rPr>
        <w:t xml:space="preserve">,</w:t>
      </w:r>
      <w:r>
        <w:rPr>
          <w:rStyle w:val="NormalTok"/>
        </w:rPr>
        <w:t xml:space="preserve"> </w:t>
      </w:r>
      <w:r>
        <w:rPr>
          <w:rStyle w:val="KeywordTok"/>
        </w:rPr>
        <w:t xml:space="preserve">esp</w:t>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OperatorTok"/>
        </w:rPr>
        <w:t xml:space="preserve">[</w:t>
      </w:r>
      <w:r>
        <w:rPr>
          <w:rStyle w:val="KeywordTok"/>
        </w:rPr>
        <w:t xml:space="preserve">ebp</w:t>
      </w:r>
      <w:r>
        <w:rPr>
          <w:rStyle w:val="OperatorTok"/>
        </w:rPr>
        <w:t xml:space="preserve">+</w:t>
      </w:r>
      <w:r>
        <w:rPr>
          <w:rStyle w:val="DecValTok"/>
        </w:rPr>
        <w:t xml:space="preserve">8</w:t>
      </w:r>
      <w:r>
        <w:rPr>
          <w:rStyle w:val="OperatorTok"/>
        </w:rPr>
        <w:t xml:space="preserve">]</w:t>
      </w:r>
      <w:r>
        <w:br/>
      </w:r>
      <w:r>
        <w:rPr>
          <w:rStyle w:val="NormalTok"/>
        </w:rPr>
        <w:t xml:space="preserve">  </w:t>
      </w:r>
      <w:r>
        <w:rPr>
          <w:rStyle w:val="KeywordTok"/>
        </w:rPr>
        <w:t xml:space="preserve">add</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2</w:t>
      </w:r>
      <w:r>
        <w:br/>
      </w:r>
      <w:r>
        <w:rPr>
          <w:rStyle w:val="NormalTok"/>
        </w:rPr>
        <w:t xml:space="preserve">  </w:t>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5</w:t>
      </w:r>
      <w:r>
        <w:br/>
      </w:r>
      <w:r>
        <w:rPr>
          <w:rStyle w:val="NormalTok"/>
        </w:rPr>
        <w:t xml:space="preserve">  </w:t>
      </w:r>
      <w:r>
        <w:rPr>
          <w:rStyle w:val="KeywordTok"/>
        </w:rPr>
        <w:t xml:space="preserve">mul</w:t>
      </w:r>
      <w:r>
        <w:rPr>
          <w:rStyle w:val="NormalTok"/>
        </w:rPr>
        <w:t xml:space="preserve"> </w:t>
      </w:r>
      <w:r>
        <w:rPr>
          <w:rStyle w:val="KeywordTok"/>
        </w:rPr>
        <w:t xml:space="preserve">ebx</w:t>
      </w:r>
      <w:r>
        <w:br/>
      </w:r>
      <w:r>
        <w:rPr>
          <w:rStyle w:val="NormalTok"/>
        </w:rPr>
        <w:t xml:space="preserve">  </w:t>
      </w:r>
      <w:r>
        <w:rPr>
          <w:rStyle w:val="KeywordTok"/>
        </w:rPr>
        <w:t xml:space="preserve">mov</w:t>
      </w:r>
      <w:r>
        <w:rPr>
          <w:rStyle w:val="NormalTok"/>
        </w:rPr>
        <w:t xml:space="preserve"> </w:t>
      </w:r>
      <w:r>
        <w:rPr>
          <w:rStyle w:val="KeywordTok"/>
        </w:rPr>
        <w:t xml:space="preserve">esp</w:t>
      </w:r>
      <w:r>
        <w:rPr>
          <w:rStyle w:val="OperatorTok"/>
        </w:rPr>
        <w:t xml:space="preserve">,</w:t>
      </w:r>
      <w:r>
        <w:rPr>
          <w:rStyle w:val="NormalTok"/>
        </w:rPr>
        <w:t xml:space="preserve"> </w:t>
      </w:r>
      <w:r>
        <w:rPr>
          <w:rStyle w:val="KeywordTok"/>
        </w:rPr>
        <w:t xml:space="preserve">ebp</w:t>
      </w:r>
      <w:r>
        <w:br/>
      </w:r>
      <w:r>
        <w:rPr>
          <w:rStyle w:val="NormalTok"/>
        </w:rPr>
        <w:t xml:space="preserve">  </w:t>
      </w:r>
      <w:r>
        <w:rPr>
          <w:rStyle w:val="KeywordTok"/>
        </w:rPr>
        <w:t xml:space="preserve">pop</w:t>
      </w:r>
      <w:r>
        <w:rPr>
          <w:rStyle w:val="NormalTok"/>
        </w:rPr>
        <w:t xml:space="preserve"> </w:t>
      </w:r>
      <w:r>
        <w:rPr>
          <w:rStyle w:val="KeywordTok"/>
        </w:rPr>
        <w:t xml:space="preserve">ebp</w:t>
      </w:r>
      <w:r>
        <w:br/>
      </w:r>
      <w:r>
        <w:rPr>
          <w:rStyle w:val="NormalTok"/>
        </w:rPr>
        <w:t xml:space="preserve">  </w:t>
      </w:r>
      <w:r>
        <w:rPr>
          <w:rStyle w:val="ControlFlowTok"/>
        </w:rPr>
        <w:t xml:space="preserve">ret</w:t>
      </w:r>
      <w:r>
        <w:br/>
      </w:r>
      <w:r>
        <w:br/>
      </w:r>
      <w:r>
        <w:rPr>
          <w:rStyle w:val="FunctionTok"/>
        </w:rPr>
        <w:t xml:space="preserve">_start:</w:t>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msg_func</w:t>
      </w:r>
      <w:r>
        <w:br/>
      </w:r>
      <w:r>
        <w:rPr>
          <w:rStyle w:val="NormalTok"/>
        </w:rPr>
        <w:t xml:space="preserve">  </w:t>
      </w:r>
      <w:r>
        <w:rPr>
          <w:rStyle w:val="ControlFlowTok"/>
        </w:rPr>
        <w:t xml:space="preserve">call</w:t>
      </w:r>
      <w:r>
        <w:rPr>
          <w:rStyle w:val="NormalTok"/>
        </w:rPr>
        <w:t xml:space="preserve"> sprintLF</w:t>
      </w:r>
      <w:r>
        <w:br/>
      </w:r>
      <w:r>
        <w:rPr>
          <w:rStyle w:val="NormalTok"/>
        </w:rPr>
        <w:t xml:space="preserve">  </w:t>
      </w:r>
      <w:r>
        <w:rPr>
          <w:rStyle w:val="KeywordTok"/>
        </w:rPr>
        <w:t xml:space="preserve">pop</w:t>
      </w:r>
      <w:r>
        <w:rPr>
          <w:rStyle w:val="NormalTok"/>
        </w:rPr>
        <w:t xml:space="preserve"> </w:t>
      </w:r>
      <w:r>
        <w:rPr>
          <w:rStyle w:val="KeywordTok"/>
        </w:rPr>
        <w:t xml:space="preserve">ecx</w:t>
      </w:r>
      <w:r>
        <w:br/>
      </w:r>
      <w:r>
        <w:rPr>
          <w:rStyle w:val="NormalTok"/>
        </w:rPr>
        <w:t xml:space="preserve">  </w:t>
      </w:r>
      <w:r>
        <w:rPr>
          <w:rStyle w:val="KeywordTok"/>
        </w:rPr>
        <w:t xml:space="preserve">pop</w:t>
      </w:r>
      <w:r>
        <w:rPr>
          <w:rStyle w:val="NormalTok"/>
        </w:rPr>
        <w:t xml:space="preserve"> </w:t>
      </w:r>
      <w:r>
        <w:rPr>
          <w:rStyle w:val="KeywordTok"/>
        </w:rPr>
        <w:t xml:space="preserve">edx</w:t>
      </w:r>
      <w:r>
        <w:br/>
      </w:r>
      <w:r>
        <w:rPr>
          <w:rStyle w:val="NormalTok"/>
        </w:rPr>
        <w:t xml:space="preserve">  </w:t>
      </w:r>
      <w:r>
        <w:rPr>
          <w:rStyle w:val="KeywordTok"/>
        </w:rPr>
        <w:t xml:space="preserve">sub</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KeywordTok"/>
        </w:rPr>
        <w:t xml:space="preserve">mov</w:t>
      </w:r>
      <w:r>
        <w:rPr>
          <w:rStyle w:val="NormalTok"/>
        </w:rPr>
        <w:t xml:space="preserve"> </w:t>
      </w:r>
      <w:r>
        <w:rPr>
          <w:rStyle w:val="KeywordTok"/>
        </w:rPr>
        <w:t xml:space="preserve">esi</w:t>
      </w:r>
      <w:r>
        <w:rPr>
          <w:rStyle w:val="OperatorTok"/>
        </w:rPr>
        <w:t xml:space="preserve">,</w:t>
      </w:r>
      <w:r>
        <w:rPr>
          <w:rStyle w:val="NormalTok"/>
        </w:rPr>
        <w:t xml:space="preserve"> </w:t>
      </w:r>
      <w:r>
        <w:rPr>
          <w:rStyle w:val="DecValTok"/>
        </w:rPr>
        <w:t xml:space="preserve">0</w:t>
      </w:r>
      <w:r>
        <w:br/>
      </w:r>
      <w:r>
        <w:br/>
      </w:r>
      <w:r>
        <w:rPr>
          <w:rStyle w:val="FunctionTok"/>
        </w:rPr>
        <w:t xml:space="preserve">next:</w:t>
      </w:r>
      <w:r>
        <w:br/>
      </w:r>
      <w:r>
        <w:rPr>
          <w:rStyle w:val="NormalTok"/>
        </w:rPr>
        <w:t xml:space="preserve">  </w:t>
      </w:r>
      <w:r>
        <w:rPr>
          <w:rStyle w:val="KeywordTok"/>
        </w:rPr>
        <w:t xml:space="preserve">cmp</w:t>
      </w:r>
      <w:r>
        <w:rPr>
          <w:rStyle w:val="NormalTok"/>
        </w:rPr>
        <w:t xml:space="preserve"> </w:t>
      </w:r>
      <w:r>
        <w:rPr>
          <w:rStyle w:val="KeywordTok"/>
        </w:rPr>
        <w:t xml:space="preserve">ecx</w:t>
      </w:r>
      <w:r>
        <w:rPr>
          <w:rStyle w:val="OperatorTok"/>
        </w:rPr>
        <w:t xml:space="preserve">,</w:t>
      </w:r>
      <w:r>
        <w:rPr>
          <w:rStyle w:val="NormalTok"/>
        </w:rPr>
        <w:t xml:space="preserve"> </w:t>
      </w:r>
      <w:r>
        <w:rPr>
          <w:rStyle w:val="BaseNTok"/>
        </w:rPr>
        <w:t xml:space="preserve">0h</w:t>
      </w:r>
      <w:r>
        <w:br/>
      </w:r>
      <w:r>
        <w:rPr>
          <w:rStyle w:val="NormalTok"/>
        </w:rPr>
        <w:t xml:space="preserve">  </w:t>
      </w:r>
      <w:r>
        <w:rPr>
          <w:rStyle w:val="ControlFlowTok"/>
        </w:rPr>
        <w:t xml:space="preserve">jz</w:t>
      </w:r>
      <w:r>
        <w:rPr>
          <w:rStyle w:val="NormalTok"/>
        </w:rPr>
        <w:t xml:space="preserve"> _end</w:t>
      </w:r>
      <w:r>
        <w:br/>
      </w:r>
      <w:r>
        <w:rPr>
          <w:rStyle w:val="NormalTok"/>
        </w:rPr>
        <w:t xml:space="preserve">  </w:t>
      </w:r>
      <w:r>
        <w:rPr>
          <w:rStyle w:val="KeywordTok"/>
        </w:rPr>
        <w:t xml:space="preserve">pop</w:t>
      </w:r>
      <w:r>
        <w:rPr>
          <w:rStyle w:val="NormalTok"/>
        </w:rPr>
        <w:t xml:space="preserve"> </w:t>
      </w:r>
      <w:r>
        <w:rPr>
          <w:rStyle w:val="KeywordTok"/>
        </w:rPr>
        <w:t xml:space="preserve">eax</w:t>
      </w:r>
      <w:r>
        <w:br/>
      </w:r>
      <w:r>
        <w:rPr>
          <w:rStyle w:val="NormalTok"/>
        </w:rPr>
        <w:t xml:space="preserve">  </w:t>
      </w:r>
      <w:r>
        <w:rPr>
          <w:rStyle w:val="KeywordTok"/>
        </w:rPr>
        <w:t xml:space="preserve">push</w:t>
      </w:r>
      <w:r>
        <w:rPr>
          <w:rStyle w:val="NormalTok"/>
        </w:rPr>
        <w:t xml:space="preserve"> </w:t>
      </w:r>
      <w:r>
        <w:rPr>
          <w:rStyle w:val="KeywordTok"/>
        </w:rPr>
        <w:t xml:space="preserve">eax</w:t>
      </w:r>
      <w:r>
        <w:br/>
      </w:r>
      <w:r>
        <w:rPr>
          <w:rStyle w:val="NormalTok"/>
        </w:rPr>
        <w:t xml:space="preserve">  </w:t>
      </w:r>
      <w:r>
        <w:rPr>
          <w:rStyle w:val="ControlFlowTok"/>
        </w:rPr>
        <w:t xml:space="preserve">call</w:t>
      </w:r>
      <w:r>
        <w:rPr>
          <w:rStyle w:val="NormalTok"/>
        </w:rPr>
        <w:t xml:space="preserve"> calculate_f</w:t>
      </w:r>
      <w:r>
        <w:br/>
      </w:r>
      <w:r>
        <w:rPr>
          <w:rStyle w:val="NormalTok"/>
        </w:rPr>
        <w:t xml:space="preserve">  </w:t>
      </w:r>
      <w:r>
        <w:rPr>
          <w:rStyle w:val="KeywordTok"/>
        </w:rPr>
        <w:t xml:space="preserve">add</w:t>
      </w:r>
      <w:r>
        <w:rPr>
          <w:rStyle w:val="NormalTok"/>
        </w:rPr>
        <w:t xml:space="preserve"> </w:t>
      </w:r>
      <w:r>
        <w:rPr>
          <w:rStyle w:val="KeywordTok"/>
        </w:rPr>
        <w:t xml:space="preserve">esi</w:t>
      </w:r>
      <w:r>
        <w:rPr>
          <w:rStyle w:val="OperatorTok"/>
        </w:rPr>
        <w:t xml:space="preserve">,</w:t>
      </w:r>
      <w:r>
        <w:rPr>
          <w:rStyle w:val="NormalTok"/>
        </w:rPr>
        <w:t xml:space="preserve"> </w:t>
      </w:r>
      <w:r>
        <w:rPr>
          <w:rStyle w:val="KeywordTok"/>
        </w:rPr>
        <w:t xml:space="preserve">eax</w:t>
      </w:r>
      <w:r>
        <w:br/>
      </w:r>
      <w:r>
        <w:rPr>
          <w:rStyle w:val="NormalTok"/>
        </w:rPr>
        <w:t xml:space="preserve">  </w:t>
      </w:r>
      <w:r>
        <w:rPr>
          <w:rStyle w:val="KeywordTok"/>
        </w:rPr>
        <w:t xml:space="preserve">loop</w:t>
      </w:r>
      <w:r>
        <w:rPr>
          <w:rStyle w:val="NormalTok"/>
        </w:rPr>
        <w:t xml:space="preserve"> next</w:t>
      </w:r>
      <w:r>
        <w:br/>
      </w:r>
      <w:r>
        <w:br/>
      </w:r>
      <w:r>
        <w:rPr>
          <w:rStyle w:val="FunctionTok"/>
        </w:rPr>
        <w:t xml:space="preserve">_end:</w:t>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msg_result</w:t>
      </w:r>
      <w:r>
        <w:br/>
      </w:r>
      <w:r>
        <w:rPr>
          <w:rStyle w:val="NormalTok"/>
        </w:rPr>
        <w:t xml:space="preserve">  </w:t>
      </w:r>
      <w:r>
        <w:rPr>
          <w:rStyle w:val="ControlFlowTok"/>
        </w:rPr>
        <w:t xml:space="preserve">call</w:t>
      </w:r>
      <w:r>
        <w:rPr>
          <w:rStyle w:val="NormalTok"/>
        </w:rPr>
        <w:t xml:space="preserve"> sprint</w:t>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esi</w:t>
      </w:r>
      <w:r>
        <w:br/>
      </w:r>
      <w:r>
        <w:rPr>
          <w:rStyle w:val="NormalTok"/>
        </w:rPr>
        <w:t xml:space="preserve">  </w:t>
      </w:r>
      <w:r>
        <w:rPr>
          <w:rStyle w:val="ControlFlowTok"/>
        </w:rPr>
        <w:t xml:space="preserve">call</w:t>
      </w:r>
      <w:r>
        <w:rPr>
          <w:rStyle w:val="NormalTok"/>
        </w:rPr>
        <w:t xml:space="preserve"> iprintLF</w:t>
      </w:r>
      <w:r>
        <w:br/>
      </w:r>
      <w:r>
        <w:rPr>
          <w:rStyle w:val="NormalTok"/>
        </w:rPr>
        <w:t xml:space="preserve">  </w:t>
      </w:r>
      <w:r>
        <w:rPr>
          <w:rStyle w:val="ControlFlowTok"/>
        </w:rPr>
        <w:t xml:space="preserve">call</w:t>
      </w:r>
      <w:r>
        <w:rPr>
          <w:rStyle w:val="NormalTok"/>
        </w:rPr>
        <w:t xml:space="preserve"> quit</w:t>
      </w:r>
    </w:p>
    <w:p>
      <w:pPr>
        <w:pStyle w:val="FirstParagraph"/>
      </w:pPr>
      <w:r>
        <w:t xml:space="preserve">I correct the found error; now the program correctly calculates the value of the function (Figure 20).</w:t>
      </w:r>
    </w:p>
    <w:p>
      <w:pPr>
        <w:pStyle w:val="CaptionedFigure"/>
      </w:pPr>
      <w:r>
        <w:drawing>
          <wp:inline>
            <wp:extent cx="3733800" cy="4664354"/>
            <wp:effectExtent b="0" l="0" r="0" t="0"/>
            <wp:docPr descr="Verification of corrections in the program" title="" id="82" name="Picture"/>
            <a:graphic>
              <a:graphicData uri="http://schemas.openxmlformats.org/drawingml/2006/picture">
                <pic:pic>
                  <pic:nvPicPr>
                    <pic:cNvPr descr="image/19.png" id="83" name="Picture"/>
                    <pic:cNvPicPr>
                      <a:picLocks noChangeArrowheads="1" noChangeAspect="1"/>
                    </pic:cNvPicPr>
                  </pic:nvPicPr>
                  <pic:blipFill>
                    <a:blip r:embed="rId81"/>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19: Verification of corrections in the program</w:t>
      </w:r>
    </w:p>
    <w:p>
      <w:pPr>
        <w:pStyle w:val="BodyText"/>
      </w:pPr>
      <w:r>
        <w:t xml:space="preserve">Modified program code:</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rPr>
          <w:rStyle w:val="FunctionTok"/>
        </w:rPr>
        <w:t xml:space="preserve">div:</w:t>
      </w:r>
      <w:r>
        <w:rPr>
          <w:rStyle w:val="NormalTok"/>
        </w:rPr>
        <w:t xml:space="preserve"> </w:t>
      </w:r>
      <w:r>
        <w:rPr>
          <w:rStyle w:val="DataTypeTok"/>
        </w:rPr>
        <w:t xml:space="preserve">DB</w:t>
      </w:r>
      <w:r>
        <w:rPr>
          <w:rStyle w:val="NormalTok"/>
        </w:rPr>
        <w:t xml:space="preserve"> </w:t>
      </w:r>
      <w:r>
        <w:rPr>
          <w:rStyle w:val="StringTok"/>
        </w:rPr>
        <w:t xml:space="preserve">'Result: '</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3</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2</w:t>
      </w:r>
      <w:r>
        <w:br/>
      </w:r>
      <w:r>
        <w:rPr>
          <w:rStyle w:val="KeywordTok"/>
        </w:rPr>
        <w:t xml:space="preserve">add</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eax</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ebx</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4</w:t>
      </w:r>
      <w:r>
        <w:br/>
      </w:r>
      <w:r>
        <w:rPr>
          <w:rStyle w:val="KeywordTok"/>
        </w:rPr>
        <w:t xml:space="preserve">mul</w:t>
      </w:r>
      <w:r>
        <w:rPr>
          <w:rStyle w:val="NormalTok"/>
        </w:rPr>
        <w:t xml:space="preserve"> </w:t>
      </w:r>
      <w:r>
        <w:rPr>
          <w:rStyle w:val="KeywordTok"/>
        </w:rPr>
        <w:t xml:space="preserve">ecx</w:t>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br/>
      </w:r>
      <w:r>
        <w:rPr>
          <w:rStyle w:val="KeywordTok"/>
        </w:rPr>
        <w:t xml:space="preserve">mov</w:t>
      </w:r>
      <w:r>
        <w:rPr>
          <w:rStyle w:val="NormalTok"/>
        </w:rPr>
        <w:t xml:space="preserve"> </w:t>
      </w:r>
      <w:r>
        <w:rPr>
          <w:rStyle w:val="KeywordTok"/>
        </w:rPr>
        <w:t xml:space="preserve">edi</w:t>
      </w:r>
      <w:r>
        <w:rPr>
          <w:rStyle w:val="OperatorTok"/>
        </w:rPr>
        <w:t xml:space="preserve">,</w:t>
      </w:r>
      <w:r>
        <w:rPr>
          <w:rStyle w:val="NormalTok"/>
        </w:rPr>
        <w:t xml:space="preserve"> </w:t>
      </w:r>
      <w:r>
        <w:rPr>
          <w:rStyle w:val="KeywordTok"/>
        </w:rPr>
        <w:t xml:space="preserve">eax</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div</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edi</w:t>
      </w:r>
      <w:r>
        <w:br/>
      </w:r>
      <w:r>
        <w:rPr>
          <w:rStyle w:val="ControlFlowTok"/>
        </w:rPr>
        <w:t xml:space="preserve">call</w:t>
      </w:r>
      <w:r>
        <w:rPr>
          <w:rStyle w:val="NormalTok"/>
        </w:rPr>
        <w:t xml:space="preserve"> iprintLF</w:t>
      </w:r>
      <w:r>
        <w:br/>
      </w:r>
      <w:r>
        <w:br/>
      </w:r>
      <w:r>
        <w:rPr>
          <w:rStyle w:val="ControlFlowTok"/>
        </w:rPr>
        <w:t xml:space="preserve">call</w:t>
      </w:r>
      <w:r>
        <w:rPr>
          <w:rStyle w:val="NormalTok"/>
        </w:rPr>
        <w:t xml:space="preserve"> quit</w:t>
      </w:r>
    </w:p>
    <w:bookmarkEnd w:id="84"/>
    <w:bookmarkEnd w:id="85"/>
    <w:bookmarkStart w:id="86" w:name="conclusions"/>
    <w:p>
      <w:pPr>
        <w:pStyle w:val="Heading1"/>
      </w:pPr>
      <w:r>
        <w:rPr>
          <w:rStyle w:val="SectionNumber"/>
        </w:rPr>
        <w:t xml:space="preserve">5</w:t>
      </w:r>
      <w:r>
        <w:tab/>
      </w:r>
      <w:r>
        <w:t xml:space="preserve">Conclusions</w:t>
      </w:r>
    </w:p>
    <w:p>
      <w:pPr>
        <w:pStyle w:val="FirstParagraph"/>
      </w:pPr>
      <w:r>
        <w:t xml:space="preserve">As a result of completing this laboratory work, I acquired skills in writing programs using subroutines, and also became acquainted with debugging methods using GDB and its main capabilities.</w:t>
      </w:r>
    </w:p>
    <w:bookmarkEnd w:id="86"/>
    <w:bookmarkStart w:id="90" w:name="bibliography"/>
    <w:p>
      <w:pPr>
        <w:pStyle w:val="Heading1"/>
      </w:pPr>
      <w:r>
        <w:rPr>
          <w:rStyle w:val="SectionNumber"/>
        </w:rPr>
        <w:t xml:space="preserve">6</w:t>
      </w:r>
      <w:r>
        <w:tab/>
      </w:r>
      <w:r>
        <w:t xml:space="preserve">Bibliography</w:t>
      </w:r>
    </w:p>
    <w:p>
      <w:pPr>
        <w:numPr>
          <w:ilvl w:val="0"/>
          <w:numId w:val="1005"/>
        </w:numPr>
        <w:pStyle w:val="Compact"/>
      </w:pPr>
      <w:hyperlink r:id="rId87">
        <w:r>
          <w:rPr>
            <w:rStyle w:val="Hyperlink"/>
          </w:rPr>
          <w:t xml:space="preserve">Course on TUIS</w:t>
        </w:r>
      </w:hyperlink>
    </w:p>
    <w:p>
      <w:pPr>
        <w:numPr>
          <w:ilvl w:val="0"/>
          <w:numId w:val="1005"/>
        </w:numPr>
        <w:pStyle w:val="Compact"/>
      </w:pPr>
      <w:hyperlink r:id="rId88">
        <w:r>
          <w:rPr>
            <w:rStyle w:val="Hyperlink"/>
          </w:rPr>
          <w:t xml:space="preserve">Laboratory work No. 9</w:t>
        </w:r>
      </w:hyperlink>
    </w:p>
    <w:p>
      <w:pPr>
        <w:numPr>
          <w:ilvl w:val="0"/>
          <w:numId w:val="1005"/>
        </w:numPr>
        <w:pStyle w:val="Compact"/>
      </w:pPr>
      <w:hyperlink r:id="rId89">
        <w:r>
          <w:rPr>
            <w:rStyle w:val="Hyperlink"/>
          </w:rPr>
          <w:t xml:space="preserve">Programming in NASM Assembly Language Stolyarov A. V.</w:t>
        </w:r>
      </w:hyperlink>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87" Target="https://esystem.rudn.ru/course/view.php?id=112" TargetMode="External" /><Relationship Type="http://schemas.openxmlformats.org/officeDocument/2006/relationships/hyperlink" Id="rId89"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88" Target="https://esystem.rudn.ru/pluginfile.php/2089096/mod_resource/content/0/%D0%9B%D0%B0%D0%B1%D0%BE%D1%80%D0%B0%D1%82%D0%BE%D1%80%D0%BD%D0%B0%D1%8F%20%D1%80%D0%B0%D0%B1%D0%BE%D1%82%D0%B0%20%E2%84%969.%20%D0%9F%D0%BE%D0%BD%D1%8F%D1%82%D0%B8%D0%B5%20%D0%BF%D0%BE%D0%B4%D0%BF%D1%80%D0%BE%D0%B3%D1%80%D0%B0%D0%BC%D0%BC%D1%8B.%20%D0%9E%D1%82%D0%BB%D0%B0%D0%B4%D1%87%D0%B8%D0%BA%20.pdf" TargetMode="External" /></Relationships>
</file>

<file path=word/_rels/footnotes.xml.rels><?xml version="1.0" encoding="UTF-8"?><Relationships xmlns="http://schemas.openxmlformats.org/package/2006/relationships"><Relationship Type="http://schemas.openxmlformats.org/officeDocument/2006/relationships/hyperlink" Id="rId87" Target="https://esystem.rudn.ru/course/view.php?id=112" TargetMode="External" /><Relationship Type="http://schemas.openxmlformats.org/officeDocument/2006/relationships/hyperlink" Id="rId89"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88" Target="https://esystem.rudn.ru/pluginfile.php/2089096/mod_resource/content/0/%D0%9B%D0%B0%D0%B1%D0%BE%D1%80%D0%B0%D1%82%D0%BE%D1%80%D0%BD%D0%B0%D1%8F%20%D1%80%D0%B0%D0%B1%D0%BE%D1%82%D0%B0%20%E2%84%969.%20%D0%9F%D0%BE%D0%BD%D1%8F%D1%82%D0%B8%D0%B5%20%D0%BF%D0%BE%D0%B4%D0%BF%D1%80%D0%BE%D0%B3%D1%80%D0%B0%D0%BC%D0%BC%D1%8B.%20%D0%9E%D1%82%D0%BB%D0%B0%D0%B4%D1%87%D0%B8%D0%BA%2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 to labrotary work 9</dc:title>
  <dc:creator>Ерфан Хосейнабади</dc:creator>
  <dc:language>ren-EN</dc:language>
  <cp:keywords/>
  <dcterms:created xsi:type="dcterms:W3CDTF">2024-12-07T19:02:13Z</dcterms:created>
  <dcterms:modified xsi:type="dcterms:W3CDTF">2024-12-07T19:02:13Z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Fig.</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Listing</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List of illustrations</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Listings</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List of Tables</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Discipline: Computer Architecture</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Table</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Content</vt:lpwstr>
  </property>
</Properties>
</file>