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7.png" ContentType="image/png"/>
  <Override PartName="/word/media/rId31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Презентация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7</w:t>
      </w:r>
    </w:p>
    <w:p>
      <w:pPr>
        <w:pStyle w:val="Subtitle"/>
      </w:pPr>
      <w:r>
        <w:t xml:space="preserve">Однократное</w:t>
      </w:r>
      <w:r>
        <w:t xml:space="preserve"> </w:t>
      </w:r>
      <w:r>
        <w:t xml:space="preserve">гаммирование</w:t>
      </w:r>
    </w:p>
    <w:p>
      <w:pPr>
        <w:pStyle w:val="Author"/>
      </w:pPr>
      <w:r>
        <w:t xml:space="preserve">Ерфан</w:t>
      </w:r>
      <w:r>
        <w:t xml:space="preserve"> </w:t>
      </w:r>
      <w:r>
        <w:t xml:space="preserve">Хосейнабади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информация"/>
    <w:p>
      <w:pPr>
        <w:pStyle w:val="Heading1"/>
      </w:pPr>
      <w:r>
        <w:t xml:space="preserve">Информация</w:t>
      </w:r>
    </w:p>
    <w:bookmarkEnd w:id="20"/>
    <w:bookmarkStart w:id="21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Освоить на практике применение режима однократного гаммирования — метода симметричного шифрования, основанного на операции XOR. Научиться решать две криптографические задачи: нахождение шифротекста по известному ключу и открытому тексту, а также восстановление ключа по известным шифротексту и открытому тексту.</w:t>
      </w:r>
    </w:p>
    <w:bookmarkEnd w:id="21"/>
    <w:bookmarkStart w:id="45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25" w:name="схема-однократного-гаммирования-вернама"/>
    <w:p>
      <w:pPr>
        <w:pStyle w:val="Heading2"/>
      </w:pPr>
      <w:r>
        <w:t xml:space="preserve">Схема однократного гаммирования Вернама</w:t>
      </w:r>
    </w:p>
    <w:p>
      <w:pPr>
        <w:pStyle w:val="FirstParagraph"/>
      </w:pPr>
      <w:r>
        <w:t xml:space="preserve">Гаммирование представляет собой наложение (снятие) на открытые (зашифрованные) данные последовательности элементов других данных, полученной с помощью некоторого криптографического алгоритма.</w:t>
      </w:r>
    </w:p>
    <w:p>
      <w:pPr>
        <w:pStyle w:val="CaptionedFigure"/>
      </w:pPr>
      <w:r>
        <w:drawing>
          <wp:inline>
            <wp:extent cx="3733800" cy="2420689"/>
            <wp:effectExtent b="0" l="0" r="0" t="0"/>
            <wp:docPr descr="Схема однократного использования Вернама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206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Схема однократного использования Вернама</w:t>
      </w:r>
    </w:p>
    <w:bookmarkEnd w:id="25"/>
    <w:bookmarkStart w:id="26" w:name="операция-xor"/>
    <w:p>
      <w:pPr>
        <w:pStyle w:val="Heading2"/>
      </w:pPr>
      <w:r>
        <w:t xml:space="preserve">Операция XOR</w:t>
      </w:r>
    </w:p>
    <w:p>
      <w:pPr>
        <w:pStyle w:val="FirstParagraph"/>
      </w:pPr>
      <w:r>
        <w:t xml:space="preserve">Операция сложения по модулю 2 (XOR, обозначается ⊕) лежит в основе однократного гаммирования:</w:t>
      </w:r>
    </w:p>
    <w:p>
      <w:pPr>
        <w:numPr>
          <w:ilvl w:val="0"/>
          <w:numId w:val="1001"/>
        </w:numPr>
        <w:pStyle w:val="Compact"/>
      </w:pPr>
      <w:r>
        <w:t xml:space="preserve">0 ⊕ 0 = 0</w:t>
      </w:r>
    </w:p>
    <w:p>
      <w:pPr>
        <w:numPr>
          <w:ilvl w:val="0"/>
          <w:numId w:val="1001"/>
        </w:numPr>
        <w:pStyle w:val="Compact"/>
      </w:pPr>
      <w:r>
        <w:t xml:space="preserve">0 ⊕ 1 = 1</w:t>
      </w:r>
    </w:p>
    <w:p>
      <w:pPr>
        <w:numPr>
          <w:ilvl w:val="0"/>
          <w:numId w:val="1001"/>
        </w:numPr>
        <w:pStyle w:val="Compact"/>
      </w:pPr>
      <w:r>
        <w:t xml:space="preserve">1 ⊕ 0 = 1</w:t>
      </w:r>
    </w:p>
    <w:p>
      <w:pPr>
        <w:numPr>
          <w:ilvl w:val="0"/>
          <w:numId w:val="1001"/>
        </w:numPr>
        <w:pStyle w:val="Compact"/>
      </w:pPr>
      <w:r>
        <w:t xml:space="preserve">1 ⊕ 1 = 0</w:t>
      </w:r>
    </w:p>
    <w:p>
      <w:pPr>
        <w:pStyle w:val="FirstParagraph"/>
      </w:pPr>
      <w:r>
        <w:t xml:space="preserve">Метод является симметричным: двойное прибавление одной и той же величины восстанавливает исходное значение.</w:t>
      </w:r>
    </w:p>
    <w:bookmarkEnd w:id="26"/>
    <w:bookmarkStart w:id="30" w:name="задание-1-нахождение-шифротекста"/>
    <w:p>
      <w:pPr>
        <w:pStyle w:val="Heading2"/>
      </w:pPr>
      <w:r>
        <w:t xml:space="preserve">Задание 1: Нахождение шифротекста</w:t>
      </w:r>
    </w:p>
    <w:p>
      <w:pPr>
        <w:pStyle w:val="FirstParagraph"/>
      </w:pPr>
      <w:r>
        <w:t xml:space="preserve">Известны:</w:t>
      </w:r>
      <w:r>
        <w:t xml:space="preserve"> </w:t>
      </w:r>
      <w:r>
        <w:t xml:space="preserve">- Открытый текст:</w:t>
      </w:r>
      <w:r>
        <w:t xml:space="preserve"> </w:t>
      </w:r>
      <w:r>
        <w:rPr>
          <w:rStyle w:val="VerbatimChar"/>
        </w:rPr>
        <w:t xml:space="preserve">Штирлиц – Вы Герой!!</w:t>
      </w:r>
      <w:r>
        <w:t xml:space="preserve"> </w:t>
      </w:r>
      <w:r>
        <w:t xml:space="preserve">- Ключ (hex):</w:t>
      </w:r>
      <w:r>
        <w:t xml:space="preserve"> </w:t>
      </w:r>
      <w:r>
        <w:rPr>
          <w:rStyle w:val="VerbatimChar"/>
        </w:rPr>
        <w:t xml:space="preserve">050C177F0E4E37D29410092E2257FFC80BB27054</w:t>
      </w:r>
    </w:p>
    <w:p>
      <w:pPr>
        <w:pStyle w:val="BodyText"/>
      </w:pPr>
      <w:r>
        <w:t xml:space="preserve">Необходимо найти шифротекст по формуле:</w:t>
      </w:r>
      <w:r>
        <w:t xml:space="preserve"> </w:t>
      </w:r>
      <w:r>
        <w:t xml:space="preserve">[C_i = P_i</w:t>
      </w:r>
      <w:r>
        <w:t xml:space="preserve"> </w:t>
      </w:r>
      <w:r>
        <w:t xml:space="preserve">K_i]</w:t>
      </w:r>
    </w:p>
    <w:p>
      <w:pPr>
        <w:pStyle w:val="CaptionedFigure"/>
      </w:pPr>
      <w:r>
        <w:drawing>
          <wp:inline>
            <wp:extent cx="3733800" cy="1005253"/>
            <wp:effectExtent b="0" l="0" r="0" t="0"/>
            <wp:docPr descr="Скрипт для выполнения первого задания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052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Скрипт для выполнения первого задания</w:t>
      </w:r>
    </w:p>
    <w:bookmarkEnd w:id="30"/>
    <w:bookmarkStart w:id="34" w:name="результат-первого-задания"/>
    <w:p>
      <w:pPr>
        <w:pStyle w:val="Heading2"/>
      </w:pPr>
      <w:r>
        <w:t xml:space="preserve">Результат первого задания</w:t>
      </w:r>
    </w:p>
    <w:p>
      <w:pPr>
        <w:pStyle w:val="FirstParagraph"/>
      </w:pPr>
      <w:r>
        <w:t xml:space="preserve">Открытый текст в кодировке CP1251 (hex):</w:t>
      </w:r>
      <w:r>
        <w:t xml:space="preserve"> </w:t>
      </w:r>
      <w:r>
        <w:rPr>
          <w:rStyle w:val="VerbatimChar"/>
        </w:rPr>
        <w:t xml:space="preserve">d8f2e8f0ebe8f6209620c2fb20c3e5f0ee692121</w:t>
      </w:r>
    </w:p>
    <w:p>
      <w:pPr>
        <w:pStyle w:val="BodyText"/>
      </w:pPr>
      <w:r>
        <w:t xml:space="preserve">Вычисленный шифротекст (hex):</w:t>
      </w:r>
      <w:r>
        <w:t xml:space="preserve"> </w:t>
      </w:r>
      <w:r>
        <w:rPr>
          <w:rStyle w:val="VerbatimChar"/>
        </w:rPr>
        <w:t xml:space="preserve">DDFEF8FE5A6C1F20230CBD502941A38E55B5175</w:t>
      </w:r>
    </w:p>
    <w:p>
      <w:pPr>
        <w:pStyle w:val="CaptionedFigure"/>
      </w:pPr>
      <w:r>
        <w:drawing>
          <wp:inline>
            <wp:extent cx="3733800" cy="3364865"/>
            <wp:effectExtent b="0" l="0" r="0" t="0"/>
            <wp:docPr descr="Результат выполнения первого задания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64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выполнения первого задания</w:t>
      </w:r>
    </w:p>
    <w:p>
      <w:pPr>
        <w:pStyle w:val="BodyText"/>
      </w:pPr>
      <w:r>
        <w:t xml:space="preserve">Полученный шифротекст совпал с ожидаемым результатом из лабораторной работы.</w:t>
      </w:r>
    </w:p>
    <w:bookmarkEnd w:id="34"/>
    <w:bookmarkStart w:id="38" w:name="задание-2-восстановление-ключа"/>
    <w:p>
      <w:pPr>
        <w:pStyle w:val="Heading2"/>
      </w:pPr>
      <w:r>
        <w:t xml:space="preserve">Задание 2: Восстановление ключа</w:t>
      </w:r>
    </w:p>
    <w:p>
      <w:pPr>
        <w:pStyle w:val="FirstParagraph"/>
      </w:pPr>
      <w:r>
        <w:t xml:space="preserve">Известны:</w:t>
      </w:r>
      <w:r>
        <w:t xml:space="preserve"> </w:t>
      </w:r>
      <w:r>
        <w:t xml:space="preserve">- Шифротекст (hex):</w:t>
      </w:r>
      <w:r>
        <w:t xml:space="preserve"> </w:t>
      </w:r>
      <w:r>
        <w:rPr>
          <w:rStyle w:val="VerbatimChar"/>
        </w:rPr>
        <w:t xml:space="preserve">DDFEFF8FE5A6C1F2B930CBD502941A38E55B5175</w:t>
      </w:r>
      <w:r>
        <w:t xml:space="preserve"> </w:t>
      </w:r>
      <w:r>
        <w:t xml:space="preserve">- Целевое сообщение:</w:t>
      </w:r>
      <w:r>
        <w:t xml:space="preserve"> </w:t>
      </w:r>
      <w:r>
        <w:rPr>
          <w:rStyle w:val="VerbatimChar"/>
        </w:rPr>
        <w:t xml:space="preserve">С Новым Годом, друзья!</w:t>
      </w:r>
    </w:p>
    <w:p>
      <w:pPr>
        <w:pStyle w:val="BodyText"/>
      </w:pPr>
      <w:r>
        <w:t xml:space="preserve">Ключ восстанавливается по формуле:</w:t>
      </w:r>
      <w:r>
        <w:t xml:space="preserve"> </w:t>
      </w:r>
      <w:r>
        <w:t xml:space="preserve">[K_i = C_i</w:t>
      </w:r>
      <w:r>
        <w:t xml:space="preserve"> </w:t>
      </w:r>
      <w:r>
        <w:t xml:space="preserve">P_i]</w:t>
      </w:r>
    </w:p>
    <w:p>
      <w:pPr>
        <w:pStyle w:val="CaptionedFigure"/>
      </w:pPr>
      <w:r>
        <w:drawing>
          <wp:inline>
            <wp:extent cx="3733800" cy="1200621"/>
            <wp:effectExtent b="0" l="0" r="0" t="0"/>
            <wp:docPr descr="Скрипт для выполнения второго задания" title="" id="36" name="Picture"/>
            <a:graphic>
              <a:graphicData uri="http://schemas.openxmlformats.org/drawingml/2006/picture">
                <pic:pic>
                  <pic:nvPicPr>
                    <pic:cNvPr descr="image/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006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Скрипт для выполнения второго задания</w:t>
      </w:r>
    </w:p>
    <w:bookmarkEnd w:id="38"/>
    <w:bookmarkStart w:id="39" w:name="проблема-несовпадения-длин"/>
    <w:p>
      <w:pPr>
        <w:pStyle w:val="Heading2"/>
      </w:pPr>
      <w:r>
        <w:t xml:space="preserve">Проблема несовпадения длин</w:t>
      </w:r>
    </w:p>
    <w:p>
      <w:pPr>
        <w:pStyle w:val="FirstParagraph"/>
      </w:pPr>
      <w:r>
        <w:t xml:space="preserve">При выполнении возникла проблема:</w:t>
      </w:r>
      <w:r>
        <w:t xml:space="preserve"> </w:t>
      </w:r>
      <w:r>
        <w:t xml:space="preserve">- Длина шифротекста: 20 байт</w:t>
      </w:r>
      <w:r>
        <w:t xml:space="preserve"> </w:t>
      </w:r>
      <w:r>
        <w:t xml:space="preserve">- Длина целевого сообщения в CP1251: 22 байта</w:t>
      </w:r>
    </w:p>
    <w:p>
      <w:pPr>
        <w:pStyle w:val="BodyText"/>
      </w:pPr>
      <w:r>
        <w:t xml:space="preserve">Решение: ограничение по минимальной длине позволило восстановить первые 20 байт ключа.</w:t>
      </w:r>
    </w:p>
    <w:bookmarkEnd w:id="39"/>
    <w:bookmarkStart w:id="40" w:name="результат-второго-задания"/>
    <w:p>
      <w:pPr>
        <w:pStyle w:val="Heading2"/>
      </w:pPr>
      <w:r>
        <w:t xml:space="preserve">Результат второго задания</w:t>
      </w:r>
    </w:p>
    <w:p>
      <w:pPr>
        <w:numPr>
          <w:ilvl w:val="0"/>
          <w:numId w:val="1002"/>
        </w:numPr>
        <w:pStyle w:val="Compact"/>
      </w:pPr>
      <w:r>
        <w:t xml:space="preserve">Целевое сообщение в CP1251 (hex):</w:t>
      </w:r>
      <w:r>
        <w:t xml:space="preserve"> </w:t>
      </w:r>
      <w:r>
        <w:rPr>
          <w:rStyle w:val="VerbatimChar"/>
        </w:rPr>
        <w:t xml:space="preserve">d120cdeee2fbec20c3eee4eeec2c20e4f0f3e7fcf21</w:t>
      </w:r>
    </w:p>
    <w:p>
      <w:pPr>
        <w:numPr>
          <w:ilvl w:val="0"/>
          <w:numId w:val="1002"/>
        </w:numPr>
        <w:pStyle w:val="Compact"/>
      </w:pPr>
      <w:r>
        <w:t xml:space="preserve">Восстановленный ключ (hex):</w:t>
      </w:r>
      <w:r>
        <w:t xml:space="preserve"> </w:t>
      </w:r>
      <w:r>
        <w:rPr>
          <w:rStyle w:val="VerbatimChar"/>
        </w:rPr>
        <w:t xml:space="preserve">0CDE3261075D2DD27ADE2F3BEEB83ADC15A8B689</w:t>
      </w:r>
    </w:p>
    <w:p>
      <w:pPr>
        <w:numPr>
          <w:ilvl w:val="0"/>
          <w:numId w:val="1002"/>
        </w:numPr>
        <w:pStyle w:val="Compact"/>
      </w:pPr>
      <w:r>
        <w:t xml:space="preserve">Длина ключа: 20 байт (восстановлена частично)</w:t>
      </w:r>
    </w:p>
    <w:p>
      <w:pPr>
        <w:pStyle w:val="FirstParagraph"/>
      </w:pPr>
      <w:r>
        <w:t xml:space="preserve">Также было получено предупреждение о несовпадении длин: только первые 20 байт ключа восстановлены.</w:t>
      </w:r>
    </w:p>
    <w:bookmarkEnd w:id="40"/>
    <w:bookmarkStart w:id="41" w:name="математические-формулы"/>
    <w:p>
      <w:pPr>
        <w:pStyle w:val="Heading2"/>
      </w:pPr>
      <w:r>
        <w:t xml:space="preserve">Математические формулы</w:t>
      </w:r>
    </w:p>
    <w:p>
      <w:pPr>
        <w:pStyle w:val="FirstParagraph"/>
      </w:pPr>
      <w:r>
        <w:rPr>
          <w:bCs/>
          <w:b/>
        </w:rPr>
        <w:t xml:space="preserve">Шифрование:</w:t>
      </w:r>
      <w:r>
        <w:t xml:space="preserve"> </w:t>
      </w:r>
      <w:r>
        <w:t xml:space="preserve">[C_i = P_i</w:t>
      </w:r>
      <w:r>
        <w:t xml:space="preserve"> </w:t>
      </w:r>
      <w:r>
        <w:t xml:space="preserve">K_i]</w:t>
      </w:r>
    </w:p>
    <w:p>
      <w:pPr>
        <w:pStyle w:val="BodyText"/>
      </w:pPr>
      <w:r>
        <w:rPr>
          <w:bCs/>
          <w:b/>
        </w:rPr>
        <w:t xml:space="preserve">Расшифрование:</w:t>
      </w:r>
      <w:r>
        <w:t xml:space="preserve"> </w:t>
      </w:r>
      <w:r>
        <w:t xml:space="preserve">[P_i = C_i</w:t>
      </w:r>
      <w:r>
        <w:t xml:space="preserve"> </w:t>
      </w:r>
      <w:r>
        <w:t xml:space="preserve">K_i]</w:t>
      </w:r>
    </w:p>
    <w:p>
      <w:pPr>
        <w:pStyle w:val="BodyText"/>
      </w:pPr>
      <w:r>
        <w:rPr>
          <w:bCs/>
          <w:b/>
        </w:rPr>
        <w:t xml:space="preserve">Восстановление ключа:</w:t>
      </w:r>
      <w:r>
        <w:t xml:space="preserve"> </w:t>
      </w:r>
      <w:r>
        <w:t xml:space="preserve">[K_i = C_i</w:t>
      </w:r>
      <w:r>
        <w:t xml:space="preserve"> </w:t>
      </w:r>
      <w:r>
        <w:t xml:space="preserve">P_i]</w:t>
      </w:r>
    </w:p>
    <w:p>
      <w:pPr>
        <w:pStyle w:val="BodyText"/>
      </w:pPr>
      <w:r>
        <w:t xml:space="preserve">Где:</w:t>
      </w:r>
      <w:r>
        <w:t xml:space="preserve"> </w:t>
      </w:r>
      <w:r>
        <w:t xml:space="preserve">- (C_i) — i-й символ шифротекста</w:t>
      </w:r>
      <w:r>
        <w:t xml:space="preserve"> </w:t>
      </w:r>
      <w:r>
        <w:t xml:space="preserve">- (P_i) — i-й символ открытого текста</w:t>
      </w:r>
      <w:r>
        <w:t xml:space="preserve"> </w:t>
      </w:r>
      <w:r>
        <w:t xml:space="preserve">- (K_i) — i-й символ ключа</w:t>
      </w:r>
    </w:p>
    <w:bookmarkEnd w:id="41"/>
    <w:bookmarkStart w:id="42" w:name="Xff6582f20d16f01d37ea1652e36e763d78517d8"/>
    <w:p>
      <w:pPr>
        <w:pStyle w:val="Heading2"/>
      </w:pPr>
      <w:r>
        <w:t xml:space="preserve">Условия абсолютной стойкости шифра (К. Шеннон)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Полная случайность ключа</w:t>
      </w:r>
      <w:r>
        <w:t xml:space="preserve"> </w:t>
      </w:r>
      <w:r>
        <w:t xml:space="preserve">— ключ должен быть фрагментом истинно случайной двоичной последовательности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Равенство длин ключа и открытого текста</w:t>
      </w:r>
      <w:r>
        <w:t xml:space="preserve"> </w:t>
      </w:r>
      <w:r>
        <w:t xml:space="preserve">— ключ не должен быть короче сообщения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Однократное использование ключа</w:t>
      </w:r>
      <w:r>
        <w:t xml:space="preserve"> </w:t>
      </w:r>
      <w:r>
        <w:t xml:space="preserve">— каждый ключ используется только один раз</w:t>
      </w:r>
    </w:p>
    <w:bookmarkEnd w:id="42"/>
    <w:bookmarkStart w:id="43" w:name="преимущества-однократного-гаммирования"/>
    <w:p>
      <w:pPr>
        <w:pStyle w:val="Heading2"/>
      </w:pPr>
      <w:r>
        <w:t xml:space="preserve">Преимущества однократного гаммирования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Абсолютная стойкость</w:t>
      </w:r>
      <w:r>
        <w:t xml:space="preserve"> </w:t>
      </w:r>
      <w:r>
        <w:t xml:space="preserve">— при соблюдении всех условий шифр невозможно взломать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Простота реализации</w:t>
      </w:r>
      <w:r>
        <w:t xml:space="preserve"> </w:t>
      </w:r>
      <w:r>
        <w:t xml:space="preserve">— используется только операция XOR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Симметричность</w:t>
      </w:r>
      <w:r>
        <w:t xml:space="preserve"> </w:t>
      </w:r>
      <w:r>
        <w:t xml:space="preserve">— шифрование и расшифрование выполняются одинаково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Отсутствие информации об открытом тексте</w:t>
      </w:r>
      <w:r>
        <w:t xml:space="preserve"> </w:t>
      </w:r>
      <w:r>
        <w:t xml:space="preserve">— при известном шифротексте все возможные сообщения равновероятны</w:t>
      </w:r>
    </w:p>
    <w:bookmarkEnd w:id="43"/>
    <w:bookmarkStart w:id="44" w:name="недостатки-однократного-гаммирования"/>
    <w:p>
      <w:pPr>
        <w:pStyle w:val="Heading2"/>
      </w:pPr>
      <w:r>
        <w:t xml:space="preserve">Недостатки однократного гаммирования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Проблема распространения ключей</w:t>
      </w:r>
      <w:r>
        <w:t xml:space="preserve"> </w:t>
      </w:r>
      <w:r>
        <w:t xml:space="preserve">— нужен надёжный канал для передачи ключа той же длины, что и сообщение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Одноразовость</w:t>
      </w:r>
      <w:r>
        <w:t xml:space="preserve"> </w:t>
      </w:r>
      <w:r>
        <w:t xml:space="preserve">— ключи нельзя использовать повторно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Длина ключа</w:t>
      </w:r>
      <w:r>
        <w:t xml:space="preserve"> </w:t>
      </w:r>
      <w:r>
        <w:t xml:space="preserve">— ключ должен быть не короче сообщения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Требование к случайности</w:t>
      </w:r>
      <w:r>
        <w:t xml:space="preserve"> </w:t>
      </w:r>
      <w:r>
        <w:t xml:space="preserve">— необходимы генераторы истинно случайных чисел</w:t>
      </w:r>
    </w:p>
    <w:bookmarkEnd w:id="44"/>
    <w:bookmarkEnd w:id="45"/>
    <w:bookmarkStart w:id="46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я освоил на практике применение режима однократного гаммирования. Были решены две основные криптографические задачи:</w:t>
      </w:r>
    </w:p>
    <w:p>
      <w:pPr>
        <w:numPr>
          <w:ilvl w:val="0"/>
          <w:numId w:val="1006"/>
        </w:numPr>
        <w:pStyle w:val="Compact"/>
      </w:pPr>
      <w:r>
        <w:t xml:space="preserve">Вычисление шифротекста по известным открытому тексту и ключу</w:t>
      </w:r>
    </w:p>
    <w:p>
      <w:pPr>
        <w:numPr>
          <w:ilvl w:val="0"/>
          <w:numId w:val="1006"/>
        </w:numPr>
        <w:pStyle w:val="Compact"/>
      </w:pPr>
      <w:r>
        <w:t xml:space="preserve">Восстановление ключа по известным шифротексту и открытому тексту</w:t>
      </w:r>
    </w:p>
    <w:p>
      <w:pPr>
        <w:pStyle w:val="FirstParagraph"/>
      </w:pPr>
      <w:r>
        <w:t xml:space="preserve">Было подтверждено, что при несовпадении длин ключа и сообщения невозможно полное восстановление ключа, что демонстрирует важность соблюдения условий абсолютной стойкости шифра по Шеннону.</w:t>
      </w:r>
    </w:p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Презентация по лабораторной работе 7</dc:title>
  <dc:creator>Ерфан Хосейнабади</dc:creator>
  <dc:language>ru-RU</dc:language>
  <cp:keywords/>
  <dcterms:created xsi:type="dcterms:W3CDTF">2026-05-16T10:55:06Z</dcterms:created>
  <dcterms:modified xsi:type="dcterms:W3CDTF">2026-05-16T10:55:06Z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pectratio">
    <vt:lpwstr>169</vt:lpwstr>
  </property>
  <property fmtid="{D5CDD505-2E9C-101B-9397-08002B2CF9AE}" pid="3" name="babel-lang">
    <vt:lpwstr>russian</vt:lpwstr>
  </property>
  <property fmtid="{D5CDD505-2E9C-101B-9397-08002B2CF9AE}" pid="4" name="babel-otherlangs">
    <vt:lpwstr>english</vt:lpwstr>
  </property>
  <property fmtid="{D5CDD505-2E9C-101B-9397-08002B2CF9AE}" pid="5" name="institute">
    <vt:lpwstr/>
  </property>
  <property fmtid="{D5CDD505-2E9C-101B-9397-08002B2CF9AE}" pid="6" name="section-titles">
    <vt:lpwstr>True</vt:lpwstr>
  </property>
  <property fmtid="{D5CDD505-2E9C-101B-9397-08002B2CF9AE}" pid="7" name="slide_level">
    <vt:lpwstr>2</vt:lpwstr>
  </property>
  <property fmtid="{D5CDD505-2E9C-101B-9397-08002B2CF9AE}" pid="8" name="subtitle">
    <vt:lpwstr>Однократное гаммирование</vt:lpwstr>
  </property>
  <property fmtid="{D5CDD505-2E9C-101B-9397-08002B2CF9AE}" pid="9" name="toc">
    <vt:lpwstr>False</vt:lpwstr>
  </property>
  <property fmtid="{D5CDD505-2E9C-101B-9397-08002B2CF9AE}" pid="10" name="toc-title">
    <vt:lpwstr>Содержание</vt:lpwstr>
  </property>
</Properties>
</file>