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5866F" w14:textId="06F9FF5D" w:rsidR="009542A8" w:rsidRDefault="005414DA" w:rsidP="0047689B">
      <w:pPr>
        <w:pStyle w:val="Title"/>
      </w:pPr>
      <w:r>
        <w:t>Communication in</w:t>
      </w:r>
      <w:r w:rsidR="009542A8">
        <w:t xml:space="preserve"> Microservices</w:t>
      </w:r>
      <w:r w:rsidR="008A1C7C">
        <w:t>, The Concepts</w:t>
      </w:r>
    </w:p>
    <w:p w14:paraId="1A450499" w14:textId="2AB2B950" w:rsidR="0047689B" w:rsidRDefault="0047689B" w:rsidP="008460C7">
      <w:pPr>
        <w:autoSpaceDE w:val="0"/>
        <w:autoSpaceDN w:val="0"/>
        <w:adjustRightInd w:val="0"/>
        <w:spacing w:after="0"/>
        <w:rPr>
          <w:rFonts w:ascii="NewBaskervilleStd-Roman" w:hAnsi="NewBaskervilleStd-Roman" w:cs="NewBaskervilleStd-Roman"/>
          <w:color w:val="262626"/>
          <w:sz w:val="20"/>
          <w:szCs w:val="20"/>
        </w:rPr>
      </w:pPr>
      <w:r>
        <w:t>In this document we talk about methods for microservices to instruct and request action from other microservices</w:t>
      </w:r>
      <w:r w:rsidR="008460C7">
        <w:t xml:space="preserve">. </w:t>
      </w:r>
      <w:r w:rsidR="008460C7">
        <w:rPr>
          <w:rFonts w:ascii="NewBaskervilleStd-Roman" w:hAnsi="NewBaskervilleStd-Roman" w:cs="NewBaskervilleStd-Roman"/>
          <w:color w:val="262626"/>
          <w:sz w:val="20"/>
          <w:szCs w:val="20"/>
        </w:rPr>
        <w:t>Most mature microservice applications will mix both synchronous and asynchronous interaction styles.</w:t>
      </w:r>
    </w:p>
    <w:p w14:paraId="257C05D6" w14:textId="21F89911" w:rsidR="005B5FC9" w:rsidRDefault="005B5FC9" w:rsidP="008460C7">
      <w:pPr>
        <w:autoSpaceDE w:val="0"/>
        <w:autoSpaceDN w:val="0"/>
        <w:adjustRightInd w:val="0"/>
        <w:spacing w:after="0"/>
        <w:rPr>
          <w:rFonts w:ascii="NewBaskervilleStd-Roman" w:hAnsi="NewBaskervilleStd-Roman" w:cs="NewBaskervilleStd-Roman"/>
          <w:color w:val="262626"/>
          <w:sz w:val="20"/>
          <w:szCs w:val="20"/>
        </w:rPr>
      </w:pPr>
    </w:p>
    <w:p w14:paraId="5914EF1A" w14:textId="37FA5AE6" w:rsidR="005B5FC9" w:rsidRDefault="005B5FC9" w:rsidP="008460C7">
      <w:pPr>
        <w:autoSpaceDE w:val="0"/>
        <w:autoSpaceDN w:val="0"/>
        <w:adjustRightInd w:val="0"/>
        <w:spacing w:after="0"/>
        <w:rPr>
          <w:rFonts w:ascii="NewBaskervilleStd-Roman" w:hAnsi="NewBaskervilleStd-Roman" w:cs="NewBaskervilleStd-Roman"/>
          <w:color w:val="262626"/>
          <w:sz w:val="20"/>
          <w:szCs w:val="20"/>
        </w:rPr>
      </w:pPr>
      <w:r>
        <w:rPr>
          <w:rFonts w:ascii="NewBaskervilleStd-Roman" w:hAnsi="NewBaskervilleStd-Roman" w:cs="NewBaskervilleStd-Roman"/>
          <w:color w:val="262626"/>
          <w:sz w:val="20"/>
          <w:szCs w:val="20"/>
        </w:rPr>
        <w:t>What we want is smart endpoints and dumb pipes.</w:t>
      </w:r>
      <w:r w:rsidR="009F50EA">
        <w:rPr>
          <w:rFonts w:ascii="NewBaskervilleStd-Roman" w:hAnsi="NewBaskervilleStd-Roman" w:cs="NewBaskervilleStd-Roman"/>
          <w:color w:val="262626"/>
          <w:sz w:val="20"/>
          <w:szCs w:val="20"/>
        </w:rPr>
        <w:t xml:space="preserve"> Take the following with a grain of salt but,</w:t>
      </w:r>
      <w:r>
        <w:rPr>
          <w:rFonts w:ascii="NewBaskervilleStd-Roman" w:hAnsi="NewBaskervilleStd-Roman" w:cs="NewBaskervilleStd-Roman"/>
          <w:color w:val="262626"/>
          <w:sz w:val="20"/>
          <w:szCs w:val="20"/>
        </w:rPr>
        <w:t xml:space="preserve"> I think what the mean by this is that the actual services must know who they should communicate with etc. but </w:t>
      </w:r>
      <w:r w:rsidR="009F50EA">
        <w:rPr>
          <w:rFonts w:ascii="NewBaskervilleStd-Roman" w:hAnsi="NewBaskervilleStd-Roman" w:cs="NewBaskervilleStd-Roman"/>
          <w:color w:val="262626"/>
          <w:sz w:val="20"/>
          <w:szCs w:val="20"/>
        </w:rPr>
        <w:t>communication brokers as a part of the platform layer</w:t>
      </w:r>
      <w:r w:rsidR="00C63D89">
        <w:rPr>
          <w:rFonts w:ascii="NewBaskervilleStd-Roman" w:hAnsi="NewBaskervilleStd-Roman" w:cs="NewBaskervilleStd-Roman"/>
          <w:color w:val="262626"/>
          <w:sz w:val="20"/>
          <w:szCs w:val="20"/>
        </w:rPr>
        <w:t xml:space="preserve"> for example</w:t>
      </w:r>
      <w:r w:rsidR="009F50EA">
        <w:rPr>
          <w:rFonts w:ascii="NewBaskervilleStd-Roman" w:hAnsi="NewBaskervilleStd-Roman" w:cs="NewBaskervilleStd-Roman"/>
          <w:color w:val="262626"/>
          <w:sz w:val="20"/>
          <w:szCs w:val="20"/>
        </w:rPr>
        <w:t xml:space="preserve"> must be agnostic to who is using them.</w:t>
      </w:r>
    </w:p>
    <w:p w14:paraId="75F782A1" w14:textId="2B3C0AF6" w:rsidR="009F50EA" w:rsidRDefault="009F50EA" w:rsidP="008460C7">
      <w:pPr>
        <w:autoSpaceDE w:val="0"/>
        <w:autoSpaceDN w:val="0"/>
        <w:adjustRightInd w:val="0"/>
        <w:spacing w:after="0"/>
        <w:rPr>
          <w:rFonts w:ascii="NewBaskervilleStd-Roman" w:hAnsi="NewBaskervilleStd-Roman" w:cs="NewBaskervilleStd-Roman"/>
          <w:color w:val="262626"/>
          <w:sz w:val="20"/>
          <w:szCs w:val="20"/>
        </w:rPr>
      </w:pPr>
    </w:p>
    <w:p w14:paraId="397D4221" w14:textId="5CC022C3" w:rsidR="00E31E36" w:rsidRDefault="002F3E2A" w:rsidP="002F3E2A">
      <w:pPr>
        <w:pStyle w:val="Heading1"/>
      </w:pPr>
      <w:r>
        <w:t>When to Use Synchronous Messaging</w:t>
      </w:r>
    </w:p>
    <w:p w14:paraId="52026C14" w14:textId="2A0A8D45" w:rsidR="00BF2180" w:rsidRDefault="002715C2" w:rsidP="002715C2">
      <w:pPr>
        <w:autoSpaceDE w:val="0"/>
        <w:autoSpaceDN w:val="0"/>
        <w:adjustRightInd w:val="0"/>
        <w:spacing w:after="0"/>
        <w:rPr>
          <w:rFonts w:ascii="NewBaskervilleStd-Roman" w:hAnsi="NewBaskervilleStd-Roman" w:cs="NewBaskervilleStd-Roman"/>
          <w:b/>
          <w:bCs/>
          <w:color w:val="262626"/>
          <w:sz w:val="20"/>
          <w:szCs w:val="20"/>
        </w:rPr>
      </w:pPr>
      <w:r>
        <w:rPr>
          <w:rFonts w:ascii="NewBaskervilleStd-Roman" w:hAnsi="NewBaskervilleStd-Roman" w:cs="NewBaskervilleStd-Roman"/>
          <w:color w:val="262626"/>
          <w:sz w:val="20"/>
          <w:szCs w:val="20"/>
        </w:rPr>
        <w:t xml:space="preserve">Synchronous messages are often the first design approach that comes to mind. </w:t>
      </w:r>
      <w:r w:rsidRPr="00DC11AB">
        <w:rPr>
          <w:rFonts w:ascii="NewBaskervilleStd-Roman" w:hAnsi="NewBaskervilleStd-Roman" w:cs="NewBaskervilleStd-Roman"/>
          <w:b/>
          <w:bCs/>
          <w:color w:val="262626"/>
          <w:sz w:val="20"/>
          <w:szCs w:val="20"/>
        </w:rPr>
        <w:t>They’re well-suited to scenarios where an action’s results — or acknowledgement of success or failure — are required before proceeding with another action.</w:t>
      </w:r>
    </w:p>
    <w:p w14:paraId="71DA51ED" w14:textId="70BDD3DB" w:rsidR="0033787A" w:rsidRDefault="0033787A" w:rsidP="002715C2">
      <w:pPr>
        <w:autoSpaceDE w:val="0"/>
        <w:autoSpaceDN w:val="0"/>
        <w:adjustRightInd w:val="0"/>
        <w:spacing w:after="0"/>
        <w:rPr>
          <w:rFonts w:ascii="NewBaskervilleStd-Roman" w:hAnsi="NewBaskervilleStd-Roman" w:cs="NewBaskervilleStd-Roman"/>
          <w:color w:val="262626"/>
          <w:sz w:val="20"/>
          <w:szCs w:val="20"/>
        </w:rPr>
      </w:pPr>
    </w:p>
    <w:p w14:paraId="3D756056" w14:textId="1D3F2169" w:rsidR="00CB590C" w:rsidRDefault="00CB590C" w:rsidP="003C4554">
      <w:pPr>
        <w:autoSpaceDE w:val="0"/>
        <w:autoSpaceDN w:val="0"/>
        <w:adjustRightInd w:val="0"/>
        <w:spacing w:after="0"/>
        <w:rPr>
          <w:rFonts w:ascii="NewBaskervilleStd-Roman" w:hAnsi="NewBaskervilleStd-Roman" w:cs="NewBaskervilleStd-Roman"/>
          <w:color w:val="262626"/>
          <w:sz w:val="20"/>
          <w:szCs w:val="20"/>
        </w:rPr>
      </w:pPr>
      <w:r>
        <w:rPr>
          <w:rFonts w:ascii="NewBaskervilleStd-Roman" w:hAnsi="NewBaskervilleStd-Roman" w:cs="NewBaskervilleStd-Roman"/>
          <w:color w:val="262626"/>
          <w:sz w:val="20"/>
          <w:szCs w:val="20"/>
        </w:rPr>
        <w:t xml:space="preserve">The figure bellow illustrates a </w:t>
      </w:r>
      <w:r w:rsidRPr="003C4554">
        <w:rPr>
          <w:rFonts w:ascii="NewBaskervilleStd-Roman" w:hAnsi="NewBaskervilleStd-Roman" w:cs="NewBaskervilleStd-Roman"/>
          <w:b/>
          <w:bCs/>
          <w:color w:val="262626"/>
          <w:sz w:val="20"/>
          <w:szCs w:val="20"/>
        </w:rPr>
        <w:t>request–response pattern</w:t>
      </w:r>
      <w:r>
        <w:rPr>
          <w:rFonts w:ascii="NewBaskervilleStd-Roman" w:hAnsi="NewBaskervilleStd-Roman" w:cs="NewBaskervilleStd-Roman"/>
          <w:color w:val="262626"/>
          <w:sz w:val="20"/>
          <w:szCs w:val="20"/>
        </w:rPr>
        <w:t xml:space="preserve"> for synchronous messages. The</w:t>
      </w:r>
      <w:r w:rsidR="003C4554">
        <w:rPr>
          <w:rFonts w:ascii="NewBaskervilleStd-Roman" w:hAnsi="NewBaskervilleStd-Roman" w:cs="NewBaskervilleStd-Roman"/>
          <w:color w:val="262626"/>
          <w:sz w:val="20"/>
          <w:szCs w:val="20"/>
        </w:rPr>
        <w:t xml:space="preserve"> </w:t>
      </w:r>
      <w:r>
        <w:rPr>
          <w:rFonts w:ascii="NewBaskervilleStd-Roman" w:hAnsi="NewBaskervilleStd-Roman" w:cs="NewBaskervilleStd-Roman"/>
          <w:color w:val="262626"/>
          <w:sz w:val="20"/>
          <w:szCs w:val="20"/>
        </w:rPr>
        <w:t>first service constructs an appropriate message to a collaborator, which the application</w:t>
      </w:r>
      <w:r w:rsidR="003C4554">
        <w:rPr>
          <w:rFonts w:ascii="NewBaskervilleStd-Roman" w:hAnsi="NewBaskervilleStd-Roman" w:cs="NewBaskervilleStd-Roman"/>
          <w:color w:val="262626"/>
          <w:sz w:val="20"/>
          <w:szCs w:val="20"/>
        </w:rPr>
        <w:t xml:space="preserve"> </w:t>
      </w:r>
      <w:r>
        <w:rPr>
          <w:rFonts w:ascii="NewBaskervilleStd-Roman" w:hAnsi="NewBaskervilleStd-Roman" w:cs="NewBaskervilleStd-Roman"/>
          <w:color w:val="262626"/>
          <w:sz w:val="20"/>
          <w:szCs w:val="20"/>
        </w:rPr>
        <w:t xml:space="preserve">sends using a </w:t>
      </w:r>
      <w:r w:rsidRPr="00E05B82">
        <w:rPr>
          <w:rFonts w:ascii="NewBaskervilleStd-Roman" w:hAnsi="NewBaskervilleStd-Roman" w:cs="NewBaskervilleStd-Roman"/>
          <w:b/>
          <w:bCs/>
          <w:color w:val="262626"/>
          <w:sz w:val="20"/>
          <w:szCs w:val="20"/>
        </w:rPr>
        <w:t>transport mechanism</w:t>
      </w:r>
      <w:r>
        <w:rPr>
          <w:rFonts w:ascii="NewBaskervilleStd-Roman" w:hAnsi="NewBaskervilleStd-Roman" w:cs="NewBaskervilleStd-Roman"/>
          <w:color w:val="262626"/>
          <w:sz w:val="20"/>
          <w:szCs w:val="20"/>
        </w:rPr>
        <w:t>, such as HTTP. The destination service receives this</w:t>
      </w:r>
      <w:r w:rsidR="003C4554">
        <w:rPr>
          <w:rFonts w:ascii="NewBaskervilleStd-Roman" w:hAnsi="NewBaskervilleStd-Roman" w:cs="NewBaskervilleStd-Roman"/>
          <w:color w:val="262626"/>
          <w:sz w:val="20"/>
          <w:szCs w:val="20"/>
        </w:rPr>
        <w:t xml:space="preserve"> </w:t>
      </w:r>
      <w:r>
        <w:rPr>
          <w:rFonts w:ascii="NewBaskervilleStd-Roman" w:hAnsi="NewBaskervilleStd-Roman" w:cs="NewBaskervilleStd-Roman"/>
          <w:color w:val="262626"/>
          <w:sz w:val="20"/>
          <w:szCs w:val="20"/>
        </w:rPr>
        <w:t>message and responds accordingly.</w:t>
      </w:r>
    </w:p>
    <w:p w14:paraId="19F186C6" w14:textId="61CC144C" w:rsidR="00105460" w:rsidRDefault="00105460" w:rsidP="003C4554">
      <w:pPr>
        <w:autoSpaceDE w:val="0"/>
        <w:autoSpaceDN w:val="0"/>
        <w:adjustRightInd w:val="0"/>
        <w:spacing w:after="0"/>
        <w:rPr>
          <w:rFonts w:ascii="NewBaskervilleStd-Roman" w:hAnsi="NewBaskervilleStd-Roman" w:cs="NewBaskervilleStd-Roman"/>
          <w:color w:val="262626"/>
          <w:sz w:val="20"/>
          <w:szCs w:val="20"/>
        </w:rPr>
      </w:pPr>
    </w:p>
    <w:p w14:paraId="6D33948D" w14:textId="06A71F42" w:rsidR="00105460" w:rsidRPr="002715C2" w:rsidRDefault="00105460" w:rsidP="003C4554">
      <w:pPr>
        <w:autoSpaceDE w:val="0"/>
        <w:autoSpaceDN w:val="0"/>
        <w:adjustRightInd w:val="0"/>
        <w:spacing w:after="0"/>
        <w:rPr>
          <w:rFonts w:ascii="NewBaskervilleStd-Roman" w:hAnsi="NewBaskervilleStd-Roman" w:cs="NewBaskervilleStd-Roman"/>
          <w:color w:val="262626"/>
          <w:sz w:val="20"/>
          <w:szCs w:val="20"/>
        </w:rPr>
      </w:pPr>
      <w:r>
        <w:rPr>
          <w:noProof/>
        </w:rPr>
        <w:drawing>
          <wp:inline distT="0" distB="0" distL="0" distR="0" wp14:anchorId="5466EC22" wp14:editId="6EF7DE7B">
            <wp:extent cx="5486400" cy="1125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1125220"/>
                    </a:xfrm>
                    <a:prstGeom prst="rect">
                      <a:avLst/>
                    </a:prstGeom>
                  </pic:spPr>
                </pic:pic>
              </a:graphicData>
            </a:graphic>
          </wp:inline>
        </w:drawing>
      </w:r>
    </w:p>
    <w:p w14:paraId="50A501A3" w14:textId="77777777" w:rsidR="009F50EA" w:rsidRDefault="009F50EA" w:rsidP="008460C7">
      <w:pPr>
        <w:autoSpaceDE w:val="0"/>
        <w:autoSpaceDN w:val="0"/>
        <w:adjustRightInd w:val="0"/>
        <w:spacing w:after="0"/>
        <w:rPr>
          <w:rFonts w:ascii="NewBaskervilleStd-Roman" w:hAnsi="NewBaskervilleStd-Roman" w:cs="NewBaskervilleStd-Roman"/>
          <w:color w:val="262626"/>
          <w:sz w:val="20"/>
          <w:szCs w:val="20"/>
        </w:rPr>
      </w:pPr>
    </w:p>
    <w:p w14:paraId="0F66219D" w14:textId="77777777" w:rsidR="007C18AE" w:rsidRPr="008460C7" w:rsidRDefault="007C18AE" w:rsidP="008460C7">
      <w:pPr>
        <w:autoSpaceDE w:val="0"/>
        <w:autoSpaceDN w:val="0"/>
        <w:adjustRightInd w:val="0"/>
        <w:spacing w:after="0"/>
        <w:rPr>
          <w:rFonts w:ascii="NewBaskervilleStd-Roman" w:hAnsi="NewBaskervilleStd-Roman" w:cs="NewBaskervilleStd-Roman"/>
          <w:color w:val="262626"/>
          <w:sz w:val="20"/>
          <w:szCs w:val="20"/>
        </w:rPr>
      </w:pPr>
    </w:p>
    <w:p w14:paraId="23F0C375" w14:textId="20BDF033" w:rsidR="009542A8" w:rsidRDefault="00E05B82" w:rsidP="009D41DB">
      <w:pPr>
        <w:pStyle w:val="Heading2"/>
      </w:pPr>
      <w:r>
        <w:t>Choosing a Transport</w:t>
      </w:r>
    </w:p>
    <w:p w14:paraId="7C2694A5" w14:textId="77777777" w:rsidR="00C51B99" w:rsidRDefault="00853973" w:rsidP="00853973">
      <w:pPr>
        <w:pStyle w:val="NoSpacing"/>
      </w:pPr>
      <w:r>
        <w:t xml:space="preserve">The choice of transport — </w:t>
      </w:r>
      <w:r w:rsidRPr="00C05E1E">
        <w:rPr>
          <w:b/>
          <w:bCs/>
        </w:rPr>
        <w:t>RESTful HTTP</w:t>
      </w:r>
      <w:r>
        <w:t xml:space="preserve">, an </w:t>
      </w:r>
      <w:r w:rsidRPr="00C05E1E">
        <w:rPr>
          <w:b/>
          <w:bCs/>
        </w:rPr>
        <w:t>RPC library</w:t>
      </w:r>
      <w:r>
        <w:t xml:space="preserve">, or something else — will impact the design of your services. Each transport has different properties of </w:t>
      </w:r>
      <w:r w:rsidRPr="00C05E1E">
        <w:rPr>
          <w:b/>
          <w:bCs/>
        </w:rPr>
        <w:t>latency</w:t>
      </w:r>
      <w:r>
        <w:t xml:space="preserve">, </w:t>
      </w:r>
      <w:r w:rsidRPr="00C05E1E">
        <w:rPr>
          <w:b/>
          <w:bCs/>
        </w:rPr>
        <w:t>language support</w:t>
      </w:r>
      <w:r>
        <w:t xml:space="preserve">, and </w:t>
      </w:r>
      <w:r w:rsidRPr="00C05E1E">
        <w:rPr>
          <w:b/>
          <w:bCs/>
        </w:rPr>
        <w:t>strictness</w:t>
      </w:r>
      <w:r>
        <w:t xml:space="preserve">. For example, gRPC provides generated client/server API contracts using </w:t>
      </w:r>
      <w:r w:rsidRPr="00C05E1E">
        <w:rPr>
          <w:b/>
          <w:bCs/>
        </w:rPr>
        <w:t>Protobufs</w:t>
      </w:r>
      <w:r>
        <w:t>, whereas HTTP is agnostic to the context of messages.</w:t>
      </w:r>
    </w:p>
    <w:p w14:paraId="72759436" w14:textId="77777777" w:rsidR="00C51B99" w:rsidRDefault="00C51B99" w:rsidP="00853973">
      <w:pPr>
        <w:pStyle w:val="NoSpacing"/>
      </w:pPr>
    </w:p>
    <w:p w14:paraId="2BCE4654" w14:textId="7BBB9F0C" w:rsidR="00E05B82" w:rsidRDefault="00853973" w:rsidP="00853973">
      <w:pPr>
        <w:pStyle w:val="NoSpacing"/>
      </w:pPr>
      <w:r>
        <w:t xml:space="preserve">Across your application, </w:t>
      </w:r>
      <w:r w:rsidRPr="00184BC0">
        <w:rPr>
          <w:b/>
          <w:bCs/>
        </w:rPr>
        <w:t>using a single method of synchronous transport</w:t>
      </w:r>
      <w:r>
        <w:t xml:space="preserve"> has </w:t>
      </w:r>
      <w:r w:rsidRPr="00184BC0">
        <w:rPr>
          <w:b/>
          <w:bCs/>
        </w:rPr>
        <w:t>economies of scale; it’s easier to reason through</w:t>
      </w:r>
      <w:r>
        <w:t xml:space="preserve">, </w:t>
      </w:r>
      <w:r w:rsidRPr="00184BC0">
        <w:rPr>
          <w:b/>
          <w:bCs/>
        </w:rPr>
        <w:t>monitor</w:t>
      </w:r>
      <w:r>
        <w:t xml:space="preserve">, and </w:t>
      </w:r>
      <w:r w:rsidRPr="00184BC0">
        <w:rPr>
          <w:b/>
          <w:bCs/>
        </w:rPr>
        <w:t>support with tooling</w:t>
      </w:r>
      <w:r>
        <w:t>. Separation of concerns within microservices is also important. You should separate your choice of transport mechanism from the business logic of your service, which shouldn’t need to know about HTTP status codes or gRPC response streams. Doing so makes it easier to swap out different mechanisms in the future if your application’s needs evolve.</w:t>
      </w:r>
    </w:p>
    <w:p w14:paraId="67D1952E" w14:textId="6E54EF6F" w:rsidR="00FB041D" w:rsidRDefault="00FB041D" w:rsidP="00853973">
      <w:pPr>
        <w:pStyle w:val="NoSpacing"/>
      </w:pPr>
    </w:p>
    <w:p w14:paraId="4B725A7A" w14:textId="20176193" w:rsidR="00FB041D" w:rsidRDefault="006F103E" w:rsidP="006F103E">
      <w:pPr>
        <w:pStyle w:val="Heading2"/>
      </w:pPr>
      <w:r>
        <w:lastRenderedPageBreak/>
        <w:t xml:space="preserve">Draw-Backs of </w:t>
      </w:r>
      <w:r w:rsidR="00DB0256">
        <w:t>Synchronous</w:t>
      </w:r>
      <w:r>
        <w:t xml:space="preserve"> Communication</w:t>
      </w:r>
    </w:p>
    <w:p w14:paraId="3C070F42" w14:textId="21DCABCA" w:rsidR="00DB0256" w:rsidRDefault="006B0869" w:rsidP="00DB0256">
      <w:r>
        <w:t>Synchronous messages have limitations:</w:t>
      </w:r>
    </w:p>
    <w:p w14:paraId="29B734C8" w14:textId="1FB28E5A" w:rsidR="006B0869" w:rsidRDefault="00C9616F" w:rsidP="00C9616F">
      <w:pPr>
        <w:pStyle w:val="ListParagraph"/>
        <w:numPr>
          <w:ilvl w:val="0"/>
          <w:numId w:val="17"/>
        </w:numPr>
        <w:autoSpaceDE w:val="0"/>
        <w:autoSpaceDN w:val="0"/>
        <w:adjustRightInd w:val="0"/>
        <w:spacing w:after="0"/>
        <w:rPr>
          <w:rFonts w:ascii="NewBaskervilleStd-Roman" w:hAnsi="NewBaskervilleStd-Roman" w:cs="NewBaskervilleStd-Roman"/>
          <w:color w:val="262626"/>
          <w:sz w:val="20"/>
          <w:szCs w:val="20"/>
        </w:rPr>
      </w:pPr>
      <w:r w:rsidRPr="00C9616F">
        <w:rPr>
          <w:rFonts w:ascii="NewBaskervilleStd-Roman" w:hAnsi="NewBaskervilleStd-Roman" w:cs="NewBaskervilleStd-Roman"/>
          <w:color w:val="262626"/>
          <w:sz w:val="20"/>
          <w:szCs w:val="20"/>
        </w:rPr>
        <w:t>They create tighter coupling between services, as services must be aware of their collaborators.</w:t>
      </w:r>
    </w:p>
    <w:p w14:paraId="6ABBB39C" w14:textId="77777777" w:rsidR="00BE242A" w:rsidRPr="00EA78FD" w:rsidRDefault="00BE242A" w:rsidP="00BE242A">
      <w:pPr>
        <w:pStyle w:val="ListParagraph"/>
        <w:numPr>
          <w:ilvl w:val="0"/>
          <w:numId w:val="17"/>
        </w:numPr>
        <w:autoSpaceDE w:val="0"/>
        <w:autoSpaceDN w:val="0"/>
        <w:adjustRightInd w:val="0"/>
        <w:spacing w:after="0"/>
        <w:rPr>
          <w:rFonts w:ascii="NewBaskervilleStd-Roman" w:hAnsi="NewBaskervilleStd-Roman" w:cs="NewBaskervilleStd-Roman"/>
          <w:b/>
          <w:bCs/>
          <w:color w:val="262626"/>
          <w:sz w:val="20"/>
          <w:szCs w:val="20"/>
        </w:rPr>
      </w:pPr>
      <w:r w:rsidRPr="00BE242A">
        <w:rPr>
          <w:rFonts w:ascii="NewBaskervilleStd-Roman" w:hAnsi="NewBaskervilleStd-Roman" w:cs="NewBaskervilleStd-Roman"/>
          <w:color w:val="262626"/>
          <w:sz w:val="20"/>
          <w:szCs w:val="20"/>
        </w:rPr>
        <w:t xml:space="preserve">They don’t have a strong model for </w:t>
      </w:r>
      <w:r w:rsidRPr="00EA78FD">
        <w:rPr>
          <w:rFonts w:ascii="NewBaskervilleStd-Roman" w:hAnsi="NewBaskervilleStd-Roman" w:cs="NewBaskervilleStd-Roman"/>
          <w:b/>
          <w:bCs/>
          <w:color w:val="262626"/>
          <w:sz w:val="20"/>
          <w:szCs w:val="20"/>
        </w:rPr>
        <w:t>broadcast or publish-subscribe</w:t>
      </w:r>
      <w:r w:rsidRPr="00BE242A">
        <w:rPr>
          <w:rFonts w:ascii="NewBaskervilleStd-Roman" w:hAnsi="NewBaskervilleStd-Roman" w:cs="NewBaskervilleStd-Roman"/>
          <w:color w:val="262626"/>
          <w:sz w:val="20"/>
          <w:szCs w:val="20"/>
        </w:rPr>
        <w:t xml:space="preserve"> models, </w:t>
      </w:r>
      <w:r w:rsidRPr="00EA78FD">
        <w:rPr>
          <w:rFonts w:ascii="NewBaskervilleStd-Roman" w:hAnsi="NewBaskervilleStd-Roman" w:cs="NewBaskervilleStd-Roman"/>
          <w:b/>
          <w:bCs/>
          <w:color w:val="262626"/>
          <w:sz w:val="20"/>
          <w:szCs w:val="20"/>
        </w:rPr>
        <w:t>limiting</w:t>
      </w:r>
    </w:p>
    <w:p w14:paraId="200BD26D" w14:textId="4FD643A5" w:rsidR="00BE242A" w:rsidRDefault="00BE242A" w:rsidP="00BE242A">
      <w:pPr>
        <w:pStyle w:val="ListParagraph"/>
        <w:autoSpaceDE w:val="0"/>
        <w:autoSpaceDN w:val="0"/>
        <w:adjustRightInd w:val="0"/>
        <w:spacing w:after="0"/>
        <w:rPr>
          <w:rFonts w:ascii="NewBaskervilleStd-Roman" w:hAnsi="NewBaskervilleStd-Roman" w:cs="NewBaskervilleStd-Roman"/>
          <w:b/>
          <w:bCs/>
          <w:color w:val="262626"/>
          <w:sz w:val="20"/>
          <w:szCs w:val="20"/>
        </w:rPr>
      </w:pPr>
      <w:r w:rsidRPr="00EA78FD">
        <w:rPr>
          <w:rFonts w:ascii="NewBaskervilleStd-Roman" w:hAnsi="NewBaskervilleStd-Roman" w:cs="NewBaskervilleStd-Roman"/>
          <w:b/>
          <w:bCs/>
          <w:color w:val="262626"/>
          <w:sz w:val="20"/>
          <w:szCs w:val="20"/>
        </w:rPr>
        <w:t>your capability to perform parallel work.</w:t>
      </w:r>
    </w:p>
    <w:p w14:paraId="69EDEB61" w14:textId="2CFFD244" w:rsidR="00EA78FD" w:rsidRDefault="0079070E" w:rsidP="0079070E">
      <w:pPr>
        <w:pStyle w:val="ListParagraph"/>
        <w:numPr>
          <w:ilvl w:val="0"/>
          <w:numId w:val="17"/>
        </w:numPr>
        <w:autoSpaceDE w:val="0"/>
        <w:autoSpaceDN w:val="0"/>
        <w:adjustRightInd w:val="0"/>
        <w:spacing w:after="0"/>
        <w:rPr>
          <w:rFonts w:ascii="NewBaskervilleStd-Roman" w:hAnsi="NewBaskervilleStd-Roman" w:cs="NewBaskervilleStd-Roman"/>
          <w:color w:val="262626"/>
          <w:sz w:val="20"/>
          <w:szCs w:val="20"/>
        </w:rPr>
      </w:pPr>
      <w:r w:rsidRPr="0079070E">
        <w:rPr>
          <w:rFonts w:ascii="NewBaskervilleStd-Roman" w:hAnsi="NewBaskervilleStd-Roman" w:cs="NewBaskervilleStd-Roman"/>
          <w:color w:val="262626"/>
          <w:sz w:val="20"/>
          <w:szCs w:val="20"/>
        </w:rPr>
        <w:t xml:space="preserve">They block code execution while waiting on responses. In a thread- or process-based server model, this can exhaust capacity and </w:t>
      </w:r>
      <w:r w:rsidRPr="00B953DB">
        <w:rPr>
          <w:rFonts w:ascii="NewBaskervilleStd-Roman" w:hAnsi="NewBaskervilleStd-Roman" w:cs="NewBaskervilleStd-Roman"/>
          <w:b/>
          <w:bCs/>
          <w:color w:val="262626"/>
          <w:sz w:val="20"/>
          <w:szCs w:val="20"/>
        </w:rPr>
        <w:t>trigger cascading failures</w:t>
      </w:r>
      <w:r w:rsidRPr="0079070E">
        <w:rPr>
          <w:rFonts w:ascii="NewBaskervilleStd-Roman" w:hAnsi="NewBaskervilleStd-Roman" w:cs="NewBaskervilleStd-Roman"/>
          <w:color w:val="262626"/>
          <w:sz w:val="20"/>
          <w:szCs w:val="20"/>
        </w:rPr>
        <w:t>.</w:t>
      </w:r>
    </w:p>
    <w:p w14:paraId="6D32342C" w14:textId="7D166835" w:rsidR="0014788B" w:rsidRDefault="00041270" w:rsidP="001A7520">
      <w:pPr>
        <w:pStyle w:val="ListParagraph"/>
        <w:numPr>
          <w:ilvl w:val="0"/>
          <w:numId w:val="17"/>
        </w:numPr>
        <w:autoSpaceDE w:val="0"/>
        <w:autoSpaceDN w:val="0"/>
        <w:adjustRightInd w:val="0"/>
        <w:spacing w:after="0"/>
        <w:rPr>
          <w:rFonts w:ascii="NewBaskervilleStd-Roman" w:hAnsi="NewBaskervilleStd-Roman" w:cs="NewBaskervilleStd-Roman"/>
          <w:color w:val="262626"/>
          <w:sz w:val="20"/>
          <w:szCs w:val="20"/>
        </w:rPr>
      </w:pPr>
      <w:r w:rsidRPr="00041270">
        <w:rPr>
          <w:rFonts w:ascii="NewBaskervilleStd-Roman" w:hAnsi="NewBaskervilleStd-Roman" w:cs="NewBaskervilleStd-Roman"/>
          <w:color w:val="262626"/>
          <w:sz w:val="20"/>
          <w:szCs w:val="20"/>
        </w:rPr>
        <w:t xml:space="preserve">Overuse of synchronous messages can build </w:t>
      </w:r>
      <w:r w:rsidRPr="007F7A26">
        <w:rPr>
          <w:rFonts w:ascii="NewBaskervilleStd-Roman" w:hAnsi="NewBaskervilleStd-Roman" w:cs="NewBaskervilleStd-Roman"/>
          <w:b/>
          <w:bCs/>
          <w:color w:val="262626"/>
          <w:sz w:val="20"/>
          <w:szCs w:val="20"/>
        </w:rPr>
        <w:t>deep dependency chains</w:t>
      </w:r>
      <w:r w:rsidRPr="00041270">
        <w:rPr>
          <w:rFonts w:ascii="NewBaskervilleStd-Roman" w:hAnsi="NewBaskervilleStd-Roman" w:cs="NewBaskervilleStd-Roman"/>
          <w:color w:val="262626"/>
          <w:sz w:val="20"/>
          <w:szCs w:val="20"/>
        </w:rPr>
        <w:t>, which</w:t>
      </w:r>
      <w:r w:rsidR="001A7520">
        <w:rPr>
          <w:rFonts w:ascii="NewBaskervilleStd-Roman" w:hAnsi="NewBaskervilleStd-Roman" w:cs="NewBaskervilleStd-Roman"/>
          <w:color w:val="262626"/>
          <w:sz w:val="20"/>
          <w:szCs w:val="20"/>
        </w:rPr>
        <w:t xml:space="preserve"> </w:t>
      </w:r>
      <w:r w:rsidRPr="001A7520">
        <w:rPr>
          <w:rFonts w:ascii="NewBaskervilleStd-Roman" w:hAnsi="NewBaskervilleStd-Roman" w:cs="NewBaskervilleStd-Roman"/>
          <w:color w:val="262626"/>
          <w:sz w:val="20"/>
          <w:szCs w:val="20"/>
        </w:rPr>
        <w:t xml:space="preserve">increases the overall </w:t>
      </w:r>
      <w:r w:rsidRPr="007F7A26">
        <w:rPr>
          <w:rFonts w:ascii="NewBaskervilleStd-Roman" w:hAnsi="NewBaskervilleStd-Roman" w:cs="NewBaskervilleStd-Roman"/>
          <w:b/>
          <w:bCs/>
          <w:color w:val="262626"/>
          <w:sz w:val="20"/>
          <w:szCs w:val="20"/>
        </w:rPr>
        <w:t>fragility</w:t>
      </w:r>
      <w:r w:rsidRPr="001A7520">
        <w:rPr>
          <w:rFonts w:ascii="NewBaskervilleStd-Roman" w:hAnsi="NewBaskervilleStd-Roman" w:cs="NewBaskervilleStd-Roman"/>
          <w:color w:val="262626"/>
          <w:sz w:val="20"/>
          <w:szCs w:val="20"/>
        </w:rPr>
        <w:t xml:space="preserve"> </w:t>
      </w:r>
      <w:r w:rsidRPr="007F7A26">
        <w:rPr>
          <w:rFonts w:ascii="NewBaskervilleStd-Roman" w:hAnsi="NewBaskervilleStd-Roman" w:cs="NewBaskervilleStd-Roman"/>
          <w:b/>
          <w:bCs/>
          <w:color w:val="262626"/>
          <w:sz w:val="20"/>
          <w:szCs w:val="20"/>
        </w:rPr>
        <w:t>of a call path</w:t>
      </w:r>
      <w:r w:rsidRPr="001A7520">
        <w:rPr>
          <w:rFonts w:ascii="NewBaskervilleStd-Roman" w:hAnsi="NewBaskervilleStd-Roman" w:cs="NewBaskervilleStd-Roman"/>
          <w:color w:val="262626"/>
          <w:sz w:val="20"/>
          <w:szCs w:val="20"/>
        </w:rPr>
        <w:t>.</w:t>
      </w:r>
    </w:p>
    <w:p w14:paraId="5FA8C658" w14:textId="42D44817" w:rsidR="00391A95" w:rsidRDefault="003A52F3" w:rsidP="003A52F3">
      <w:pPr>
        <w:pStyle w:val="Heading1"/>
      </w:pPr>
      <w:r>
        <w:t>When to Use Asynchronous Messaging</w:t>
      </w:r>
    </w:p>
    <w:p w14:paraId="64DE8520" w14:textId="45A81F99" w:rsidR="0035662B" w:rsidRDefault="00E123EF" w:rsidP="00E123EF">
      <w:pPr>
        <w:autoSpaceDE w:val="0"/>
        <w:autoSpaceDN w:val="0"/>
        <w:adjustRightInd w:val="0"/>
        <w:spacing w:after="0"/>
        <w:rPr>
          <w:rFonts w:ascii="NewBaskervilleStd-Roman" w:hAnsi="NewBaskervilleStd-Roman" w:cs="NewBaskervilleStd-Roman"/>
          <w:color w:val="262626"/>
          <w:sz w:val="20"/>
          <w:szCs w:val="20"/>
        </w:rPr>
      </w:pPr>
      <w:r>
        <w:rPr>
          <w:rFonts w:ascii="NewBaskervilleStd-Roman" w:hAnsi="NewBaskervilleStd-Roman" w:cs="NewBaskervilleStd-Roman"/>
          <w:color w:val="262626"/>
          <w:sz w:val="20"/>
          <w:szCs w:val="20"/>
        </w:rPr>
        <w:t xml:space="preserve">An asynchronous style of messaging is </w:t>
      </w:r>
      <w:r w:rsidRPr="002B0726">
        <w:rPr>
          <w:rFonts w:ascii="NewBaskervilleStd-Roman" w:hAnsi="NewBaskervilleStd-Roman" w:cs="NewBaskervilleStd-Roman"/>
          <w:b/>
          <w:bCs/>
          <w:color w:val="262626"/>
          <w:sz w:val="20"/>
          <w:szCs w:val="20"/>
        </w:rPr>
        <w:t>more flexible</w:t>
      </w:r>
      <w:r>
        <w:rPr>
          <w:rFonts w:ascii="NewBaskervilleStd-Roman" w:hAnsi="NewBaskervilleStd-Roman" w:cs="NewBaskervilleStd-Roman"/>
          <w:color w:val="262626"/>
          <w:sz w:val="20"/>
          <w:szCs w:val="20"/>
        </w:rPr>
        <w:t xml:space="preserve">. </w:t>
      </w:r>
      <w:r w:rsidRPr="002B0726">
        <w:rPr>
          <w:rFonts w:ascii="NewBaskervilleStd-Roman" w:hAnsi="NewBaskervilleStd-Roman" w:cs="NewBaskervilleStd-Roman"/>
          <w:b/>
          <w:bCs/>
          <w:color w:val="262626"/>
          <w:sz w:val="20"/>
          <w:szCs w:val="20"/>
        </w:rPr>
        <w:t>By announcing events</w:t>
      </w:r>
      <w:r>
        <w:rPr>
          <w:rFonts w:ascii="NewBaskervilleStd-Roman" w:hAnsi="NewBaskervilleStd-Roman" w:cs="NewBaskervilleStd-Roman"/>
          <w:color w:val="262626"/>
          <w:sz w:val="20"/>
          <w:szCs w:val="20"/>
        </w:rPr>
        <w:t xml:space="preserve">, you make it easy to extend the system to handle new requirements, because </w:t>
      </w:r>
      <w:r w:rsidRPr="002B0726">
        <w:rPr>
          <w:rFonts w:ascii="NewBaskervilleStd-Roman" w:hAnsi="NewBaskervilleStd-Roman" w:cs="NewBaskervilleStd-Roman"/>
          <w:b/>
          <w:bCs/>
          <w:color w:val="262626"/>
          <w:sz w:val="20"/>
          <w:szCs w:val="20"/>
        </w:rPr>
        <w:t>services no longer need to have knowledge of their downstream consumers</w:t>
      </w:r>
      <w:r>
        <w:rPr>
          <w:rFonts w:ascii="NewBaskervilleStd-Roman" w:hAnsi="NewBaskervilleStd-Roman" w:cs="NewBaskervilleStd-Roman"/>
          <w:color w:val="262626"/>
          <w:sz w:val="20"/>
          <w:szCs w:val="20"/>
        </w:rPr>
        <w:t>. New services can consume existing events without changing existing services.</w:t>
      </w:r>
    </w:p>
    <w:p w14:paraId="5DD1185B" w14:textId="39A04ADA" w:rsidR="00A80CA8" w:rsidRDefault="00A80CA8" w:rsidP="00E123EF">
      <w:pPr>
        <w:autoSpaceDE w:val="0"/>
        <w:autoSpaceDN w:val="0"/>
        <w:adjustRightInd w:val="0"/>
        <w:spacing w:after="0"/>
        <w:rPr>
          <w:rFonts w:ascii="NewBaskervilleStd-Roman" w:hAnsi="NewBaskervilleStd-Roman" w:cs="NewBaskervilleStd-Roman"/>
          <w:color w:val="262626"/>
          <w:sz w:val="20"/>
          <w:szCs w:val="20"/>
        </w:rPr>
      </w:pPr>
    </w:p>
    <w:p w14:paraId="55646755" w14:textId="15DCD15B" w:rsidR="00A80CA8" w:rsidRDefault="003D14E4" w:rsidP="008508E5">
      <w:pPr>
        <w:pStyle w:val="ListParagraph"/>
        <w:numPr>
          <w:ilvl w:val="0"/>
          <w:numId w:val="18"/>
        </w:numPr>
        <w:autoSpaceDE w:val="0"/>
        <w:autoSpaceDN w:val="0"/>
        <w:adjustRightInd w:val="0"/>
        <w:spacing w:after="0"/>
        <w:rPr>
          <w:rFonts w:ascii="NewBaskervilleStd-Roman" w:hAnsi="NewBaskervilleStd-Roman" w:cs="NewBaskervilleStd-Roman"/>
          <w:color w:val="262626"/>
          <w:sz w:val="20"/>
          <w:szCs w:val="20"/>
        </w:rPr>
      </w:pPr>
      <w:r w:rsidRPr="008508E5">
        <w:rPr>
          <w:rFonts w:ascii="NewBaskervilleStd-Roman" w:hAnsi="NewBaskervilleStd-Roman" w:cs="NewBaskervilleStd-Roman"/>
          <w:b/>
          <w:bCs/>
          <w:color w:val="262626"/>
          <w:sz w:val="20"/>
          <w:szCs w:val="20"/>
        </w:rPr>
        <w:t>Events</w:t>
      </w:r>
      <w:r w:rsidRPr="008508E5">
        <w:rPr>
          <w:rFonts w:ascii="NewBaskervilleStd-Roman" w:hAnsi="NewBaskervilleStd-Roman" w:cs="NewBaskervilleStd-Roman"/>
          <w:color w:val="262626"/>
          <w:sz w:val="20"/>
          <w:szCs w:val="20"/>
        </w:rPr>
        <w:t xml:space="preserve"> represent </w:t>
      </w:r>
      <w:r w:rsidRPr="008508E5">
        <w:rPr>
          <w:rFonts w:ascii="NewBaskervilleStd-Roman" w:hAnsi="NewBaskervilleStd-Roman" w:cs="NewBaskervilleStd-Roman"/>
          <w:b/>
          <w:bCs/>
          <w:color w:val="262626"/>
          <w:sz w:val="20"/>
          <w:szCs w:val="20"/>
        </w:rPr>
        <w:t>post-hoc state changes</w:t>
      </w:r>
      <w:r w:rsidRPr="008508E5">
        <w:rPr>
          <w:rFonts w:ascii="NewBaskervilleStd-Roman" w:hAnsi="NewBaskervilleStd-Roman" w:cs="NewBaskervilleStd-Roman"/>
          <w:color w:val="262626"/>
          <w:sz w:val="20"/>
          <w:szCs w:val="20"/>
        </w:rPr>
        <w:t xml:space="preserve">. </w:t>
      </w:r>
      <w:r w:rsidRPr="008508E5">
        <w:rPr>
          <w:rFonts w:ascii="CourierStd" w:hAnsi="CourierStd" w:cs="CourierStd"/>
          <w:color w:val="262626"/>
          <w:sz w:val="19"/>
          <w:szCs w:val="19"/>
        </w:rPr>
        <w:t>OrderCreated</w:t>
      </w:r>
      <w:r w:rsidRPr="008508E5">
        <w:rPr>
          <w:rFonts w:ascii="NewBaskervilleStd-Roman" w:hAnsi="NewBaskervilleStd-Roman" w:cs="NewBaskervilleStd-Roman"/>
          <w:color w:val="262626"/>
          <w:sz w:val="20"/>
          <w:szCs w:val="20"/>
        </w:rPr>
        <w:t xml:space="preserve">, </w:t>
      </w:r>
      <w:r w:rsidRPr="008508E5">
        <w:rPr>
          <w:rFonts w:ascii="CourierStd" w:hAnsi="CourierStd" w:cs="CourierStd"/>
          <w:color w:val="262626"/>
          <w:sz w:val="19"/>
          <w:szCs w:val="19"/>
        </w:rPr>
        <w:t>OrderPlaced</w:t>
      </w:r>
      <w:r w:rsidRPr="008508E5">
        <w:rPr>
          <w:rFonts w:ascii="NewBaskervilleStd-Roman" w:hAnsi="NewBaskervilleStd-Roman" w:cs="NewBaskervilleStd-Roman"/>
          <w:color w:val="262626"/>
          <w:sz w:val="20"/>
          <w:szCs w:val="20"/>
        </w:rPr>
        <w:t xml:space="preserve">, and </w:t>
      </w:r>
      <w:r w:rsidRPr="008508E5">
        <w:rPr>
          <w:rFonts w:ascii="CourierStd" w:hAnsi="CourierStd" w:cs="CourierStd"/>
          <w:color w:val="262626"/>
          <w:sz w:val="19"/>
          <w:szCs w:val="19"/>
        </w:rPr>
        <w:t xml:space="preserve">OrderCanceled </w:t>
      </w:r>
      <w:r w:rsidRPr="008508E5">
        <w:rPr>
          <w:rFonts w:ascii="NewBaskervilleStd-Roman" w:hAnsi="NewBaskervilleStd-Roman" w:cs="NewBaskervilleStd-Roman"/>
          <w:color w:val="262626"/>
          <w:sz w:val="20"/>
          <w:szCs w:val="20"/>
        </w:rPr>
        <w:t xml:space="preserve">are examples of events that </w:t>
      </w:r>
      <w:r w:rsidR="006D2E08" w:rsidRPr="008508E5">
        <w:rPr>
          <w:rFonts w:ascii="NewBaskervilleStd-Roman" w:hAnsi="NewBaskervilleStd-Roman" w:cs="NewBaskervilleStd-Roman"/>
          <w:color w:val="262626"/>
          <w:sz w:val="20"/>
          <w:szCs w:val="20"/>
        </w:rPr>
        <w:t>an</w:t>
      </w:r>
      <w:r w:rsidRPr="008508E5">
        <w:rPr>
          <w:rFonts w:ascii="NewBaskervilleStd-Roman" w:hAnsi="NewBaskervilleStd-Roman" w:cs="NewBaskervilleStd-Roman"/>
          <w:color w:val="262626"/>
          <w:sz w:val="20"/>
          <w:szCs w:val="20"/>
        </w:rPr>
        <w:t xml:space="preserve"> orders service might emit.</w:t>
      </w:r>
    </w:p>
    <w:p w14:paraId="535849AD" w14:textId="386FCD7E" w:rsidR="008508E5" w:rsidRDefault="008508E5" w:rsidP="008508E5">
      <w:pPr>
        <w:autoSpaceDE w:val="0"/>
        <w:autoSpaceDN w:val="0"/>
        <w:adjustRightInd w:val="0"/>
        <w:spacing w:after="0"/>
        <w:rPr>
          <w:rFonts w:ascii="NewBaskervilleStd-Roman" w:hAnsi="NewBaskervilleStd-Roman" w:cs="NewBaskervilleStd-Roman"/>
          <w:color w:val="262626"/>
          <w:sz w:val="20"/>
          <w:szCs w:val="20"/>
        </w:rPr>
      </w:pPr>
    </w:p>
    <w:p w14:paraId="342B39B5" w14:textId="58A36ADE" w:rsidR="008508E5" w:rsidRDefault="00CB76A0" w:rsidP="00CB76A0">
      <w:pPr>
        <w:autoSpaceDE w:val="0"/>
        <w:autoSpaceDN w:val="0"/>
        <w:adjustRightInd w:val="0"/>
        <w:spacing w:after="0"/>
        <w:rPr>
          <w:rFonts w:ascii="NewBaskervilleStd-Roman" w:hAnsi="NewBaskervilleStd-Roman" w:cs="NewBaskervilleStd-Roman"/>
          <w:color w:val="262626"/>
          <w:sz w:val="20"/>
          <w:szCs w:val="20"/>
        </w:rPr>
      </w:pPr>
      <w:r>
        <w:rPr>
          <w:rFonts w:ascii="NewBaskervilleStd-Roman" w:hAnsi="NewBaskervilleStd-Roman" w:cs="NewBaskervilleStd-Roman"/>
          <w:color w:val="262626"/>
          <w:sz w:val="20"/>
          <w:szCs w:val="20"/>
        </w:rPr>
        <w:t xml:space="preserve">This style enables more fluid evolution and creates looser coupling between services. This does come at a cost: </w:t>
      </w:r>
      <w:r w:rsidRPr="00855274">
        <w:rPr>
          <w:rFonts w:ascii="NewBaskervilleStd-Roman" w:hAnsi="NewBaskervilleStd-Roman" w:cs="NewBaskervilleStd-Roman"/>
          <w:b/>
          <w:bCs/>
          <w:color w:val="262626"/>
          <w:sz w:val="20"/>
          <w:szCs w:val="20"/>
        </w:rPr>
        <w:t>asynchronous interactions are more difficult to reason through</w:t>
      </w:r>
      <w:r>
        <w:rPr>
          <w:rFonts w:ascii="NewBaskervilleStd-Roman" w:hAnsi="NewBaskervilleStd-Roman" w:cs="NewBaskervilleStd-Roman"/>
          <w:color w:val="262626"/>
          <w:sz w:val="20"/>
          <w:szCs w:val="20"/>
        </w:rPr>
        <w:t xml:space="preserve">, </w:t>
      </w:r>
      <w:r w:rsidRPr="00855274">
        <w:rPr>
          <w:rFonts w:ascii="NewBaskervilleStd-Roman" w:hAnsi="NewBaskervilleStd-Roman" w:cs="NewBaskervilleStd-Roman"/>
          <w:b/>
          <w:bCs/>
          <w:color w:val="262626"/>
          <w:sz w:val="20"/>
          <w:szCs w:val="20"/>
        </w:rPr>
        <w:t>because overall system behavior is no longer explicitly encoded into linear sequences</w:t>
      </w:r>
      <w:r>
        <w:rPr>
          <w:rFonts w:ascii="NewBaskervilleStd-Roman" w:hAnsi="NewBaskervilleStd-Roman" w:cs="NewBaskervilleStd-Roman"/>
          <w:color w:val="262626"/>
          <w:sz w:val="20"/>
          <w:szCs w:val="20"/>
        </w:rPr>
        <w:t xml:space="preserve">. System behavior will become increasingly </w:t>
      </w:r>
      <w:r>
        <w:rPr>
          <w:rFonts w:ascii="NewBaskervilleStd-Italic" w:hAnsi="NewBaskervilleStd-Italic" w:cs="NewBaskervilleStd-Italic"/>
          <w:i/>
          <w:iCs/>
          <w:color w:val="262626"/>
          <w:sz w:val="20"/>
          <w:szCs w:val="20"/>
        </w:rPr>
        <w:t xml:space="preserve">emergent </w:t>
      </w:r>
      <w:r w:rsidR="002A3825">
        <w:rPr>
          <w:rFonts w:ascii="NewBaskervilleStd-Italic" w:hAnsi="NewBaskervilleStd-Italic" w:cs="NewBaskervilleStd-Italic"/>
          <w:i/>
          <w:iCs/>
          <w:color w:val="262626"/>
          <w:sz w:val="20"/>
          <w:szCs w:val="20"/>
        </w:rPr>
        <w:t>(</w:t>
      </w:r>
      <w:r w:rsidR="002A3825" w:rsidRPr="00D23756">
        <w:t>arising unexpectedly</w:t>
      </w:r>
      <w:r w:rsidR="002A3825">
        <w:rPr>
          <w:rFonts w:ascii="NewBaskervilleStd-Italic" w:hAnsi="NewBaskervilleStd-Italic" w:cs="NewBaskervilleStd-Italic"/>
          <w:i/>
          <w:iCs/>
          <w:color w:val="262626"/>
          <w:sz w:val="20"/>
          <w:szCs w:val="20"/>
        </w:rPr>
        <w:t>)</w:t>
      </w:r>
      <w:r>
        <w:rPr>
          <w:rFonts w:ascii="NewBaskervilleStd-Roman" w:hAnsi="NewBaskervilleStd-Roman" w:cs="NewBaskervilleStd-Roman"/>
          <w:color w:val="262626"/>
          <w:sz w:val="20"/>
          <w:szCs w:val="20"/>
        </w:rPr>
        <w:t>— developing unpredictably from interactions between services — requiring investment in monitoring to adequately trace what’s happening.</w:t>
      </w:r>
    </w:p>
    <w:p w14:paraId="1047B34C" w14:textId="29B62C9F" w:rsidR="006B5871" w:rsidRDefault="006B5871" w:rsidP="00CB76A0">
      <w:pPr>
        <w:autoSpaceDE w:val="0"/>
        <w:autoSpaceDN w:val="0"/>
        <w:adjustRightInd w:val="0"/>
        <w:spacing w:after="0"/>
        <w:rPr>
          <w:rFonts w:ascii="NewBaskervilleStd-Roman" w:hAnsi="NewBaskervilleStd-Roman" w:cs="NewBaskervilleStd-Roman"/>
          <w:color w:val="262626"/>
          <w:sz w:val="20"/>
          <w:szCs w:val="20"/>
        </w:rPr>
      </w:pPr>
    </w:p>
    <w:p w14:paraId="1F866AF7" w14:textId="77777777" w:rsidR="006B5871" w:rsidRPr="00B71C79" w:rsidRDefault="006B5871" w:rsidP="006B5871">
      <w:pPr>
        <w:autoSpaceDE w:val="0"/>
        <w:autoSpaceDN w:val="0"/>
        <w:adjustRightInd w:val="0"/>
        <w:spacing w:after="0"/>
        <w:rPr>
          <w:rFonts w:ascii="NewBaskervilleStd-Roman" w:hAnsi="NewBaskervilleStd-Roman" w:cs="NewBaskervilleStd-Roman"/>
          <w:b/>
          <w:bCs/>
          <w:color w:val="262626"/>
          <w:sz w:val="20"/>
          <w:szCs w:val="20"/>
        </w:rPr>
      </w:pPr>
      <w:r>
        <w:rPr>
          <w:rFonts w:ascii="NewBaskervilleStd-Roman" w:hAnsi="NewBaskervilleStd-Roman" w:cs="NewBaskervilleStd-Roman"/>
          <w:color w:val="262626"/>
          <w:sz w:val="20"/>
          <w:szCs w:val="20"/>
        </w:rPr>
        <w:t xml:space="preserve">Asynchronous messaging typically requires a </w:t>
      </w:r>
      <w:r w:rsidRPr="00B71C79">
        <w:rPr>
          <w:rFonts w:ascii="NewBaskervilleStd-Italic" w:hAnsi="NewBaskervilleStd-Italic" w:cs="NewBaskervilleStd-Italic"/>
          <w:b/>
          <w:bCs/>
          <w:i/>
          <w:iCs/>
          <w:color w:val="262626"/>
          <w:sz w:val="20"/>
          <w:szCs w:val="20"/>
        </w:rPr>
        <w:t>communication broker</w:t>
      </w:r>
      <w:r>
        <w:rPr>
          <w:rFonts w:ascii="NewBaskervilleStd-Roman" w:hAnsi="NewBaskervilleStd-Roman" w:cs="NewBaskervilleStd-Roman"/>
          <w:color w:val="262626"/>
          <w:sz w:val="20"/>
          <w:szCs w:val="20"/>
        </w:rPr>
        <w:t xml:space="preserve">, </w:t>
      </w:r>
      <w:r w:rsidRPr="00B71C79">
        <w:rPr>
          <w:rFonts w:ascii="NewBaskervilleStd-Roman" w:hAnsi="NewBaskervilleStd-Roman" w:cs="NewBaskervilleStd-Roman"/>
          <w:b/>
          <w:bCs/>
          <w:color w:val="262626"/>
          <w:sz w:val="20"/>
          <w:szCs w:val="20"/>
        </w:rPr>
        <w:t>an independent system</w:t>
      </w:r>
    </w:p>
    <w:p w14:paraId="4CDAAA93" w14:textId="0D4F2E93" w:rsidR="006B5871" w:rsidRDefault="006B5871" w:rsidP="00BD768E">
      <w:pPr>
        <w:autoSpaceDE w:val="0"/>
        <w:autoSpaceDN w:val="0"/>
        <w:adjustRightInd w:val="0"/>
        <w:spacing w:after="0"/>
        <w:rPr>
          <w:rFonts w:ascii="NewBaskervilleStd-Roman" w:hAnsi="NewBaskervilleStd-Roman" w:cs="NewBaskervilleStd-Roman"/>
          <w:color w:val="262626"/>
          <w:sz w:val="20"/>
          <w:szCs w:val="20"/>
        </w:rPr>
      </w:pPr>
      <w:r w:rsidRPr="00B71C79">
        <w:rPr>
          <w:rFonts w:ascii="NewBaskervilleStd-Roman" w:hAnsi="NewBaskervilleStd-Roman" w:cs="NewBaskervilleStd-Roman"/>
          <w:b/>
          <w:bCs/>
          <w:color w:val="262626"/>
          <w:sz w:val="20"/>
          <w:szCs w:val="20"/>
        </w:rPr>
        <w:t>component that receives events and distributes them to event consumers.</w:t>
      </w:r>
      <w:r w:rsidR="000A3428">
        <w:rPr>
          <w:rFonts w:ascii="NewBaskervilleStd-Roman" w:hAnsi="NewBaskervilleStd-Roman" w:cs="NewBaskervilleStd-Roman"/>
          <w:b/>
          <w:bCs/>
          <w:color w:val="262626"/>
          <w:sz w:val="20"/>
          <w:szCs w:val="20"/>
        </w:rPr>
        <w:t xml:space="preserve"> </w:t>
      </w:r>
      <w:r w:rsidR="000A3428">
        <w:rPr>
          <w:rFonts w:ascii="NewBaskervilleStd-Roman" w:hAnsi="NewBaskervilleStd-Roman" w:cs="NewBaskervilleStd-Roman"/>
          <w:color w:val="262626"/>
          <w:sz w:val="20"/>
          <w:szCs w:val="20"/>
        </w:rPr>
        <w:t>sometimes called an</w:t>
      </w:r>
      <w:r w:rsidR="00BD768E">
        <w:rPr>
          <w:rFonts w:ascii="NewBaskervilleStd-Roman" w:hAnsi="NewBaskervilleStd-Roman" w:cs="NewBaskervilleStd-Roman"/>
          <w:color w:val="262626"/>
          <w:sz w:val="20"/>
          <w:szCs w:val="20"/>
        </w:rPr>
        <w:t xml:space="preserve"> </w:t>
      </w:r>
      <w:r w:rsidR="000A3428">
        <w:rPr>
          <w:rFonts w:ascii="NewBaskervilleStd-Italic" w:hAnsi="NewBaskervilleStd-Italic" w:cs="NewBaskervilleStd-Italic"/>
          <w:i/>
          <w:iCs/>
          <w:color w:val="262626"/>
          <w:sz w:val="20"/>
          <w:szCs w:val="20"/>
        </w:rPr>
        <w:t>event backbone</w:t>
      </w:r>
      <w:r w:rsidR="000A3428">
        <w:rPr>
          <w:rFonts w:ascii="NewBaskervilleStd-Roman" w:hAnsi="NewBaskervilleStd-Roman" w:cs="NewBaskervilleStd-Roman"/>
          <w:color w:val="262626"/>
          <w:sz w:val="20"/>
          <w:szCs w:val="20"/>
        </w:rPr>
        <w:t>, which indicates how central to your application this</w:t>
      </w:r>
      <w:r w:rsidR="00BD768E">
        <w:rPr>
          <w:rFonts w:ascii="NewBaskervilleStd-Roman" w:hAnsi="NewBaskervilleStd-Roman" w:cs="NewBaskervilleStd-Roman"/>
          <w:color w:val="262626"/>
          <w:sz w:val="20"/>
          <w:szCs w:val="20"/>
        </w:rPr>
        <w:t xml:space="preserve"> </w:t>
      </w:r>
      <w:r w:rsidR="000A3428">
        <w:rPr>
          <w:rFonts w:ascii="NewBaskervilleStd-Roman" w:hAnsi="NewBaskervilleStd-Roman" w:cs="NewBaskervilleStd-Roman"/>
          <w:color w:val="262626"/>
          <w:sz w:val="20"/>
          <w:szCs w:val="20"/>
        </w:rPr>
        <w:t>component becomes (figure</w:t>
      </w:r>
      <w:r w:rsidR="00F53C0A">
        <w:rPr>
          <w:rFonts w:ascii="NewBaskervilleStd-Roman" w:hAnsi="NewBaskervilleStd-Roman" w:cs="NewBaskervilleStd-Roman"/>
          <w:color w:val="262626"/>
          <w:sz w:val="20"/>
          <w:szCs w:val="20"/>
        </w:rPr>
        <w:t xml:space="preserve"> below</w:t>
      </w:r>
      <w:r w:rsidR="000A3428">
        <w:rPr>
          <w:rFonts w:ascii="NewBaskervilleStd-Roman" w:hAnsi="NewBaskervilleStd-Roman" w:cs="NewBaskervilleStd-Roman"/>
          <w:color w:val="262626"/>
          <w:sz w:val="20"/>
          <w:szCs w:val="20"/>
        </w:rPr>
        <w:t xml:space="preserve">). Tools commonly used as brokers include </w:t>
      </w:r>
      <w:r w:rsidR="000A3428" w:rsidRPr="00F53C0A">
        <w:rPr>
          <w:rFonts w:ascii="NewBaskervilleStd-Roman" w:hAnsi="NewBaskervilleStd-Roman" w:cs="NewBaskervilleStd-Roman"/>
          <w:b/>
          <w:bCs/>
          <w:color w:val="262626"/>
          <w:sz w:val="20"/>
          <w:szCs w:val="20"/>
        </w:rPr>
        <w:t>Kafka</w:t>
      </w:r>
      <w:r w:rsidR="000A3428">
        <w:rPr>
          <w:rFonts w:ascii="NewBaskervilleStd-Roman" w:hAnsi="NewBaskervilleStd-Roman" w:cs="NewBaskervilleStd-Roman"/>
          <w:color w:val="262626"/>
          <w:sz w:val="20"/>
          <w:szCs w:val="20"/>
        </w:rPr>
        <w:t>,</w:t>
      </w:r>
      <w:r w:rsidR="00BD768E">
        <w:rPr>
          <w:rFonts w:ascii="NewBaskervilleStd-Roman" w:hAnsi="NewBaskervilleStd-Roman" w:cs="NewBaskervilleStd-Roman"/>
          <w:color w:val="262626"/>
          <w:sz w:val="20"/>
          <w:szCs w:val="20"/>
        </w:rPr>
        <w:t xml:space="preserve"> </w:t>
      </w:r>
      <w:r w:rsidR="000A3428" w:rsidRPr="00F53C0A">
        <w:rPr>
          <w:rFonts w:ascii="NewBaskervilleStd-Roman" w:hAnsi="NewBaskervilleStd-Roman" w:cs="NewBaskervilleStd-Roman"/>
          <w:b/>
          <w:bCs/>
          <w:color w:val="262626"/>
          <w:sz w:val="20"/>
          <w:szCs w:val="20"/>
        </w:rPr>
        <w:t>RabbitMQ</w:t>
      </w:r>
      <w:r w:rsidR="000A3428">
        <w:rPr>
          <w:rFonts w:ascii="NewBaskervilleStd-Roman" w:hAnsi="NewBaskervilleStd-Roman" w:cs="NewBaskervilleStd-Roman"/>
          <w:color w:val="262626"/>
          <w:sz w:val="20"/>
          <w:szCs w:val="20"/>
        </w:rPr>
        <w:t xml:space="preserve">, and </w:t>
      </w:r>
      <w:r w:rsidR="000A3428" w:rsidRPr="00F53C0A">
        <w:rPr>
          <w:rFonts w:ascii="NewBaskervilleStd-Roman" w:hAnsi="NewBaskervilleStd-Roman" w:cs="NewBaskervilleStd-Roman"/>
          <w:b/>
          <w:bCs/>
          <w:color w:val="262626"/>
          <w:sz w:val="20"/>
          <w:szCs w:val="20"/>
        </w:rPr>
        <w:t>Redis</w:t>
      </w:r>
      <w:r w:rsidR="000A3428">
        <w:rPr>
          <w:rFonts w:ascii="NewBaskervilleStd-Roman" w:hAnsi="NewBaskervilleStd-Roman" w:cs="NewBaskervilleStd-Roman"/>
          <w:color w:val="262626"/>
          <w:sz w:val="20"/>
          <w:szCs w:val="20"/>
        </w:rPr>
        <w:t xml:space="preserve">. The semantics of these tools differ: </w:t>
      </w:r>
      <w:r w:rsidR="000A3428" w:rsidRPr="00EC028D">
        <w:rPr>
          <w:rFonts w:ascii="NewBaskervilleStd-Roman" w:hAnsi="NewBaskervilleStd-Roman" w:cs="NewBaskervilleStd-Roman"/>
          <w:b/>
          <w:bCs/>
          <w:color w:val="262626"/>
          <w:sz w:val="20"/>
          <w:szCs w:val="20"/>
        </w:rPr>
        <w:t>Kafka specializes in high-volume,</w:t>
      </w:r>
      <w:r w:rsidR="00BD768E" w:rsidRPr="00EC028D">
        <w:rPr>
          <w:rFonts w:ascii="NewBaskervilleStd-Roman" w:hAnsi="NewBaskervilleStd-Roman" w:cs="NewBaskervilleStd-Roman"/>
          <w:b/>
          <w:bCs/>
          <w:color w:val="262626"/>
          <w:sz w:val="20"/>
          <w:szCs w:val="20"/>
        </w:rPr>
        <w:t xml:space="preserve"> </w:t>
      </w:r>
      <w:r w:rsidR="000A3428" w:rsidRPr="00EC028D">
        <w:rPr>
          <w:rFonts w:ascii="NewBaskervilleStd-Roman" w:hAnsi="NewBaskervilleStd-Roman" w:cs="NewBaskervilleStd-Roman"/>
          <w:b/>
          <w:bCs/>
          <w:color w:val="262626"/>
          <w:sz w:val="20"/>
          <w:szCs w:val="20"/>
        </w:rPr>
        <w:t>replayable event storage</w:t>
      </w:r>
      <w:r w:rsidR="000A3428">
        <w:rPr>
          <w:rFonts w:ascii="NewBaskervilleStd-Roman" w:hAnsi="NewBaskervilleStd-Roman" w:cs="NewBaskervilleStd-Roman"/>
          <w:color w:val="262626"/>
          <w:sz w:val="20"/>
          <w:szCs w:val="20"/>
        </w:rPr>
        <w:t>, whereas RabbitMQ provides higher level messaging</w:t>
      </w:r>
      <w:r w:rsidR="00BD768E">
        <w:rPr>
          <w:rFonts w:ascii="NewBaskervilleStd-Roman" w:hAnsi="NewBaskervilleStd-Roman" w:cs="NewBaskervilleStd-Roman"/>
          <w:color w:val="262626"/>
          <w:sz w:val="20"/>
          <w:szCs w:val="20"/>
        </w:rPr>
        <w:t xml:space="preserve"> </w:t>
      </w:r>
      <w:r w:rsidR="000A3428">
        <w:rPr>
          <w:rFonts w:ascii="NewBaskervilleStd-Roman" w:hAnsi="NewBaskervilleStd-Roman" w:cs="NewBaskervilleStd-Roman"/>
          <w:color w:val="262626"/>
          <w:sz w:val="20"/>
          <w:szCs w:val="20"/>
        </w:rPr>
        <w:t>middleware (based on the AMQP protocol</w:t>
      </w:r>
      <w:r w:rsidR="00C00E8C">
        <w:rPr>
          <w:rFonts w:ascii="NewBaskervilleStd-Roman" w:hAnsi="NewBaskervilleStd-Roman" w:cs="NewBaskervilleStd-Roman"/>
          <w:color w:val="262626"/>
          <w:sz w:val="20"/>
          <w:szCs w:val="20"/>
        </w:rPr>
        <w:t xml:space="preserve"> </w:t>
      </w:r>
      <w:r w:rsidR="000A3428">
        <w:rPr>
          <w:rFonts w:ascii="NewBaskervilleStd-Roman" w:hAnsi="NewBaskervilleStd-Roman" w:cs="NewBaskervilleStd-Roman"/>
          <w:color w:val="262626"/>
          <w:sz w:val="20"/>
          <w:szCs w:val="20"/>
        </w:rPr>
        <w:t>(</w:t>
      </w:r>
      <w:hyperlink r:id="rId7" w:history="1">
        <w:r w:rsidR="00875A58" w:rsidRPr="00203030">
          <w:rPr>
            <w:rStyle w:val="Hyperlink"/>
            <w:rFonts w:ascii="NewBaskervilleStd-Roman" w:hAnsi="NewBaskervilleStd-Roman" w:cs="NewBaskervilleStd-Roman"/>
            <w:sz w:val="20"/>
            <w:szCs w:val="20"/>
          </w:rPr>
          <w:t>https://www.amqp.org/)</w:t>
        </w:r>
      </w:hyperlink>
      <w:r w:rsidR="000A3428">
        <w:rPr>
          <w:rFonts w:ascii="NewBaskervilleStd-Roman" w:hAnsi="NewBaskervilleStd-Roman" w:cs="NewBaskervilleStd-Roman"/>
          <w:color w:val="262626"/>
          <w:sz w:val="20"/>
          <w:szCs w:val="20"/>
        </w:rPr>
        <w:t>).</w:t>
      </w:r>
    </w:p>
    <w:p w14:paraId="31BA76A6" w14:textId="59668F73" w:rsidR="00524274" w:rsidRDefault="00524274" w:rsidP="00BD768E">
      <w:pPr>
        <w:autoSpaceDE w:val="0"/>
        <w:autoSpaceDN w:val="0"/>
        <w:adjustRightInd w:val="0"/>
        <w:spacing w:after="0"/>
        <w:rPr>
          <w:rFonts w:ascii="NewBaskervilleStd-Roman" w:hAnsi="NewBaskervilleStd-Roman" w:cs="NewBaskervilleStd-Roman"/>
          <w:color w:val="262626"/>
          <w:sz w:val="20"/>
          <w:szCs w:val="20"/>
        </w:rPr>
      </w:pPr>
    </w:p>
    <w:p w14:paraId="4E9A241D" w14:textId="29D8C414" w:rsidR="00524274" w:rsidRDefault="00524274" w:rsidP="00524274">
      <w:pPr>
        <w:autoSpaceDE w:val="0"/>
        <w:autoSpaceDN w:val="0"/>
        <w:adjustRightInd w:val="0"/>
        <w:spacing w:after="0"/>
        <w:rPr>
          <w:rFonts w:ascii="NewBaskervilleStd-Roman" w:hAnsi="NewBaskervilleStd-Roman" w:cs="NewBaskervilleStd-Roman"/>
          <w:color w:val="262626"/>
          <w:sz w:val="20"/>
          <w:szCs w:val="20"/>
        </w:rPr>
      </w:pPr>
      <w:r w:rsidRPr="00884629">
        <w:rPr>
          <w:rFonts w:ascii="NewBaskervilleStd-Roman" w:hAnsi="NewBaskervilleStd-Roman" w:cs="NewBaskervilleStd-Roman"/>
          <w:b/>
          <w:bCs/>
          <w:color w:val="262626"/>
          <w:sz w:val="20"/>
          <w:szCs w:val="20"/>
        </w:rPr>
        <w:t>a communication broker becomes a single point</w:t>
      </w:r>
      <w:r w:rsidRPr="00884629">
        <w:rPr>
          <w:rFonts w:ascii="NewBaskervilleStd-Roman" w:hAnsi="NewBaskervilleStd-Roman" w:cs="NewBaskervilleStd-Roman"/>
          <w:b/>
          <w:bCs/>
          <w:color w:val="262626"/>
          <w:sz w:val="20"/>
          <w:szCs w:val="20"/>
        </w:rPr>
        <w:t xml:space="preserve"> </w:t>
      </w:r>
      <w:r w:rsidRPr="00884629">
        <w:rPr>
          <w:rFonts w:ascii="NewBaskervilleStd-Roman" w:hAnsi="NewBaskervilleStd-Roman" w:cs="NewBaskervilleStd-Roman"/>
          <w:b/>
          <w:bCs/>
          <w:color w:val="262626"/>
          <w:sz w:val="20"/>
          <w:szCs w:val="20"/>
        </w:rPr>
        <w:t>of failure that will require careful attention</w:t>
      </w:r>
      <w:r>
        <w:rPr>
          <w:rFonts w:ascii="NewBaskervilleStd-Roman" w:hAnsi="NewBaskervilleStd-Roman" w:cs="NewBaskervilleStd-Roman"/>
          <w:color w:val="262626"/>
          <w:sz w:val="20"/>
          <w:szCs w:val="20"/>
        </w:rPr>
        <w:t xml:space="preserve"> for you to scale, monitor, and operate</w:t>
      </w:r>
      <w:r>
        <w:rPr>
          <w:rFonts w:ascii="NewBaskervilleStd-Roman" w:hAnsi="NewBaskervilleStd-Roman" w:cs="NewBaskervilleStd-Roman"/>
          <w:color w:val="262626"/>
          <w:sz w:val="20"/>
          <w:szCs w:val="20"/>
        </w:rPr>
        <w:t xml:space="preserve"> </w:t>
      </w:r>
      <w:r>
        <w:rPr>
          <w:rFonts w:ascii="NewBaskervilleStd-Roman" w:hAnsi="NewBaskervilleStd-Roman" w:cs="NewBaskervilleStd-Roman"/>
          <w:color w:val="262626"/>
          <w:sz w:val="20"/>
          <w:szCs w:val="20"/>
        </w:rPr>
        <w:t>effectively.</w:t>
      </w:r>
    </w:p>
    <w:p w14:paraId="3D13BC03" w14:textId="36E11F0E" w:rsidR="00875A58" w:rsidRDefault="00875A58" w:rsidP="00BD768E">
      <w:pPr>
        <w:autoSpaceDE w:val="0"/>
        <w:autoSpaceDN w:val="0"/>
        <w:adjustRightInd w:val="0"/>
        <w:spacing w:after="0"/>
        <w:rPr>
          <w:rFonts w:ascii="NewBaskervilleStd-Roman" w:hAnsi="NewBaskervilleStd-Roman" w:cs="NewBaskervilleStd-Roman"/>
          <w:color w:val="262626"/>
          <w:sz w:val="20"/>
          <w:szCs w:val="20"/>
        </w:rPr>
      </w:pPr>
    </w:p>
    <w:p w14:paraId="78343110" w14:textId="054B2BE7" w:rsidR="00646756" w:rsidRDefault="00875A58" w:rsidP="00646756">
      <w:pPr>
        <w:autoSpaceDE w:val="0"/>
        <w:autoSpaceDN w:val="0"/>
        <w:adjustRightInd w:val="0"/>
        <w:spacing w:after="0"/>
        <w:rPr>
          <w:rFonts w:ascii="NewBaskervilleStd-Roman" w:hAnsi="NewBaskervilleStd-Roman" w:cs="NewBaskervilleStd-Roman"/>
          <w:color w:val="262626"/>
          <w:sz w:val="20"/>
          <w:szCs w:val="20"/>
        </w:rPr>
      </w:pPr>
      <w:r w:rsidRPr="0078622D">
        <w:rPr>
          <w:rFonts w:ascii="ITCFranklinGothicStd-Demi" w:hAnsi="ITCFranklinGothicStd-Demi" w:cs="ITCFranklinGothicStd-Demi"/>
          <w:b/>
          <w:bCs/>
          <w:color w:val="FFC000"/>
          <w:sz w:val="21"/>
          <w:szCs w:val="21"/>
        </w:rPr>
        <w:t>NOTE</w:t>
      </w:r>
      <w:r>
        <w:rPr>
          <w:rFonts w:ascii="ITCFranklinGothicStd-Demi" w:hAnsi="ITCFranklinGothicStd-Demi" w:cs="ITCFranklinGothicStd-Demi"/>
          <w:color w:val="476C86"/>
          <w:sz w:val="17"/>
          <w:szCs w:val="17"/>
        </w:rPr>
        <w:t xml:space="preserve"> </w:t>
      </w:r>
      <w:r>
        <w:rPr>
          <w:rFonts w:ascii="NewBaskervilleStd-Roman" w:hAnsi="NewBaskervilleStd-Roman" w:cs="NewBaskervilleStd-Roman"/>
          <w:color w:val="262626"/>
          <w:sz w:val="20"/>
          <w:szCs w:val="20"/>
        </w:rPr>
        <w:t xml:space="preserve">Events enable different styles of persistence and querying, such as </w:t>
      </w:r>
      <w:r w:rsidRPr="001F3395">
        <w:rPr>
          <w:rFonts w:ascii="NewBaskervilleStd-Roman" w:hAnsi="NewBaskervilleStd-Roman" w:cs="NewBaskervilleStd-Roman"/>
          <w:b/>
          <w:bCs/>
          <w:color w:val="262626"/>
          <w:sz w:val="20"/>
          <w:szCs w:val="20"/>
        </w:rPr>
        <w:t>event</w:t>
      </w:r>
      <w:r w:rsidR="00421471" w:rsidRPr="001F3395">
        <w:rPr>
          <w:rFonts w:ascii="NewBaskervilleStd-Roman" w:hAnsi="NewBaskervilleStd-Roman" w:cs="NewBaskervilleStd-Roman"/>
          <w:b/>
          <w:bCs/>
          <w:color w:val="262626"/>
          <w:sz w:val="20"/>
          <w:szCs w:val="20"/>
        </w:rPr>
        <w:t xml:space="preserve"> </w:t>
      </w:r>
      <w:r w:rsidRPr="001F3395">
        <w:rPr>
          <w:rFonts w:ascii="NewBaskervilleStd-Roman" w:hAnsi="NewBaskervilleStd-Roman" w:cs="NewBaskervilleStd-Roman"/>
          <w:b/>
          <w:bCs/>
          <w:color w:val="262626"/>
          <w:sz w:val="20"/>
          <w:szCs w:val="20"/>
        </w:rPr>
        <w:t>sourcing</w:t>
      </w:r>
      <w:r>
        <w:rPr>
          <w:rFonts w:ascii="NewBaskervilleStd-Roman" w:hAnsi="NewBaskervilleStd-Roman" w:cs="NewBaskervilleStd-Roman"/>
          <w:color w:val="262626"/>
          <w:sz w:val="20"/>
          <w:szCs w:val="20"/>
        </w:rPr>
        <w:t xml:space="preserve"> and </w:t>
      </w:r>
      <w:r w:rsidRPr="001F3395">
        <w:rPr>
          <w:rFonts w:ascii="NewBaskervilleStd-Roman" w:hAnsi="NewBaskervilleStd-Roman" w:cs="NewBaskervilleStd-Roman"/>
          <w:b/>
          <w:bCs/>
          <w:color w:val="262626"/>
          <w:sz w:val="20"/>
          <w:szCs w:val="20"/>
        </w:rPr>
        <w:t>command query responsibility segregation (CQRS)</w:t>
      </w:r>
      <w:r>
        <w:rPr>
          <w:rFonts w:ascii="NewBaskervilleStd-Roman" w:hAnsi="NewBaskervilleStd-Roman" w:cs="NewBaskervilleStd-Roman"/>
          <w:color w:val="262626"/>
          <w:sz w:val="20"/>
          <w:szCs w:val="20"/>
        </w:rPr>
        <w:t>. These aren’t</w:t>
      </w:r>
      <w:r w:rsidR="00421471">
        <w:rPr>
          <w:rFonts w:ascii="NewBaskervilleStd-Roman" w:hAnsi="NewBaskervilleStd-Roman" w:cs="NewBaskervilleStd-Roman"/>
          <w:color w:val="262626"/>
          <w:sz w:val="20"/>
          <w:szCs w:val="20"/>
        </w:rPr>
        <w:t xml:space="preserve"> </w:t>
      </w:r>
      <w:r>
        <w:rPr>
          <w:rFonts w:ascii="NewBaskervilleStd-Roman" w:hAnsi="NewBaskervilleStd-Roman" w:cs="NewBaskervilleStd-Roman"/>
          <w:color w:val="262626"/>
          <w:sz w:val="20"/>
          <w:szCs w:val="20"/>
        </w:rPr>
        <w:t>a prerequisite for microservices but have some synergies with a microservice</w:t>
      </w:r>
      <w:r w:rsidR="00421471">
        <w:rPr>
          <w:rFonts w:ascii="NewBaskervilleStd-Roman" w:hAnsi="NewBaskervilleStd-Roman" w:cs="NewBaskervilleStd-Roman"/>
          <w:color w:val="262626"/>
          <w:sz w:val="20"/>
          <w:szCs w:val="20"/>
        </w:rPr>
        <w:t xml:space="preserve"> </w:t>
      </w:r>
      <w:r>
        <w:rPr>
          <w:rFonts w:ascii="NewBaskervilleStd-Roman" w:hAnsi="NewBaskervilleStd-Roman" w:cs="NewBaskervilleStd-Roman"/>
          <w:color w:val="262626"/>
          <w:sz w:val="20"/>
          <w:szCs w:val="20"/>
        </w:rPr>
        <w:t>approach. We’ll explore them in chapter 5.</w:t>
      </w:r>
    </w:p>
    <w:p w14:paraId="06688834" w14:textId="733DDE45" w:rsidR="00646756" w:rsidRDefault="00646756" w:rsidP="00421471">
      <w:pPr>
        <w:autoSpaceDE w:val="0"/>
        <w:autoSpaceDN w:val="0"/>
        <w:adjustRightInd w:val="0"/>
        <w:spacing w:after="0"/>
        <w:rPr>
          <w:rFonts w:ascii="NewBaskervilleStd-Roman" w:hAnsi="NewBaskervilleStd-Roman" w:cs="NewBaskervilleStd-Roman"/>
          <w:color w:val="262626"/>
          <w:sz w:val="20"/>
          <w:szCs w:val="20"/>
        </w:rPr>
      </w:pPr>
    </w:p>
    <w:p w14:paraId="7A6D35AE" w14:textId="1DC97818" w:rsidR="00134906" w:rsidRDefault="00646756" w:rsidP="00CB76A0">
      <w:pPr>
        <w:autoSpaceDE w:val="0"/>
        <w:autoSpaceDN w:val="0"/>
        <w:adjustRightInd w:val="0"/>
        <w:spacing w:after="0"/>
        <w:rPr>
          <w:rFonts w:ascii="NewBaskervilleStd-Roman" w:hAnsi="NewBaskervilleStd-Roman" w:cs="NewBaskervilleStd-Roman"/>
          <w:color w:val="262626"/>
          <w:sz w:val="20"/>
          <w:szCs w:val="20"/>
        </w:rPr>
      </w:pPr>
      <w:r>
        <w:rPr>
          <w:noProof/>
        </w:rPr>
        <w:lastRenderedPageBreak/>
        <w:drawing>
          <wp:inline distT="0" distB="0" distL="0" distR="0" wp14:anchorId="7524FA6A" wp14:editId="52C1A743">
            <wp:extent cx="5486400" cy="1758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1758950"/>
                    </a:xfrm>
                    <a:prstGeom prst="rect">
                      <a:avLst/>
                    </a:prstGeom>
                  </pic:spPr>
                </pic:pic>
              </a:graphicData>
            </a:graphic>
          </wp:inline>
        </w:drawing>
      </w:r>
    </w:p>
    <w:p w14:paraId="0F2E61C6" w14:textId="5386E4B2" w:rsidR="00134906" w:rsidRDefault="00134906" w:rsidP="00CB76A0">
      <w:pPr>
        <w:autoSpaceDE w:val="0"/>
        <w:autoSpaceDN w:val="0"/>
        <w:adjustRightInd w:val="0"/>
        <w:spacing w:after="0"/>
        <w:rPr>
          <w:rFonts w:ascii="NewBaskervilleStd-Roman" w:hAnsi="NewBaskervilleStd-Roman" w:cs="NewBaskervilleStd-Roman"/>
          <w:color w:val="262626"/>
          <w:sz w:val="20"/>
          <w:szCs w:val="20"/>
        </w:rPr>
      </w:pPr>
    </w:p>
    <w:p w14:paraId="79006331" w14:textId="15945418" w:rsidR="00F75B82" w:rsidRDefault="00D01416" w:rsidP="00D01416">
      <w:pPr>
        <w:pStyle w:val="Heading2"/>
        <w:rPr>
          <w:rFonts w:ascii="ITCFranklinGothicStd-DemiIt" w:hAnsi="ITCFranklinGothicStd-DemiIt" w:cs="ITCFranklinGothicStd-DemiIt"/>
          <w:i/>
          <w:iCs/>
          <w:color w:val="476C86"/>
          <w:sz w:val="21"/>
          <w:szCs w:val="21"/>
        </w:rPr>
      </w:pPr>
      <w:r>
        <w:rPr>
          <w:rFonts w:ascii="ITCFranklinGothicStd-DemiIt" w:hAnsi="ITCFranklinGothicStd-DemiIt" w:cs="ITCFranklinGothicStd-DemiIt"/>
          <w:i/>
          <w:iCs/>
          <w:color w:val="476C86"/>
          <w:sz w:val="21"/>
          <w:szCs w:val="21"/>
        </w:rPr>
        <w:t xml:space="preserve">Asynchronous </w:t>
      </w:r>
      <w:r>
        <w:rPr>
          <w:rFonts w:ascii="ITCFranklinGothicStd-DemiIt" w:hAnsi="ITCFranklinGothicStd-DemiIt" w:cs="ITCFranklinGothicStd-DemiIt"/>
          <w:i/>
          <w:iCs/>
          <w:color w:val="476C86"/>
          <w:sz w:val="21"/>
          <w:szCs w:val="21"/>
        </w:rPr>
        <w:t>C</w:t>
      </w:r>
      <w:r>
        <w:rPr>
          <w:rFonts w:ascii="ITCFranklinGothicStd-DemiIt" w:hAnsi="ITCFranklinGothicStd-DemiIt" w:cs="ITCFranklinGothicStd-DemiIt"/>
          <w:i/>
          <w:iCs/>
          <w:color w:val="476C86"/>
          <w:sz w:val="21"/>
          <w:szCs w:val="21"/>
        </w:rPr>
        <w:t xml:space="preserve">ommunication </w:t>
      </w:r>
      <w:r>
        <w:rPr>
          <w:rFonts w:ascii="ITCFranklinGothicStd-DemiIt" w:hAnsi="ITCFranklinGothicStd-DemiIt" w:cs="ITCFranklinGothicStd-DemiIt"/>
          <w:i/>
          <w:iCs/>
          <w:color w:val="476C86"/>
          <w:sz w:val="21"/>
          <w:szCs w:val="21"/>
        </w:rPr>
        <w:t>P</w:t>
      </w:r>
      <w:r>
        <w:rPr>
          <w:rFonts w:ascii="ITCFranklinGothicStd-DemiIt" w:hAnsi="ITCFranklinGothicStd-DemiIt" w:cs="ITCFranklinGothicStd-DemiIt"/>
          <w:i/>
          <w:iCs/>
          <w:color w:val="476C86"/>
          <w:sz w:val="21"/>
          <w:szCs w:val="21"/>
        </w:rPr>
        <w:t>atterns</w:t>
      </w:r>
    </w:p>
    <w:p w14:paraId="766AC900" w14:textId="5A2C68CE" w:rsidR="00D33392" w:rsidRDefault="008776CA" w:rsidP="008776CA">
      <w:pPr>
        <w:autoSpaceDE w:val="0"/>
        <w:autoSpaceDN w:val="0"/>
        <w:adjustRightInd w:val="0"/>
        <w:spacing w:after="0"/>
        <w:rPr>
          <w:rFonts w:ascii="NewBaskervilleStd-Roman" w:hAnsi="NewBaskervilleStd-Roman" w:cs="NewBaskervilleStd-Roman"/>
          <w:b/>
          <w:bCs/>
          <w:color w:val="262626"/>
          <w:sz w:val="20"/>
          <w:szCs w:val="20"/>
        </w:rPr>
      </w:pPr>
      <w:r>
        <w:rPr>
          <w:rFonts w:ascii="NewBaskervilleStd-Roman" w:hAnsi="NewBaskervilleStd-Roman" w:cs="NewBaskervilleStd-Roman"/>
          <w:color w:val="262626"/>
          <w:sz w:val="20"/>
          <w:szCs w:val="20"/>
        </w:rPr>
        <w:t>two most common event-based patterns</w:t>
      </w:r>
      <w:r>
        <w:rPr>
          <w:rFonts w:ascii="NewBaskervilleStd-Roman" w:hAnsi="NewBaskervilleStd-Roman" w:cs="NewBaskervilleStd-Roman"/>
          <w:color w:val="262626"/>
          <w:sz w:val="20"/>
          <w:szCs w:val="20"/>
        </w:rPr>
        <w:t xml:space="preserve"> are</w:t>
      </w:r>
      <w:r>
        <w:rPr>
          <w:rFonts w:ascii="NewBaskervilleStd-Roman" w:hAnsi="NewBaskervilleStd-Roman" w:cs="NewBaskervilleStd-Roman"/>
          <w:color w:val="262626"/>
          <w:sz w:val="20"/>
          <w:szCs w:val="20"/>
        </w:rPr>
        <w:t>: job queue and publish-subscribe.</w:t>
      </w:r>
      <w:r>
        <w:rPr>
          <w:rFonts w:ascii="NewBaskervilleStd-Roman" w:hAnsi="NewBaskervilleStd-Roman" w:cs="NewBaskervilleStd-Roman"/>
          <w:color w:val="262626"/>
          <w:sz w:val="20"/>
          <w:szCs w:val="20"/>
        </w:rPr>
        <w:t xml:space="preserve"> </w:t>
      </w:r>
      <w:r w:rsidRPr="00776D97">
        <w:rPr>
          <w:rFonts w:ascii="NewBaskervilleStd-Roman" w:hAnsi="NewBaskervilleStd-Roman" w:cs="NewBaskervilleStd-Roman"/>
          <w:b/>
          <w:bCs/>
          <w:color w:val="262626"/>
          <w:sz w:val="20"/>
          <w:szCs w:val="20"/>
        </w:rPr>
        <w:t xml:space="preserve">most </w:t>
      </w:r>
      <w:r w:rsidR="00127DDF" w:rsidRPr="00776D97">
        <w:rPr>
          <w:rFonts w:ascii="NewBaskervilleStd-Roman" w:hAnsi="NewBaskervilleStd-Roman" w:cs="NewBaskervilleStd-Roman"/>
          <w:b/>
          <w:bCs/>
          <w:color w:val="262626"/>
          <w:sz w:val="20"/>
          <w:szCs w:val="20"/>
        </w:rPr>
        <w:t>higher-level</w:t>
      </w:r>
      <w:r w:rsidRPr="00776D97">
        <w:rPr>
          <w:rFonts w:ascii="NewBaskervilleStd-Roman" w:hAnsi="NewBaskervilleStd-Roman" w:cs="NewBaskervilleStd-Roman"/>
          <w:b/>
          <w:bCs/>
          <w:color w:val="262626"/>
          <w:sz w:val="20"/>
          <w:szCs w:val="20"/>
        </w:rPr>
        <w:t xml:space="preserve"> </w:t>
      </w:r>
      <w:r w:rsidRPr="00776D97">
        <w:rPr>
          <w:rFonts w:ascii="NewBaskervilleStd-Roman" w:hAnsi="NewBaskervilleStd-Roman" w:cs="NewBaskervilleStd-Roman"/>
          <w:b/>
          <w:bCs/>
          <w:color w:val="262626"/>
          <w:sz w:val="20"/>
          <w:szCs w:val="20"/>
        </w:rPr>
        <w:t>interaction patterns are built on one of these two primitives.</w:t>
      </w:r>
    </w:p>
    <w:p w14:paraId="74BD9979" w14:textId="0807472A" w:rsidR="007053CB" w:rsidRDefault="00AD522C" w:rsidP="00AD522C">
      <w:pPr>
        <w:pStyle w:val="Heading3"/>
      </w:pPr>
      <w:r>
        <w:t>Job Queue</w:t>
      </w:r>
    </w:p>
    <w:p w14:paraId="1A41D760" w14:textId="05C87CC6" w:rsidR="00AD522C" w:rsidRDefault="0045740F" w:rsidP="00AD522C">
      <w:r>
        <w:rPr>
          <w:noProof/>
        </w:rPr>
        <w:drawing>
          <wp:inline distT="0" distB="0" distL="0" distR="0" wp14:anchorId="329EC8FA" wp14:editId="4BE0AFE3">
            <wp:extent cx="4251278" cy="113761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8286" cy="1144838"/>
                    </a:xfrm>
                    <a:prstGeom prst="rect">
                      <a:avLst/>
                    </a:prstGeom>
                  </pic:spPr>
                </pic:pic>
              </a:graphicData>
            </a:graphic>
          </wp:inline>
        </w:drawing>
      </w:r>
    </w:p>
    <w:p w14:paraId="1FA4ACD0" w14:textId="1B2CE096" w:rsidR="00755DD0" w:rsidRDefault="00755DD0" w:rsidP="00755DD0">
      <w:pPr>
        <w:autoSpaceDE w:val="0"/>
        <w:autoSpaceDN w:val="0"/>
        <w:adjustRightInd w:val="0"/>
        <w:spacing w:after="0"/>
        <w:rPr>
          <w:rFonts w:ascii="NewBaskervilleStd-Roman" w:hAnsi="NewBaskervilleStd-Roman" w:cs="NewBaskervilleStd-Roman"/>
          <w:color w:val="262626"/>
          <w:sz w:val="20"/>
          <w:szCs w:val="20"/>
        </w:rPr>
      </w:pPr>
      <w:r>
        <w:rPr>
          <w:rFonts w:ascii="NewBaskervilleStd-Roman" w:hAnsi="NewBaskervilleStd-Roman" w:cs="NewBaskervilleStd-Roman"/>
          <w:color w:val="262626"/>
          <w:sz w:val="20"/>
          <w:szCs w:val="20"/>
        </w:rPr>
        <w:t xml:space="preserve">In this pattern, </w:t>
      </w:r>
      <w:r w:rsidRPr="00755DD0">
        <w:rPr>
          <w:rFonts w:ascii="NewBaskervilleStd-Roman" w:hAnsi="NewBaskervilleStd-Roman" w:cs="NewBaskervilleStd-Roman"/>
          <w:b/>
          <w:bCs/>
          <w:color w:val="262626"/>
          <w:sz w:val="20"/>
          <w:szCs w:val="20"/>
        </w:rPr>
        <w:t>workers take jobs from a queue and execute them</w:t>
      </w:r>
      <w:r>
        <w:rPr>
          <w:rFonts w:ascii="NewBaskervilleStd-Roman" w:hAnsi="NewBaskervilleStd-Roman" w:cs="NewBaskervilleStd-Roman"/>
          <w:color w:val="262626"/>
          <w:sz w:val="20"/>
          <w:szCs w:val="20"/>
        </w:rPr>
        <w:t xml:space="preserve"> (figure</w:t>
      </w:r>
      <w:r w:rsidR="00F43ECE">
        <w:rPr>
          <w:rFonts w:ascii="NewBaskervilleStd-Roman" w:hAnsi="NewBaskervilleStd-Roman" w:cs="NewBaskervilleStd-Roman"/>
          <w:color w:val="262626"/>
          <w:sz w:val="20"/>
          <w:szCs w:val="20"/>
        </w:rPr>
        <w:t xml:space="preserve"> above</w:t>
      </w:r>
      <w:r>
        <w:rPr>
          <w:rFonts w:ascii="NewBaskervilleStd-Roman" w:hAnsi="NewBaskervilleStd-Roman" w:cs="NewBaskervilleStd-Roman"/>
          <w:color w:val="262626"/>
          <w:sz w:val="20"/>
          <w:szCs w:val="20"/>
        </w:rPr>
        <w:t>). A job</w:t>
      </w:r>
    </w:p>
    <w:p w14:paraId="77675B38" w14:textId="1077B0D4" w:rsidR="00372F20" w:rsidRDefault="00755DD0" w:rsidP="0009331C">
      <w:pPr>
        <w:autoSpaceDE w:val="0"/>
        <w:autoSpaceDN w:val="0"/>
        <w:adjustRightInd w:val="0"/>
        <w:spacing w:after="0"/>
        <w:rPr>
          <w:rFonts w:ascii="NewBaskervilleStd-Roman" w:hAnsi="NewBaskervilleStd-Roman" w:cs="NewBaskervilleStd-Roman"/>
          <w:color w:val="262626"/>
          <w:sz w:val="20"/>
          <w:szCs w:val="20"/>
        </w:rPr>
      </w:pPr>
      <w:r>
        <w:rPr>
          <w:rFonts w:ascii="NewBaskervilleStd-Roman" w:hAnsi="NewBaskervilleStd-Roman" w:cs="NewBaskervilleStd-Roman"/>
          <w:color w:val="262626"/>
          <w:sz w:val="20"/>
          <w:szCs w:val="20"/>
        </w:rPr>
        <w:t>should only be processed once, regardless of how many worker instances you operate.</w:t>
      </w:r>
      <w:r w:rsidR="0009331C">
        <w:rPr>
          <w:rFonts w:ascii="NewBaskervilleStd-Roman" w:hAnsi="NewBaskervilleStd-Roman" w:cs="NewBaskervilleStd-Roman"/>
          <w:color w:val="262626"/>
          <w:sz w:val="20"/>
          <w:szCs w:val="20"/>
        </w:rPr>
        <w:t xml:space="preserve"> </w:t>
      </w:r>
      <w:r>
        <w:rPr>
          <w:rFonts w:ascii="NewBaskervilleStd-Roman" w:hAnsi="NewBaskervilleStd-Roman" w:cs="NewBaskervilleStd-Roman"/>
          <w:color w:val="262626"/>
          <w:sz w:val="20"/>
          <w:szCs w:val="20"/>
        </w:rPr>
        <w:t xml:space="preserve">This pattern is also known as </w:t>
      </w:r>
      <w:r w:rsidRPr="000D262E">
        <w:rPr>
          <w:rFonts w:ascii="NewBaskervilleStd-Roman" w:hAnsi="NewBaskervilleStd-Roman" w:cs="NewBaskervilleStd-Roman"/>
          <w:b/>
          <w:bCs/>
          <w:color w:val="262626"/>
          <w:sz w:val="20"/>
          <w:szCs w:val="20"/>
        </w:rPr>
        <w:t>winner takes all</w:t>
      </w:r>
      <w:r>
        <w:rPr>
          <w:rFonts w:ascii="NewBaskervilleStd-Roman" w:hAnsi="NewBaskervilleStd-Roman" w:cs="NewBaskervilleStd-Roman"/>
          <w:color w:val="262626"/>
          <w:sz w:val="20"/>
          <w:szCs w:val="20"/>
        </w:rPr>
        <w:t>.</w:t>
      </w:r>
    </w:p>
    <w:p w14:paraId="5AC7638B" w14:textId="2E42C3FB" w:rsidR="00892A5E" w:rsidRDefault="00892A5E" w:rsidP="0009331C">
      <w:pPr>
        <w:autoSpaceDE w:val="0"/>
        <w:autoSpaceDN w:val="0"/>
        <w:adjustRightInd w:val="0"/>
        <w:spacing w:after="0"/>
        <w:rPr>
          <w:rFonts w:ascii="NewBaskervilleStd-Roman" w:hAnsi="NewBaskervilleStd-Roman" w:cs="NewBaskervilleStd-Roman"/>
          <w:color w:val="262626"/>
          <w:sz w:val="20"/>
          <w:szCs w:val="20"/>
        </w:rPr>
      </w:pPr>
    </w:p>
    <w:p w14:paraId="52655105" w14:textId="11C91F2C" w:rsidR="00892A5E" w:rsidRDefault="00892A5E" w:rsidP="0009331C">
      <w:pPr>
        <w:autoSpaceDE w:val="0"/>
        <w:autoSpaceDN w:val="0"/>
        <w:adjustRightInd w:val="0"/>
        <w:spacing w:after="0"/>
        <w:rPr>
          <w:rFonts w:ascii="NewBaskervilleStd-Roman" w:hAnsi="NewBaskervilleStd-Roman" w:cs="NewBaskervilleStd-Roman"/>
          <w:color w:val="262626"/>
          <w:sz w:val="20"/>
          <w:szCs w:val="20"/>
        </w:rPr>
      </w:pPr>
      <w:r>
        <w:rPr>
          <w:rFonts w:ascii="NewBaskervilleStd-Roman" w:hAnsi="NewBaskervilleStd-Roman" w:cs="NewBaskervilleStd-Roman"/>
          <w:color w:val="262626"/>
          <w:sz w:val="20"/>
          <w:szCs w:val="20"/>
        </w:rPr>
        <w:t>This pattern is useful when:</w:t>
      </w:r>
    </w:p>
    <w:p w14:paraId="6BBDA0F7" w14:textId="31CA2974" w:rsidR="00892A5E" w:rsidRPr="00D34C77" w:rsidRDefault="0013479C" w:rsidP="00D34C77">
      <w:pPr>
        <w:pStyle w:val="ListParagraph"/>
        <w:numPr>
          <w:ilvl w:val="0"/>
          <w:numId w:val="18"/>
        </w:numPr>
        <w:autoSpaceDE w:val="0"/>
        <w:autoSpaceDN w:val="0"/>
        <w:adjustRightInd w:val="0"/>
        <w:spacing w:after="0"/>
        <w:rPr>
          <w:rFonts w:ascii="NewBaskervilleStd-Roman" w:hAnsi="NewBaskervilleStd-Roman" w:cs="NewBaskervilleStd-Roman"/>
          <w:color w:val="262626"/>
          <w:sz w:val="20"/>
          <w:szCs w:val="20"/>
        </w:rPr>
      </w:pPr>
      <w:r w:rsidRPr="009C64B9">
        <w:rPr>
          <w:rFonts w:ascii="NewBaskervilleStd-Roman" w:hAnsi="NewBaskervilleStd-Roman" w:cs="NewBaskervilleStd-Roman"/>
          <w:b/>
          <w:bCs/>
          <w:color w:val="262626"/>
          <w:sz w:val="20"/>
          <w:szCs w:val="20"/>
        </w:rPr>
        <w:t>A 1:1 relationship exists</w:t>
      </w:r>
      <w:r w:rsidRPr="00D34C77">
        <w:rPr>
          <w:rFonts w:ascii="NewBaskervilleStd-Roman" w:hAnsi="NewBaskervilleStd-Roman" w:cs="NewBaskervilleStd-Roman"/>
          <w:color w:val="262626"/>
          <w:sz w:val="20"/>
          <w:szCs w:val="20"/>
        </w:rPr>
        <w:t xml:space="preserve"> between an event and work to be done in response to</w:t>
      </w:r>
      <w:r w:rsidRPr="00D34C77">
        <w:rPr>
          <w:rFonts w:ascii="NewBaskervilleStd-Roman" w:hAnsi="NewBaskervilleStd-Roman" w:cs="NewBaskervilleStd-Roman"/>
          <w:color w:val="262626"/>
          <w:sz w:val="20"/>
          <w:szCs w:val="20"/>
        </w:rPr>
        <w:t xml:space="preserve"> </w:t>
      </w:r>
      <w:r w:rsidRPr="00D34C77">
        <w:rPr>
          <w:rFonts w:ascii="NewBaskervilleStd-Roman" w:hAnsi="NewBaskervilleStd-Roman" w:cs="NewBaskervilleStd-Roman"/>
          <w:color w:val="262626"/>
          <w:sz w:val="20"/>
          <w:szCs w:val="20"/>
        </w:rPr>
        <w:t>that event.</w:t>
      </w:r>
    </w:p>
    <w:p w14:paraId="33A50435" w14:textId="140922F2" w:rsidR="0013479C" w:rsidRDefault="00926E05" w:rsidP="00D34C77">
      <w:pPr>
        <w:pStyle w:val="ListParagraph"/>
        <w:numPr>
          <w:ilvl w:val="0"/>
          <w:numId w:val="18"/>
        </w:numPr>
        <w:autoSpaceDE w:val="0"/>
        <w:autoSpaceDN w:val="0"/>
        <w:adjustRightInd w:val="0"/>
        <w:spacing w:after="0"/>
        <w:rPr>
          <w:rFonts w:ascii="NewBaskervilleStd-Roman" w:hAnsi="NewBaskervilleStd-Roman" w:cs="NewBaskervilleStd-Roman"/>
          <w:color w:val="262626"/>
          <w:sz w:val="20"/>
          <w:szCs w:val="20"/>
        </w:rPr>
      </w:pPr>
      <w:r w:rsidRPr="00D34C77">
        <w:rPr>
          <w:rFonts w:ascii="NewBaskervilleStd-Roman" w:hAnsi="NewBaskervilleStd-Roman" w:cs="NewBaskervilleStd-Roman"/>
          <w:color w:val="262626"/>
          <w:sz w:val="20"/>
          <w:szCs w:val="20"/>
        </w:rPr>
        <w:t xml:space="preserve">The work that needs to be done is </w:t>
      </w:r>
      <w:r w:rsidRPr="00AC6758">
        <w:rPr>
          <w:rFonts w:ascii="NewBaskervilleStd-Roman" w:hAnsi="NewBaskervilleStd-Roman" w:cs="NewBaskervilleStd-Roman"/>
          <w:b/>
          <w:bCs/>
          <w:color w:val="262626"/>
          <w:sz w:val="20"/>
          <w:szCs w:val="20"/>
        </w:rPr>
        <w:t>complex or time-consuming</w:t>
      </w:r>
      <w:r w:rsidRPr="00D34C77">
        <w:rPr>
          <w:rFonts w:ascii="NewBaskervilleStd-Roman" w:hAnsi="NewBaskervilleStd-Roman" w:cs="NewBaskervilleStd-Roman"/>
          <w:color w:val="262626"/>
          <w:sz w:val="20"/>
          <w:szCs w:val="20"/>
        </w:rPr>
        <w:t>, so it should be</w:t>
      </w:r>
      <w:r w:rsidRPr="00D34C77">
        <w:rPr>
          <w:rFonts w:ascii="NewBaskervilleStd-Roman" w:hAnsi="NewBaskervilleStd-Roman" w:cs="NewBaskervilleStd-Roman"/>
          <w:color w:val="262626"/>
          <w:sz w:val="20"/>
          <w:szCs w:val="20"/>
        </w:rPr>
        <w:t xml:space="preserve"> </w:t>
      </w:r>
      <w:r w:rsidRPr="00D34C77">
        <w:rPr>
          <w:rFonts w:ascii="NewBaskervilleStd-Roman" w:hAnsi="NewBaskervilleStd-Roman" w:cs="NewBaskervilleStd-Roman"/>
          <w:color w:val="262626"/>
          <w:sz w:val="20"/>
          <w:szCs w:val="20"/>
        </w:rPr>
        <w:t>done out-of-band from the triggering event.</w:t>
      </w:r>
    </w:p>
    <w:p w14:paraId="3D8E665F" w14:textId="68806642" w:rsidR="00153122" w:rsidRDefault="00153122" w:rsidP="00153122">
      <w:pPr>
        <w:autoSpaceDE w:val="0"/>
        <w:autoSpaceDN w:val="0"/>
        <w:adjustRightInd w:val="0"/>
        <w:spacing w:after="0"/>
        <w:ind w:left="360"/>
        <w:rPr>
          <w:rFonts w:ascii="NewBaskervilleStd-Roman" w:hAnsi="NewBaskervilleStd-Roman" w:cs="NewBaskervilleStd-Roman"/>
          <w:color w:val="262626"/>
          <w:sz w:val="20"/>
          <w:szCs w:val="20"/>
        </w:rPr>
      </w:pPr>
    </w:p>
    <w:p w14:paraId="20DFD915" w14:textId="58A73DAB" w:rsidR="00153122" w:rsidRDefault="00153122" w:rsidP="00153122">
      <w:pPr>
        <w:autoSpaceDE w:val="0"/>
        <w:autoSpaceDN w:val="0"/>
        <w:adjustRightInd w:val="0"/>
        <w:spacing w:after="0"/>
        <w:rPr>
          <w:rFonts w:ascii="NewBaskervilleStd-Roman" w:hAnsi="NewBaskervilleStd-Roman" w:cs="NewBaskervilleStd-Roman"/>
          <w:color w:val="262626"/>
          <w:sz w:val="20"/>
          <w:szCs w:val="20"/>
        </w:rPr>
      </w:pPr>
      <w:r>
        <w:rPr>
          <w:rFonts w:ascii="NewBaskervilleStd-Roman" w:hAnsi="NewBaskervilleStd-Roman" w:cs="NewBaskervilleStd-Roman"/>
          <w:color w:val="262626"/>
          <w:sz w:val="20"/>
          <w:szCs w:val="20"/>
        </w:rPr>
        <w:t xml:space="preserve">By default, this approach </w:t>
      </w:r>
      <w:r w:rsidRPr="00B11216">
        <w:rPr>
          <w:rFonts w:ascii="NewBaskervilleStd-Roman" w:hAnsi="NewBaskervilleStd-Roman" w:cs="NewBaskervilleStd-Roman"/>
          <w:b/>
          <w:bCs/>
          <w:color w:val="262626"/>
          <w:sz w:val="20"/>
          <w:szCs w:val="20"/>
        </w:rPr>
        <w:t>doesn’t require sophisticated event delivery</w:t>
      </w:r>
      <w:r>
        <w:rPr>
          <w:rFonts w:ascii="NewBaskervilleStd-Roman" w:hAnsi="NewBaskervilleStd-Roman" w:cs="NewBaskervilleStd-Roman"/>
          <w:color w:val="262626"/>
          <w:sz w:val="20"/>
          <w:szCs w:val="20"/>
        </w:rPr>
        <w:t>. Many task queue</w:t>
      </w:r>
      <w:r>
        <w:rPr>
          <w:rFonts w:ascii="NewBaskervilleStd-Roman" w:hAnsi="NewBaskervilleStd-Roman" w:cs="NewBaskervilleStd-Roman"/>
          <w:color w:val="262626"/>
          <w:sz w:val="20"/>
          <w:szCs w:val="20"/>
        </w:rPr>
        <w:t xml:space="preserve"> </w:t>
      </w:r>
      <w:r>
        <w:rPr>
          <w:rFonts w:ascii="NewBaskervilleStd-Roman" w:hAnsi="NewBaskervilleStd-Roman" w:cs="NewBaskervilleStd-Roman"/>
          <w:color w:val="262626"/>
          <w:sz w:val="20"/>
          <w:szCs w:val="20"/>
        </w:rPr>
        <w:t xml:space="preserve">libraries are available that use commodity data stores, such as </w:t>
      </w:r>
      <w:r w:rsidRPr="00A0305A">
        <w:rPr>
          <w:rFonts w:ascii="NewBaskervilleStd-Roman" w:hAnsi="NewBaskervilleStd-Roman" w:cs="NewBaskervilleStd-Roman"/>
          <w:b/>
          <w:bCs/>
          <w:color w:val="262626"/>
          <w:sz w:val="20"/>
          <w:szCs w:val="20"/>
        </w:rPr>
        <w:t>Redis</w:t>
      </w:r>
      <w:r>
        <w:rPr>
          <w:rFonts w:ascii="NewBaskervilleStd-Roman" w:hAnsi="NewBaskervilleStd-Roman" w:cs="NewBaskervilleStd-Roman"/>
          <w:color w:val="262626"/>
          <w:sz w:val="20"/>
          <w:szCs w:val="20"/>
        </w:rPr>
        <w:t xml:space="preserve"> (Resque, Celery,</w:t>
      </w:r>
      <w:r>
        <w:rPr>
          <w:rFonts w:ascii="NewBaskervilleStd-Roman" w:hAnsi="NewBaskervilleStd-Roman" w:cs="NewBaskervilleStd-Roman"/>
          <w:color w:val="262626"/>
          <w:sz w:val="20"/>
          <w:szCs w:val="20"/>
        </w:rPr>
        <w:t xml:space="preserve"> </w:t>
      </w:r>
      <w:r>
        <w:rPr>
          <w:rFonts w:ascii="NewBaskervilleStd-Roman" w:hAnsi="NewBaskervilleStd-Roman" w:cs="NewBaskervilleStd-Roman"/>
          <w:color w:val="262626"/>
          <w:sz w:val="20"/>
          <w:szCs w:val="20"/>
        </w:rPr>
        <w:t xml:space="preserve">Sidekiq) </w:t>
      </w:r>
      <w:r w:rsidRPr="00A0305A">
        <w:rPr>
          <w:rFonts w:ascii="NewBaskervilleStd-Roman" w:hAnsi="NewBaskervilleStd-Roman" w:cs="NewBaskervilleStd-Roman"/>
          <w:b/>
          <w:bCs/>
          <w:color w:val="262626"/>
          <w:sz w:val="20"/>
          <w:szCs w:val="20"/>
        </w:rPr>
        <w:t>or SQL</w:t>
      </w:r>
      <w:r>
        <w:rPr>
          <w:rFonts w:ascii="NewBaskervilleStd-Roman" w:hAnsi="NewBaskervilleStd-Roman" w:cs="NewBaskervilleStd-Roman"/>
          <w:color w:val="262626"/>
          <w:sz w:val="20"/>
          <w:szCs w:val="20"/>
        </w:rPr>
        <w:t xml:space="preserve"> databases.</w:t>
      </w:r>
    </w:p>
    <w:p w14:paraId="22F5AE80" w14:textId="77899777" w:rsidR="00575659" w:rsidRDefault="00F365F0" w:rsidP="00F365F0">
      <w:pPr>
        <w:pStyle w:val="Heading3"/>
      </w:pPr>
      <w:r>
        <w:t>Publish-Subscribe</w:t>
      </w:r>
    </w:p>
    <w:p w14:paraId="7484B91F" w14:textId="73817E75" w:rsidR="00F365F0" w:rsidRDefault="00F54378" w:rsidP="00BA1DB5">
      <w:pPr>
        <w:autoSpaceDE w:val="0"/>
        <w:autoSpaceDN w:val="0"/>
        <w:adjustRightInd w:val="0"/>
        <w:spacing w:after="0"/>
        <w:rPr>
          <w:rFonts w:ascii="NewBaskervilleStd-Roman" w:hAnsi="NewBaskervilleStd-Roman" w:cs="NewBaskervilleStd-Roman"/>
          <w:color w:val="262626"/>
          <w:sz w:val="20"/>
          <w:szCs w:val="20"/>
        </w:rPr>
      </w:pPr>
      <w:r>
        <w:rPr>
          <w:rFonts w:ascii="NewBaskervilleStd-Roman" w:hAnsi="NewBaskervilleStd-Roman" w:cs="NewBaskervilleStd-Roman"/>
          <w:color w:val="262626"/>
          <w:sz w:val="20"/>
          <w:szCs w:val="20"/>
        </w:rPr>
        <w:t>In publish-subscribe, services trigger events for arbitrary listeners. All listeners that</w:t>
      </w:r>
      <w:r w:rsidR="00F7458C">
        <w:rPr>
          <w:rFonts w:ascii="NewBaskervilleStd-Roman" w:hAnsi="NewBaskervilleStd-Roman" w:cs="NewBaskervilleStd-Roman"/>
          <w:color w:val="262626"/>
          <w:sz w:val="20"/>
          <w:szCs w:val="20"/>
        </w:rPr>
        <w:t xml:space="preserve"> </w:t>
      </w:r>
      <w:r>
        <w:rPr>
          <w:rFonts w:ascii="NewBaskervilleStd-Roman" w:hAnsi="NewBaskervilleStd-Roman" w:cs="NewBaskervilleStd-Roman"/>
          <w:color w:val="262626"/>
          <w:sz w:val="20"/>
          <w:szCs w:val="20"/>
        </w:rPr>
        <w:t>receive the event act on it appropriately. In some ways, this is the ideal microservice</w:t>
      </w:r>
      <w:r w:rsidR="00F7458C">
        <w:rPr>
          <w:rFonts w:ascii="NewBaskervilleStd-Roman" w:hAnsi="NewBaskervilleStd-Roman" w:cs="NewBaskervilleStd-Roman"/>
          <w:color w:val="262626"/>
          <w:sz w:val="20"/>
          <w:szCs w:val="20"/>
        </w:rPr>
        <w:t xml:space="preserve"> </w:t>
      </w:r>
      <w:r>
        <w:rPr>
          <w:rFonts w:ascii="NewBaskervilleStd-Roman" w:hAnsi="NewBaskervilleStd-Roman" w:cs="NewBaskervilleStd-Roman"/>
          <w:color w:val="262626"/>
          <w:sz w:val="20"/>
          <w:szCs w:val="20"/>
        </w:rPr>
        <w:t>pattern: a service can send arbitrary events out into the world without caring who acts</w:t>
      </w:r>
      <w:r w:rsidR="00BA1DB5">
        <w:rPr>
          <w:rFonts w:ascii="NewBaskervilleStd-Roman" w:hAnsi="NewBaskervilleStd-Roman" w:cs="NewBaskervilleStd-Roman"/>
          <w:color w:val="262626"/>
          <w:sz w:val="20"/>
          <w:szCs w:val="20"/>
        </w:rPr>
        <w:t xml:space="preserve"> </w:t>
      </w:r>
      <w:r>
        <w:rPr>
          <w:rFonts w:ascii="NewBaskervilleStd-Roman" w:hAnsi="NewBaskervilleStd-Roman" w:cs="NewBaskervilleStd-Roman"/>
          <w:color w:val="262626"/>
          <w:sz w:val="20"/>
          <w:szCs w:val="20"/>
        </w:rPr>
        <w:t>on them</w:t>
      </w:r>
      <w:r w:rsidR="00D82A4F">
        <w:rPr>
          <w:rFonts w:ascii="NewBaskervilleStd-Roman" w:hAnsi="NewBaskervilleStd-Roman" w:cs="NewBaskervilleStd-Roman"/>
          <w:color w:val="262626"/>
          <w:sz w:val="20"/>
          <w:szCs w:val="20"/>
        </w:rPr>
        <w:t>.</w:t>
      </w:r>
    </w:p>
    <w:p w14:paraId="49DD5560" w14:textId="4B211BEA" w:rsidR="009248ED" w:rsidRDefault="009248ED" w:rsidP="00BA1DB5">
      <w:pPr>
        <w:autoSpaceDE w:val="0"/>
        <w:autoSpaceDN w:val="0"/>
        <w:adjustRightInd w:val="0"/>
        <w:spacing w:after="0"/>
        <w:rPr>
          <w:rFonts w:ascii="NewBaskervilleStd-Roman" w:hAnsi="NewBaskervilleStd-Roman" w:cs="NewBaskervilleStd-Roman"/>
          <w:color w:val="262626"/>
          <w:sz w:val="20"/>
          <w:szCs w:val="20"/>
        </w:rPr>
      </w:pPr>
    </w:p>
    <w:p w14:paraId="5038CA41" w14:textId="12139548" w:rsidR="009248ED" w:rsidRDefault="009248ED" w:rsidP="006C1C7F">
      <w:pPr>
        <w:autoSpaceDE w:val="0"/>
        <w:autoSpaceDN w:val="0"/>
        <w:adjustRightInd w:val="0"/>
        <w:spacing w:after="0"/>
        <w:rPr>
          <w:rFonts w:ascii="NewBaskervilleStd-Roman" w:hAnsi="NewBaskervilleStd-Roman" w:cs="NewBaskervilleStd-Roman"/>
          <w:color w:val="262626"/>
          <w:sz w:val="20"/>
          <w:szCs w:val="20"/>
        </w:rPr>
      </w:pPr>
      <w:r>
        <w:rPr>
          <w:rFonts w:ascii="NewBaskervilleStd-Roman" w:hAnsi="NewBaskervilleStd-Roman" w:cs="NewBaskervilleStd-Roman"/>
          <w:color w:val="262626"/>
          <w:sz w:val="20"/>
          <w:szCs w:val="20"/>
        </w:rPr>
        <w:t>For example, imagine you need to trigger other downstream actions once an order has</w:t>
      </w:r>
      <w:r w:rsidR="00572E78">
        <w:rPr>
          <w:rFonts w:ascii="NewBaskervilleStd-Roman" w:hAnsi="NewBaskervilleStd-Roman" w:cs="NewBaskervilleStd-Roman"/>
          <w:color w:val="262626"/>
          <w:sz w:val="20"/>
          <w:szCs w:val="20"/>
        </w:rPr>
        <w:t xml:space="preserve"> </w:t>
      </w:r>
      <w:r>
        <w:rPr>
          <w:rFonts w:ascii="NewBaskervilleStd-Roman" w:hAnsi="NewBaskervilleStd-Roman" w:cs="NewBaskervilleStd-Roman"/>
          <w:color w:val="262626"/>
          <w:sz w:val="20"/>
          <w:szCs w:val="20"/>
        </w:rPr>
        <w:t xml:space="preserve">been placed. You might send a </w:t>
      </w:r>
      <w:r w:rsidRPr="001A4F03">
        <w:rPr>
          <w:rFonts w:ascii="NewBaskervilleStd-Roman" w:hAnsi="NewBaskervilleStd-Roman" w:cs="NewBaskervilleStd-Roman"/>
          <w:b/>
          <w:bCs/>
          <w:color w:val="262626"/>
          <w:sz w:val="20"/>
          <w:szCs w:val="20"/>
        </w:rPr>
        <w:t>push notification to the customer</w:t>
      </w:r>
      <w:r>
        <w:rPr>
          <w:rFonts w:ascii="NewBaskervilleStd-Roman" w:hAnsi="NewBaskervilleStd-Roman" w:cs="NewBaskervilleStd-Roman"/>
          <w:color w:val="262626"/>
          <w:sz w:val="20"/>
          <w:szCs w:val="20"/>
        </w:rPr>
        <w:t xml:space="preserve"> or </w:t>
      </w:r>
      <w:r w:rsidRPr="001A4F03">
        <w:rPr>
          <w:rFonts w:ascii="NewBaskervilleStd-Roman" w:hAnsi="NewBaskervilleStd-Roman" w:cs="NewBaskervilleStd-Roman"/>
          <w:b/>
          <w:bCs/>
          <w:color w:val="262626"/>
          <w:sz w:val="20"/>
          <w:szCs w:val="20"/>
        </w:rPr>
        <w:t>use it to feed your</w:t>
      </w:r>
      <w:r w:rsidR="00572E78" w:rsidRPr="001A4F03">
        <w:rPr>
          <w:rFonts w:ascii="NewBaskervilleStd-Roman" w:hAnsi="NewBaskervilleStd-Roman" w:cs="NewBaskervilleStd-Roman"/>
          <w:b/>
          <w:bCs/>
          <w:color w:val="262626"/>
          <w:sz w:val="20"/>
          <w:szCs w:val="20"/>
        </w:rPr>
        <w:t xml:space="preserve"> </w:t>
      </w:r>
      <w:r w:rsidRPr="001A4F03">
        <w:rPr>
          <w:rFonts w:ascii="NewBaskervilleStd-Roman" w:hAnsi="NewBaskervilleStd-Roman" w:cs="NewBaskervilleStd-Roman"/>
          <w:b/>
          <w:bCs/>
          <w:color w:val="262626"/>
          <w:sz w:val="20"/>
          <w:szCs w:val="20"/>
        </w:rPr>
        <w:t>order statistics</w:t>
      </w:r>
      <w:r>
        <w:rPr>
          <w:rFonts w:ascii="NewBaskervilleStd-Roman" w:hAnsi="NewBaskervilleStd-Roman" w:cs="NewBaskervilleStd-Roman"/>
          <w:color w:val="262626"/>
          <w:sz w:val="20"/>
          <w:szCs w:val="20"/>
        </w:rPr>
        <w:t xml:space="preserve"> and </w:t>
      </w:r>
      <w:r w:rsidRPr="001A4F03">
        <w:rPr>
          <w:rFonts w:ascii="NewBaskervilleStd-Roman" w:hAnsi="NewBaskervilleStd-Roman" w:cs="NewBaskervilleStd-Roman"/>
          <w:b/>
          <w:bCs/>
          <w:color w:val="262626"/>
          <w:sz w:val="20"/>
          <w:szCs w:val="20"/>
        </w:rPr>
        <w:t>recommendation feature</w:t>
      </w:r>
      <w:r>
        <w:rPr>
          <w:rFonts w:ascii="NewBaskervilleStd-Roman" w:hAnsi="NewBaskervilleStd-Roman" w:cs="NewBaskervilleStd-Roman"/>
          <w:color w:val="262626"/>
          <w:sz w:val="20"/>
          <w:szCs w:val="20"/>
        </w:rPr>
        <w:t>. These features can all listen for the same</w:t>
      </w:r>
      <w:r w:rsidR="006C1C7F">
        <w:rPr>
          <w:rFonts w:ascii="NewBaskervilleStd-Roman" w:hAnsi="NewBaskervilleStd-Roman" w:cs="NewBaskervilleStd-Roman"/>
          <w:color w:val="262626"/>
          <w:sz w:val="20"/>
          <w:szCs w:val="20"/>
        </w:rPr>
        <w:t xml:space="preserve"> </w:t>
      </w:r>
      <w:r>
        <w:rPr>
          <w:rFonts w:ascii="NewBaskervilleStd-Roman" w:hAnsi="NewBaskervilleStd-Roman" w:cs="NewBaskervilleStd-Roman"/>
          <w:color w:val="262626"/>
          <w:sz w:val="20"/>
          <w:szCs w:val="20"/>
        </w:rPr>
        <w:t>event.</w:t>
      </w:r>
    </w:p>
    <w:p w14:paraId="1452A48E" w14:textId="04CE5071" w:rsidR="00FE197D" w:rsidRDefault="00FE197D" w:rsidP="006C1C7F">
      <w:pPr>
        <w:autoSpaceDE w:val="0"/>
        <w:autoSpaceDN w:val="0"/>
        <w:adjustRightInd w:val="0"/>
        <w:spacing w:after="0"/>
        <w:rPr>
          <w:rFonts w:ascii="NewBaskervilleStd-Roman" w:hAnsi="NewBaskervilleStd-Roman" w:cs="NewBaskervilleStd-Roman"/>
          <w:color w:val="262626"/>
          <w:sz w:val="20"/>
          <w:szCs w:val="20"/>
        </w:rPr>
      </w:pPr>
    </w:p>
    <w:p w14:paraId="5669616E" w14:textId="10EA3A61" w:rsidR="00FE197D" w:rsidRPr="00BA1DB5" w:rsidRDefault="00FE197D" w:rsidP="00FE197D">
      <w:pPr>
        <w:autoSpaceDE w:val="0"/>
        <w:autoSpaceDN w:val="0"/>
        <w:adjustRightInd w:val="0"/>
        <w:spacing w:after="0"/>
        <w:jc w:val="center"/>
        <w:rPr>
          <w:rFonts w:ascii="NewBaskervilleStd-Roman" w:hAnsi="NewBaskervilleStd-Roman" w:cs="NewBaskervilleStd-Roman"/>
          <w:color w:val="262626"/>
          <w:sz w:val="20"/>
          <w:szCs w:val="20"/>
        </w:rPr>
      </w:pPr>
      <w:r>
        <w:rPr>
          <w:noProof/>
        </w:rPr>
        <w:lastRenderedPageBreak/>
        <w:drawing>
          <wp:inline distT="0" distB="0" distL="0" distR="0" wp14:anchorId="39E60D47" wp14:editId="0BDDABAD">
            <wp:extent cx="3698543" cy="182101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8543" cy="1821019"/>
                    </a:xfrm>
                    <a:prstGeom prst="rect">
                      <a:avLst/>
                    </a:prstGeom>
                  </pic:spPr>
                </pic:pic>
              </a:graphicData>
            </a:graphic>
          </wp:inline>
        </w:drawing>
      </w:r>
    </w:p>
    <w:p w14:paraId="3A0556DC" w14:textId="77777777" w:rsidR="0045740F" w:rsidRPr="00AD522C" w:rsidRDefault="0045740F" w:rsidP="00AD522C"/>
    <w:p w14:paraId="60575CD3" w14:textId="27FC27F4" w:rsidR="007E1AC3" w:rsidRDefault="008A044F" w:rsidP="0065594E">
      <w:pPr>
        <w:pStyle w:val="Heading1"/>
      </w:pPr>
      <w:r>
        <w:t>Locating Other Services</w:t>
      </w:r>
    </w:p>
    <w:p w14:paraId="3F0FAC76" w14:textId="2CF29078" w:rsidR="00904454" w:rsidRPr="00C4165D" w:rsidRDefault="000A6C7C" w:rsidP="00C4165D">
      <w:r>
        <w:t>We have discussed about this in detail in a separate document</w:t>
      </w:r>
    </w:p>
    <w:p w14:paraId="2EC9A845" w14:textId="0949268D" w:rsidR="00DB395C" w:rsidRDefault="00DB395C" w:rsidP="003D14E4">
      <w:pPr>
        <w:autoSpaceDE w:val="0"/>
        <w:autoSpaceDN w:val="0"/>
        <w:adjustRightInd w:val="0"/>
        <w:spacing w:after="0"/>
        <w:rPr>
          <w:rFonts w:ascii="NewBaskervilleStd-Roman" w:hAnsi="NewBaskervilleStd-Roman" w:cs="NewBaskervilleStd-Roman"/>
          <w:color w:val="262626"/>
          <w:sz w:val="20"/>
          <w:szCs w:val="20"/>
        </w:rPr>
      </w:pPr>
    </w:p>
    <w:p w14:paraId="5658ADA3" w14:textId="77777777" w:rsidR="00DB395C" w:rsidRPr="00E123EF" w:rsidRDefault="00DB395C" w:rsidP="003D14E4">
      <w:pPr>
        <w:autoSpaceDE w:val="0"/>
        <w:autoSpaceDN w:val="0"/>
        <w:adjustRightInd w:val="0"/>
        <w:spacing w:after="0"/>
        <w:rPr>
          <w:rFonts w:ascii="NewBaskervilleStd-Roman" w:hAnsi="NewBaskervilleStd-Roman" w:cs="NewBaskervilleStd-Roman"/>
          <w:color w:val="262626"/>
          <w:sz w:val="20"/>
          <w:szCs w:val="20"/>
        </w:rPr>
      </w:pPr>
    </w:p>
    <w:sectPr w:rsidR="00DB395C" w:rsidRPr="00E123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NewBaskervilleStd-Roman">
    <w:altName w:val="Cambria"/>
    <w:panose1 w:val="00000000000000000000"/>
    <w:charset w:val="00"/>
    <w:family w:val="roman"/>
    <w:notTrueType/>
    <w:pitch w:val="default"/>
    <w:sig w:usb0="00000003" w:usb1="00000000" w:usb2="00000000" w:usb3="00000000" w:csb0="00000001" w:csb1="00000000"/>
  </w:font>
  <w:font w:name="CourierStd">
    <w:altName w:val="Courier New"/>
    <w:panose1 w:val="00000000000000000000"/>
    <w:charset w:val="00"/>
    <w:family w:val="roman"/>
    <w:notTrueType/>
    <w:pitch w:val="default"/>
    <w:sig w:usb0="00000003" w:usb1="00000000" w:usb2="00000000" w:usb3="00000000" w:csb0="00000001" w:csb1="00000000"/>
  </w:font>
  <w:font w:name="NewBaskervilleStd-Italic">
    <w:altName w:val="Cambria"/>
    <w:panose1 w:val="00000000000000000000"/>
    <w:charset w:val="00"/>
    <w:family w:val="roman"/>
    <w:notTrueType/>
    <w:pitch w:val="default"/>
    <w:sig w:usb0="00000003" w:usb1="00000000" w:usb2="00000000" w:usb3="00000000" w:csb0="00000001" w:csb1="00000000"/>
  </w:font>
  <w:font w:name="ITCFranklinGothicStd-Demi">
    <w:altName w:val="Calibri"/>
    <w:panose1 w:val="00000000000000000000"/>
    <w:charset w:val="00"/>
    <w:family w:val="swiss"/>
    <w:notTrueType/>
    <w:pitch w:val="default"/>
    <w:sig w:usb0="00000003" w:usb1="00000000" w:usb2="00000000" w:usb3="00000000" w:csb0="00000001" w:csb1="00000000"/>
  </w:font>
  <w:font w:name="ITCFranklinGothicStd-DemiIt">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EFC000A"/>
    <w:multiLevelType w:val="hybridMultilevel"/>
    <w:tmpl w:val="53DCB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7D165B"/>
    <w:multiLevelType w:val="hybridMultilevel"/>
    <w:tmpl w:val="A358F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2E5891"/>
    <w:multiLevelType w:val="hybridMultilevel"/>
    <w:tmpl w:val="BA4EE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614FF8"/>
    <w:multiLevelType w:val="hybridMultilevel"/>
    <w:tmpl w:val="492A3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D47A1B"/>
    <w:multiLevelType w:val="multilevel"/>
    <w:tmpl w:val="AA866742"/>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7711FA7"/>
    <w:multiLevelType w:val="hybridMultilevel"/>
    <w:tmpl w:val="22FEDA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70B27A6"/>
    <w:multiLevelType w:val="hybridMultilevel"/>
    <w:tmpl w:val="4134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100835"/>
    <w:multiLevelType w:val="hybridMultilevel"/>
    <w:tmpl w:val="EC32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691A97"/>
    <w:multiLevelType w:val="hybridMultilevel"/>
    <w:tmpl w:val="CEEE0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3"/>
  </w:num>
  <w:num w:numId="11">
    <w:abstractNumId w:val="15"/>
  </w:num>
  <w:num w:numId="12">
    <w:abstractNumId w:val="14"/>
  </w:num>
  <w:num w:numId="13">
    <w:abstractNumId w:val="10"/>
  </w:num>
  <w:num w:numId="14">
    <w:abstractNumId w:val="9"/>
  </w:num>
  <w:num w:numId="15">
    <w:abstractNumId w:val="16"/>
  </w:num>
  <w:num w:numId="16">
    <w:abstractNumId w:val="12"/>
  </w:num>
  <w:num w:numId="17">
    <w:abstractNumId w:val="1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010"/>
    <w:rsid w:val="0001370C"/>
    <w:rsid w:val="00027FE0"/>
    <w:rsid w:val="00034616"/>
    <w:rsid w:val="000353A7"/>
    <w:rsid w:val="00036E5D"/>
    <w:rsid w:val="00041270"/>
    <w:rsid w:val="000434F3"/>
    <w:rsid w:val="0006063C"/>
    <w:rsid w:val="00061973"/>
    <w:rsid w:val="00063A7D"/>
    <w:rsid w:val="00065138"/>
    <w:rsid w:val="00071534"/>
    <w:rsid w:val="000778BF"/>
    <w:rsid w:val="0009331C"/>
    <w:rsid w:val="000A1195"/>
    <w:rsid w:val="000A3428"/>
    <w:rsid w:val="000A36DE"/>
    <w:rsid w:val="000A6C7C"/>
    <w:rsid w:val="000D262E"/>
    <w:rsid w:val="000E46DF"/>
    <w:rsid w:val="00103A31"/>
    <w:rsid w:val="00105460"/>
    <w:rsid w:val="001207C1"/>
    <w:rsid w:val="00121CB5"/>
    <w:rsid w:val="0012689B"/>
    <w:rsid w:val="00127DDF"/>
    <w:rsid w:val="0013479C"/>
    <w:rsid w:val="00134906"/>
    <w:rsid w:val="0014788B"/>
    <w:rsid w:val="0015074B"/>
    <w:rsid w:val="00152531"/>
    <w:rsid w:val="00153122"/>
    <w:rsid w:val="00176222"/>
    <w:rsid w:val="00176D75"/>
    <w:rsid w:val="00184BC0"/>
    <w:rsid w:val="001957FF"/>
    <w:rsid w:val="00196BC6"/>
    <w:rsid w:val="001A4F03"/>
    <w:rsid w:val="001A7520"/>
    <w:rsid w:val="001C189A"/>
    <w:rsid w:val="001D3A65"/>
    <w:rsid w:val="001F3395"/>
    <w:rsid w:val="002000F3"/>
    <w:rsid w:val="00202CBB"/>
    <w:rsid w:val="00207F65"/>
    <w:rsid w:val="00246C07"/>
    <w:rsid w:val="002715C2"/>
    <w:rsid w:val="00277300"/>
    <w:rsid w:val="00277F3D"/>
    <w:rsid w:val="00294BA1"/>
    <w:rsid w:val="0029639D"/>
    <w:rsid w:val="002A3825"/>
    <w:rsid w:val="002A3FA8"/>
    <w:rsid w:val="002B0726"/>
    <w:rsid w:val="002C2D4F"/>
    <w:rsid w:val="002C3F73"/>
    <w:rsid w:val="002F3E2A"/>
    <w:rsid w:val="002F69B1"/>
    <w:rsid w:val="00313585"/>
    <w:rsid w:val="00326F90"/>
    <w:rsid w:val="00331FC4"/>
    <w:rsid w:val="0033787A"/>
    <w:rsid w:val="00343EE2"/>
    <w:rsid w:val="00351E5A"/>
    <w:rsid w:val="0035662B"/>
    <w:rsid w:val="00372F20"/>
    <w:rsid w:val="00381993"/>
    <w:rsid w:val="00391A95"/>
    <w:rsid w:val="00393CA0"/>
    <w:rsid w:val="003944D5"/>
    <w:rsid w:val="003953E7"/>
    <w:rsid w:val="0039684B"/>
    <w:rsid w:val="003A52F3"/>
    <w:rsid w:val="003B107C"/>
    <w:rsid w:val="003C4554"/>
    <w:rsid w:val="003D14E4"/>
    <w:rsid w:val="004066FA"/>
    <w:rsid w:val="00406DA5"/>
    <w:rsid w:val="0042061A"/>
    <w:rsid w:val="00421471"/>
    <w:rsid w:val="00423961"/>
    <w:rsid w:val="00431A1E"/>
    <w:rsid w:val="00431B90"/>
    <w:rsid w:val="00434E33"/>
    <w:rsid w:val="00436F2A"/>
    <w:rsid w:val="0045740F"/>
    <w:rsid w:val="00464F92"/>
    <w:rsid w:val="00471E02"/>
    <w:rsid w:val="0047689B"/>
    <w:rsid w:val="00492779"/>
    <w:rsid w:val="004A6735"/>
    <w:rsid w:val="004B5B4A"/>
    <w:rsid w:val="004D2CC4"/>
    <w:rsid w:val="004F7D6E"/>
    <w:rsid w:val="0051328E"/>
    <w:rsid w:val="005225C2"/>
    <w:rsid w:val="00522EF0"/>
    <w:rsid w:val="00524274"/>
    <w:rsid w:val="005414DA"/>
    <w:rsid w:val="00561884"/>
    <w:rsid w:val="00564DFE"/>
    <w:rsid w:val="00572E78"/>
    <w:rsid w:val="00575659"/>
    <w:rsid w:val="00584E24"/>
    <w:rsid w:val="005951AF"/>
    <w:rsid w:val="005B5FC9"/>
    <w:rsid w:val="005B733A"/>
    <w:rsid w:val="005B752D"/>
    <w:rsid w:val="00614C13"/>
    <w:rsid w:val="00625FBF"/>
    <w:rsid w:val="0063365D"/>
    <w:rsid w:val="0063682F"/>
    <w:rsid w:val="0064281F"/>
    <w:rsid w:val="00646756"/>
    <w:rsid w:val="0065594E"/>
    <w:rsid w:val="00655C06"/>
    <w:rsid w:val="00667913"/>
    <w:rsid w:val="0069756F"/>
    <w:rsid w:val="006A7AF3"/>
    <w:rsid w:val="006B0869"/>
    <w:rsid w:val="006B3CFF"/>
    <w:rsid w:val="006B5871"/>
    <w:rsid w:val="006C1C7F"/>
    <w:rsid w:val="006D2E08"/>
    <w:rsid w:val="006E15A5"/>
    <w:rsid w:val="006E27D5"/>
    <w:rsid w:val="006E2F4A"/>
    <w:rsid w:val="006F103E"/>
    <w:rsid w:val="007053CB"/>
    <w:rsid w:val="007207A0"/>
    <w:rsid w:val="00751E2B"/>
    <w:rsid w:val="00755DD0"/>
    <w:rsid w:val="0077026D"/>
    <w:rsid w:val="00776D97"/>
    <w:rsid w:val="0078622D"/>
    <w:rsid w:val="0079070E"/>
    <w:rsid w:val="007A1FA4"/>
    <w:rsid w:val="007B5FA1"/>
    <w:rsid w:val="007C138B"/>
    <w:rsid w:val="007C18AE"/>
    <w:rsid w:val="007E0687"/>
    <w:rsid w:val="007E0ECD"/>
    <w:rsid w:val="007E1AC3"/>
    <w:rsid w:val="007E68B9"/>
    <w:rsid w:val="007F0DD9"/>
    <w:rsid w:val="007F6E4F"/>
    <w:rsid w:val="007F7A26"/>
    <w:rsid w:val="00820725"/>
    <w:rsid w:val="00825216"/>
    <w:rsid w:val="008460C7"/>
    <w:rsid w:val="008508E5"/>
    <w:rsid w:val="00852890"/>
    <w:rsid w:val="00853973"/>
    <w:rsid w:val="00855274"/>
    <w:rsid w:val="00871C70"/>
    <w:rsid w:val="00875A58"/>
    <w:rsid w:val="008776CA"/>
    <w:rsid w:val="008835D9"/>
    <w:rsid w:val="00884629"/>
    <w:rsid w:val="00892A5E"/>
    <w:rsid w:val="008961E8"/>
    <w:rsid w:val="008A044F"/>
    <w:rsid w:val="008A1C7C"/>
    <w:rsid w:val="008B414C"/>
    <w:rsid w:val="008C36B0"/>
    <w:rsid w:val="008C690C"/>
    <w:rsid w:val="008E0998"/>
    <w:rsid w:val="008E1376"/>
    <w:rsid w:val="008E532C"/>
    <w:rsid w:val="008F11DB"/>
    <w:rsid w:val="00902C47"/>
    <w:rsid w:val="00903A97"/>
    <w:rsid w:val="00904454"/>
    <w:rsid w:val="0091440B"/>
    <w:rsid w:val="00920ED4"/>
    <w:rsid w:val="009248ED"/>
    <w:rsid w:val="00926E05"/>
    <w:rsid w:val="00930D78"/>
    <w:rsid w:val="009349A1"/>
    <w:rsid w:val="009542A8"/>
    <w:rsid w:val="00974271"/>
    <w:rsid w:val="009930DD"/>
    <w:rsid w:val="009939B1"/>
    <w:rsid w:val="009C0703"/>
    <w:rsid w:val="009C2E4A"/>
    <w:rsid w:val="009C64B9"/>
    <w:rsid w:val="009D41DB"/>
    <w:rsid w:val="009F50EA"/>
    <w:rsid w:val="00A00696"/>
    <w:rsid w:val="00A0305A"/>
    <w:rsid w:val="00A22907"/>
    <w:rsid w:val="00A32154"/>
    <w:rsid w:val="00A43F60"/>
    <w:rsid w:val="00A548A8"/>
    <w:rsid w:val="00A57B34"/>
    <w:rsid w:val="00A76B59"/>
    <w:rsid w:val="00A80CA8"/>
    <w:rsid w:val="00AA1D8D"/>
    <w:rsid w:val="00AC3AC2"/>
    <w:rsid w:val="00AC3D95"/>
    <w:rsid w:val="00AC4F90"/>
    <w:rsid w:val="00AC6758"/>
    <w:rsid w:val="00AD522C"/>
    <w:rsid w:val="00AE031F"/>
    <w:rsid w:val="00AF324E"/>
    <w:rsid w:val="00AF4C36"/>
    <w:rsid w:val="00AF6575"/>
    <w:rsid w:val="00AF67AF"/>
    <w:rsid w:val="00B11216"/>
    <w:rsid w:val="00B351C6"/>
    <w:rsid w:val="00B47730"/>
    <w:rsid w:val="00B71C79"/>
    <w:rsid w:val="00B81325"/>
    <w:rsid w:val="00B953DB"/>
    <w:rsid w:val="00BA1DB5"/>
    <w:rsid w:val="00BD671A"/>
    <w:rsid w:val="00BD768E"/>
    <w:rsid w:val="00BE242A"/>
    <w:rsid w:val="00BF2180"/>
    <w:rsid w:val="00BF6F0F"/>
    <w:rsid w:val="00C00E8C"/>
    <w:rsid w:val="00C0580C"/>
    <w:rsid w:val="00C05E1E"/>
    <w:rsid w:val="00C157CC"/>
    <w:rsid w:val="00C223AF"/>
    <w:rsid w:val="00C4165D"/>
    <w:rsid w:val="00C50015"/>
    <w:rsid w:val="00C51B99"/>
    <w:rsid w:val="00C62637"/>
    <w:rsid w:val="00C62810"/>
    <w:rsid w:val="00C63D89"/>
    <w:rsid w:val="00C810EF"/>
    <w:rsid w:val="00C87D64"/>
    <w:rsid w:val="00C9616F"/>
    <w:rsid w:val="00C96C4D"/>
    <w:rsid w:val="00CB0664"/>
    <w:rsid w:val="00CB2C86"/>
    <w:rsid w:val="00CB590C"/>
    <w:rsid w:val="00CB76A0"/>
    <w:rsid w:val="00CD342E"/>
    <w:rsid w:val="00CF2D70"/>
    <w:rsid w:val="00CF614D"/>
    <w:rsid w:val="00D01416"/>
    <w:rsid w:val="00D0165E"/>
    <w:rsid w:val="00D15978"/>
    <w:rsid w:val="00D23756"/>
    <w:rsid w:val="00D30FE6"/>
    <w:rsid w:val="00D33392"/>
    <w:rsid w:val="00D33521"/>
    <w:rsid w:val="00D34C77"/>
    <w:rsid w:val="00D649B0"/>
    <w:rsid w:val="00D64AA2"/>
    <w:rsid w:val="00D67CF6"/>
    <w:rsid w:val="00D82A4F"/>
    <w:rsid w:val="00DB0256"/>
    <w:rsid w:val="00DB08C1"/>
    <w:rsid w:val="00DB2745"/>
    <w:rsid w:val="00DB329B"/>
    <w:rsid w:val="00DB395C"/>
    <w:rsid w:val="00DB4916"/>
    <w:rsid w:val="00DC11AB"/>
    <w:rsid w:val="00DC3981"/>
    <w:rsid w:val="00DC6C5B"/>
    <w:rsid w:val="00DD7B91"/>
    <w:rsid w:val="00DF7BBC"/>
    <w:rsid w:val="00E01AED"/>
    <w:rsid w:val="00E05B82"/>
    <w:rsid w:val="00E123EF"/>
    <w:rsid w:val="00E17544"/>
    <w:rsid w:val="00E31E36"/>
    <w:rsid w:val="00E91EA1"/>
    <w:rsid w:val="00EA253C"/>
    <w:rsid w:val="00EA3B1F"/>
    <w:rsid w:val="00EA78FD"/>
    <w:rsid w:val="00EB2CB0"/>
    <w:rsid w:val="00EC028D"/>
    <w:rsid w:val="00EC09CF"/>
    <w:rsid w:val="00EE2C78"/>
    <w:rsid w:val="00F01981"/>
    <w:rsid w:val="00F1758F"/>
    <w:rsid w:val="00F23B0D"/>
    <w:rsid w:val="00F255E5"/>
    <w:rsid w:val="00F365F0"/>
    <w:rsid w:val="00F43ECE"/>
    <w:rsid w:val="00F47959"/>
    <w:rsid w:val="00F53C0A"/>
    <w:rsid w:val="00F54378"/>
    <w:rsid w:val="00F6225A"/>
    <w:rsid w:val="00F700C4"/>
    <w:rsid w:val="00F71E37"/>
    <w:rsid w:val="00F7458C"/>
    <w:rsid w:val="00F74748"/>
    <w:rsid w:val="00F75B82"/>
    <w:rsid w:val="00F860CD"/>
    <w:rsid w:val="00F90BE6"/>
    <w:rsid w:val="00F94823"/>
    <w:rsid w:val="00FB041D"/>
    <w:rsid w:val="00FC693F"/>
    <w:rsid w:val="00FD6FC5"/>
    <w:rsid w:val="00FD7B4D"/>
    <w:rsid w:val="00FE197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9CF"/>
    <w:pPr>
      <w:spacing w:line="240" w:lineRule="auto"/>
    </w:pPr>
  </w:style>
  <w:style w:type="paragraph" w:styleId="Heading1">
    <w:name w:val="heading 1"/>
    <w:basedOn w:val="Normal"/>
    <w:next w:val="Normal"/>
    <w:link w:val="Heading1Char"/>
    <w:uiPriority w:val="9"/>
    <w:qFormat/>
    <w:rsid w:val="003944D5"/>
    <w:pPr>
      <w:keepNext/>
      <w:keepLines/>
      <w:numPr>
        <w:numId w:val="10"/>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DB08C1"/>
    <w:rPr>
      <w:rFonts w:ascii="Courier New" w:hAnsi="Courier New" w:cs="LiberationMono"/>
      <w:szCs w:val="29"/>
    </w:rPr>
  </w:style>
  <w:style w:type="character" w:customStyle="1" w:styleId="code-snippetChar">
    <w:name w:val="code-snippet Char"/>
    <w:basedOn w:val="DefaultParagraphFont"/>
    <w:link w:val="code-snippet"/>
    <w:rsid w:val="004B5B4A"/>
    <w:rPr>
      <w:rFonts w:ascii="Courier New" w:hAnsi="Courier New" w:cs="LiberationMono"/>
      <w:szCs w:val="29"/>
    </w:rPr>
  </w:style>
  <w:style w:type="character" w:styleId="Hyperlink">
    <w:name w:val="Hyperlink"/>
    <w:basedOn w:val="DefaultParagraphFont"/>
    <w:uiPriority w:val="99"/>
    <w:unhideWhenUsed/>
    <w:rsid w:val="00875A58"/>
    <w:rPr>
      <w:color w:val="0000FF" w:themeColor="hyperlink"/>
      <w:u w:val="single"/>
    </w:rPr>
  </w:style>
  <w:style w:type="character" w:styleId="UnresolvedMention">
    <w:name w:val="Unresolved Mention"/>
    <w:basedOn w:val="DefaultParagraphFont"/>
    <w:uiPriority w:val="99"/>
    <w:semiHidden/>
    <w:unhideWhenUsed/>
    <w:rsid w:val="00875A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amqp.or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4</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295</cp:revision>
  <dcterms:created xsi:type="dcterms:W3CDTF">2013-12-23T23:15:00Z</dcterms:created>
  <dcterms:modified xsi:type="dcterms:W3CDTF">2024-11-06T15:52:00Z</dcterms:modified>
  <cp:category/>
</cp:coreProperties>
</file>