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52E1" w14:textId="51A0F65E" w:rsidR="00EC09CF" w:rsidRDefault="005E25F6" w:rsidP="000434F3">
      <w:pPr>
        <w:pStyle w:val="Title"/>
      </w:pPr>
      <w:r>
        <w:t>Defining an Application’s Microservices Architecture</w:t>
      </w:r>
    </w:p>
    <w:p w14:paraId="3F001D1C" w14:textId="091CA04D" w:rsidR="000434F3" w:rsidRDefault="00592045" w:rsidP="00781F81">
      <w:pPr>
        <w:pStyle w:val="NoSpacing"/>
        <w:rPr>
          <w:b/>
          <w:bCs/>
        </w:rPr>
      </w:pPr>
      <w:r>
        <w:t>This document describes a simple, three-step process,</w:t>
      </w:r>
      <w:r w:rsidR="00D055B8">
        <w:t xml:space="preserve"> </w:t>
      </w:r>
      <w:r>
        <w:t>shown in the figure below, for defining an application’s architecture. It’s important to</w:t>
      </w:r>
      <w:r w:rsidR="00D055B8">
        <w:t xml:space="preserve"> </w:t>
      </w:r>
      <w:r>
        <w:t xml:space="preserve">remember, though, that it’s not a process you can follow mechanically. </w:t>
      </w:r>
      <w:r w:rsidRPr="00224A50">
        <w:rPr>
          <w:b/>
          <w:bCs/>
        </w:rPr>
        <w:t>It’s likely to be</w:t>
      </w:r>
      <w:r w:rsidR="00781F81" w:rsidRPr="00224A50">
        <w:rPr>
          <w:b/>
          <w:bCs/>
        </w:rPr>
        <w:t xml:space="preserve"> </w:t>
      </w:r>
      <w:r w:rsidRPr="00224A50">
        <w:rPr>
          <w:b/>
          <w:bCs/>
        </w:rPr>
        <w:t>iterative and involve a lot of creativity.</w:t>
      </w:r>
    </w:p>
    <w:p w14:paraId="2A3E5A9A" w14:textId="35269B5D" w:rsidR="000D6496" w:rsidRDefault="000D6496" w:rsidP="00781F81">
      <w:pPr>
        <w:pStyle w:val="NoSpacing"/>
        <w:rPr>
          <w:b/>
          <w:bCs/>
        </w:rPr>
      </w:pPr>
    </w:p>
    <w:p w14:paraId="25231B53" w14:textId="07D244AB" w:rsidR="000D6496" w:rsidRDefault="00B46381" w:rsidP="00B46381">
      <w:pPr>
        <w:pStyle w:val="NoSpacing"/>
        <w:jc w:val="center"/>
      </w:pPr>
      <w:r>
        <w:rPr>
          <w:noProof/>
        </w:rPr>
        <w:drawing>
          <wp:inline distT="0" distB="0" distL="0" distR="0" wp14:anchorId="63636CFC" wp14:editId="001DFB2D">
            <wp:extent cx="3331495" cy="345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986" cy="34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1A08" w14:textId="47706A71" w:rsidR="006668BA" w:rsidRDefault="006668BA" w:rsidP="006668BA"/>
    <w:p w14:paraId="3EB03A1B" w14:textId="256FDDCA" w:rsidR="006668BA" w:rsidRDefault="006668BA" w:rsidP="002A5C33">
      <w:pPr>
        <w:pStyle w:val="NoSpacing"/>
        <w:numPr>
          <w:ilvl w:val="0"/>
          <w:numId w:val="16"/>
        </w:numPr>
      </w:pPr>
      <w:r>
        <w:t>An application exists to handle requests, so the first step in defining its architecture is</w:t>
      </w:r>
      <w:r>
        <w:t xml:space="preserve"> </w:t>
      </w:r>
      <w:r>
        <w:t>to distill the application’s requirements into the key requests.</w:t>
      </w:r>
    </w:p>
    <w:p w14:paraId="4F9C4D79" w14:textId="3A54F28D" w:rsidR="00361C1C" w:rsidRDefault="00361C1C" w:rsidP="006668BA">
      <w:pPr>
        <w:pStyle w:val="NoSpacing"/>
      </w:pPr>
    </w:p>
    <w:p w14:paraId="67E9CBA9" w14:textId="795E9A33" w:rsidR="00361C1C" w:rsidRDefault="00361C1C" w:rsidP="00361C1C">
      <w:pPr>
        <w:pStyle w:val="NoSpacing"/>
        <w:rPr>
          <w:b/>
          <w:bCs/>
        </w:rPr>
      </w:pPr>
      <w:r>
        <w:t xml:space="preserve">Instead of specific IPC(inter-process) technologies like REST or messaging, in this stage we use the more abstract notion of </w:t>
      </w:r>
      <w:r w:rsidRPr="00361C1C">
        <w:rPr>
          <w:b/>
          <w:bCs/>
        </w:rPr>
        <w:t>System Operation</w:t>
      </w:r>
      <w:r>
        <w:t xml:space="preserve">: </w:t>
      </w:r>
      <w:r>
        <w:t>an abstraction of a</w:t>
      </w:r>
      <w:r>
        <w:t xml:space="preserve"> </w:t>
      </w:r>
      <w:r>
        <w:t>request that the application must handle. It’s either a command, which updates data,</w:t>
      </w:r>
      <w:r>
        <w:t xml:space="preserve"> </w:t>
      </w:r>
      <w:r>
        <w:t>or a query, which retrieves data. The behavior of each command is defined in terms</w:t>
      </w:r>
      <w:r>
        <w:t xml:space="preserve"> </w:t>
      </w:r>
      <w:r>
        <w:t xml:space="preserve">of an abstract domain model, which is also derived from the requirements. </w:t>
      </w:r>
      <w:r w:rsidRPr="00C17659">
        <w:rPr>
          <w:b/>
          <w:bCs/>
        </w:rPr>
        <w:t>The system</w:t>
      </w:r>
      <w:r w:rsidRPr="00C17659">
        <w:rPr>
          <w:b/>
          <w:bCs/>
        </w:rPr>
        <w:t xml:space="preserve"> </w:t>
      </w:r>
      <w:r w:rsidRPr="00C17659">
        <w:rPr>
          <w:b/>
          <w:bCs/>
        </w:rPr>
        <w:t>operations become the architectural scenarios that illustrate how the services</w:t>
      </w:r>
      <w:r w:rsidRPr="00C17659">
        <w:rPr>
          <w:b/>
          <w:bCs/>
        </w:rPr>
        <w:t xml:space="preserve"> </w:t>
      </w:r>
      <w:r w:rsidRPr="00C17659">
        <w:rPr>
          <w:b/>
          <w:bCs/>
        </w:rPr>
        <w:t>collaborate.</w:t>
      </w:r>
    </w:p>
    <w:p w14:paraId="3D4E8A97" w14:textId="0927AAA3" w:rsidR="002A5C33" w:rsidRDefault="002A5C33" w:rsidP="00361C1C">
      <w:pPr>
        <w:pStyle w:val="NoSpacing"/>
        <w:rPr>
          <w:b/>
          <w:bCs/>
        </w:rPr>
      </w:pPr>
    </w:p>
    <w:p w14:paraId="088ED928" w14:textId="0DEAD91D" w:rsidR="00F87266" w:rsidRDefault="00F87266" w:rsidP="00F8726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87266">
        <w:rPr>
          <w:rFonts w:ascii="NewBaskerville-Roman" w:hAnsi="NewBaskerville-Roman" w:cs="NewBaskerville-Roman"/>
          <w:color w:val="262626"/>
          <w:sz w:val="20"/>
          <w:szCs w:val="20"/>
        </w:rPr>
        <w:t>The second step in the process is to determine the decomposition into services.</w:t>
      </w:r>
    </w:p>
    <w:p w14:paraId="0597D64D" w14:textId="77777777" w:rsidR="00F87266" w:rsidRPr="00F87266" w:rsidRDefault="00F87266" w:rsidP="00F87266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1C9D248" w14:textId="6FC1F835" w:rsidR="002A5C33" w:rsidRDefault="00F87266" w:rsidP="00EF03B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several strategies to choose from. One strategy, which has its origins in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discipline of business architecture, is to </w:t>
      </w:r>
      <w:r w:rsidRPr="00F8507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define services corresponding to business</w:t>
      </w:r>
      <w:r w:rsidRPr="00F8507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8507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capabilities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Another strategy is to organize services </w:t>
      </w:r>
      <w:r w:rsidRPr="00F8507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around domain-driven design subdomains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end result is </w:t>
      </w:r>
      <w:r w:rsidRPr="00A233E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services that are organized around business concepts</w:t>
      </w:r>
      <w:r w:rsidR="00EF03B5" w:rsidRPr="00A233E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233E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rather than technical concepts.</w:t>
      </w:r>
    </w:p>
    <w:p w14:paraId="386D3E8B" w14:textId="77777777" w:rsidR="00E85439" w:rsidRDefault="00581954" w:rsidP="00E8543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81954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The third step in defining the application’s architecture is to determine each service’s</w:t>
      </w:r>
      <w:r w:rsidR="00E8543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E85439">
        <w:rPr>
          <w:rFonts w:ascii="NewBaskerville-Roman" w:hAnsi="NewBaskerville-Roman" w:cs="NewBaskerville-Roman"/>
          <w:color w:val="262626"/>
          <w:sz w:val="20"/>
          <w:szCs w:val="20"/>
        </w:rPr>
        <w:t>API.</w:t>
      </w:r>
    </w:p>
    <w:p w14:paraId="7F5C0B7A" w14:textId="49BEFE20" w:rsidR="00581954" w:rsidRDefault="00581954" w:rsidP="0027068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E8543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do that, </w:t>
      </w:r>
      <w:r w:rsidRPr="00EE232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you assign each system operation identified in the first step to a</w:t>
      </w:r>
      <w:r w:rsidR="00270687" w:rsidRPr="00EE232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EE232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A service might implement an operation entirely by itself. Alternatively, it</w:t>
      </w:r>
      <w:r w:rsidR="0027068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might need to collaborate with other services. In that case, you determine how the services</w:t>
      </w:r>
      <w:r w:rsidR="0027068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collaborate, which typically requires services to support additional operations.</w:t>
      </w:r>
      <w:r w:rsidR="0027068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You’ll also need to decide which of the IPC mechanisms I describe in </w:t>
      </w:r>
      <w:r w:rsidR="00EE2323">
        <w:rPr>
          <w:rFonts w:ascii="NewBaskerville-Roman" w:hAnsi="NewBaskerville-Roman" w:cs="NewBaskerville-Roman"/>
          <w:color w:val="262626"/>
          <w:sz w:val="20"/>
          <w:szCs w:val="20"/>
        </w:rPr>
        <w:t>another document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to</w:t>
      </w:r>
      <w:r w:rsidR="0027068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implement each service’s API.</w:t>
      </w:r>
    </w:p>
    <w:p w14:paraId="3F27FCB3" w14:textId="7C162827" w:rsidR="000A7657" w:rsidRDefault="000A7657" w:rsidP="0027068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3E1BEE5" w14:textId="16654A49" w:rsidR="00127204" w:rsidRDefault="00467513" w:rsidP="0012720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There are several </w:t>
      </w:r>
      <w:r w:rsidRPr="00823E6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obstacles to decomposition</w:t>
      </w:r>
      <w:r w:rsidRPr="00823E6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</w:p>
    <w:p w14:paraId="24F286AD" w14:textId="586CF215" w:rsidR="00467513" w:rsidRDefault="00467513" w:rsidP="0046751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1C0A6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network latency</w:t>
      </w:r>
      <w:r w:rsidR="001C0A6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You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might discover that a particular decomposition would be impractical due to too many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round-trips between services.</w:t>
      </w:r>
    </w:p>
    <w:p w14:paraId="668FFDC5" w14:textId="77777777" w:rsidR="001C0A69" w:rsidRDefault="001C0A69" w:rsidP="001C0A69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FF0E4A" w14:textId="77777777" w:rsidR="00493ACA" w:rsidRDefault="00467513" w:rsidP="0046751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17B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synchronous</w:t>
      </w:r>
      <w:r w:rsidRPr="00017B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017B1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communication between services reduces availability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. You might need to use the concept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of self-contained services, described in chapter 3.</w:t>
      </w:r>
    </w:p>
    <w:p w14:paraId="2ED3EE26" w14:textId="77777777" w:rsidR="00493ACA" w:rsidRPr="00493ACA" w:rsidRDefault="00493ACA" w:rsidP="00493ACA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618C11D" w14:textId="77777777" w:rsidR="00F30D8F" w:rsidRDefault="00467513" w:rsidP="0046751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B208A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</w:t>
      </w:r>
      <w:r w:rsidRPr="00B208A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208A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requirement to maintain data consistency across services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. You’ll typically need to use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sagas, discussed in chapter 4.</w:t>
      </w:r>
    </w:p>
    <w:p w14:paraId="0EB550E0" w14:textId="77777777" w:rsidR="00F30D8F" w:rsidRPr="00F30D8F" w:rsidRDefault="00F30D8F" w:rsidP="00F30D8F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90F6B28" w14:textId="08D6BC78" w:rsidR="000A7657" w:rsidRDefault="00467513" w:rsidP="0046751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F828B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god classes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, which are used throughout an application. Fortunately, you can use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67513">
        <w:rPr>
          <w:rFonts w:ascii="NewBaskerville-Roman" w:hAnsi="NewBaskerville-Roman" w:cs="NewBaskerville-Roman"/>
          <w:color w:val="262626"/>
          <w:sz w:val="20"/>
          <w:szCs w:val="20"/>
        </w:rPr>
        <w:t>concepts from domain-driven design to eliminate god classes.</w:t>
      </w:r>
    </w:p>
    <w:p w14:paraId="42D95916" w14:textId="77777777" w:rsidR="00AD7E42" w:rsidRPr="00AD7E42" w:rsidRDefault="00AD7E42" w:rsidP="00AD7E42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1090A35" w14:textId="2A873FF2" w:rsidR="00AD7E42" w:rsidRDefault="00613A2A" w:rsidP="00897B82">
      <w:pPr>
        <w:pStyle w:val="Heading1"/>
      </w:pPr>
      <w:r>
        <w:t>Identifying System Operations</w:t>
      </w:r>
    </w:p>
    <w:p w14:paraId="21ACF3B8" w14:textId="77777777" w:rsidR="00613A2A" w:rsidRPr="00613A2A" w:rsidRDefault="00613A2A" w:rsidP="00613A2A"/>
    <w:sectPr w:rsidR="00613A2A" w:rsidRPr="00613A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15B4B"/>
    <w:multiLevelType w:val="hybridMultilevel"/>
    <w:tmpl w:val="3B4E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67F15"/>
    <w:multiLevelType w:val="hybridMultilevel"/>
    <w:tmpl w:val="BFB4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4"/>
  </w:num>
  <w:num w:numId="12">
    <w:abstractNumId w:val="13"/>
  </w:num>
  <w:num w:numId="13">
    <w:abstractNumId w:val="10"/>
  </w:num>
  <w:num w:numId="14">
    <w:abstractNumId w:val="9"/>
  </w:num>
  <w:num w:numId="15">
    <w:abstractNumId w:val="15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70C"/>
    <w:rsid w:val="00017B1E"/>
    <w:rsid w:val="00027FE0"/>
    <w:rsid w:val="00034616"/>
    <w:rsid w:val="000353A7"/>
    <w:rsid w:val="00036E5D"/>
    <w:rsid w:val="000434F3"/>
    <w:rsid w:val="00055190"/>
    <w:rsid w:val="0006063C"/>
    <w:rsid w:val="00063A7D"/>
    <w:rsid w:val="00065138"/>
    <w:rsid w:val="00071534"/>
    <w:rsid w:val="000A1195"/>
    <w:rsid w:val="000A36DE"/>
    <w:rsid w:val="000A7657"/>
    <w:rsid w:val="000D6496"/>
    <w:rsid w:val="000E46DF"/>
    <w:rsid w:val="00103A31"/>
    <w:rsid w:val="0010422C"/>
    <w:rsid w:val="00127204"/>
    <w:rsid w:val="0015074B"/>
    <w:rsid w:val="00152531"/>
    <w:rsid w:val="00176222"/>
    <w:rsid w:val="00176D75"/>
    <w:rsid w:val="001957FF"/>
    <w:rsid w:val="00196BC6"/>
    <w:rsid w:val="001C0A69"/>
    <w:rsid w:val="001D3A65"/>
    <w:rsid w:val="00202CBB"/>
    <w:rsid w:val="00224A50"/>
    <w:rsid w:val="00246C07"/>
    <w:rsid w:val="00270687"/>
    <w:rsid w:val="00277300"/>
    <w:rsid w:val="00277F3D"/>
    <w:rsid w:val="00294BA1"/>
    <w:rsid w:val="0029639D"/>
    <w:rsid w:val="002A3FA8"/>
    <w:rsid w:val="002A5C33"/>
    <w:rsid w:val="002C2D4F"/>
    <w:rsid w:val="002C3F73"/>
    <w:rsid w:val="002F69B1"/>
    <w:rsid w:val="0030304F"/>
    <w:rsid w:val="00313585"/>
    <w:rsid w:val="00326F90"/>
    <w:rsid w:val="00331FC4"/>
    <w:rsid w:val="00343EE2"/>
    <w:rsid w:val="00350151"/>
    <w:rsid w:val="00351E5A"/>
    <w:rsid w:val="00361C1C"/>
    <w:rsid w:val="00381993"/>
    <w:rsid w:val="00393CA0"/>
    <w:rsid w:val="003944D5"/>
    <w:rsid w:val="003953E7"/>
    <w:rsid w:val="0039684B"/>
    <w:rsid w:val="003B107C"/>
    <w:rsid w:val="0042061A"/>
    <w:rsid w:val="00423961"/>
    <w:rsid w:val="00427C42"/>
    <w:rsid w:val="00431A1E"/>
    <w:rsid w:val="00434E33"/>
    <w:rsid w:val="00436F2A"/>
    <w:rsid w:val="00464F92"/>
    <w:rsid w:val="00467513"/>
    <w:rsid w:val="00492779"/>
    <w:rsid w:val="00493ACA"/>
    <w:rsid w:val="004A6735"/>
    <w:rsid w:val="004B5B4A"/>
    <w:rsid w:val="0051328E"/>
    <w:rsid w:val="005225C2"/>
    <w:rsid w:val="00522EF0"/>
    <w:rsid w:val="00561884"/>
    <w:rsid w:val="00564DFE"/>
    <w:rsid w:val="00581954"/>
    <w:rsid w:val="00584E24"/>
    <w:rsid w:val="005903B8"/>
    <w:rsid w:val="00592045"/>
    <w:rsid w:val="005951AF"/>
    <w:rsid w:val="005B752D"/>
    <w:rsid w:val="005E25F6"/>
    <w:rsid w:val="00613A2A"/>
    <w:rsid w:val="00614C13"/>
    <w:rsid w:val="00625FBF"/>
    <w:rsid w:val="0063365D"/>
    <w:rsid w:val="0064281F"/>
    <w:rsid w:val="00655C06"/>
    <w:rsid w:val="006668BA"/>
    <w:rsid w:val="00667913"/>
    <w:rsid w:val="0069756F"/>
    <w:rsid w:val="006A7AF3"/>
    <w:rsid w:val="006B3CFF"/>
    <w:rsid w:val="006E15A5"/>
    <w:rsid w:val="006E27D5"/>
    <w:rsid w:val="006E2F4A"/>
    <w:rsid w:val="0077026D"/>
    <w:rsid w:val="00781F81"/>
    <w:rsid w:val="007A1FA4"/>
    <w:rsid w:val="007A7000"/>
    <w:rsid w:val="007B5FA1"/>
    <w:rsid w:val="007C138B"/>
    <w:rsid w:val="007E0687"/>
    <w:rsid w:val="007E0ECD"/>
    <w:rsid w:val="007E68B9"/>
    <w:rsid w:val="007F0DD9"/>
    <w:rsid w:val="007F6E4F"/>
    <w:rsid w:val="00823E66"/>
    <w:rsid w:val="00825216"/>
    <w:rsid w:val="00852890"/>
    <w:rsid w:val="00871C70"/>
    <w:rsid w:val="008961E8"/>
    <w:rsid w:val="00897B82"/>
    <w:rsid w:val="008B414C"/>
    <w:rsid w:val="008C36B0"/>
    <w:rsid w:val="008C690C"/>
    <w:rsid w:val="008E0998"/>
    <w:rsid w:val="008E1376"/>
    <w:rsid w:val="008E532C"/>
    <w:rsid w:val="008F11DB"/>
    <w:rsid w:val="00902C47"/>
    <w:rsid w:val="00903A97"/>
    <w:rsid w:val="0091440B"/>
    <w:rsid w:val="00920ED4"/>
    <w:rsid w:val="00930D78"/>
    <w:rsid w:val="009349A1"/>
    <w:rsid w:val="009930DD"/>
    <w:rsid w:val="009939B1"/>
    <w:rsid w:val="009C0703"/>
    <w:rsid w:val="009C2E4A"/>
    <w:rsid w:val="00A00696"/>
    <w:rsid w:val="00A22907"/>
    <w:rsid w:val="00A233E8"/>
    <w:rsid w:val="00A32154"/>
    <w:rsid w:val="00A42D4A"/>
    <w:rsid w:val="00A43F60"/>
    <w:rsid w:val="00A548A8"/>
    <w:rsid w:val="00A57B34"/>
    <w:rsid w:val="00A76B59"/>
    <w:rsid w:val="00AA1D8D"/>
    <w:rsid w:val="00AC3AC2"/>
    <w:rsid w:val="00AC3D95"/>
    <w:rsid w:val="00AC4F90"/>
    <w:rsid w:val="00AD7E42"/>
    <w:rsid w:val="00AF4C36"/>
    <w:rsid w:val="00AF6575"/>
    <w:rsid w:val="00AF67AF"/>
    <w:rsid w:val="00B208A9"/>
    <w:rsid w:val="00B351C6"/>
    <w:rsid w:val="00B46381"/>
    <w:rsid w:val="00B47730"/>
    <w:rsid w:val="00B81325"/>
    <w:rsid w:val="00BD671A"/>
    <w:rsid w:val="00BF6F0F"/>
    <w:rsid w:val="00C0580C"/>
    <w:rsid w:val="00C157CC"/>
    <w:rsid w:val="00C17659"/>
    <w:rsid w:val="00C223AF"/>
    <w:rsid w:val="00C62637"/>
    <w:rsid w:val="00C62810"/>
    <w:rsid w:val="00C810EF"/>
    <w:rsid w:val="00C96C4D"/>
    <w:rsid w:val="00CB0664"/>
    <w:rsid w:val="00CB2C86"/>
    <w:rsid w:val="00CD342E"/>
    <w:rsid w:val="00CF2D70"/>
    <w:rsid w:val="00CF614D"/>
    <w:rsid w:val="00D055B8"/>
    <w:rsid w:val="00D15978"/>
    <w:rsid w:val="00D23B62"/>
    <w:rsid w:val="00D30FE6"/>
    <w:rsid w:val="00D33521"/>
    <w:rsid w:val="00D649B0"/>
    <w:rsid w:val="00D64AA2"/>
    <w:rsid w:val="00DB08C1"/>
    <w:rsid w:val="00DB4916"/>
    <w:rsid w:val="00DC3981"/>
    <w:rsid w:val="00DC6C5B"/>
    <w:rsid w:val="00DF7BBC"/>
    <w:rsid w:val="00E01AED"/>
    <w:rsid w:val="00E17544"/>
    <w:rsid w:val="00E85439"/>
    <w:rsid w:val="00EA3B1F"/>
    <w:rsid w:val="00EB2CB0"/>
    <w:rsid w:val="00EC09CF"/>
    <w:rsid w:val="00EE2323"/>
    <w:rsid w:val="00EE2C78"/>
    <w:rsid w:val="00EF03B5"/>
    <w:rsid w:val="00F01981"/>
    <w:rsid w:val="00F1758F"/>
    <w:rsid w:val="00F23B0D"/>
    <w:rsid w:val="00F255E5"/>
    <w:rsid w:val="00F30D8F"/>
    <w:rsid w:val="00F700C4"/>
    <w:rsid w:val="00F71E37"/>
    <w:rsid w:val="00F74748"/>
    <w:rsid w:val="00F828B3"/>
    <w:rsid w:val="00F85073"/>
    <w:rsid w:val="00F860CD"/>
    <w:rsid w:val="00F87266"/>
    <w:rsid w:val="00F90BE6"/>
    <w:rsid w:val="00F94823"/>
    <w:rsid w:val="00FC693F"/>
    <w:rsid w:val="00FD3F31"/>
    <w:rsid w:val="00FD6FC5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188</cp:revision>
  <dcterms:created xsi:type="dcterms:W3CDTF">2013-12-23T23:15:00Z</dcterms:created>
  <dcterms:modified xsi:type="dcterms:W3CDTF">2024-11-15T15:13:00Z</dcterms:modified>
  <cp:category/>
</cp:coreProperties>
</file>