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B3D92" w14:textId="2428EBCB" w:rsidR="000D2FF7" w:rsidRDefault="00545ADE" w:rsidP="00545ADE">
      <w:pPr>
        <w:pStyle w:val="Title"/>
      </w:pPr>
      <w:r>
        <w:t>Monolithic vs Microservices</w:t>
      </w:r>
    </w:p>
    <w:p w14:paraId="50EA89FC" w14:textId="376CB484" w:rsidR="00F70BF8" w:rsidRDefault="00F70BF8" w:rsidP="00F70BF8">
      <w:pPr>
        <w:pStyle w:val="NoSpacing"/>
      </w:pPr>
      <w:r>
        <w:t>Key sentences from the intro:</w:t>
      </w:r>
    </w:p>
    <w:p w14:paraId="6055F861" w14:textId="074F1026" w:rsidR="00C81318" w:rsidRDefault="00C81318" w:rsidP="00C81318">
      <w:pPr>
        <w:pStyle w:val="NoSpacing"/>
        <w:numPr>
          <w:ilvl w:val="0"/>
          <w:numId w:val="39"/>
        </w:numPr>
      </w:pPr>
      <w:r>
        <w:t>The book talks about a</w:t>
      </w:r>
      <w:r w:rsidR="00B25689">
        <w:t xml:space="preserve"> fictional?</w:t>
      </w:r>
      <w:r>
        <w:t xml:space="preserve"> app called Food-</w:t>
      </w:r>
      <w:r w:rsidR="00B25689">
        <w:t>t</w:t>
      </w:r>
      <w:r>
        <w:t>o-Go</w:t>
      </w:r>
      <w:r w:rsidR="00B25689">
        <w:t xml:space="preserve"> (FTGO)</w:t>
      </w:r>
      <w:r>
        <w:t xml:space="preserve"> and tells a quick story about the problems they were facing</w:t>
      </w:r>
    </w:p>
    <w:p w14:paraId="01C3963B" w14:textId="45DB14EB" w:rsidR="00F70BF8" w:rsidRDefault="00F70BF8" w:rsidP="00F70BF8">
      <w:pPr>
        <w:pStyle w:val="ListParagraph"/>
        <w:numPr>
          <w:ilvl w:val="0"/>
          <w:numId w:val="39"/>
        </w:numPr>
        <w:autoSpaceDE w:val="0"/>
        <w:autoSpaceDN w:val="0"/>
        <w:adjustRightInd w:val="0"/>
        <w:spacing w:after="0"/>
        <w:rPr>
          <w:rFonts w:ascii="NewBaskerville-Roman" w:hAnsi="NewBaskerville-Roman" w:cs="NewBaskerville-Roman"/>
          <w:color w:val="262626"/>
          <w:sz w:val="20"/>
          <w:szCs w:val="20"/>
        </w:rPr>
      </w:pPr>
      <w:r w:rsidRPr="00F70BF8">
        <w:rPr>
          <w:rFonts w:ascii="NewBaskerville-Roman" w:hAnsi="NewBaskerville-Roman" w:cs="NewBaskerville-Roman"/>
          <w:color w:val="262626"/>
          <w:sz w:val="20"/>
          <w:szCs w:val="20"/>
        </w:rPr>
        <w:t>They had spent two hours discussing why the development team was going to miss another critical release date</w:t>
      </w:r>
    </w:p>
    <w:p w14:paraId="00BE6001" w14:textId="371D6861" w:rsidR="00F70BF8" w:rsidRPr="00FB1A2F" w:rsidRDefault="00FB1A2F" w:rsidP="00FB1A2F">
      <w:pPr>
        <w:pStyle w:val="ListParagraph"/>
        <w:numPr>
          <w:ilvl w:val="0"/>
          <w:numId w:val="39"/>
        </w:numPr>
        <w:autoSpaceDE w:val="0"/>
        <w:autoSpaceDN w:val="0"/>
        <w:adjustRightInd w:val="0"/>
        <w:spacing w:after="0"/>
        <w:rPr>
          <w:rFonts w:ascii="NewBaskerville-Roman" w:hAnsi="NewBaskerville-Roman" w:cs="NewBaskerville-Roman"/>
          <w:color w:val="262626"/>
          <w:sz w:val="20"/>
          <w:szCs w:val="20"/>
        </w:rPr>
      </w:pPr>
      <w:r w:rsidRPr="00FB1A2F">
        <w:rPr>
          <w:rFonts w:ascii="NewBaskerville-Roman" w:hAnsi="NewBaskerville-Roman" w:cs="NewBaskerville-Roman"/>
          <w:color w:val="262626"/>
          <w:sz w:val="20"/>
          <w:szCs w:val="20"/>
        </w:rPr>
        <w:t>Despite adopting agile, the pace of development</w:t>
      </w:r>
      <w:r>
        <w:rPr>
          <w:rFonts w:ascii="NewBaskerville-Roman" w:hAnsi="NewBaskerville-Roman" w:cs="NewBaskerville-Roman"/>
          <w:color w:val="262626"/>
          <w:sz w:val="20"/>
          <w:szCs w:val="20"/>
        </w:rPr>
        <w:t xml:space="preserve"> </w:t>
      </w:r>
      <w:r w:rsidRPr="00FB1A2F">
        <w:rPr>
          <w:rFonts w:ascii="NewBaskerville-Roman" w:hAnsi="NewBaskerville-Roman" w:cs="NewBaskerville-Roman"/>
          <w:color w:val="262626"/>
          <w:sz w:val="20"/>
          <w:szCs w:val="20"/>
        </w:rPr>
        <w:t>was slowing down</w:t>
      </w:r>
    </w:p>
    <w:p w14:paraId="67D7AD76" w14:textId="4A7F5A61" w:rsidR="00F70BF8" w:rsidRDefault="00935160" w:rsidP="001D320B">
      <w:pPr>
        <w:pStyle w:val="ListParagraph"/>
        <w:numPr>
          <w:ilvl w:val="0"/>
          <w:numId w:val="39"/>
        </w:num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They were learning about the </w:t>
      </w:r>
      <w:r w:rsidR="001D320B" w:rsidRPr="001D320B">
        <w:rPr>
          <w:rFonts w:ascii="NewBaskerville-Roman" w:hAnsi="NewBaskerville-Roman" w:cs="NewBaskerville-Roman"/>
          <w:color w:val="262626"/>
          <w:sz w:val="20"/>
          <w:szCs w:val="20"/>
        </w:rPr>
        <w:t>latest software development techniques, including continuous</w:t>
      </w:r>
      <w:r w:rsidR="001D320B">
        <w:rPr>
          <w:rFonts w:ascii="NewBaskerville-Roman" w:hAnsi="NewBaskerville-Roman" w:cs="NewBaskerville-Roman"/>
          <w:color w:val="262626"/>
          <w:sz w:val="20"/>
          <w:szCs w:val="20"/>
        </w:rPr>
        <w:t xml:space="preserve"> </w:t>
      </w:r>
      <w:r w:rsidR="001D320B" w:rsidRPr="001D320B">
        <w:rPr>
          <w:rFonts w:ascii="NewBaskerville-Roman" w:hAnsi="NewBaskerville-Roman" w:cs="NewBaskerville-Roman"/>
          <w:color w:val="262626"/>
          <w:sz w:val="20"/>
          <w:szCs w:val="20"/>
        </w:rPr>
        <w:t>deployment and the microservice architecture</w:t>
      </w:r>
    </w:p>
    <w:p w14:paraId="12BB05B8" w14:textId="4A70EB48" w:rsidR="00B754C5" w:rsidRDefault="00B754C5" w:rsidP="00B754C5">
      <w:pPr>
        <w:pStyle w:val="ListParagraph"/>
        <w:numPr>
          <w:ilvl w:val="0"/>
          <w:numId w:val="39"/>
        </w:num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realized that they were</w:t>
      </w:r>
      <w:r w:rsidRPr="00B754C5">
        <w:rPr>
          <w:rFonts w:ascii="NewBaskerville-Roman" w:hAnsi="NewBaskerville-Roman" w:cs="NewBaskerville-Roman"/>
          <w:color w:val="262626"/>
          <w:sz w:val="20"/>
          <w:szCs w:val="20"/>
        </w:rPr>
        <w:t xml:space="preserve"> suffering from a case of</w:t>
      </w:r>
      <w:r>
        <w:rPr>
          <w:rFonts w:ascii="NewBaskerville-Roman" w:hAnsi="NewBaskerville-Roman" w:cs="NewBaskerville-Roman"/>
          <w:color w:val="262626"/>
          <w:sz w:val="20"/>
          <w:szCs w:val="20"/>
        </w:rPr>
        <w:t xml:space="preserve"> </w:t>
      </w:r>
      <w:r w:rsidRPr="00B754C5">
        <w:rPr>
          <w:rFonts w:ascii="NewBaskerville-Italic" w:hAnsi="NewBaskerville-Italic" w:cs="NewBaskerville-Italic"/>
          <w:i/>
          <w:iCs/>
          <w:color w:val="262626"/>
          <w:sz w:val="20"/>
          <w:szCs w:val="20"/>
        </w:rPr>
        <w:t xml:space="preserve">monolithic hell </w:t>
      </w:r>
      <w:r w:rsidRPr="00B754C5">
        <w:rPr>
          <w:rFonts w:ascii="NewBaskerville-Roman" w:hAnsi="NewBaskerville-Roman" w:cs="NewBaskerville-Roman"/>
          <w:color w:val="262626"/>
          <w:sz w:val="20"/>
          <w:szCs w:val="20"/>
        </w:rPr>
        <w:t>and that the cure was to adopt the microservice architectur</w:t>
      </w:r>
      <w:r w:rsidR="00C32479">
        <w:rPr>
          <w:rFonts w:ascii="NewBaskerville-Roman" w:hAnsi="NewBaskerville-Roman" w:cs="NewBaskerville-Roman"/>
          <w:color w:val="262626"/>
          <w:sz w:val="20"/>
          <w:szCs w:val="20"/>
        </w:rPr>
        <w:t>e</w:t>
      </w:r>
    </w:p>
    <w:p w14:paraId="68FF1859" w14:textId="0A858147" w:rsidR="00C32479" w:rsidRDefault="00C32479" w:rsidP="00C32479">
      <w:pPr>
        <w:pStyle w:val="ListParagraph"/>
        <w:numPr>
          <w:ilvl w:val="0"/>
          <w:numId w:val="39"/>
        </w:numPr>
        <w:autoSpaceDE w:val="0"/>
        <w:autoSpaceDN w:val="0"/>
        <w:adjustRightInd w:val="0"/>
        <w:spacing w:after="0"/>
        <w:rPr>
          <w:rFonts w:ascii="NewBaskerville-Roman" w:hAnsi="NewBaskerville-Roman" w:cs="NewBaskerville-Roman"/>
          <w:color w:val="262626"/>
          <w:sz w:val="20"/>
          <w:szCs w:val="20"/>
        </w:rPr>
      </w:pPr>
      <w:r w:rsidRPr="00C32479">
        <w:rPr>
          <w:rFonts w:ascii="NewBaskerville-Roman" w:hAnsi="NewBaskerville-Roman" w:cs="NewBaskerville-Roman"/>
          <w:color w:val="262626"/>
          <w:sz w:val="20"/>
          <w:szCs w:val="20"/>
        </w:rPr>
        <w:t>But the</w:t>
      </w:r>
      <w:r>
        <w:rPr>
          <w:rFonts w:ascii="NewBaskerville-Roman" w:hAnsi="NewBaskerville-Roman" w:cs="NewBaskerville-Roman"/>
          <w:color w:val="262626"/>
          <w:sz w:val="20"/>
          <w:szCs w:val="20"/>
        </w:rPr>
        <w:t xml:space="preserve"> </w:t>
      </w:r>
      <w:r w:rsidRPr="00C32479">
        <w:rPr>
          <w:rFonts w:ascii="NewBaskerville-Roman" w:hAnsi="NewBaskerville-Roman" w:cs="NewBaskerville-Roman"/>
          <w:color w:val="262626"/>
          <w:sz w:val="20"/>
          <w:szCs w:val="20"/>
        </w:rPr>
        <w:t>microservice architecture and the associated state-of-the-art software development</w:t>
      </w:r>
      <w:r>
        <w:rPr>
          <w:rFonts w:ascii="NewBaskerville-Roman" w:hAnsi="NewBaskerville-Roman" w:cs="NewBaskerville-Roman"/>
          <w:color w:val="262626"/>
          <w:sz w:val="20"/>
          <w:szCs w:val="20"/>
        </w:rPr>
        <w:t xml:space="preserve"> </w:t>
      </w:r>
      <w:r w:rsidRPr="00C32479">
        <w:rPr>
          <w:rFonts w:ascii="NewBaskerville-Roman" w:hAnsi="NewBaskerville-Roman" w:cs="NewBaskerville-Roman"/>
          <w:color w:val="262626"/>
          <w:sz w:val="20"/>
          <w:szCs w:val="20"/>
        </w:rPr>
        <w:t>practices felt like an elusive dream.</w:t>
      </w:r>
    </w:p>
    <w:p w14:paraId="3EBD35C5" w14:textId="72F4E616" w:rsidR="00936E5F" w:rsidRDefault="00936E5F" w:rsidP="00936E5F">
      <w:pPr>
        <w:pStyle w:val="Heading1"/>
      </w:pPr>
      <w:r>
        <w:t>The Slow March towards Monolithic hell</w:t>
      </w:r>
    </w:p>
    <w:p w14:paraId="382BE00A" w14:textId="44649E18" w:rsidR="00D26015" w:rsidRDefault="00B25689" w:rsidP="009952D0">
      <w:pPr>
        <w:pStyle w:val="ListParagraph"/>
        <w:numPr>
          <w:ilvl w:val="0"/>
          <w:numId w:val="40"/>
        </w:numPr>
        <w:autoSpaceDE w:val="0"/>
        <w:autoSpaceDN w:val="0"/>
        <w:adjustRightInd w:val="0"/>
        <w:spacing w:after="0"/>
        <w:rPr>
          <w:rFonts w:ascii="NewBaskerville-Roman" w:hAnsi="NewBaskerville-Roman" w:cs="NewBaskerville-Roman"/>
          <w:color w:val="262626"/>
          <w:sz w:val="20"/>
          <w:szCs w:val="20"/>
        </w:rPr>
      </w:pPr>
      <w:r w:rsidRPr="009952D0">
        <w:rPr>
          <w:rFonts w:ascii="NewBaskerville-Roman" w:hAnsi="NewBaskerville-Roman" w:cs="NewBaskerville-Roman"/>
          <w:color w:val="262626"/>
          <w:sz w:val="20"/>
          <w:szCs w:val="20"/>
        </w:rPr>
        <w:t>At its core, the FTGO application is quite simple. Consumers use the FTGO website or mobile</w:t>
      </w:r>
      <w:r w:rsidR="00CE0CDF" w:rsidRPr="009952D0">
        <w:rPr>
          <w:rFonts w:ascii="NewBaskerville-Roman" w:hAnsi="NewBaskerville-Roman" w:cs="NewBaskerville-Roman"/>
          <w:color w:val="262626"/>
          <w:sz w:val="20"/>
          <w:szCs w:val="20"/>
        </w:rPr>
        <w:t xml:space="preserve"> </w:t>
      </w:r>
      <w:r w:rsidRPr="009952D0">
        <w:rPr>
          <w:rFonts w:ascii="NewBaskerville-Roman" w:hAnsi="NewBaskerville-Roman" w:cs="NewBaskerville-Roman"/>
          <w:color w:val="262626"/>
          <w:sz w:val="20"/>
          <w:szCs w:val="20"/>
        </w:rPr>
        <w:t xml:space="preserve">application </w:t>
      </w:r>
      <w:r w:rsidRPr="009952D0">
        <w:rPr>
          <w:rFonts w:ascii="NewBaskerville-Roman" w:hAnsi="NewBaskerville-Roman" w:cs="NewBaskerville-Roman"/>
          <w:b/>
          <w:bCs/>
          <w:color w:val="262626"/>
          <w:sz w:val="20"/>
          <w:szCs w:val="20"/>
        </w:rPr>
        <w:t>to place food orders at local restaurants</w:t>
      </w:r>
      <w:r w:rsidRPr="009952D0">
        <w:rPr>
          <w:rFonts w:ascii="NewBaskerville-Roman" w:hAnsi="NewBaskerville-Roman" w:cs="NewBaskerville-Roman"/>
          <w:color w:val="262626"/>
          <w:sz w:val="20"/>
          <w:szCs w:val="20"/>
        </w:rPr>
        <w:t xml:space="preserve">. FTGO </w:t>
      </w:r>
      <w:r w:rsidRPr="009952D0">
        <w:rPr>
          <w:rFonts w:ascii="NewBaskerville-Roman" w:hAnsi="NewBaskerville-Roman" w:cs="NewBaskerville-Roman"/>
          <w:b/>
          <w:bCs/>
          <w:color w:val="262626"/>
          <w:sz w:val="20"/>
          <w:szCs w:val="20"/>
        </w:rPr>
        <w:t>coordinates</w:t>
      </w:r>
      <w:r w:rsidR="00CE0CDF" w:rsidRPr="009952D0">
        <w:rPr>
          <w:rFonts w:ascii="NewBaskerville-Roman" w:hAnsi="NewBaskerville-Roman" w:cs="NewBaskerville-Roman"/>
          <w:b/>
          <w:bCs/>
          <w:color w:val="262626"/>
          <w:sz w:val="20"/>
          <w:szCs w:val="20"/>
        </w:rPr>
        <w:t xml:space="preserve"> </w:t>
      </w:r>
      <w:r w:rsidRPr="009952D0">
        <w:rPr>
          <w:rFonts w:ascii="NewBaskerville-Roman" w:hAnsi="NewBaskerville-Roman" w:cs="NewBaskerville-Roman"/>
          <w:b/>
          <w:bCs/>
          <w:color w:val="262626"/>
          <w:sz w:val="20"/>
          <w:szCs w:val="20"/>
        </w:rPr>
        <w:t>a network of couriers who deliver the orders</w:t>
      </w:r>
      <w:r w:rsidRPr="009952D0">
        <w:rPr>
          <w:rFonts w:ascii="NewBaskerville-Roman" w:hAnsi="NewBaskerville-Roman" w:cs="NewBaskerville-Roman"/>
          <w:color w:val="262626"/>
          <w:sz w:val="20"/>
          <w:szCs w:val="20"/>
        </w:rPr>
        <w:t xml:space="preserve">. It’s also responsible for </w:t>
      </w:r>
      <w:r w:rsidRPr="009952D0">
        <w:rPr>
          <w:rFonts w:ascii="NewBaskerville-Roman" w:hAnsi="NewBaskerville-Roman" w:cs="NewBaskerville-Roman"/>
          <w:b/>
          <w:bCs/>
          <w:color w:val="262626"/>
          <w:sz w:val="20"/>
          <w:szCs w:val="20"/>
        </w:rPr>
        <w:t>paying couriers</w:t>
      </w:r>
      <w:r w:rsidR="00CE0CDF" w:rsidRPr="009952D0">
        <w:rPr>
          <w:rFonts w:ascii="NewBaskerville-Roman" w:hAnsi="NewBaskerville-Roman" w:cs="NewBaskerville-Roman"/>
          <w:b/>
          <w:bCs/>
          <w:color w:val="262626"/>
          <w:sz w:val="20"/>
          <w:szCs w:val="20"/>
        </w:rPr>
        <w:t xml:space="preserve"> </w:t>
      </w:r>
      <w:r w:rsidRPr="009952D0">
        <w:rPr>
          <w:rFonts w:ascii="NewBaskerville-Roman" w:hAnsi="NewBaskerville-Roman" w:cs="NewBaskerville-Roman"/>
          <w:b/>
          <w:bCs/>
          <w:color w:val="262626"/>
          <w:sz w:val="20"/>
          <w:szCs w:val="20"/>
        </w:rPr>
        <w:t>and restaurants</w:t>
      </w:r>
      <w:r w:rsidRPr="009952D0">
        <w:rPr>
          <w:rFonts w:ascii="NewBaskerville-Roman" w:hAnsi="NewBaskerville-Roman" w:cs="NewBaskerville-Roman"/>
          <w:color w:val="262626"/>
          <w:sz w:val="20"/>
          <w:szCs w:val="20"/>
        </w:rPr>
        <w:t xml:space="preserve">. </w:t>
      </w:r>
      <w:r w:rsidRPr="009952D0">
        <w:rPr>
          <w:rFonts w:ascii="NewBaskerville-Roman" w:hAnsi="NewBaskerville-Roman" w:cs="NewBaskerville-Roman"/>
          <w:b/>
          <w:bCs/>
          <w:color w:val="262626"/>
          <w:sz w:val="20"/>
          <w:szCs w:val="20"/>
        </w:rPr>
        <w:t>Restaurants</w:t>
      </w:r>
      <w:r w:rsidRPr="009952D0">
        <w:rPr>
          <w:rFonts w:ascii="NewBaskerville-Roman" w:hAnsi="NewBaskerville-Roman" w:cs="NewBaskerville-Roman"/>
          <w:color w:val="262626"/>
          <w:sz w:val="20"/>
          <w:szCs w:val="20"/>
        </w:rPr>
        <w:t xml:space="preserve"> use the FTGO website to </w:t>
      </w:r>
      <w:r w:rsidRPr="009952D0">
        <w:rPr>
          <w:rFonts w:ascii="NewBaskerville-Roman" w:hAnsi="NewBaskerville-Roman" w:cs="NewBaskerville-Roman"/>
          <w:b/>
          <w:bCs/>
          <w:color w:val="262626"/>
          <w:sz w:val="20"/>
          <w:szCs w:val="20"/>
        </w:rPr>
        <w:t>edit their menus and manage</w:t>
      </w:r>
      <w:r w:rsidR="00CE0CDF" w:rsidRPr="009952D0">
        <w:rPr>
          <w:rFonts w:ascii="NewBaskerville-Roman" w:hAnsi="NewBaskerville-Roman" w:cs="NewBaskerville-Roman"/>
          <w:b/>
          <w:bCs/>
          <w:color w:val="262626"/>
          <w:sz w:val="20"/>
          <w:szCs w:val="20"/>
        </w:rPr>
        <w:t xml:space="preserve"> </w:t>
      </w:r>
      <w:r w:rsidRPr="009952D0">
        <w:rPr>
          <w:rFonts w:ascii="NewBaskerville-Roman" w:hAnsi="NewBaskerville-Roman" w:cs="NewBaskerville-Roman"/>
          <w:b/>
          <w:bCs/>
          <w:color w:val="262626"/>
          <w:sz w:val="20"/>
          <w:szCs w:val="20"/>
        </w:rPr>
        <w:t>orders</w:t>
      </w:r>
      <w:r w:rsidRPr="009952D0">
        <w:rPr>
          <w:rFonts w:ascii="NewBaskerville-Roman" w:hAnsi="NewBaskerville-Roman" w:cs="NewBaskerville-Roman"/>
          <w:color w:val="262626"/>
          <w:sz w:val="20"/>
          <w:szCs w:val="20"/>
        </w:rPr>
        <w:t>. The application uses various web services, including Stripe for payments,</w:t>
      </w:r>
      <w:r w:rsidR="00CE0CDF" w:rsidRPr="009952D0">
        <w:rPr>
          <w:rFonts w:ascii="NewBaskerville-Roman" w:hAnsi="NewBaskerville-Roman" w:cs="NewBaskerville-Roman"/>
          <w:color w:val="262626"/>
          <w:sz w:val="20"/>
          <w:szCs w:val="20"/>
        </w:rPr>
        <w:t xml:space="preserve"> </w:t>
      </w:r>
      <w:r w:rsidRPr="009952D0">
        <w:rPr>
          <w:rFonts w:ascii="NewBaskerville-Roman" w:hAnsi="NewBaskerville-Roman" w:cs="NewBaskerville-Roman"/>
          <w:color w:val="262626"/>
          <w:sz w:val="20"/>
          <w:szCs w:val="20"/>
        </w:rPr>
        <w:t>Twilio for messaging, and Amazon Simple Email Service (SES) for email.</w:t>
      </w:r>
    </w:p>
    <w:p w14:paraId="6311E90A" w14:textId="46062267" w:rsidR="009952D0" w:rsidRDefault="009952D0" w:rsidP="009952D0">
      <w:pPr>
        <w:pStyle w:val="ListParagraph"/>
        <w:numPr>
          <w:ilvl w:val="0"/>
          <w:numId w:val="40"/>
        </w:numPr>
        <w:autoSpaceDE w:val="0"/>
        <w:autoSpaceDN w:val="0"/>
        <w:adjustRightInd w:val="0"/>
        <w:spacing w:after="0"/>
        <w:rPr>
          <w:rFonts w:ascii="NewBaskerville-Roman" w:hAnsi="NewBaskerville-Roman" w:cs="NewBaskerville-Roman"/>
          <w:color w:val="262626"/>
          <w:sz w:val="20"/>
          <w:szCs w:val="20"/>
        </w:rPr>
      </w:pPr>
      <w:r w:rsidRPr="009952D0">
        <w:rPr>
          <w:rFonts w:ascii="NewBaskerville-Roman" w:hAnsi="NewBaskerville-Roman" w:cs="NewBaskerville-Roman"/>
          <w:b/>
          <w:bCs/>
          <w:color w:val="262626"/>
          <w:sz w:val="20"/>
          <w:szCs w:val="20"/>
        </w:rPr>
        <w:t>Like</w:t>
      </w:r>
      <w:r w:rsidRPr="009952D0">
        <w:rPr>
          <w:rFonts w:ascii="NewBaskerville-Roman" w:hAnsi="NewBaskerville-Roman" w:cs="NewBaskerville-Roman"/>
          <w:color w:val="262626"/>
          <w:sz w:val="20"/>
          <w:szCs w:val="20"/>
        </w:rPr>
        <w:t xml:space="preserve"> </w:t>
      </w:r>
      <w:r w:rsidRPr="009952D0">
        <w:rPr>
          <w:rFonts w:ascii="NewBaskerville-Roman" w:hAnsi="NewBaskerville-Roman" w:cs="NewBaskerville-Roman"/>
          <w:b/>
          <w:bCs/>
          <w:color w:val="262626"/>
          <w:sz w:val="20"/>
          <w:szCs w:val="20"/>
        </w:rPr>
        <w:t>many</w:t>
      </w:r>
      <w:r w:rsidRPr="009952D0">
        <w:rPr>
          <w:rFonts w:ascii="NewBaskerville-Roman" w:hAnsi="NewBaskerville-Roman" w:cs="NewBaskerville-Roman"/>
          <w:color w:val="262626"/>
          <w:sz w:val="20"/>
          <w:szCs w:val="20"/>
        </w:rPr>
        <w:t xml:space="preserve"> other </w:t>
      </w:r>
      <w:r w:rsidRPr="009952D0">
        <w:rPr>
          <w:rFonts w:ascii="NewBaskerville-Roman" w:hAnsi="NewBaskerville-Roman" w:cs="NewBaskerville-Roman"/>
          <w:b/>
          <w:bCs/>
          <w:color w:val="262626"/>
          <w:sz w:val="20"/>
          <w:szCs w:val="20"/>
        </w:rPr>
        <w:t>aging</w:t>
      </w:r>
      <w:r w:rsidRPr="009952D0">
        <w:rPr>
          <w:rFonts w:ascii="NewBaskerville-Roman" w:hAnsi="NewBaskerville-Roman" w:cs="NewBaskerville-Roman"/>
          <w:color w:val="262626"/>
          <w:sz w:val="20"/>
          <w:szCs w:val="20"/>
        </w:rPr>
        <w:t xml:space="preserve"> enterprise applications, the FTGO </w:t>
      </w:r>
      <w:r w:rsidRPr="009952D0">
        <w:rPr>
          <w:rFonts w:ascii="NewBaskerville-Roman" w:hAnsi="NewBaskerville-Roman" w:cs="NewBaskerville-Roman"/>
          <w:b/>
          <w:bCs/>
          <w:color w:val="262626"/>
          <w:sz w:val="20"/>
          <w:szCs w:val="20"/>
        </w:rPr>
        <w:t>application</w:t>
      </w:r>
      <w:r w:rsidRPr="009952D0">
        <w:rPr>
          <w:rFonts w:ascii="NewBaskerville-Roman" w:hAnsi="NewBaskerville-Roman" w:cs="NewBaskerville-Roman"/>
          <w:color w:val="262626"/>
          <w:sz w:val="20"/>
          <w:szCs w:val="20"/>
        </w:rPr>
        <w:t xml:space="preserve"> </w:t>
      </w:r>
      <w:r w:rsidRPr="009952D0">
        <w:rPr>
          <w:rFonts w:ascii="NewBaskerville-Roman" w:hAnsi="NewBaskerville-Roman" w:cs="NewBaskerville-Roman"/>
          <w:b/>
          <w:bCs/>
          <w:color w:val="262626"/>
          <w:sz w:val="20"/>
          <w:szCs w:val="20"/>
        </w:rPr>
        <w:t>is a monolith</w:t>
      </w:r>
      <w:r w:rsidRPr="009952D0">
        <w:rPr>
          <w:rFonts w:ascii="NewBaskerville-Roman" w:hAnsi="NewBaskerville-Roman" w:cs="NewBaskerville-Roman"/>
          <w:color w:val="262626"/>
          <w:sz w:val="20"/>
          <w:szCs w:val="20"/>
        </w:rPr>
        <w:t>,</w:t>
      </w:r>
      <w:r>
        <w:rPr>
          <w:rFonts w:ascii="NewBaskerville-Roman" w:hAnsi="NewBaskerville-Roman" w:cs="NewBaskerville-Roman"/>
          <w:color w:val="262626"/>
          <w:sz w:val="20"/>
          <w:szCs w:val="20"/>
        </w:rPr>
        <w:t xml:space="preserve"> </w:t>
      </w:r>
      <w:r w:rsidRPr="009952D0">
        <w:rPr>
          <w:rFonts w:ascii="NewBaskerville-Roman" w:hAnsi="NewBaskerville-Roman" w:cs="NewBaskerville-Roman"/>
          <w:color w:val="262626"/>
          <w:sz w:val="20"/>
          <w:szCs w:val="20"/>
        </w:rPr>
        <w:t>consisting of a single Java Web Application Archive (WAR) file</w:t>
      </w:r>
      <w:r>
        <w:rPr>
          <w:rFonts w:ascii="NewBaskerville-Roman" w:hAnsi="NewBaskerville-Roman" w:cs="NewBaskerville-Roman"/>
          <w:color w:val="262626"/>
          <w:sz w:val="20"/>
          <w:szCs w:val="20"/>
        </w:rPr>
        <w:t>.</w:t>
      </w:r>
    </w:p>
    <w:p w14:paraId="455737CC" w14:textId="30B40E92" w:rsidR="0049077A" w:rsidRPr="002F2839" w:rsidRDefault="00F71DA6" w:rsidP="002F2839">
      <w:pPr>
        <w:pStyle w:val="ListParagraph"/>
        <w:numPr>
          <w:ilvl w:val="0"/>
          <w:numId w:val="40"/>
        </w:numPr>
        <w:autoSpaceDE w:val="0"/>
        <w:autoSpaceDN w:val="0"/>
        <w:adjustRightInd w:val="0"/>
        <w:spacing w:after="0"/>
        <w:rPr>
          <w:rFonts w:ascii="NewBaskerville-Roman" w:hAnsi="NewBaskerville-Roman" w:cs="NewBaskerville-Roman"/>
          <w:color w:val="262626"/>
          <w:sz w:val="20"/>
          <w:szCs w:val="20"/>
        </w:rPr>
      </w:pPr>
      <w:r w:rsidRPr="00F71DA6">
        <w:rPr>
          <w:rFonts w:ascii="NewBaskerville-Roman" w:hAnsi="NewBaskerville-Roman" w:cs="NewBaskerville-Roman"/>
          <w:color w:val="262626"/>
          <w:sz w:val="20"/>
          <w:szCs w:val="20"/>
        </w:rPr>
        <w:t>it’s become an example of the Big Ball of Mud pattern: a “haphazardly structured, sprawling, sloppy, duct-tape and bailing wire, spaghetti code jungle.”</w:t>
      </w:r>
    </w:p>
    <w:p w14:paraId="4B69B8E1" w14:textId="1E58E3D2" w:rsidR="0049077A" w:rsidRDefault="004F121A" w:rsidP="009233BC">
      <w:pPr>
        <w:pStyle w:val="ListParagraph"/>
        <w:numPr>
          <w:ilvl w:val="0"/>
          <w:numId w:val="40"/>
        </w:numPr>
        <w:autoSpaceDE w:val="0"/>
        <w:autoSpaceDN w:val="0"/>
        <w:adjustRightInd w:val="0"/>
        <w:spacing w:after="0"/>
        <w:rPr>
          <w:rFonts w:ascii="NewBaskerville-Roman" w:hAnsi="NewBaskerville-Roman" w:cs="NewBaskerville-Roman"/>
          <w:color w:val="262626"/>
          <w:sz w:val="20"/>
          <w:szCs w:val="20"/>
        </w:rPr>
      </w:pPr>
      <w:r w:rsidRPr="009233BC">
        <w:rPr>
          <w:rFonts w:ascii="NewBaskerville-Roman" w:hAnsi="NewBaskerville-Roman" w:cs="NewBaskerville-Roman"/>
          <w:color w:val="262626"/>
          <w:sz w:val="20"/>
          <w:szCs w:val="20"/>
        </w:rPr>
        <w:t>To make matters worse, the FTGO application has been written using some increasingly obsolete frameworks. The FTGO application is exhibiting all the symptoms of monolithic hell.</w:t>
      </w:r>
    </w:p>
    <w:p w14:paraId="757F15B6" w14:textId="77777777" w:rsidR="00412601" w:rsidRDefault="00412601" w:rsidP="00412601">
      <w:pPr>
        <w:autoSpaceDE w:val="0"/>
        <w:autoSpaceDN w:val="0"/>
        <w:adjustRightInd w:val="0"/>
        <w:spacing w:after="0"/>
        <w:ind w:left="360"/>
        <w:rPr>
          <w:rFonts w:ascii="NewBaskerville-Roman" w:hAnsi="NewBaskerville-Roman" w:cs="NewBaskerville-Roman"/>
          <w:color w:val="262626"/>
          <w:sz w:val="20"/>
          <w:szCs w:val="20"/>
        </w:rPr>
      </w:pPr>
    </w:p>
    <w:p w14:paraId="5328C1B6" w14:textId="0E3AF790" w:rsidR="00412601" w:rsidRDefault="00412601" w:rsidP="00412601">
      <w:pPr>
        <w:autoSpaceDE w:val="0"/>
        <w:autoSpaceDN w:val="0"/>
        <w:adjustRightInd w:val="0"/>
        <w:spacing w:after="0"/>
        <w:ind w:left="360"/>
        <w:rPr>
          <w:rFonts w:ascii="NewBaskerville-Roman" w:hAnsi="NewBaskerville-Roman" w:cs="NewBaskerville-Roman"/>
          <w:color w:val="262626"/>
          <w:sz w:val="20"/>
          <w:szCs w:val="20"/>
        </w:rPr>
      </w:pPr>
      <w:r w:rsidRPr="00412601">
        <w:rPr>
          <w:rFonts w:ascii="NewBaskerville-Roman" w:hAnsi="NewBaskerville-Roman" w:cs="NewBaskerville-Roman"/>
          <w:color w:val="262626"/>
          <w:sz w:val="20"/>
          <w:szCs w:val="20"/>
        </w:rPr>
        <w:t>The next section describes the architecture of the FTGO application. Then it</w:t>
      </w:r>
      <w:r>
        <w:rPr>
          <w:rFonts w:ascii="NewBaskerville-Roman" w:hAnsi="NewBaskerville-Roman" w:cs="NewBaskerville-Roman"/>
          <w:color w:val="262626"/>
          <w:sz w:val="20"/>
          <w:szCs w:val="20"/>
        </w:rPr>
        <w:t xml:space="preserve"> </w:t>
      </w:r>
      <w:r w:rsidRPr="00412601">
        <w:rPr>
          <w:rFonts w:ascii="NewBaskerville-Roman" w:hAnsi="NewBaskerville-Roman" w:cs="NewBaskerville-Roman"/>
          <w:color w:val="262626"/>
          <w:sz w:val="20"/>
          <w:szCs w:val="20"/>
        </w:rPr>
        <w:t>talks about why the monolithic architecture worked well initially. We’ll get into how</w:t>
      </w:r>
      <w:r>
        <w:rPr>
          <w:rFonts w:ascii="NewBaskerville-Roman" w:hAnsi="NewBaskerville-Roman" w:cs="NewBaskerville-Roman"/>
          <w:color w:val="262626"/>
          <w:sz w:val="20"/>
          <w:szCs w:val="20"/>
        </w:rPr>
        <w:t xml:space="preserve"> </w:t>
      </w:r>
      <w:r w:rsidRPr="00412601">
        <w:rPr>
          <w:rFonts w:ascii="NewBaskerville-Roman" w:hAnsi="NewBaskerville-Roman" w:cs="NewBaskerville-Roman"/>
          <w:color w:val="262626"/>
          <w:sz w:val="20"/>
          <w:szCs w:val="20"/>
        </w:rPr>
        <w:t xml:space="preserve">the FTGO application has </w:t>
      </w:r>
      <w:r w:rsidRPr="00734058">
        <w:rPr>
          <w:rFonts w:ascii="NewBaskerville-Roman" w:hAnsi="NewBaskerville-Roman" w:cs="NewBaskerville-Roman"/>
          <w:b/>
          <w:bCs/>
          <w:color w:val="262626"/>
          <w:sz w:val="20"/>
          <w:szCs w:val="20"/>
        </w:rPr>
        <w:t>outgrown its architecture</w:t>
      </w:r>
      <w:r w:rsidRPr="00412601">
        <w:rPr>
          <w:rFonts w:ascii="NewBaskerville-Roman" w:hAnsi="NewBaskerville-Roman" w:cs="NewBaskerville-Roman"/>
          <w:color w:val="262626"/>
          <w:sz w:val="20"/>
          <w:szCs w:val="20"/>
        </w:rPr>
        <w:t xml:space="preserve"> and how </w:t>
      </w:r>
      <w:r w:rsidRPr="00734058">
        <w:rPr>
          <w:rFonts w:ascii="NewBaskerville-Roman" w:hAnsi="NewBaskerville-Roman" w:cs="NewBaskerville-Roman"/>
          <w:b/>
          <w:bCs/>
          <w:color w:val="262626"/>
          <w:sz w:val="20"/>
          <w:szCs w:val="20"/>
        </w:rPr>
        <w:t>that has resulted in monolithic hell</w:t>
      </w:r>
      <w:r w:rsidRPr="00412601">
        <w:rPr>
          <w:rFonts w:ascii="NewBaskerville-Roman" w:hAnsi="NewBaskerville-Roman" w:cs="NewBaskerville-Roman"/>
          <w:color w:val="262626"/>
          <w:sz w:val="20"/>
          <w:szCs w:val="20"/>
        </w:rPr>
        <w:t>.</w:t>
      </w:r>
    </w:p>
    <w:p w14:paraId="0737FE5F" w14:textId="0A2638B0" w:rsidR="00351733" w:rsidRDefault="00351733" w:rsidP="00412601">
      <w:pPr>
        <w:autoSpaceDE w:val="0"/>
        <w:autoSpaceDN w:val="0"/>
        <w:adjustRightInd w:val="0"/>
        <w:spacing w:after="0"/>
        <w:ind w:left="360"/>
        <w:rPr>
          <w:rFonts w:ascii="NewBaskerville-Roman" w:hAnsi="NewBaskerville-Roman" w:cs="NewBaskerville-Roman"/>
          <w:color w:val="262626"/>
          <w:sz w:val="20"/>
          <w:szCs w:val="20"/>
        </w:rPr>
      </w:pPr>
    </w:p>
    <w:p w14:paraId="775977EC" w14:textId="1739BF20" w:rsidR="00351733" w:rsidRDefault="00C637C0" w:rsidP="00C637C0">
      <w:pPr>
        <w:pStyle w:val="Heading2"/>
      </w:pPr>
      <w:r>
        <w:t>The Architecture of the FTGO Application</w:t>
      </w:r>
    </w:p>
    <w:p w14:paraId="1D65F0F0" w14:textId="03BA7AF8" w:rsidR="00C637C0" w:rsidRDefault="00C21602" w:rsidP="00C21602">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FTGO is a typical enterprise Java application. Figure 1.1 shows its architecture. The FTGO application has a hexagonal architecture, which is an architectural style described in </w:t>
      </w:r>
      <w:r w:rsidRPr="00BA4BAE">
        <w:rPr>
          <w:rFonts w:ascii="NewBaskerville-Roman" w:hAnsi="NewBaskerville-Roman" w:cs="NewBaskerville-Roman"/>
          <w:b/>
          <w:bCs/>
          <w:color w:val="262626"/>
          <w:sz w:val="20"/>
          <w:szCs w:val="20"/>
        </w:rPr>
        <w:t>more detail in chapter 2</w:t>
      </w:r>
      <w:r>
        <w:rPr>
          <w:rFonts w:ascii="NewBaskerville-Roman" w:hAnsi="NewBaskerville-Roman" w:cs="NewBaskerville-Roman"/>
          <w:color w:val="262626"/>
          <w:sz w:val="20"/>
          <w:szCs w:val="20"/>
        </w:rPr>
        <w:t>. In a hexagonal architecture, the core of the application consists of the business logic. Surrounding the business logic are various adapters that implement UIs and integrate with external systems.</w:t>
      </w:r>
    </w:p>
    <w:p w14:paraId="240C38B6" w14:textId="03E875F0" w:rsidR="0091193B" w:rsidRDefault="0091193B" w:rsidP="00C21602">
      <w:pPr>
        <w:autoSpaceDE w:val="0"/>
        <w:autoSpaceDN w:val="0"/>
        <w:adjustRightInd w:val="0"/>
        <w:spacing w:after="0"/>
        <w:rPr>
          <w:rFonts w:ascii="NewBaskerville-Roman" w:hAnsi="NewBaskerville-Roman" w:cs="NewBaskerville-Roman"/>
          <w:color w:val="262626"/>
          <w:sz w:val="20"/>
          <w:szCs w:val="20"/>
        </w:rPr>
      </w:pPr>
    </w:p>
    <w:p w14:paraId="0801272C" w14:textId="60FED9AE" w:rsidR="0091193B" w:rsidRDefault="0091193B" w:rsidP="0091193B">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business logic consists of modules, each of which is a collection of domain objects. Examples of the modules include </w:t>
      </w:r>
      <w:r>
        <w:rPr>
          <w:rFonts w:ascii="Courier" w:hAnsi="Courier" w:cs="Courier"/>
          <w:color w:val="262626"/>
          <w:sz w:val="19"/>
          <w:szCs w:val="19"/>
        </w:rPr>
        <w:t>Order Management</w:t>
      </w:r>
      <w:r>
        <w:rPr>
          <w:rFonts w:ascii="NewBaskerville-Roman" w:hAnsi="NewBaskerville-Roman" w:cs="NewBaskerville-Roman"/>
          <w:color w:val="262626"/>
          <w:sz w:val="20"/>
          <w:szCs w:val="20"/>
        </w:rPr>
        <w:t xml:space="preserve">, </w:t>
      </w:r>
      <w:r>
        <w:rPr>
          <w:rFonts w:ascii="Courier" w:hAnsi="Courier" w:cs="Courier"/>
          <w:color w:val="262626"/>
          <w:sz w:val="19"/>
          <w:szCs w:val="19"/>
        </w:rPr>
        <w:t>Delivery Management</w:t>
      </w:r>
      <w:r>
        <w:rPr>
          <w:rFonts w:ascii="NewBaskerville-Roman" w:hAnsi="NewBaskerville-Roman" w:cs="NewBaskerville-Roman"/>
          <w:color w:val="262626"/>
          <w:sz w:val="20"/>
          <w:szCs w:val="20"/>
        </w:rPr>
        <w:t xml:space="preserve">, </w:t>
      </w:r>
      <w:r>
        <w:rPr>
          <w:rFonts w:ascii="Courier" w:hAnsi="Courier" w:cs="Courier"/>
          <w:color w:val="262626"/>
          <w:sz w:val="19"/>
          <w:szCs w:val="19"/>
        </w:rPr>
        <w:t>Billing</w:t>
      </w:r>
      <w:r>
        <w:rPr>
          <w:rFonts w:ascii="NewBaskerville-Roman" w:hAnsi="NewBaskerville-Roman" w:cs="NewBaskerville-Roman"/>
          <w:color w:val="262626"/>
          <w:sz w:val="20"/>
          <w:szCs w:val="20"/>
        </w:rPr>
        <w:t xml:space="preserve">, and </w:t>
      </w:r>
      <w:r>
        <w:rPr>
          <w:rFonts w:ascii="Courier" w:hAnsi="Courier" w:cs="Courier"/>
          <w:color w:val="262626"/>
          <w:sz w:val="19"/>
          <w:szCs w:val="19"/>
        </w:rPr>
        <w:t>Payments</w:t>
      </w:r>
      <w:r>
        <w:rPr>
          <w:rFonts w:ascii="NewBaskerville-Roman" w:hAnsi="NewBaskerville-Roman" w:cs="NewBaskerville-Roman"/>
          <w:color w:val="262626"/>
          <w:sz w:val="20"/>
          <w:szCs w:val="20"/>
        </w:rPr>
        <w:t xml:space="preserve">. There are several adapters that interface with the external systems. Some are </w:t>
      </w:r>
      <w:r w:rsidRPr="00747886">
        <w:rPr>
          <w:rFonts w:ascii="NewBaskerville-Italic" w:hAnsi="NewBaskerville-Italic" w:cs="NewBaskerville-Italic"/>
          <w:b/>
          <w:bCs/>
          <w:i/>
          <w:iCs/>
          <w:color w:val="262626"/>
          <w:sz w:val="20"/>
          <w:szCs w:val="20"/>
        </w:rPr>
        <w:t xml:space="preserve">inbound </w:t>
      </w:r>
      <w:r w:rsidRPr="00747886">
        <w:rPr>
          <w:rFonts w:ascii="NewBaskerville-Roman" w:hAnsi="NewBaskerville-Roman" w:cs="NewBaskerville-Roman"/>
          <w:b/>
          <w:bCs/>
          <w:color w:val="262626"/>
          <w:sz w:val="20"/>
          <w:szCs w:val="20"/>
        </w:rPr>
        <w:t>adapters</w:t>
      </w:r>
      <w:r>
        <w:rPr>
          <w:rFonts w:ascii="NewBaskerville-Roman" w:hAnsi="NewBaskerville-Roman" w:cs="NewBaskerville-Roman"/>
          <w:color w:val="262626"/>
          <w:sz w:val="20"/>
          <w:szCs w:val="20"/>
        </w:rPr>
        <w:t xml:space="preserve">, which handle requests by invoking the business logic, </w:t>
      </w:r>
      <w:r w:rsidRPr="00747886">
        <w:rPr>
          <w:rFonts w:ascii="NewBaskerville-Roman" w:hAnsi="NewBaskerville-Roman" w:cs="NewBaskerville-Roman"/>
          <w:b/>
          <w:bCs/>
          <w:color w:val="262626"/>
          <w:sz w:val="20"/>
          <w:szCs w:val="20"/>
        </w:rPr>
        <w:t xml:space="preserve">including the </w:t>
      </w:r>
      <w:r w:rsidRPr="00747886">
        <w:rPr>
          <w:rFonts w:ascii="Courier" w:hAnsi="Courier" w:cs="Courier"/>
          <w:b/>
          <w:bCs/>
          <w:color w:val="262626"/>
          <w:sz w:val="19"/>
          <w:szCs w:val="19"/>
        </w:rPr>
        <w:t xml:space="preserve">REST API </w:t>
      </w:r>
      <w:r w:rsidRPr="00747886">
        <w:rPr>
          <w:rFonts w:ascii="NewBaskerville-Roman" w:hAnsi="NewBaskerville-Roman" w:cs="NewBaskerville-Roman"/>
          <w:b/>
          <w:bCs/>
          <w:color w:val="262626"/>
          <w:sz w:val="20"/>
          <w:szCs w:val="20"/>
        </w:rPr>
        <w:t xml:space="preserve">and </w:t>
      </w:r>
      <w:r w:rsidRPr="00747886">
        <w:rPr>
          <w:rFonts w:ascii="Courier" w:hAnsi="Courier" w:cs="Courier"/>
          <w:b/>
          <w:bCs/>
          <w:color w:val="262626"/>
          <w:sz w:val="19"/>
          <w:szCs w:val="19"/>
        </w:rPr>
        <w:t>Web UI</w:t>
      </w:r>
      <w:r w:rsidR="00B54665">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adapters. Others are </w:t>
      </w:r>
      <w:r w:rsidRPr="00747886">
        <w:rPr>
          <w:rFonts w:ascii="NewBaskerville-Italic" w:hAnsi="NewBaskerville-Italic" w:cs="NewBaskerville-Italic"/>
          <w:b/>
          <w:bCs/>
          <w:i/>
          <w:iCs/>
          <w:color w:val="262626"/>
          <w:sz w:val="20"/>
          <w:szCs w:val="20"/>
        </w:rPr>
        <w:t xml:space="preserve">outbound </w:t>
      </w:r>
      <w:r w:rsidRPr="00747886">
        <w:rPr>
          <w:rFonts w:ascii="NewBaskerville-Roman" w:hAnsi="NewBaskerville-Roman" w:cs="NewBaskerville-Roman"/>
          <w:b/>
          <w:bCs/>
          <w:color w:val="262626"/>
          <w:sz w:val="20"/>
          <w:szCs w:val="20"/>
        </w:rPr>
        <w:t>adapters, which enable the business logic to access the MySQL</w:t>
      </w:r>
      <w:r>
        <w:rPr>
          <w:rFonts w:ascii="NewBaskerville-Roman" w:hAnsi="NewBaskerville-Roman" w:cs="NewBaskerville-Roman"/>
          <w:color w:val="262626"/>
          <w:sz w:val="20"/>
          <w:szCs w:val="20"/>
        </w:rPr>
        <w:t xml:space="preserve"> </w:t>
      </w:r>
      <w:r w:rsidRPr="00747886">
        <w:rPr>
          <w:rFonts w:ascii="NewBaskerville-Roman" w:hAnsi="NewBaskerville-Roman" w:cs="NewBaskerville-Roman"/>
          <w:b/>
          <w:bCs/>
          <w:color w:val="262626"/>
          <w:sz w:val="20"/>
          <w:szCs w:val="20"/>
        </w:rPr>
        <w:t>database and invoke cloud services</w:t>
      </w:r>
      <w:r>
        <w:rPr>
          <w:rFonts w:ascii="NewBaskerville-Roman" w:hAnsi="NewBaskerville-Roman" w:cs="NewBaskerville-Roman"/>
          <w:color w:val="262626"/>
          <w:sz w:val="20"/>
          <w:szCs w:val="20"/>
        </w:rPr>
        <w:t xml:space="preserve"> such as Twilio and Stripe.</w:t>
      </w:r>
    </w:p>
    <w:p w14:paraId="2BF1CAAB" w14:textId="2411A732" w:rsidR="00E43375" w:rsidRDefault="00E43375" w:rsidP="00E358EB">
      <w:pPr>
        <w:autoSpaceDE w:val="0"/>
        <w:autoSpaceDN w:val="0"/>
        <w:adjustRightInd w:val="0"/>
        <w:spacing w:after="0"/>
        <w:rPr>
          <w:rFonts w:ascii="NewBaskerville-Roman" w:hAnsi="NewBaskerville-Roman" w:cs="NewBaskerville-Roman"/>
          <w:color w:val="262626"/>
          <w:sz w:val="20"/>
          <w:szCs w:val="20"/>
        </w:rPr>
      </w:pPr>
      <w:r w:rsidRPr="00CA13F6">
        <w:rPr>
          <w:rFonts w:ascii="NewBaskerville-Roman" w:hAnsi="NewBaskerville-Roman" w:cs="NewBaskerville-Roman"/>
          <w:b/>
          <w:bCs/>
          <w:color w:val="262626"/>
          <w:sz w:val="20"/>
          <w:szCs w:val="20"/>
        </w:rPr>
        <w:t>Despite</w:t>
      </w:r>
      <w:r>
        <w:rPr>
          <w:rFonts w:ascii="NewBaskerville-Roman" w:hAnsi="NewBaskerville-Roman" w:cs="NewBaskerville-Roman"/>
          <w:color w:val="262626"/>
          <w:sz w:val="20"/>
          <w:szCs w:val="20"/>
        </w:rPr>
        <w:t xml:space="preserve"> having </w:t>
      </w:r>
      <w:r w:rsidRPr="00CA13F6">
        <w:rPr>
          <w:rFonts w:ascii="NewBaskerville-Roman" w:hAnsi="NewBaskerville-Roman" w:cs="NewBaskerville-Roman"/>
          <w:b/>
          <w:bCs/>
          <w:color w:val="262626"/>
          <w:sz w:val="20"/>
          <w:szCs w:val="20"/>
        </w:rPr>
        <w:t>a logically modular architecture</w:t>
      </w:r>
      <w:r>
        <w:rPr>
          <w:rFonts w:ascii="NewBaskerville-Roman" w:hAnsi="NewBaskerville-Roman" w:cs="NewBaskerville-Roman"/>
          <w:color w:val="262626"/>
          <w:sz w:val="20"/>
          <w:szCs w:val="20"/>
        </w:rPr>
        <w:t xml:space="preserve">, the FTGO application </w:t>
      </w:r>
      <w:r w:rsidRPr="00CA13F6">
        <w:rPr>
          <w:rFonts w:ascii="NewBaskerville-Roman" w:hAnsi="NewBaskerville-Roman" w:cs="NewBaskerville-Roman"/>
          <w:b/>
          <w:bCs/>
          <w:color w:val="262626"/>
          <w:sz w:val="20"/>
          <w:szCs w:val="20"/>
        </w:rPr>
        <w:t>is packaged as a single WAR</w:t>
      </w:r>
      <w:r>
        <w:rPr>
          <w:rFonts w:ascii="NewBaskerville-Roman" w:hAnsi="NewBaskerville-Roman" w:cs="NewBaskerville-Roman"/>
          <w:color w:val="262626"/>
          <w:sz w:val="20"/>
          <w:szCs w:val="20"/>
        </w:rPr>
        <w:t xml:space="preserve"> file. The application is an example of the widely used </w:t>
      </w:r>
      <w:r w:rsidRPr="00C71FD6">
        <w:rPr>
          <w:rFonts w:ascii="NewBaskerville-Italic" w:hAnsi="NewBaskerville-Italic" w:cs="NewBaskerville-Italic"/>
          <w:b/>
          <w:bCs/>
          <w:i/>
          <w:iCs/>
          <w:color w:val="262626"/>
          <w:sz w:val="20"/>
          <w:szCs w:val="20"/>
        </w:rPr>
        <w:t xml:space="preserve">monolithic </w:t>
      </w:r>
      <w:r>
        <w:rPr>
          <w:rFonts w:ascii="NewBaskerville-Roman" w:hAnsi="NewBaskerville-Roman" w:cs="NewBaskerville-Roman"/>
          <w:color w:val="262626"/>
          <w:sz w:val="20"/>
          <w:szCs w:val="20"/>
        </w:rPr>
        <w:t>style</w:t>
      </w:r>
      <w:r w:rsidR="00E358EB">
        <w:rPr>
          <w:rFonts w:ascii="NewBaskerville-Roman" w:hAnsi="NewBaskerville-Roman" w:cs="NewBaskerville-Roman"/>
          <w:color w:val="262626"/>
          <w:sz w:val="20"/>
          <w:szCs w:val="20"/>
        </w:rPr>
        <w:t xml:space="preserve"> of software </w:t>
      </w:r>
      <w:r w:rsidR="00E358EB" w:rsidRPr="00C71FD6">
        <w:rPr>
          <w:rFonts w:ascii="NewBaskerville-Roman" w:hAnsi="NewBaskerville-Roman" w:cs="NewBaskerville-Roman"/>
          <w:b/>
          <w:bCs/>
          <w:color w:val="262626"/>
          <w:sz w:val="20"/>
          <w:szCs w:val="20"/>
        </w:rPr>
        <w:t>architecture</w:t>
      </w:r>
      <w:r w:rsidR="00E358EB">
        <w:rPr>
          <w:rFonts w:ascii="NewBaskerville-Roman" w:hAnsi="NewBaskerville-Roman" w:cs="NewBaskerville-Roman"/>
          <w:color w:val="262626"/>
          <w:sz w:val="20"/>
          <w:szCs w:val="20"/>
        </w:rPr>
        <w:t xml:space="preserve">, </w:t>
      </w:r>
      <w:r w:rsidR="00E358EB" w:rsidRPr="00C71FD6">
        <w:rPr>
          <w:rFonts w:ascii="NewBaskerville-Roman" w:hAnsi="NewBaskerville-Roman" w:cs="NewBaskerville-Roman"/>
          <w:b/>
          <w:bCs/>
          <w:color w:val="262626"/>
          <w:sz w:val="20"/>
          <w:szCs w:val="20"/>
        </w:rPr>
        <w:t>which structures a system as a single executable or deployable component</w:t>
      </w:r>
      <w:r w:rsidR="00E358EB">
        <w:rPr>
          <w:rFonts w:ascii="NewBaskerville-Roman" w:hAnsi="NewBaskerville-Roman" w:cs="NewBaskerville-Roman"/>
          <w:color w:val="262626"/>
          <w:sz w:val="20"/>
          <w:szCs w:val="20"/>
        </w:rPr>
        <w:t>.</w:t>
      </w:r>
    </w:p>
    <w:p w14:paraId="2921E7C7" w14:textId="7EA2A12A" w:rsidR="0091193B" w:rsidRPr="00C21602" w:rsidRDefault="0091193B" w:rsidP="0091193B">
      <w:pPr>
        <w:autoSpaceDE w:val="0"/>
        <w:autoSpaceDN w:val="0"/>
        <w:adjustRightInd w:val="0"/>
        <w:spacing w:after="0"/>
        <w:jc w:val="center"/>
        <w:rPr>
          <w:rFonts w:ascii="NewBaskerville-Roman" w:hAnsi="NewBaskerville-Roman" w:cs="NewBaskerville-Roman"/>
          <w:color w:val="262626"/>
          <w:sz w:val="20"/>
          <w:szCs w:val="20"/>
        </w:rPr>
      </w:pPr>
      <w:r>
        <w:rPr>
          <w:noProof/>
        </w:rPr>
        <w:lastRenderedPageBreak/>
        <w:drawing>
          <wp:inline distT="0" distB="0" distL="0" distR="0" wp14:anchorId="400DD6EC" wp14:editId="4A3C3B44">
            <wp:extent cx="3276547" cy="2779214"/>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547" cy="2779214"/>
                    </a:xfrm>
                    <a:prstGeom prst="rect">
                      <a:avLst/>
                    </a:prstGeom>
                  </pic:spPr>
                </pic:pic>
              </a:graphicData>
            </a:graphic>
          </wp:inline>
        </w:drawing>
      </w:r>
    </w:p>
    <w:p w14:paraId="6E1096F8" w14:textId="77777777" w:rsidR="000A687E" w:rsidRDefault="000A687E" w:rsidP="00E65A26">
      <w:pPr>
        <w:autoSpaceDE w:val="0"/>
        <w:autoSpaceDN w:val="0"/>
        <w:adjustRightInd w:val="0"/>
        <w:spacing w:after="0"/>
        <w:rPr>
          <w:rFonts w:ascii="NewBaskerville-Roman" w:hAnsi="NewBaskerville-Roman" w:cs="NewBaskerville-Roman"/>
          <w:color w:val="262626"/>
          <w:sz w:val="20"/>
          <w:szCs w:val="20"/>
        </w:rPr>
      </w:pPr>
    </w:p>
    <w:p w14:paraId="6EA4F436" w14:textId="257E9954" w:rsidR="00936E5F" w:rsidRDefault="00E65A26" w:rsidP="00E65A26">
      <w:pPr>
        <w:autoSpaceDE w:val="0"/>
        <w:autoSpaceDN w:val="0"/>
        <w:adjustRightInd w:val="0"/>
        <w:spacing w:after="0"/>
        <w:rPr>
          <w:rFonts w:ascii="NewBaskerville-Roman" w:hAnsi="NewBaskerville-Roman" w:cs="NewBaskerville-Roman"/>
          <w:b/>
          <w:bCs/>
          <w:color w:val="262626"/>
          <w:sz w:val="20"/>
          <w:szCs w:val="20"/>
        </w:rPr>
      </w:pPr>
      <w:r w:rsidRPr="000A687E">
        <w:rPr>
          <w:rFonts w:ascii="NewBaskerville-Roman" w:hAnsi="NewBaskerville-Roman" w:cs="NewBaskerville-Roman"/>
          <w:b/>
          <w:bCs/>
          <w:color w:val="262626"/>
          <w:sz w:val="20"/>
          <w:szCs w:val="20"/>
        </w:rPr>
        <w:t>The monolithic architecture isn’t inherently bad. The FTGO developers made a good decision when they picked monolithic architecture for their application</w:t>
      </w:r>
      <w:r w:rsidR="000A687E" w:rsidRPr="000A687E">
        <w:rPr>
          <w:rFonts w:ascii="NewBaskerville-Roman" w:hAnsi="NewBaskerville-Roman" w:cs="NewBaskerville-Roman"/>
          <w:b/>
          <w:bCs/>
          <w:color w:val="262626"/>
          <w:sz w:val="20"/>
          <w:szCs w:val="20"/>
        </w:rPr>
        <w:t>:</w:t>
      </w:r>
    </w:p>
    <w:p w14:paraId="04CCFD7E" w14:textId="64F63333" w:rsidR="00635DE3" w:rsidRDefault="001A3BDF" w:rsidP="001A3BDF">
      <w:pPr>
        <w:pStyle w:val="Heading2"/>
      </w:pPr>
      <w:r>
        <w:t xml:space="preserve">The Benefits of the Monolithic </w:t>
      </w:r>
      <w:r w:rsidR="005F34C6">
        <w:t>Architecture</w:t>
      </w:r>
    </w:p>
    <w:p w14:paraId="4B142D21" w14:textId="6808B923" w:rsidR="00E04730" w:rsidRDefault="00E04730" w:rsidP="00E04730">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In the early days of FTGO, </w:t>
      </w:r>
      <w:r w:rsidRPr="00651767">
        <w:rPr>
          <w:rFonts w:ascii="NewBaskerville-Roman" w:hAnsi="NewBaskerville-Roman" w:cs="NewBaskerville-Roman"/>
          <w:b/>
          <w:bCs/>
          <w:color w:val="262626"/>
          <w:sz w:val="20"/>
          <w:szCs w:val="20"/>
        </w:rPr>
        <w:t>when the application was relatively small</w:t>
      </w:r>
      <w:r>
        <w:rPr>
          <w:rFonts w:ascii="NewBaskerville-Roman" w:hAnsi="NewBaskerville-Roman" w:cs="NewBaskerville-Roman"/>
          <w:color w:val="262626"/>
          <w:sz w:val="20"/>
          <w:szCs w:val="20"/>
        </w:rPr>
        <w:t>, the application’s monolithic architecture had lots of benefits:</w:t>
      </w:r>
    </w:p>
    <w:p w14:paraId="75A007FC" w14:textId="3FC43D42" w:rsidR="00C3751A" w:rsidRDefault="00E04730" w:rsidP="00C3751A">
      <w:pPr>
        <w:autoSpaceDE w:val="0"/>
        <w:autoSpaceDN w:val="0"/>
        <w:adjustRightInd w:val="0"/>
        <w:spacing w:after="0"/>
        <w:rPr>
          <w:rFonts w:ascii="NewBaskerville-Roman" w:hAnsi="NewBaskerville-Roman" w:cs="NewBaskerville-Roman"/>
          <w:color w:val="262626"/>
          <w:sz w:val="20"/>
          <w:szCs w:val="20"/>
        </w:rPr>
      </w:pPr>
      <w:r w:rsidRPr="00C3751A">
        <w:rPr>
          <w:rFonts w:ascii="Wingdings2" w:eastAsia="Wingdings2" w:hAnsi="NewBaskerville-Roman" w:cs="Wingdings2" w:hint="eastAsia"/>
          <w:color w:val="CDA759"/>
          <w:sz w:val="17"/>
          <w:szCs w:val="17"/>
          <w:highlight w:val="darkGreen"/>
        </w:rPr>
        <w:t></w:t>
      </w:r>
      <w:r>
        <w:rPr>
          <w:rFonts w:ascii="Wingdings2" w:eastAsia="Wingdings2" w:hAnsi="NewBaskerville-Roman" w:cs="Wingdings2"/>
          <w:color w:val="CDA759"/>
          <w:sz w:val="17"/>
          <w:szCs w:val="17"/>
        </w:rPr>
        <w:t xml:space="preserve"> </w:t>
      </w:r>
      <w:r w:rsidRPr="00C3751A">
        <w:rPr>
          <w:rFonts w:ascii="NewBaskerville-Italic" w:hAnsi="NewBaskerville-Italic" w:cs="NewBaskerville-Italic"/>
          <w:b/>
          <w:bCs/>
          <w:i/>
          <w:iCs/>
          <w:color w:val="262626"/>
          <w:sz w:val="20"/>
          <w:szCs w:val="20"/>
        </w:rPr>
        <w:t>Simple to develop</w:t>
      </w:r>
      <w:r>
        <w:rPr>
          <w:rFonts w:ascii="NewBaskerville-Roman" w:hAnsi="NewBaskerville-Roman" w:cs="NewBaskerville-Roman"/>
          <w:color w:val="262626"/>
          <w:sz w:val="20"/>
          <w:szCs w:val="20"/>
        </w:rPr>
        <w:t>—IDEs and other developer tools are focused on building a single</w:t>
      </w:r>
      <w:r w:rsidR="00C3751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application.</w:t>
      </w:r>
    </w:p>
    <w:p w14:paraId="666ED5F4" w14:textId="77777777" w:rsidR="00C3751A" w:rsidRDefault="00C3751A" w:rsidP="00C3751A">
      <w:pPr>
        <w:autoSpaceDE w:val="0"/>
        <w:autoSpaceDN w:val="0"/>
        <w:adjustRightInd w:val="0"/>
        <w:spacing w:after="0"/>
        <w:rPr>
          <w:rFonts w:ascii="NewBaskerville-Roman" w:hAnsi="NewBaskerville-Roman" w:cs="NewBaskerville-Roman"/>
          <w:color w:val="262626"/>
          <w:sz w:val="20"/>
          <w:szCs w:val="20"/>
        </w:rPr>
      </w:pPr>
    </w:p>
    <w:p w14:paraId="7A3CA7F5" w14:textId="7D530BFE" w:rsidR="00E04730" w:rsidRDefault="00E04730" w:rsidP="008033DD">
      <w:pPr>
        <w:autoSpaceDE w:val="0"/>
        <w:autoSpaceDN w:val="0"/>
        <w:adjustRightInd w:val="0"/>
        <w:spacing w:after="0"/>
        <w:rPr>
          <w:rFonts w:ascii="NewBaskerville-Roman" w:hAnsi="NewBaskerville-Roman" w:cs="NewBaskerville-Roman"/>
          <w:color w:val="262626"/>
          <w:sz w:val="20"/>
          <w:szCs w:val="20"/>
        </w:rPr>
      </w:pPr>
      <w:r w:rsidRPr="00C3751A">
        <w:rPr>
          <w:rFonts w:ascii="Wingdings2" w:eastAsia="Wingdings2" w:hAnsi="NewBaskerville-Roman" w:cs="Wingdings2" w:hint="eastAsia"/>
          <w:color w:val="CDA759"/>
          <w:sz w:val="17"/>
          <w:szCs w:val="17"/>
          <w:highlight w:val="darkGreen"/>
        </w:rPr>
        <w:t></w:t>
      </w:r>
      <w:r>
        <w:rPr>
          <w:rFonts w:ascii="Wingdings2" w:eastAsia="Wingdings2" w:hAnsi="NewBaskerville-Roman" w:cs="Wingdings2"/>
          <w:color w:val="CDA759"/>
          <w:sz w:val="17"/>
          <w:szCs w:val="17"/>
        </w:rPr>
        <w:t xml:space="preserve"> </w:t>
      </w:r>
      <w:r w:rsidRPr="008033DD">
        <w:rPr>
          <w:rFonts w:ascii="NewBaskerville-Italic" w:hAnsi="NewBaskerville-Italic" w:cs="NewBaskerville-Italic"/>
          <w:b/>
          <w:bCs/>
          <w:i/>
          <w:iCs/>
          <w:color w:val="262626"/>
          <w:sz w:val="20"/>
          <w:szCs w:val="20"/>
        </w:rPr>
        <w:t>Easy to make radical changes to the application</w:t>
      </w:r>
      <w:r>
        <w:rPr>
          <w:rFonts w:ascii="NewBaskerville-Roman" w:hAnsi="NewBaskerville-Roman" w:cs="NewBaskerville-Roman"/>
          <w:color w:val="262626"/>
          <w:sz w:val="20"/>
          <w:szCs w:val="20"/>
        </w:rPr>
        <w:t>—You can change the code and the</w:t>
      </w:r>
      <w:r w:rsidR="008033DD">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database</w:t>
      </w:r>
      <w:r w:rsidR="0065215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schema, build, and deploy.</w:t>
      </w:r>
    </w:p>
    <w:p w14:paraId="020EDD73" w14:textId="77777777" w:rsidR="008033DD" w:rsidRDefault="008033DD" w:rsidP="008033DD">
      <w:pPr>
        <w:autoSpaceDE w:val="0"/>
        <w:autoSpaceDN w:val="0"/>
        <w:adjustRightInd w:val="0"/>
        <w:spacing w:after="0"/>
        <w:rPr>
          <w:rFonts w:ascii="NewBaskerville-Roman" w:hAnsi="NewBaskerville-Roman" w:cs="NewBaskerville-Roman"/>
          <w:color w:val="262626"/>
          <w:sz w:val="20"/>
          <w:szCs w:val="20"/>
        </w:rPr>
      </w:pPr>
    </w:p>
    <w:p w14:paraId="386BEF3D" w14:textId="5AB7E740" w:rsidR="00E04730" w:rsidRDefault="00E04730" w:rsidP="00B130DF">
      <w:pPr>
        <w:autoSpaceDE w:val="0"/>
        <w:autoSpaceDN w:val="0"/>
        <w:adjustRightInd w:val="0"/>
        <w:spacing w:after="0"/>
        <w:rPr>
          <w:rFonts w:ascii="NewBaskerville-Roman" w:hAnsi="NewBaskerville-Roman" w:cs="NewBaskerville-Roman"/>
          <w:color w:val="262626"/>
          <w:sz w:val="20"/>
          <w:szCs w:val="20"/>
        </w:rPr>
      </w:pPr>
      <w:r w:rsidRPr="00C3751A">
        <w:rPr>
          <w:rFonts w:ascii="Wingdings2" w:eastAsia="Wingdings2" w:hAnsi="NewBaskerville-Roman" w:cs="Wingdings2" w:hint="eastAsia"/>
          <w:color w:val="CDA759"/>
          <w:sz w:val="17"/>
          <w:szCs w:val="17"/>
          <w:highlight w:val="darkGreen"/>
        </w:rPr>
        <w:t></w:t>
      </w:r>
      <w:r>
        <w:rPr>
          <w:rFonts w:ascii="Wingdings2" w:eastAsia="Wingdings2" w:hAnsi="NewBaskerville-Roman" w:cs="Wingdings2"/>
          <w:color w:val="CDA759"/>
          <w:sz w:val="17"/>
          <w:szCs w:val="17"/>
        </w:rPr>
        <w:t xml:space="preserve"> </w:t>
      </w:r>
      <w:r w:rsidRPr="004F7B52">
        <w:rPr>
          <w:rFonts w:ascii="NewBaskerville-Italic" w:hAnsi="NewBaskerville-Italic" w:cs="NewBaskerville-Italic"/>
          <w:b/>
          <w:bCs/>
          <w:i/>
          <w:iCs/>
          <w:color w:val="262626"/>
          <w:sz w:val="20"/>
          <w:szCs w:val="20"/>
        </w:rPr>
        <w:t>Straightforward to test</w:t>
      </w:r>
      <w:r>
        <w:rPr>
          <w:rFonts w:ascii="NewBaskerville-Roman" w:hAnsi="NewBaskerville-Roman" w:cs="NewBaskerville-Roman"/>
          <w:color w:val="262626"/>
          <w:sz w:val="20"/>
          <w:szCs w:val="20"/>
        </w:rPr>
        <w:t>—The developers wrote end-to-end tests that launched the</w:t>
      </w:r>
      <w:r w:rsidR="00B130D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application, invoked the REST API, and </w:t>
      </w:r>
      <w:r w:rsidRPr="00934EAF">
        <w:rPr>
          <w:rFonts w:ascii="NewBaskerville-Roman" w:hAnsi="NewBaskerville-Roman" w:cs="NewBaskerville-Roman"/>
          <w:b/>
          <w:bCs/>
          <w:color w:val="262626"/>
          <w:sz w:val="20"/>
          <w:szCs w:val="20"/>
        </w:rPr>
        <w:t>tested the UI with Selenium</w:t>
      </w:r>
      <w:r>
        <w:rPr>
          <w:rFonts w:ascii="NewBaskerville-Roman" w:hAnsi="NewBaskerville-Roman" w:cs="NewBaskerville-Roman"/>
          <w:color w:val="262626"/>
          <w:sz w:val="20"/>
          <w:szCs w:val="20"/>
        </w:rPr>
        <w:t>.</w:t>
      </w:r>
    </w:p>
    <w:p w14:paraId="5C2F55A5" w14:textId="77777777" w:rsidR="00B130DF" w:rsidRDefault="00B130DF" w:rsidP="00B130DF">
      <w:pPr>
        <w:autoSpaceDE w:val="0"/>
        <w:autoSpaceDN w:val="0"/>
        <w:adjustRightInd w:val="0"/>
        <w:spacing w:after="0"/>
        <w:rPr>
          <w:rFonts w:ascii="NewBaskerville-Roman" w:hAnsi="NewBaskerville-Roman" w:cs="NewBaskerville-Roman"/>
          <w:color w:val="262626"/>
          <w:sz w:val="20"/>
          <w:szCs w:val="20"/>
        </w:rPr>
      </w:pPr>
    </w:p>
    <w:p w14:paraId="021DE81E" w14:textId="4A824356" w:rsidR="00E04730" w:rsidRDefault="00E04730" w:rsidP="00B130DF">
      <w:pPr>
        <w:autoSpaceDE w:val="0"/>
        <w:autoSpaceDN w:val="0"/>
        <w:adjustRightInd w:val="0"/>
        <w:spacing w:after="0"/>
        <w:rPr>
          <w:rFonts w:ascii="NewBaskerville-Roman" w:hAnsi="NewBaskerville-Roman" w:cs="NewBaskerville-Roman"/>
          <w:color w:val="262626"/>
          <w:sz w:val="20"/>
          <w:szCs w:val="20"/>
        </w:rPr>
      </w:pPr>
      <w:r w:rsidRPr="00C3751A">
        <w:rPr>
          <w:rFonts w:ascii="Wingdings2" w:eastAsia="Wingdings2" w:hAnsi="NewBaskerville-Roman" w:cs="Wingdings2" w:hint="eastAsia"/>
          <w:color w:val="CDA759"/>
          <w:sz w:val="17"/>
          <w:szCs w:val="17"/>
          <w:highlight w:val="darkGreen"/>
        </w:rPr>
        <w:t></w:t>
      </w:r>
      <w:r>
        <w:rPr>
          <w:rFonts w:ascii="Wingdings2" w:eastAsia="Wingdings2" w:hAnsi="NewBaskerville-Roman" w:cs="Wingdings2"/>
          <w:color w:val="CDA759"/>
          <w:sz w:val="17"/>
          <w:szCs w:val="17"/>
        </w:rPr>
        <w:t xml:space="preserve"> </w:t>
      </w:r>
      <w:r w:rsidRPr="004F7B52">
        <w:rPr>
          <w:rFonts w:ascii="NewBaskerville-Italic" w:hAnsi="NewBaskerville-Italic" w:cs="NewBaskerville-Italic"/>
          <w:b/>
          <w:bCs/>
          <w:i/>
          <w:iCs/>
          <w:color w:val="262626"/>
          <w:sz w:val="20"/>
          <w:szCs w:val="20"/>
        </w:rPr>
        <w:t>Straightforward to deploy</w:t>
      </w:r>
      <w:r>
        <w:rPr>
          <w:rFonts w:ascii="NewBaskerville-Roman" w:hAnsi="NewBaskerville-Roman" w:cs="NewBaskerville-Roman"/>
          <w:color w:val="262626"/>
          <w:sz w:val="20"/>
          <w:szCs w:val="20"/>
        </w:rPr>
        <w:t>—All a developer had to do was copy the WAR file to a</w:t>
      </w:r>
      <w:r w:rsidR="00B130D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server that had Tomcat installed.</w:t>
      </w:r>
    </w:p>
    <w:p w14:paraId="528F71CD" w14:textId="191CA059" w:rsidR="00E04730" w:rsidRDefault="00E04730" w:rsidP="00B130DF">
      <w:pPr>
        <w:autoSpaceDE w:val="0"/>
        <w:autoSpaceDN w:val="0"/>
        <w:adjustRightInd w:val="0"/>
        <w:spacing w:after="0"/>
        <w:rPr>
          <w:rFonts w:ascii="NewBaskerville-Roman" w:hAnsi="NewBaskerville-Roman" w:cs="NewBaskerville-Roman"/>
          <w:color w:val="262626"/>
          <w:sz w:val="20"/>
          <w:szCs w:val="20"/>
        </w:rPr>
      </w:pPr>
      <w:r w:rsidRPr="00C3751A">
        <w:rPr>
          <w:rFonts w:ascii="Wingdings2" w:eastAsia="Wingdings2" w:hAnsi="NewBaskerville-Roman" w:cs="Wingdings2" w:hint="eastAsia"/>
          <w:color w:val="CDA759"/>
          <w:sz w:val="17"/>
          <w:szCs w:val="17"/>
          <w:highlight w:val="darkGreen"/>
        </w:rPr>
        <w:t></w:t>
      </w:r>
      <w:r>
        <w:rPr>
          <w:rFonts w:ascii="Wingdings2" w:eastAsia="Wingdings2" w:hAnsi="NewBaskerville-Roman" w:cs="Wingdings2"/>
          <w:color w:val="CDA759"/>
          <w:sz w:val="17"/>
          <w:szCs w:val="17"/>
        </w:rPr>
        <w:t xml:space="preserve"> </w:t>
      </w:r>
      <w:r w:rsidRPr="004F7B52">
        <w:rPr>
          <w:rFonts w:ascii="NewBaskerville-Italic" w:hAnsi="NewBaskerville-Italic" w:cs="NewBaskerville-Italic"/>
          <w:b/>
          <w:bCs/>
          <w:i/>
          <w:iCs/>
          <w:color w:val="262626"/>
          <w:sz w:val="20"/>
          <w:szCs w:val="20"/>
        </w:rPr>
        <w:t>Easy to scale</w:t>
      </w:r>
      <w:r>
        <w:rPr>
          <w:rFonts w:ascii="NewBaskerville-Roman" w:hAnsi="NewBaskerville-Roman" w:cs="NewBaskerville-Roman"/>
          <w:color w:val="262626"/>
          <w:sz w:val="20"/>
          <w:szCs w:val="20"/>
        </w:rPr>
        <w:t>—</w:t>
      </w:r>
      <w:r w:rsidRPr="00934EAF">
        <w:rPr>
          <w:rFonts w:ascii="NewBaskerville-Roman" w:hAnsi="NewBaskerville-Roman" w:cs="NewBaskerville-Roman"/>
          <w:b/>
          <w:bCs/>
          <w:color w:val="262626"/>
          <w:sz w:val="20"/>
          <w:szCs w:val="20"/>
        </w:rPr>
        <w:t>FTGO ran multiple instances of the application behind a load</w:t>
      </w:r>
      <w:r w:rsidR="00B130DF" w:rsidRPr="00934EAF">
        <w:rPr>
          <w:rFonts w:ascii="NewBaskerville-Roman" w:hAnsi="NewBaskerville-Roman" w:cs="NewBaskerville-Roman"/>
          <w:b/>
          <w:bCs/>
          <w:color w:val="262626"/>
          <w:sz w:val="20"/>
          <w:szCs w:val="20"/>
        </w:rPr>
        <w:t xml:space="preserve"> </w:t>
      </w:r>
      <w:r w:rsidRPr="00934EAF">
        <w:rPr>
          <w:rFonts w:ascii="NewBaskerville-Roman" w:hAnsi="NewBaskerville-Roman" w:cs="NewBaskerville-Roman"/>
          <w:b/>
          <w:bCs/>
          <w:color w:val="262626"/>
          <w:sz w:val="20"/>
          <w:szCs w:val="20"/>
        </w:rPr>
        <w:t>balancer.</w:t>
      </w:r>
    </w:p>
    <w:p w14:paraId="7A404048" w14:textId="77777777" w:rsidR="00B130DF" w:rsidRDefault="00B130DF" w:rsidP="00B130DF">
      <w:pPr>
        <w:autoSpaceDE w:val="0"/>
        <w:autoSpaceDN w:val="0"/>
        <w:adjustRightInd w:val="0"/>
        <w:spacing w:after="0"/>
        <w:rPr>
          <w:rFonts w:ascii="NewBaskerville-Roman" w:hAnsi="NewBaskerville-Roman" w:cs="NewBaskerville-Roman"/>
          <w:color w:val="262626"/>
          <w:sz w:val="20"/>
          <w:szCs w:val="20"/>
        </w:rPr>
      </w:pPr>
    </w:p>
    <w:p w14:paraId="640D9CC3" w14:textId="77777777" w:rsidR="00E04730" w:rsidRPr="00B130DF" w:rsidRDefault="00E04730" w:rsidP="00E04730">
      <w:pPr>
        <w:autoSpaceDE w:val="0"/>
        <w:autoSpaceDN w:val="0"/>
        <w:adjustRightInd w:val="0"/>
        <w:spacing w:after="0"/>
        <w:rPr>
          <w:rFonts w:ascii="NewBaskerville-Roman" w:hAnsi="NewBaskerville-Roman" w:cs="NewBaskerville-Roman"/>
          <w:b/>
          <w:bCs/>
          <w:color w:val="262626"/>
          <w:sz w:val="20"/>
          <w:szCs w:val="20"/>
        </w:rPr>
      </w:pPr>
      <w:r w:rsidRPr="00B130DF">
        <w:rPr>
          <w:rFonts w:ascii="NewBaskerville-Roman" w:hAnsi="NewBaskerville-Roman" w:cs="NewBaskerville-Roman"/>
          <w:b/>
          <w:bCs/>
          <w:color w:val="262626"/>
          <w:sz w:val="20"/>
          <w:szCs w:val="20"/>
        </w:rPr>
        <w:t>Over time</w:t>
      </w:r>
      <w:r>
        <w:rPr>
          <w:rFonts w:ascii="NewBaskerville-Roman" w:hAnsi="NewBaskerville-Roman" w:cs="NewBaskerville-Roman"/>
          <w:color w:val="262626"/>
          <w:sz w:val="20"/>
          <w:szCs w:val="20"/>
        </w:rPr>
        <w:t>, though</w:t>
      </w:r>
      <w:r w:rsidRPr="00B130DF">
        <w:rPr>
          <w:rFonts w:ascii="NewBaskerville-Roman" w:hAnsi="NewBaskerville-Roman" w:cs="NewBaskerville-Roman"/>
          <w:b/>
          <w:bCs/>
          <w:color w:val="262626"/>
          <w:sz w:val="20"/>
          <w:szCs w:val="20"/>
        </w:rPr>
        <w:t>, development</w:t>
      </w:r>
      <w:r>
        <w:rPr>
          <w:rFonts w:ascii="NewBaskerville-Roman" w:hAnsi="NewBaskerville-Roman" w:cs="NewBaskerville-Roman"/>
          <w:color w:val="262626"/>
          <w:sz w:val="20"/>
          <w:szCs w:val="20"/>
        </w:rPr>
        <w:t xml:space="preserve">, </w:t>
      </w:r>
      <w:r w:rsidRPr="00B130DF">
        <w:rPr>
          <w:rFonts w:ascii="NewBaskerville-Roman" w:hAnsi="NewBaskerville-Roman" w:cs="NewBaskerville-Roman"/>
          <w:b/>
          <w:bCs/>
          <w:color w:val="262626"/>
          <w:sz w:val="20"/>
          <w:szCs w:val="20"/>
        </w:rPr>
        <w:t>testing</w:t>
      </w:r>
      <w:r>
        <w:rPr>
          <w:rFonts w:ascii="NewBaskerville-Roman" w:hAnsi="NewBaskerville-Roman" w:cs="NewBaskerville-Roman"/>
          <w:color w:val="262626"/>
          <w:sz w:val="20"/>
          <w:szCs w:val="20"/>
        </w:rPr>
        <w:t xml:space="preserve">, </w:t>
      </w:r>
      <w:r w:rsidRPr="00B130DF">
        <w:rPr>
          <w:rFonts w:ascii="NewBaskerville-Roman" w:hAnsi="NewBaskerville-Roman" w:cs="NewBaskerville-Roman"/>
          <w:b/>
          <w:bCs/>
          <w:color w:val="262626"/>
          <w:sz w:val="20"/>
          <w:szCs w:val="20"/>
        </w:rPr>
        <w:t>deployment</w:t>
      </w:r>
      <w:r>
        <w:rPr>
          <w:rFonts w:ascii="NewBaskerville-Roman" w:hAnsi="NewBaskerville-Roman" w:cs="NewBaskerville-Roman"/>
          <w:color w:val="262626"/>
          <w:sz w:val="20"/>
          <w:szCs w:val="20"/>
        </w:rPr>
        <w:t xml:space="preserve">, </w:t>
      </w:r>
      <w:r w:rsidRPr="00B130DF">
        <w:rPr>
          <w:rFonts w:ascii="NewBaskerville-Roman" w:hAnsi="NewBaskerville-Roman" w:cs="NewBaskerville-Roman"/>
          <w:b/>
          <w:bCs/>
          <w:color w:val="262626"/>
          <w:sz w:val="20"/>
          <w:szCs w:val="20"/>
        </w:rPr>
        <w:t>and scaling</w:t>
      </w:r>
      <w:r>
        <w:rPr>
          <w:rFonts w:ascii="NewBaskerville-Roman" w:hAnsi="NewBaskerville-Roman" w:cs="NewBaskerville-Roman"/>
          <w:color w:val="262626"/>
          <w:sz w:val="20"/>
          <w:szCs w:val="20"/>
        </w:rPr>
        <w:t xml:space="preserve"> became much </w:t>
      </w:r>
      <w:r w:rsidRPr="00B130DF">
        <w:rPr>
          <w:rFonts w:ascii="NewBaskerville-Roman" w:hAnsi="NewBaskerville-Roman" w:cs="NewBaskerville-Roman"/>
          <w:b/>
          <w:bCs/>
          <w:color w:val="262626"/>
          <w:sz w:val="20"/>
          <w:szCs w:val="20"/>
        </w:rPr>
        <w:t>more</w:t>
      </w:r>
    </w:p>
    <w:p w14:paraId="2F29F32E" w14:textId="4CB6F74A" w:rsidR="001A3BDF" w:rsidRDefault="00E04730" w:rsidP="00E04730">
      <w:pPr>
        <w:rPr>
          <w:rFonts w:ascii="NewBaskerville-Roman" w:hAnsi="NewBaskerville-Roman" w:cs="NewBaskerville-Roman"/>
          <w:color w:val="262626"/>
          <w:sz w:val="20"/>
          <w:szCs w:val="20"/>
        </w:rPr>
      </w:pPr>
      <w:r w:rsidRPr="00B130DF">
        <w:rPr>
          <w:rFonts w:ascii="NewBaskerville-Roman" w:hAnsi="NewBaskerville-Roman" w:cs="NewBaskerville-Roman"/>
          <w:b/>
          <w:bCs/>
          <w:color w:val="262626"/>
          <w:sz w:val="20"/>
          <w:szCs w:val="20"/>
        </w:rPr>
        <w:t>difficult</w:t>
      </w:r>
      <w:r>
        <w:rPr>
          <w:rFonts w:ascii="NewBaskerville-Roman" w:hAnsi="NewBaskerville-Roman" w:cs="NewBaskerville-Roman"/>
          <w:color w:val="262626"/>
          <w:sz w:val="20"/>
          <w:szCs w:val="20"/>
        </w:rPr>
        <w:t>. Let’s look at why</w:t>
      </w:r>
      <w:r w:rsidR="00B130DF">
        <w:rPr>
          <w:rFonts w:ascii="NewBaskerville-Roman" w:hAnsi="NewBaskerville-Roman" w:cs="NewBaskerville-Roman"/>
          <w:color w:val="262626"/>
          <w:sz w:val="20"/>
          <w:szCs w:val="20"/>
        </w:rPr>
        <w:t>:</w:t>
      </w:r>
    </w:p>
    <w:p w14:paraId="2239A85A" w14:textId="63ACCBBA" w:rsidR="000849B3" w:rsidRDefault="00436AF3" w:rsidP="00436AF3">
      <w:pPr>
        <w:pStyle w:val="Heading2"/>
      </w:pPr>
      <w:r>
        <w:t>Living in Monolithic Hell</w:t>
      </w:r>
    </w:p>
    <w:p w14:paraId="77107B54" w14:textId="0EFBC2F5" w:rsidR="00436AF3" w:rsidRDefault="00B508FE" w:rsidP="00B508FE">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monolithic architecture has a huge limitation:</w:t>
      </w:r>
    </w:p>
    <w:p w14:paraId="6B72F363" w14:textId="01D39544" w:rsidR="00B508FE" w:rsidRDefault="00C712F4" w:rsidP="004940F4">
      <w:pPr>
        <w:pStyle w:val="ListParagraph"/>
        <w:numPr>
          <w:ilvl w:val="0"/>
          <w:numId w:val="41"/>
        </w:numPr>
        <w:autoSpaceDE w:val="0"/>
        <w:autoSpaceDN w:val="0"/>
        <w:adjustRightInd w:val="0"/>
        <w:spacing w:after="0"/>
        <w:rPr>
          <w:rFonts w:ascii="NewBaskerville-Roman" w:hAnsi="NewBaskerville-Roman" w:cs="NewBaskerville-Roman"/>
          <w:color w:val="262626"/>
          <w:sz w:val="20"/>
          <w:szCs w:val="20"/>
        </w:rPr>
      </w:pPr>
      <w:r w:rsidRPr="004940F4">
        <w:rPr>
          <w:rFonts w:ascii="NewBaskerville-Roman" w:hAnsi="NewBaskerville-Roman" w:cs="NewBaskerville-Roman"/>
          <w:color w:val="262626"/>
          <w:sz w:val="20"/>
          <w:szCs w:val="20"/>
        </w:rPr>
        <w:t>Successful applications like the FTGO application have a habit of outgrowing the monolithic architecture. Each sprint, the FTGO development team implemented a few more stories, which made the code base larger.</w:t>
      </w:r>
    </w:p>
    <w:p w14:paraId="2D120541" w14:textId="0E01E8D4" w:rsidR="00EB5876" w:rsidRDefault="00EB5876" w:rsidP="0006238E">
      <w:pPr>
        <w:pStyle w:val="ListParagraph"/>
        <w:numPr>
          <w:ilvl w:val="0"/>
          <w:numId w:val="41"/>
        </w:numPr>
        <w:autoSpaceDE w:val="0"/>
        <w:autoSpaceDN w:val="0"/>
        <w:adjustRightInd w:val="0"/>
        <w:spacing w:after="0"/>
        <w:rPr>
          <w:rFonts w:ascii="NewBaskerville-Roman" w:hAnsi="NewBaskerville-Roman" w:cs="NewBaskerville-Roman"/>
          <w:color w:val="262626"/>
          <w:sz w:val="20"/>
          <w:szCs w:val="20"/>
        </w:rPr>
      </w:pPr>
      <w:r w:rsidRPr="0006238E">
        <w:rPr>
          <w:rFonts w:ascii="NewBaskerville-Roman" w:hAnsi="NewBaskerville-Roman" w:cs="NewBaskerville-Roman"/>
          <w:color w:val="262626"/>
          <w:sz w:val="20"/>
          <w:szCs w:val="20"/>
        </w:rPr>
        <w:t>Moreover, as the company became more successful, the size of the development team steadily grew. Not only did this increase the growth rate of the code base, it also increased the management overhead.</w:t>
      </w:r>
    </w:p>
    <w:p w14:paraId="3D4AA12C" w14:textId="77777777" w:rsidR="003E45DA" w:rsidRDefault="00284631" w:rsidP="00C66CDF">
      <w:pPr>
        <w:pStyle w:val="NoSpacing"/>
        <w:numPr>
          <w:ilvl w:val="0"/>
          <w:numId w:val="41"/>
        </w:numPr>
      </w:pPr>
      <w:r w:rsidRPr="00284631">
        <w:t>As figure 1.2 shows, the once small, simple FTGO application has grown over the</w:t>
      </w:r>
      <w:r>
        <w:t xml:space="preserve"> </w:t>
      </w:r>
      <w:r w:rsidRPr="00284631">
        <w:t>years into a monstrous monolith. Similarly, the small development team has now</w:t>
      </w:r>
      <w:r>
        <w:t xml:space="preserve"> </w:t>
      </w:r>
      <w:r w:rsidRPr="00284631">
        <w:t>become multiple Scrum teams, each of which works on a particular functional area.</w:t>
      </w:r>
      <w:r>
        <w:t xml:space="preserve"> </w:t>
      </w:r>
      <w:r w:rsidRPr="00284631">
        <w:lastRenderedPageBreak/>
        <w:t xml:space="preserve">As a result of outgrowing its architecture, FTGO is in monolithic hell. </w:t>
      </w:r>
      <w:r w:rsidRPr="00C66CDF">
        <w:rPr>
          <w:b/>
          <w:bCs/>
        </w:rPr>
        <w:t>Development is slow and painful</w:t>
      </w:r>
      <w:r w:rsidRPr="00284631">
        <w:t xml:space="preserve">. </w:t>
      </w:r>
      <w:r w:rsidRPr="00C66CDF">
        <w:rPr>
          <w:b/>
          <w:bCs/>
        </w:rPr>
        <w:t>Agile development and deployment is impossible</w:t>
      </w:r>
      <w:r w:rsidRPr="00284631">
        <w:t xml:space="preserve">. </w:t>
      </w:r>
    </w:p>
    <w:p w14:paraId="05460322" w14:textId="77777777" w:rsidR="003E45DA" w:rsidRDefault="003E45DA" w:rsidP="003E45DA">
      <w:pPr>
        <w:pStyle w:val="NoSpacing"/>
        <w:ind w:left="720"/>
      </w:pPr>
    </w:p>
    <w:p w14:paraId="241A6607" w14:textId="0606E5D5" w:rsidR="003E45DA" w:rsidRDefault="003E45DA" w:rsidP="004643A2">
      <w:pPr>
        <w:pStyle w:val="NoSpacing"/>
        <w:ind w:left="720"/>
        <w:jc w:val="center"/>
      </w:pPr>
      <w:r>
        <w:rPr>
          <w:noProof/>
        </w:rPr>
        <w:drawing>
          <wp:inline distT="0" distB="0" distL="0" distR="0" wp14:anchorId="51ABCBCF" wp14:editId="1538C854">
            <wp:extent cx="3570692" cy="2426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1640" cy="2433774"/>
                    </a:xfrm>
                    <a:prstGeom prst="rect">
                      <a:avLst/>
                    </a:prstGeom>
                  </pic:spPr>
                </pic:pic>
              </a:graphicData>
            </a:graphic>
          </wp:inline>
        </w:drawing>
      </w:r>
    </w:p>
    <w:p w14:paraId="6DAD9848" w14:textId="77777777" w:rsidR="003E45DA" w:rsidRDefault="003E45DA" w:rsidP="003E45DA">
      <w:pPr>
        <w:pStyle w:val="NoSpacing"/>
        <w:ind w:left="720"/>
      </w:pPr>
    </w:p>
    <w:p w14:paraId="27FA83DC" w14:textId="77777777" w:rsidR="003E45DA" w:rsidRDefault="003E45DA" w:rsidP="003E45DA">
      <w:pPr>
        <w:pStyle w:val="NoSpacing"/>
        <w:ind w:left="720"/>
      </w:pPr>
    </w:p>
    <w:p w14:paraId="7A4DC369" w14:textId="37B7F9E4" w:rsidR="00284631" w:rsidRDefault="00284631" w:rsidP="003E45DA">
      <w:pPr>
        <w:pStyle w:val="NoSpacing"/>
        <w:ind w:left="720"/>
      </w:pPr>
      <w:r w:rsidRPr="00284631">
        <w:t>Let’s look at why</w:t>
      </w:r>
      <w:r>
        <w:t xml:space="preserve"> this has happened</w:t>
      </w:r>
      <w:r w:rsidR="008858F4">
        <w:t>:</w:t>
      </w:r>
    </w:p>
    <w:p w14:paraId="677F3978" w14:textId="7A0A2B14" w:rsidR="004E21B5" w:rsidRDefault="00CD4956" w:rsidP="00CD4956">
      <w:pPr>
        <w:pStyle w:val="Heading3"/>
      </w:pPr>
      <w:r>
        <w:t>Complexity Intimidates Developers</w:t>
      </w:r>
    </w:p>
    <w:p w14:paraId="732389A3" w14:textId="0DCF1EDF" w:rsidR="00CD4956" w:rsidRDefault="00600140" w:rsidP="00600140">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 major problem with the FTGO application is that it’s too complex. </w:t>
      </w:r>
      <w:r w:rsidRPr="00FC3B8D">
        <w:rPr>
          <w:rFonts w:ascii="NewBaskerville-Roman" w:hAnsi="NewBaskerville-Roman" w:cs="NewBaskerville-Roman"/>
          <w:b/>
          <w:bCs/>
          <w:color w:val="262626"/>
          <w:sz w:val="20"/>
          <w:szCs w:val="20"/>
        </w:rPr>
        <w:t>It’s too large for any developer to fully understand</w:t>
      </w:r>
      <w:r>
        <w:rPr>
          <w:rFonts w:ascii="NewBaskerville-Roman" w:hAnsi="NewBaskerville-Roman" w:cs="NewBaskerville-Roman"/>
          <w:color w:val="262626"/>
          <w:sz w:val="20"/>
          <w:szCs w:val="20"/>
        </w:rPr>
        <w:t>. As a result, fixing bugs and correctly implementing new features have become difficult and time consuming. Deadlines are missed.</w:t>
      </w:r>
    </w:p>
    <w:p w14:paraId="5DDFF9EC" w14:textId="6B4F7760" w:rsidR="003A7931" w:rsidRDefault="003A7931" w:rsidP="0071586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To make matters worse, this overwhelming complexity tends to be a downward spiral. </w:t>
      </w:r>
      <w:r w:rsidRPr="00613706">
        <w:rPr>
          <w:rFonts w:ascii="NewBaskerville-Roman" w:hAnsi="NewBaskerville-Roman" w:cs="NewBaskerville-Roman"/>
          <w:b/>
          <w:bCs/>
          <w:color w:val="262626"/>
          <w:sz w:val="20"/>
          <w:szCs w:val="20"/>
        </w:rPr>
        <w:t>If the code base is difficult to understand, a developer won’t make changes correctly</w:t>
      </w:r>
      <w:r>
        <w:rPr>
          <w:rFonts w:ascii="NewBaskerville-Roman" w:hAnsi="NewBaskerville-Roman" w:cs="NewBaskerville-Roman"/>
          <w:color w:val="262626"/>
          <w:sz w:val="20"/>
          <w:szCs w:val="20"/>
        </w:rPr>
        <w:t>. Each change makes the code base incrementally more complex and harder to understand.</w:t>
      </w:r>
      <w:r w:rsidR="00715865">
        <w:rPr>
          <w:rFonts w:ascii="NewBaskerville-Roman" w:hAnsi="NewBaskerville-Roman" w:cs="NewBaskerville-Roman"/>
          <w:color w:val="262626"/>
          <w:sz w:val="20"/>
          <w:szCs w:val="20"/>
        </w:rPr>
        <w:t xml:space="preserve"> The clean, modular architecture shown earlier in figure 1.1 doesn’t reflect reality. FTGO is gradually becoming a monstrous, incomprehensible, big ball of mud.</w:t>
      </w:r>
    </w:p>
    <w:p w14:paraId="62A39502" w14:textId="304F499D" w:rsidR="00936F50" w:rsidRDefault="00936F50" w:rsidP="00936F50">
      <w:pPr>
        <w:pStyle w:val="Heading3"/>
      </w:pPr>
      <w:r>
        <w:t>Development is Slow</w:t>
      </w:r>
    </w:p>
    <w:p w14:paraId="6CC7D4B7" w14:textId="3C4E7708" w:rsidR="00936F50" w:rsidRDefault="00936F50" w:rsidP="00936F50">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As well as having to fight overwhelming complexity, FTGO developers find day-to-day development tasks slow. The large application overloads and slows down a developer’s IDE. Building the FTGO application takes a long time. Moreover, because it’s so large, the application takes a long time to start up. As a result, the edit-build-run-test loop takes a long time, which badly impacts productivity.</w:t>
      </w:r>
    </w:p>
    <w:p w14:paraId="2939323E" w14:textId="30843301" w:rsidR="001C277B" w:rsidRDefault="005752FE" w:rsidP="001C277B">
      <w:pPr>
        <w:pStyle w:val="Heading3"/>
      </w:pPr>
      <w:r>
        <w:t>Path from Commit to Deployment is Long and Arduous</w:t>
      </w:r>
    </w:p>
    <w:p w14:paraId="727EF781" w14:textId="5524167E" w:rsidR="005752FE" w:rsidRDefault="00B3151C" w:rsidP="003436C3">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Another problem with the FTGO application is that deploying changes into production is a long and painful process. The team typically deploys updates to production once a month, usually late on a Friday or Saturday night.</w:t>
      </w:r>
      <w:r w:rsidR="003436C3">
        <w:rPr>
          <w:rFonts w:ascii="NewBaskerville-Roman" w:hAnsi="NewBaskerville-Roman" w:cs="NewBaskerville-Roman"/>
          <w:color w:val="262626"/>
          <w:sz w:val="20"/>
          <w:szCs w:val="20"/>
        </w:rPr>
        <w:t xml:space="preserve"> It’s heard that the state-of-the-art for Software-as-a-Service (SaaS) applications is </w:t>
      </w:r>
      <w:r w:rsidR="003436C3" w:rsidRPr="000D4F34">
        <w:rPr>
          <w:rFonts w:ascii="NewBaskerville-Italic" w:hAnsi="NewBaskerville-Italic" w:cs="NewBaskerville-Italic"/>
          <w:b/>
          <w:bCs/>
          <w:i/>
          <w:iCs/>
          <w:color w:val="262626"/>
          <w:sz w:val="20"/>
          <w:szCs w:val="20"/>
        </w:rPr>
        <w:t>continuous deployment</w:t>
      </w:r>
      <w:r w:rsidR="003436C3" w:rsidRPr="000D4F34">
        <w:rPr>
          <w:rFonts w:ascii="NewBaskerville-Roman" w:hAnsi="NewBaskerville-Roman" w:cs="NewBaskerville-Roman"/>
          <w:b/>
          <w:bCs/>
          <w:color w:val="262626"/>
          <w:sz w:val="20"/>
          <w:szCs w:val="20"/>
        </w:rPr>
        <w:t>:</w:t>
      </w:r>
      <w:r w:rsidR="000D4F34" w:rsidRPr="000D4F34">
        <w:rPr>
          <w:rFonts w:ascii="NewBaskerville-Roman" w:hAnsi="NewBaskerville-Roman" w:cs="NewBaskerville-Roman"/>
          <w:b/>
          <w:bCs/>
          <w:color w:val="262626"/>
          <w:sz w:val="20"/>
          <w:szCs w:val="20"/>
        </w:rPr>
        <w:t xml:space="preserve"> deploying changes to production many times a day during business hours</w:t>
      </w:r>
      <w:r w:rsidR="000D4F34">
        <w:rPr>
          <w:rFonts w:ascii="NewBaskerville-Roman" w:hAnsi="NewBaskerville-Roman" w:cs="NewBaskerville-Roman"/>
          <w:b/>
          <w:bCs/>
          <w:color w:val="262626"/>
          <w:sz w:val="20"/>
          <w:szCs w:val="20"/>
        </w:rPr>
        <w:t>.</w:t>
      </w:r>
    </w:p>
    <w:p w14:paraId="647FCC1F" w14:textId="29874BDD" w:rsidR="000D4F34" w:rsidRDefault="007538EC" w:rsidP="00C50D1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as of 2011, Amazon.com deployed a change </w:t>
      </w:r>
      <w:r w:rsidRPr="007538EC">
        <w:rPr>
          <w:rFonts w:ascii="NewBaskerville-Roman" w:hAnsi="NewBaskerville-Roman" w:cs="NewBaskerville-Roman"/>
          <w:b/>
          <w:bCs/>
          <w:color w:val="262626"/>
          <w:sz w:val="20"/>
          <w:szCs w:val="20"/>
        </w:rPr>
        <w:t>into production every 11.6 seconds</w:t>
      </w:r>
      <w:r>
        <w:rPr>
          <w:rFonts w:ascii="NewBaskerville-Roman" w:hAnsi="NewBaskerville-Roman" w:cs="NewBaskerville-Roman"/>
          <w:color w:val="262626"/>
          <w:sz w:val="20"/>
          <w:szCs w:val="20"/>
        </w:rPr>
        <w:t xml:space="preserve"> without ever impacting the user! For the FTGO developers, updating production more than once a month seems</w:t>
      </w:r>
      <w:r w:rsidR="00C50D1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like a distant dream. And adopting continuous deployment</w:t>
      </w:r>
      <w:r w:rsidR="00C50D1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seems next to impossible.</w:t>
      </w:r>
    </w:p>
    <w:p w14:paraId="467632C7" w14:textId="3F86DFCC" w:rsidR="00132838" w:rsidRDefault="00132838" w:rsidP="00C50D14">
      <w:pPr>
        <w:autoSpaceDE w:val="0"/>
        <w:autoSpaceDN w:val="0"/>
        <w:adjustRightInd w:val="0"/>
        <w:spacing w:after="0"/>
        <w:rPr>
          <w:rFonts w:ascii="NewBaskerville-Roman" w:hAnsi="NewBaskerville-Roman" w:cs="NewBaskerville-Roman"/>
          <w:color w:val="262626"/>
          <w:sz w:val="20"/>
          <w:szCs w:val="20"/>
        </w:rPr>
      </w:pPr>
    </w:p>
    <w:p w14:paraId="329A928D" w14:textId="4826701D" w:rsidR="00EC5CA7" w:rsidRDefault="00132838" w:rsidP="00EC5CA7">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FTGO has partially adopted agile. The engineering team is divided into squads</w:t>
      </w:r>
      <w:r w:rsidR="004F5C2D">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and uses two-week sprints. Unfortunately, the journey from code complete to running</w:t>
      </w:r>
      <w:r w:rsidR="004F5C2D">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in production is long and arduous.</w:t>
      </w:r>
      <w:r w:rsidR="00EC5CA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One problem with so many developers committing</w:t>
      </w:r>
      <w:r w:rsidR="004F5C2D">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to the same code base is that the build is</w:t>
      </w:r>
      <w:r w:rsidR="00EC5CA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frequently in an un</w:t>
      </w:r>
      <w:r w:rsidR="00B8727F">
        <w:rPr>
          <w:rFonts w:ascii="NewBaskerville-Roman" w:hAnsi="NewBaskerville-Roman" w:cs="NewBaskerville-Roman"/>
          <w:color w:val="262626"/>
          <w:sz w:val="20"/>
          <w:szCs w:val="20"/>
        </w:rPr>
        <w:t>-</w:t>
      </w:r>
      <w:r>
        <w:rPr>
          <w:rFonts w:ascii="NewBaskerville-Roman" w:hAnsi="NewBaskerville-Roman" w:cs="NewBaskerville-Roman"/>
          <w:color w:val="262626"/>
          <w:sz w:val="20"/>
          <w:szCs w:val="20"/>
        </w:rPr>
        <w:t>releasable state. When the</w:t>
      </w:r>
      <w:r w:rsidR="006A325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FTGO developers tried to solve this problem by using</w:t>
      </w:r>
      <w:r w:rsidR="00EC5CA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lastRenderedPageBreak/>
        <w:t>feature branches, their attempt</w:t>
      </w:r>
      <w:r w:rsidR="00EC5CA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resulted in lengthy, painful merges. Consequently, once a team completes its sprint, a</w:t>
      </w:r>
      <w:r w:rsidR="00EC5CA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long period of testing and code stabilization follows.</w:t>
      </w:r>
    </w:p>
    <w:p w14:paraId="05A7EEF7" w14:textId="77777777" w:rsidR="00EC5CA7" w:rsidRDefault="00EC5CA7" w:rsidP="00EC5CA7">
      <w:pPr>
        <w:autoSpaceDE w:val="0"/>
        <w:autoSpaceDN w:val="0"/>
        <w:adjustRightInd w:val="0"/>
        <w:spacing w:after="0"/>
        <w:rPr>
          <w:rFonts w:ascii="NewBaskerville-Roman" w:hAnsi="NewBaskerville-Roman" w:cs="NewBaskerville-Roman"/>
          <w:color w:val="262626"/>
          <w:sz w:val="20"/>
          <w:szCs w:val="20"/>
        </w:rPr>
      </w:pPr>
    </w:p>
    <w:p w14:paraId="34447757" w14:textId="305EA23C" w:rsidR="00132838" w:rsidRDefault="00132838" w:rsidP="00327D6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Another reason it takes so long to get changes into production is that testing takes</w:t>
      </w:r>
      <w:r w:rsidR="00327D6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 long time. Because the code base is so complex and the impact of a change isn’t well</w:t>
      </w:r>
      <w:r w:rsidR="00327D6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understood, developers and the Continuous Integration (CI) server must run the</w:t>
      </w:r>
      <w:r w:rsidR="00327D6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entire test suite. Some parts of the system even require manual testing. It also takes a</w:t>
      </w:r>
      <w:r w:rsidR="00327D6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while to diagnose and fix the cause of a test failure. As a result, it takes a couple of days</w:t>
      </w:r>
      <w:r w:rsidR="00327D6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to complete a testing cycle.</w:t>
      </w:r>
    </w:p>
    <w:p w14:paraId="39829577" w14:textId="61ACBC83" w:rsidR="008F6682" w:rsidRDefault="008F6682" w:rsidP="00327D64">
      <w:pPr>
        <w:autoSpaceDE w:val="0"/>
        <w:autoSpaceDN w:val="0"/>
        <w:adjustRightInd w:val="0"/>
        <w:spacing w:after="0"/>
        <w:rPr>
          <w:rFonts w:ascii="NewBaskerville-Roman" w:hAnsi="NewBaskerville-Roman" w:cs="NewBaskerville-Roman"/>
          <w:color w:val="262626"/>
          <w:sz w:val="20"/>
          <w:szCs w:val="20"/>
        </w:rPr>
      </w:pPr>
    </w:p>
    <w:p w14:paraId="3AC8D5F7" w14:textId="71ECB43C" w:rsidR="008F6682" w:rsidRDefault="008F6682" w:rsidP="008F6682">
      <w:pPr>
        <w:pStyle w:val="Heading3"/>
      </w:pPr>
      <w:r>
        <w:t>Scaling is Difficult</w:t>
      </w:r>
    </w:p>
    <w:p w14:paraId="0013F3B2" w14:textId="5CE8F9A0" w:rsidR="008F6682" w:rsidRDefault="00EE02B9" w:rsidP="00EE02B9">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FTGO team also has problems scaling its application. That’s because different application modules have conflicting resource requirements. The restaurant data, for example, is stored in a large, in-memory database, </w:t>
      </w:r>
      <w:r w:rsidRPr="00D5297F">
        <w:rPr>
          <w:rFonts w:ascii="NewBaskerville-Roman" w:hAnsi="NewBaskerville-Roman" w:cs="NewBaskerville-Roman"/>
          <w:b/>
          <w:bCs/>
          <w:color w:val="262626"/>
          <w:sz w:val="20"/>
          <w:szCs w:val="20"/>
        </w:rPr>
        <w:t>which is ideally deployed on servers with lots of memory</w:t>
      </w:r>
      <w:r>
        <w:rPr>
          <w:rFonts w:ascii="NewBaskerville-Roman" w:hAnsi="NewBaskerville-Roman" w:cs="NewBaskerville-Roman"/>
          <w:color w:val="262626"/>
          <w:sz w:val="20"/>
          <w:szCs w:val="20"/>
        </w:rPr>
        <w:t xml:space="preserve">. </w:t>
      </w:r>
      <w:r w:rsidRPr="00D5297F">
        <w:rPr>
          <w:rFonts w:ascii="NewBaskerville-Roman" w:hAnsi="NewBaskerville-Roman" w:cs="NewBaskerville-Roman"/>
          <w:b/>
          <w:bCs/>
          <w:color w:val="262626"/>
          <w:sz w:val="20"/>
          <w:szCs w:val="20"/>
        </w:rPr>
        <w:t>In contrast, the image processing module is CPU intensive and best deployed on servers with lots of CPU</w:t>
      </w:r>
      <w:r>
        <w:rPr>
          <w:rFonts w:ascii="NewBaskerville-Roman" w:hAnsi="NewBaskerville-Roman" w:cs="NewBaskerville-Roman"/>
          <w:color w:val="262626"/>
          <w:sz w:val="20"/>
          <w:szCs w:val="20"/>
        </w:rPr>
        <w:t>. Because these modules are part of the same application, FTGO must compromise on the server configuration.</w:t>
      </w:r>
    </w:p>
    <w:p w14:paraId="70BD5D44" w14:textId="3F1D8C6E" w:rsidR="00566DFD" w:rsidRDefault="00566DFD" w:rsidP="00566DFD">
      <w:pPr>
        <w:pStyle w:val="Heading3"/>
      </w:pPr>
      <w:r>
        <w:t>Delivering a Reliable Monolith is Challenging</w:t>
      </w:r>
    </w:p>
    <w:p w14:paraId="6BA12EBA" w14:textId="1F970FE2" w:rsidR="00566DFD" w:rsidRDefault="000B7DE8" w:rsidP="000B7DE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Another problem with the FTGO application is the lack of reliability. As a result, there are frequent production outages. One reason it’s unreliable is that testing the application thoroughly is difficult, due to its large size. This lack of testability means bugs make their way into production. To make matters worse, the application lacks </w:t>
      </w:r>
      <w:r>
        <w:rPr>
          <w:rFonts w:ascii="NewBaskerville-Italic" w:hAnsi="NewBaskerville-Italic" w:cs="NewBaskerville-Italic"/>
          <w:i/>
          <w:iCs/>
          <w:color w:val="262626"/>
          <w:sz w:val="20"/>
          <w:szCs w:val="20"/>
        </w:rPr>
        <w:t>fault isolation</w:t>
      </w:r>
      <w:r>
        <w:rPr>
          <w:rFonts w:ascii="NewBaskerville-Roman" w:hAnsi="NewBaskerville-Roman" w:cs="NewBaskerville-Roman"/>
          <w:color w:val="262626"/>
          <w:sz w:val="20"/>
          <w:szCs w:val="20"/>
        </w:rPr>
        <w:t>, because all modules are running within the same process. Every so often, a bug in one module—for example, a memory leak—crashes all instances of the application, one by one. The FTGO developers don’t enjoy being paged in the middle of the night because of a production outage. The business people like the loss of revenue and trust even less.</w:t>
      </w:r>
    </w:p>
    <w:p w14:paraId="01490ED9" w14:textId="6F5E2ACE" w:rsidR="002329B3" w:rsidRDefault="002329B3" w:rsidP="002329B3">
      <w:pPr>
        <w:pStyle w:val="Heading3"/>
      </w:pPr>
      <w:r>
        <w:t>Locked into Increasingly Obsolete Technology Stack</w:t>
      </w:r>
    </w:p>
    <w:p w14:paraId="4B46F6FA" w14:textId="529C3406" w:rsidR="00B862C5" w:rsidRDefault="00EA03A6" w:rsidP="00B862C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final aspect of monolithic hell experienced by the FTGO team is that the architecture forces them to use a technology stack that’s becoming increasingly obsolete. The monolithic architecture makes it difficult to adopt new frameworks and languages. It would be extremely expensive and risky to rewrite the entire monolithic application so that it would use a new and presumably better technology. Consequently, developers</w:t>
      </w:r>
      <w:r w:rsidR="00B862C5">
        <w:rPr>
          <w:rFonts w:ascii="NewBaskerville-Roman" w:hAnsi="NewBaskerville-Roman" w:cs="NewBaskerville-Roman"/>
          <w:color w:val="262626"/>
          <w:sz w:val="20"/>
          <w:szCs w:val="20"/>
        </w:rPr>
        <w:t xml:space="preserve"> are stuck with the technology choices they made at the start of the project. Quite often, they must maintain an application written using an increasingly obsolete technology stack.</w:t>
      </w:r>
    </w:p>
    <w:p w14:paraId="4D84B0D5" w14:textId="77777777" w:rsidR="00B80C42" w:rsidRDefault="00B80C42" w:rsidP="00B862C5">
      <w:pPr>
        <w:autoSpaceDE w:val="0"/>
        <w:autoSpaceDN w:val="0"/>
        <w:adjustRightInd w:val="0"/>
        <w:spacing w:after="0"/>
        <w:rPr>
          <w:rFonts w:ascii="NewBaskerville-Roman" w:hAnsi="NewBaskerville-Roman" w:cs="NewBaskerville-Roman"/>
          <w:color w:val="262626"/>
          <w:sz w:val="20"/>
          <w:szCs w:val="20"/>
        </w:rPr>
      </w:pPr>
    </w:p>
    <w:p w14:paraId="4FC1A596" w14:textId="7680AF5F" w:rsidR="00B862C5" w:rsidRDefault="00B862C5" w:rsidP="00675AAA">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Spring framework has continued to evolve while being backward compatible,</w:t>
      </w:r>
      <w:r w:rsidR="00B249A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so in theory FTGO might have been able to upgrade. Unfortunately, the FTGO application</w:t>
      </w:r>
      <w:r w:rsidR="00B249A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uses versions of frameworks that are incompatible with newer versions of Spring.</w:t>
      </w:r>
      <w:r w:rsidR="00B249A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 development team has never found the time to upgrade those frameworks. As a</w:t>
      </w:r>
      <w:r w:rsidR="00675AA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result, major parts of the application are written using increasingly out-of-date frameworks.</w:t>
      </w:r>
    </w:p>
    <w:p w14:paraId="41D4C11A" w14:textId="77777777" w:rsidR="00B80C42" w:rsidRDefault="00B80C42" w:rsidP="00675AAA">
      <w:pPr>
        <w:autoSpaceDE w:val="0"/>
        <w:autoSpaceDN w:val="0"/>
        <w:adjustRightInd w:val="0"/>
        <w:spacing w:after="0"/>
        <w:rPr>
          <w:rFonts w:ascii="NewBaskerville-Roman" w:hAnsi="NewBaskerville-Roman" w:cs="NewBaskerville-Roman"/>
          <w:color w:val="262626"/>
          <w:sz w:val="20"/>
          <w:szCs w:val="20"/>
        </w:rPr>
      </w:pPr>
    </w:p>
    <w:p w14:paraId="0A9D1521" w14:textId="478DDC3F" w:rsidR="002329B3" w:rsidRDefault="00B862C5" w:rsidP="008D115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What’s more, the FTGO developers would like to experiment with non-JVM</w:t>
      </w:r>
      <w:r w:rsidR="008D115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languages such as GoLang and NodeJS. Sadly, that’s not possible with a monolithic</w:t>
      </w:r>
      <w:r w:rsidR="008D115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application.</w:t>
      </w:r>
    </w:p>
    <w:p w14:paraId="28472D23" w14:textId="32563268" w:rsidR="002F35EC" w:rsidRDefault="002F35EC" w:rsidP="002F35EC">
      <w:pPr>
        <w:pStyle w:val="Heading1"/>
      </w:pPr>
      <w:r>
        <w:t>Microservices to Rescue</w:t>
      </w:r>
    </w:p>
    <w:p w14:paraId="2FD8A0E4" w14:textId="77777777" w:rsidR="002F35EC" w:rsidRPr="002F35EC" w:rsidRDefault="002F35EC" w:rsidP="002F35EC"/>
    <w:sectPr w:rsidR="002F35EC" w:rsidRPr="002F35EC"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5F30C" w14:textId="77777777" w:rsidR="00837B42" w:rsidRDefault="00837B42" w:rsidP="00690890">
      <w:pPr>
        <w:spacing w:after="0"/>
      </w:pPr>
      <w:r>
        <w:separator/>
      </w:r>
    </w:p>
  </w:endnote>
  <w:endnote w:type="continuationSeparator" w:id="0">
    <w:p w14:paraId="3DD48E2A" w14:textId="77777777" w:rsidR="00837B42" w:rsidRDefault="00837B42"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Wingdings2">
    <w:altName w:val="Microsoft JhengHei"/>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D5E24" w14:textId="77777777" w:rsidR="00837B42" w:rsidRDefault="00837B42" w:rsidP="00690890">
      <w:pPr>
        <w:spacing w:after="0"/>
      </w:pPr>
      <w:r>
        <w:separator/>
      </w:r>
    </w:p>
  </w:footnote>
  <w:footnote w:type="continuationSeparator" w:id="0">
    <w:p w14:paraId="5104ED14" w14:textId="77777777" w:rsidR="00837B42" w:rsidRDefault="00837B42"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333E40"/>
    <w:multiLevelType w:val="hybridMultilevel"/>
    <w:tmpl w:val="D4AA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5"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6"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CD63F4"/>
    <w:multiLevelType w:val="hybridMultilevel"/>
    <w:tmpl w:val="CC823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7BC03F2"/>
    <w:multiLevelType w:val="hybridMultilevel"/>
    <w:tmpl w:val="11ECF47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3"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7921460"/>
    <w:multiLevelType w:val="hybridMultilevel"/>
    <w:tmpl w:val="84A4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9C17D2"/>
    <w:multiLevelType w:val="hybridMultilevel"/>
    <w:tmpl w:val="37562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A13687"/>
    <w:multiLevelType w:val="hybridMultilevel"/>
    <w:tmpl w:val="BA4A5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37239F"/>
    <w:multiLevelType w:val="hybridMultilevel"/>
    <w:tmpl w:val="03FE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AC3FA8"/>
    <w:multiLevelType w:val="hybridMultilevel"/>
    <w:tmpl w:val="ED88F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017737"/>
    <w:multiLevelType w:val="hybridMultilevel"/>
    <w:tmpl w:val="30B6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3E172A"/>
    <w:multiLevelType w:val="hybridMultilevel"/>
    <w:tmpl w:val="C44E8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B41392"/>
    <w:multiLevelType w:val="hybridMultilevel"/>
    <w:tmpl w:val="FF50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3"/>
  </w:num>
  <w:num w:numId="11">
    <w:abstractNumId w:val="30"/>
  </w:num>
  <w:num w:numId="12">
    <w:abstractNumId w:val="24"/>
  </w:num>
  <w:num w:numId="13">
    <w:abstractNumId w:val="13"/>
  </w:num>
  <w:num w:numId="14">
    <w:abstractNumId w:val="11"/>
  </w:num>
  <w:num w:numId="15">
    <w:abstractNumId w:val="31"/>
  </w:num>
  <w:num w:numId="16">
    <w:abstractNumId w:val="9"/>
  </w:num>
  <w:num w:numId="17">
    <w:abstractNumId w:val="19"/>
  </w:num>
  <w:num w:numId="18">
    <w:abstractNumId w:val="36"/>
  </w:num>
  <w:num w:numId="19">
    <w:abstractNumId w:val="37"/>
  </w:num>
  <w:num w:numId="20">
    <w:abstractNumId w:val="38"/>
  </w:num>
  <w:num w:numId="21">
    <w:abstractNumId w:val="12"/>
  </w:num>
  <w:num w:numId="22">
    <w:abstractNumId w:val="17"/>
  </w:num>
  <w:num w:numId="23">
    <w:abstractNumId w:val="16"/>
  </w:num>
  <w:num w:numId="24">
    <w:abstractNumId w:val="33"/>
  </w:num>
  <w:num w:numId="25">
    <w:abstractNumId w:val="15"/>
  </w:num>
  <w:num w:numId="26">
    <w:abstractNumId w:val="14"/>
  </w:num>
  <w:num w:numId="27">
    <w:abstractNumId w:val="21"/>
  </w:num>
  <w:num w:numId="28">
    <w:abstractNumId w:val="26"/>
  </w:num>
  <w:num w:numId="29">
    <w:abstractNumId w:val="18"/>
  </w:num>
  <w:num w:numId="30">
    <w:abstractNumId w:val="29"/>
  </w:num>
  <w:num w:numId="31">
    <w:abstractNumId w:val="10"/>
  </w:num>
  <w:num w:numId="32">
    <w:abstractNumId w:val="25"/>
  </w:num>
  <w:num w:numId="33">
    <w:abstractNumId w:val="22"/>
  </w:num>
  <w:num w:numId="34">
    <w:abstractNumId w:val="32"/>
  </w:num>
  <w:num w:numId="35">
    <w:abstractNumId w:val="40"/>
  </w:num>
  <w:num w:numId="36">
    <w:abstractNumId w:val="27"/>
  </w:num>
  <w:num w:numId="37">
    <w:abstractNumId w:val="20"/>
  </w:num>
  <w:num w:numId="38">
    <w:abstractNumId w:val="34"/>
  </w:num>
  <w:num w:numId="39">
    <w:abstractNumId w:val="28"/>
  </w:num>
  <w:num w:numId="40">
    <w:abstractNumId w:val="35"/>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8F9"/>
    <w:rsid w:val="0001370C"/>
    <w:rsid w:val="000149A2"/>
    <w:rsid w:val="000176EA"/>
    <w:rsid w:val="00017E26"/>
    <w:rsid w:val="00022EAB"/>
    <w:rsid w:val="00024ACF"/>
    <w:rsid w:val="00027FE0"/>
    <w:rsid w:val="0003275E"/>
    <w:rsid w:val="00034616"/>
    <w:rsid w:val="000353A7"/>
    <w:rsid w:val="00036E5D"/>
    <w:rsid w:val="0004527B"/>
    <w:rsid w:val="00050DAC"/>
    <w:rsid w:val="0006063C"/>
    <w:rsid w:val="0006238E"/>
    <w:rsid w:val="00063A3C"/>
    <w:rsid w:val="00065138"/>
    <w:rsid w:val="000652B9"/>
    <w:rsid w:val="00071534"/>
    <w:rsid w:val="0008370D"/>
    <w:rsid w:val="000849B3"/>
    <w:rsid w:val="00085E79"/>
    <w:rsid w:val="000903F5"/>
    <w:rsid w:val="00093C0B"/>
    <w:rsid w:val="000A1195"/>
    <w:rsid w:val="000A687E"/>
    <w:rsid w:val="000B7DE8"/>
    <w:rsid w:val="000C67B9"/>
    <w:rsid w:val="000D2FF7"/>
    <w:rsid w:val="000D4F34"/>
    <w:rsid w:val="000E2D7F"/>
    <w:rsid w:val="000E57EF"/>
    <w:rsid w:val="00103A31"/>
    <w:rsid w:val="00114B4F"/>
    <w:rsid w:val="00126AB6"/>
    <w:rsid w:val="00127092"/>
    <w:rsid w:val="00132838"/>
    <w:rsid w:val="00137B5A"/>
    <w:rsid w:val="001448FD"/>
    <w:rsid w:val="001456BC"/>
    <w:rsid w:val="001459F6"/>
    <w:rsid w:val="00146C82"/>
    <w:rsid w:val="0015074B"/>
    <w:rsid w:val="00150EA8"/>
    <w:rsid w:val="00152531"/>
    <w:rsid w:val="001627A2"/>
    <w:rsid w:val="00166267"/>
    <w:rsid w:val="00170C2E"/>
    <w:rsid w:val="0017336E"/>
    <w:rsid w:val="00176D75"/>
    <w:rsid w:val="00177797"/>
    <w:rsid w:val="0018081C"/>
    <w:rsid w:val="00180E45"/>
    <w:rsid w:val="00183A24"/>
    <w:rsid w:val="00196BC6"/>
    <w:rsid w:val="00197120"/>
    <w:rsid w:val="001A2559"/>
    <w:rsid w:val="001A3BDF"/>
    <w:rsid w:val="001B1F95"/>
    <w:rsid w:val="001B7EE3"/>
    <w:rsid w:val="001C277B"/>
    <w:rsid w:val="001C7483"/>
    <w:rsid w:val="001D320B"/>
    <w:rsid w:val="001D3A65"/>
    <w:rsid w:val="001D6241"/>
    <w:rsid w:val="00202CBB"/>
    <w:rsid w:val="002032F9"/>
    <w:rsid w:val="0022412B"/>
    <w:rsid w:val="002260AA"/>
    <w:rsid w:val="00226502"/>
    <w:rsid w:val="00227769"/>
    <w:rsid w:val="002329B3"/>
    <w:rsid w:val="00232AF2"/>
    <w:rsid w:val="00240C4B"/>
    <w:rsid w:val="002433A4"/>
    <w:rsid w:val="00247D5F"/>
    <w:rsid w:val="00260A73"/>
    <w:rsid w:val="00261330"/>
    <w:rsid w:val="00263700"/>
    <w:rsid w:val="002651CE"/>
    <w:rsid w:val="00265C9C"/>
    <w:rsid w:val="00273BB2"/>
    <w:rsid w:val="00277300"/>
    <w:rsid w:val="00284631"/>
    <w:rsid w:val="0029239E"/>
    <w:rsid w:val="00292DE8"/>
    <w:rsid w:val="0029639D"/>
    <w:rsid w:val="002A10C1"/>
    <w:rsid w:val="002A1741"/>
    <w:rsid w:val="002B39D6"/>
    <w:rsid w:val="002B541A"/>
    <w:rsid w:val="002B726E"/>
    <w:rsid w:val="002C2D4F"/>
    <w:rsid w:val="002C75F1"/>
    <w:rsid w:val="002D3A43"/>
    <w:rsid w:val="002D623C"/>
    <w:rsid w:val="002E26BF"/>
    <w:rsid w:val="002F2839"/>
    <w:rsid w:val="002F35EC"/>
    <w:rsid w:val="002F69B1"/>
    <w:rsid w:val="002F7FB3"/>
    <w:rsid w:val="00301869"/>
    <w:rsid w:val="00322249"/>
    <w:rsid w:val="00326DC2"/>
    <w:rsid w:val="00326F90"/>
    <w:rsid w:val="00327D64"/>
    <w:rsid w:val="00332B9F"/>
    <w:rsid w:val="003436C3"/>
    <w:rsid w:val="00351733"/>
    <w:rsid w:val="00356D07"/>
    <w:rsid w:val="003603D2"/>
    <w:rsid w:val="00361321"/>
    <w:rsid w:val="00365FEC"/>
    <w:rsid w:val="00372F46"/>
    <w:rsid w:val="00382EA3"/>
    <w:rsid w:val="00386C37"/>
    <w:rsid w:val="00393CA0"/>
    <w:rsid w:val="003944D5"/>
    <w:rsid w:val="003953E7"/>
    <w:rsid w:val="00396631"/>
    <w:rsid w:val="003A1AD4"/>
    <w:rsid w:val="003A7931"/>
    <w:rsid w:val="003D2705"/>
    <w:rsid w:val="003E1EF4"/>
    <w:rsid w:val="003E45DA"/>
    <w:rsid w:val="003F51D5"/>
    <w:rsid w:val="00412601"/>
    <w:rsid w:val="0042061A"/>
    <w:rsid w:val="00423961"/>
    <w:rsid w:val="00434E33"/>
    <w:rsid w:val="00436AF3"/>
    <w:rsid w:val="00447D3B"/>
    <w:rsid w:val="0045186B"/>
    <w:rsid w:val="0045570A"/>
    <w:rsid w:val="00461638"/>
    <w:rsid w:val="004643A2"/>
    <w:rsid w:val="00481C59"/>
    <w:rsid w:val="0049077A"/>
    <w:rsid w:val="00491BEF"/>
    <w:rsid w:val="00492779"/>
    <w:rsid w:val="004940F4"/>
    <w:rsid w:val="004A6735"/>
    <w:rsid w:val="004B5B4A"/>
    <w:rsid w:val="004C1D8D"/>
    <w:rsid w:val="004E21B5"/>
    <w:rsid w:val="004F0E61"/>
    <w:rsid w:val="004F121A"/>
    <w:rsid w:val="004F4805"/>
    <w:rsid w:val="004F5C2D"/>
    <w:rsid w:val="004F6A7A"/>
    <w:rsid w:val="004F7B52"/>
    <w:rsid w:val="0050536A"/>
    <w:rsid w:val="00511329"/>
    <w:rsid w:val="00514F4F"/>
    <w:rsid w:val="00520EC8"/>
    <w:rsid w:val="0052252F"/>
    <w:rsid w:val="005225C2"/>
    <w:rsid w:val="00522EF0"/>
    <w:rsid w:val="0054000D"/>
    <w:rsid w:val="00542C52"/>
    <w:rsid w:val="00545ADE"/>
    <w:rsid w:val="00546950"/>
    <w:rsid w:val="00561A0D"/>
    <w:rsid w:val="00566DFD"/>
    <w:rsid w:val="005670A6"/>
    <w:rsid w:val="005752FE"/>
    <w:rsid w:val="005857C9"/>
    <w:rsid w:val="00585ED4"/>
    <w:rsid w:val="0059553C"/>
    <w:rsid w:val="005B752D"/>
    <w:rsid w:val="005D245D"/>
    <w:rsid w:val="005D3184"/>
    <w:rsid w:val="005D707D"/>
    <w:rsid w:val="005E0D42"/>
    <w:rsid w:val="005F34C6"/>
    <w:rsid w:val="00600140"/>
    <w:rsid w:val="006106C1"/>
    <w:rsid w:val="00613706"/>
    <w:rsid w:val="006251C6"/>
    <w:rsid w:val="00630B1B"/>
    <w:rsid w:val="00632E9D"/>
    <w:rsid w:val="00633B5E"/>
    <w:rsid w:val="00635DE3"/>
    <w:rsid w:val="00640710"/>
    <w:rsid w:val="006420DF"/>
    <w:rsid w:val="00651767"/>
    <w:rsid w:val="00651DC5"/>
    <w:rsid w:val="00652153"/>
    <w:rsid w:val="006555EB"/>
    <w:rsid w:val="00655C06"/>
    <w:rsid w:val="00675AAA"/>
    <w:rsid w:val="006770A4"/>
    <w:rsid w:val="00677FA3"/>
    <w:rsid w:val="00687DC7"/>
    <w:rsid w:val="00690890"/>
    <w:rsid w:val="00693E50"/>
    <w:rsid w:val="00695132"/>
    <w:rsid w:val="00695CFC"/>
    <w:rsid w:val="006A062B"/>
    <w:rsid w:val="006A3255"/>
    <w:rsid w:val="006A5836"/>
    <w:rsid w:val="006B3832"/>
    <w:rsid w:val="006B48BD"/>
    <w:rsid w:val="006B7069"/>
    <w:rsid w:val="006B7A84"/>
    <w:rsid w:val="006C632A"/>
    <w:rsid w:val="006D74F8"/>
    <w:rsid w:val="006E15A5"/>
    <w:rsid w:val="006E1F00"/>
    <w:rsid w:val="006E2678"/>
    <w:rsid w:val="006E27D5"/>
    <w:rsid w:val="006E2F4A"/>
    <w:rsid w:val="006F6E5F"/>
    <w:rsid w:val="0070403E"/>
    <w:rsid w:val="00706BF8"/>
    <w:rsid w:val="00715865"/>
    <w:rsid w:val="007313B5"/>
    <w:rsid w:val="00734058"/>
    <w:rsid w:val="00747886"/>
    <w:rsid w:val="0075165F"/>
    <w:rsid w:val="007538EC"/>
    <w:rsid w:val="00755940"/>
    <w:rsid w:val="00767650"/>
    <w:rsid w:val="0077026D"/>
    <w:rsid w:val="007771EB"/>
    <w:rsid w:val="007855AE"/>
    <w:rsid w:val="007920C5"/>
    <w:rsid w:val="0079692C"/>
    <w:rsid w:val="007A1FA4"/>
    <w:rsid w:val="007A6272"/>
    <w:rsid w:val="007A6624"/>
    <w:rsid w:val="007B12BE"/>
    <w:rsid w:val="007B1EDA"/>
    <w:rsid w:val="007B47DB"/>
    <w:rsid w:val="007B5FA1"/>
    <w:rsid w:val="007C05A2"/>
    <w:rsid w:val="007D4144"/>
    <w:rsid w:val="007D7A72"/>
    <w:rsid w:val="007E0687"/>
    <w:rsid w:val="007E0ECD"/>
    <w:rsid w:val="007E68B9"/>
    <w:rsid w:val="007F1997"/>
    <w:rsid w:val="007F39D4"/>
    <w:rsid w:val="007F6E4F"/>
    <w:rsid w:val="008033DD"/>
    <w:rsid w:val="008133F5"/>
    <w:rsid w:val="0083282D"/>
    <w:rsid w:val="00837B42"/>
    <w:rsid w:val="0084307D"/>
    <w:rsid w:val="008433F4"/>
    <w:rsid w:val="00871A3B"/>
    <w:rsid w:val="00871C70"/>
    <w:rsid w:val="008747AF"/>
    <w:rsid w:val="0087659E"/>
    <w:rsid w:val="00880676"/>
    <w:rsid w:val="008821CA"/>
    <w:rsid w:val="00882401"/>
    <w:rsid w:val="008858F4"/>
    <w:rsid w:val="008909FA"/>
    <w:rsid w:val="0089188B"/>
    <w:rsid w:val="008931C4"/>
    <w:rsid w:val="008961E8"/>
    <w:rsid w:val="008A2D0A"/>
    <w:rsid w:val="008A56A4"/>
    <w:rsid w:val="008B270B"/>
    <w:rsid w:val="008B414C"/>
    <w:rsid w:val="008C36B0"/>
    <w:rsid w:val="008C690C"/>
    <w:rsid w:val="008D1155"/>
    <w:rsid w:val="008D5A6D"/>
    <w:rsid w:val="008E0998"/>
    <w:rsid w:val="008E3659"/>
    <w:rsid w:val="008F0A92"/>
    <w:rsid w:val="008F6682"/>
    <w:rsid w:val="008F7566"/>
    <w:rsid w:val="00903A97"/>
    <w:rsid w:val="009106CF"/>
    <w:rsid w:val="0091193B"/>
    <w:rsid w:val="0091440B"/>
    <w:rsid w:val="00916A38"/>
    <w:rsid w:val="00920ED4"/>
    <w:rsid w:val="009221A9"/>
    <w:rsid w:val="009233BC"/>
    <w:rsid w:val="009248BA"/>
    <w:rsid w:val="009248FC"/>
    <w:rsid w:val="00930D78"/>
    <w:rsid w:val="009317AF"/>
    <w:rsid w:val="009349A1"/>
    <w:rsid w:val="00934EAF"/>
    <w:rsid w:val="00935160"/>
    <w:rsid w:val="00936E5F"/>
    <w:rsid w:val="00936F50"/>
    <w:rsid w:val="00955692"/>
    <w:rsid w:val="009573C1"/>
    <w:rsid w:val="00966803"/>
    <w:rsid w:val="009836AD"/>
    <w:rsid w:val="00992A18"/>
    <w:rsid w:val="00994FDE"/>
    <w:rsid w:val="009952D0"/>
    <w:rsid w:val="009B1E62"/>
    <w:rsid w:val="009D0D81"/>
    <w:rsid w:val="009D242B"/>
    <w:rsid w:val="009D29B3"/>
    <w:rsid w:val="00A03E98"/>
    <w:rsid w:val="00A06137"/>
    <w:rsid w:val="00A0686C"/>
    <w:rsid w:val="00A22907"/>
    <w:rsid w:val="00A24E5F"/>
    <w:rsid w:val="00A32154"/>
    <w:rsid w:val="00A40745"/>
    <w:rsid w:val="00A43F60"/>
    <w:rsid w:val="00A45583"/>
    <w:rsid w:val="00A46F74"/>
    <w:rsid w:val="00A57B34"/>
    <w:rsid w:val="00A6179F"/>
    <w:rsid w:val="00A628BE"/>
    <w:rsid w:val="00A77827"/>
    <w:rsid w:val="00A825DA"/>
    <w:rsid w:val="00A95761"/>
    <w:rsid w:val="00A9577A"/>
    <w:rsid w:val="00AA096C"/>
    <w:rsid w:val="00AA1D8D"/>
    <w:rsid w:val="00AA4CB7"/>
    <w:rsid w:val="00AA5556"/>
    <w:rsid w:val="00AB0259"/>
    <w:rsid w:val="00AB4506"/>
    <w:rsid w:val="00AC3D95"/>
    <w:rsid w:val="00AD5E28"/>
    <w:rsid w:val="00AE70CC"/>
    <w:rsid w:val="00AF112A"/>
    <w:rsid w:val="00AF4C36"/>
    <w:rsid w:val="00AF67AF"/>
    <w:rsid w:val="00B130DF"/>
    <w:rsid w:val="00B15A5B"/>
    <w:rsid w:val="00B249A4"/>
    <w:rsid w:val="00B24DA7"/>
    <w:rsid w:val="00B25689"/>
    <w:rsid w:val="00B25B1E"/>
    <w:rsid w:val="00B3151C"/>
    <w:rsid w:val="00B3417D"/>
    <w:rsid w:val="00B347D9"/>
    <w:rsid w:val="00B4430F"/>
    <w:rsid w:val="00B4653B"/>
    <w:rsid w:val="00B47519"/>
    <w:rsid w:val="00B47730"/>
    <w:rsid w:val="00B508FE"/>
    <w:rsid w:val="00B5266E"/>
    <w:rsid w:val="00B54665"/>
    <w:rsid w:val="00B66928"/>
    <w:rsid w:val="00B70B8A"/>
    <w:rsid w:val="00B754C5"/>
    <w:rsid w:val="00B80C42"/>
    <w:rsid w:val="00B81325"/>
    <w:rsid w:val="00B84E0B"/>
    <w:rsid w:val="00B862C5"/>
    <w:rsid w:val="00B8727F"/>
    <w:rsid w:val="00B907BA"/>
    <w:rsid w:val="00BA0993"/>
    <w:rsid w:val="00BA3C42"/>
    <w:rsid w:val="00BA4BAE"/>
    <w:rsid w:val="00BB0B86"/>
    <w:rsid w:val="00BB67E1"/>
    <w:rsid w:val="00BC0AD3"/>
    <w:rsid w:val="00BC29A8"/>
    <w:rsid w:val="00BD24E1"/>
    <w:rsid w:val="00BD3F86"/>
    <w:rsid w:val="00BE1200"/>
    <w:rsid w:val="00BE6109"/>
    <w:rsid w:val="00C06FA6"/>
    <w:rsid w:val="00C157CC"/>
    <w:rsid w:val="00C21602"/>
    <w:rsid w:val="00C24276"/>
    <w:rsid w:val="00C32479"/>
    <w:rsid w:val="00C3751A"/>
    <w:rsid w:val="00C40298"/>
    <w:rsid w:val="00C50D14"/>
    <w:rsid w:val="00C531B4"/>
    <w:rsid w:val="00C56E7E"/>
    <w:rsid w:val="00C621E9"/>
    <w:rsid w:val="00C637C0"/>
    <w:rsid w:val="00C66CDF"/>
    <w:rsid w:val="00C712F4"/>
    <w:rsid w:val="00C71FD6"/>
    <w:rsid w:val="00C7332A"/>
    <w:rsid w:val="00C736EC"/>
    <w:rsid w:val="00C76701"/>
    <w:rsid w:val="00C7704A"/>
    <w:rsid w:val="00C81318"/>
    <w:rsid w:val="00C96458"/>
    <w:rsid w:val="00CA0FBF"/>
    <w:rsid w:val="00CA13F6"/>
    <w:rsid w:val="00CB0664"/>
    <w:rsid w:val="00CC2378"/>
    <w:rsid w:val="00CC6190"/>
    <w:rsid w:val="00CC793B"/>
    <w:rsid w:val="00CD24AD"/>
    <w:rsid w:val="00CD342E"/>
    <w:rsid w:val="00CD4956"/>
    <w:rsid w:val="00CE0CDF"/>
    <w:rsid w:val="00CE0F89"/>
    <w:rsid w:val="00CE1F1F"/>
    <w:rsid w:val="00CE6CBC"/>
    <w:rsid w:val="00CF0908"/>
    <w:rsid w:val="00CF736D"/>
    <w:rsid w:val="00CF7CDB"/>
    <w:rsid w:val="00D15978"/>
    <w:rsid w:val="00D22ED8"/>
    <w:rsid w:val="00D26015"/>
    <w:rsid w:val="00D30FE6"/>
    <w:rsid w:val="00D3324F"/>
    <w:rsid w:val="00D33521"/>
    <w:rsid w:val="00D40A9E"/>
    <w:rsid w:val="00D46206"/>
    <w:rsid w:val="00D5297F"/>
    <w:rsid w:val="00D652AF"/>
    <w:rsid w:val="00D673C5"/>
    <w:rsid w:val="00D67E30"/>
    <w:rsid w:val="00D9179D"/>
    <w:rsid w:val="00D91A92"/>
    <w:rsid w:val="00D93448"/>
    <w:rsid w:val="00D963E5"/>
    <w:rsid w:val="00D96445"/>
    <w:rsid w:val="00DB08C1"/>
    <w:rsid w:val="00DB56C7"/>
    <w:rsid w:val="00DC5758"/>
    <w:rsid w:val="00DD1C20"/>
    <w:rsid w:val="00DD29B2"/>
    <w:rsid w:val="00DD425F"/>
    <w:rsid w:val="00DD5875"/>
    <w:rsid w:val="00DD767B"/>
    <w:rsid w:val="00DE0989"/>
    <w:rsid w:val="00DF34A8"/>
    <w:rsid w:val="00E01AED"/>
    <w:rsid w:val="00E033C7"/>
    <w:rsid w:val="00E04730"/>
    <w:rsid w:val="00E17A80"/>
    <w:rsid w:val="00E17E9D"/>
    <w:rsid w:val="00E204DB"/>
    <w:rsid w:val="00E358EB"/>
    <w:rsid w:val="00E4027C"/>
    <w:rsid w:val="00E42FBC"/>
    <w:rsid w:val="00E43375"/>
    <w:rsid w:val="00E43966"/>
    <w:rsid w:val="00E6599E"/>
    <w:rsid w:val="00E65A26"/>
    <w:rsid w:val="00E93985"/>
    <w:rsid w:val="00EA03A6"/>
    <w:rsid w:val="00EA3B1F"/>
    <w:rsid w:val="00EB5876"/>
    <w:rsid w:val="00EC09CF"/>
    <w:rsid w:val="00EC54A5"/>
    <w:rsid w:val="00EC5CA7"/>
    <w:rsid w:val="00ED3A90"/>
    <w:rsid w:val="00ED3C38"/>
    <w:rsid w:val="00EE02B9"/>
    <w:rsid w:val="00EE2690"/>
    <w:rsid w:val="00EE2C78"/>
    <w:rsid w:val="00EE7BCF"/>
    <w:rsid w:val="00EF66E3"/>
    <w:rsid w:val="00F01981"/>
    <w:rsid w:val="00F0358C"/>
    <w:rsid w:val="00F0501C"/>
    <w:rsid w:val="00F23B0D"/>
    <w:rsid w:val="00F255E5"/>
    <w:rsid w:val="00F45771"/>
    <w:rsid w:val="00F4686C"/>
    <w:rsid w:val="00F47D9C"/>
    <w:rsid w:val="00F700C4"/>
    <w:rsid w:val="00F70BF8"/>
    <w:rsid w:val="00F71DA6"/>
    <w:rsid w:val="00F805A2"/>
    <w:rsid w:val="00F8744C"/>
    <w:rsid w:val="00F87FF6"/>
    <w:rsid w:val="00F90BE6"/>
    <w:rsid w:val="00F90FF5"/>
    <w:rsid w:val="00F94823"/>
    <w:rsid w:val="00F96138"/>
    <w:rsid w:val="00F966A0"/>
    <w:rsid w:val="00FA0F93"/>
    <w:rsid w:val="00FA2485"/>
    <w:rsid w:val="00FB1A2F"/>
    <w:rsid w:val="00FB24D8"/>
    <w:rsid w:val="00FB5BEE"/>
    <w:rsid w:val="00FC3B8D"/>
    <w:rsid w:val="00FC693F"/>
    <w:rsid w:val="00FD0A16"/>
    <w:rsid w:val="00FD57DB"/>
    <w:rsid w:val="00FD6FC5"/>
    <w:rsid w:val="00FD7732"/>
    <w:rsid w:val="00FE13AC"/>
    <w:rsid w:val="00FE67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2822</TotalTime>
  <Pages>4</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453</cp:revision>
  <dcterms:created xsi:type="dcterms:W3CDTF">2013-12-23T23:15:00Z</dcterms:created>
  <dcterms:modified xsi:type="dcterms:W3CDTF">2024-11-12T18:05:00Z</dcterms:modified>
  <cp:category/>
</cp:coreProperties>
</file>