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w:t>
            </w:r>
            <w:proofErr w:type="gramStart"/>
            <w:r w:rsidR="00860497">
              <w:rPr>
                <w:rFonts w:asciiTheme="majorBidi" w:hAnsiTheme="majorBidi" w:cstheme="majorBidi"/>
              </w:rPr>
              <w:t>are</w:t>
            </w:r>
            <w:proofErr w:type="gramEnd"/>
            <w:r w:rsidR="00860497">
              <w:rPr>
                <w:rFonts w:asciiTheme="majorBidi" w:hAnsiTheme="majorBidi" w:cstheme="majorBidi"/>
              </w:rPr>
              <w:t xml:space="preserv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8D136D">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8D136D">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8D136D">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8D136D">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3F2FB705" w:rsidR="00526771" w:rsidRPr="00746066" w:rsidRDefault="00CC60C9">
            <w:pPr>
              <w:rPr>
                <w:rFonts w:asciiTheme="majorBidi" w:hAnsiTheme="majorBidi" w:cstheme="majorBidi"/>
              </w:rPr>
            </w:pPr>
            <w:r>
              <w:rPr>
                <w:rFonts w:asciiTheme="majorBidi" w:hAnsiTheme="majorBidi" w:cstheme="majorBidi"/>
              </w:rPr>
              <w:t>Java8, scope of variables in lambdas, 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8D136D">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lastRenderedPageBreak/>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8D136D"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8D136D"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8D136D"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8D136D"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8D136D">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BF2696" w:rsidRPr="00746066" w14:paraId="7F8341A8" w14:textId="77777777" w:rsidTr="005819C6">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2554A2" w:rsidRPr="00746066" w14:paraId="228605DD"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lastRenderedPageBreak/>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3050"/>
        <w:gridCol w:w="5336"/>
        <w:gridCol w:w="974"/>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8D136D"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8D136D"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8D136D"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8D136D"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8D136D"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8D136D"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t>
            </w:r>
            <w:proofErr w:type="gramStart"/>
            <w:r>
              <w:rPr>
                <w:rFonts w:asciiTheme="majorBidi" w:hAnsiTheme="majorBidi" w:cstheme="majorBidi"/>
              </w:rPr>
              <w:t>Where</w:t>
            </w:r>
            <w:proofErr w:type="gramEnd"/>
            <w:r>
              <w:rPr>
                <w:rFonts w:asciiTheme="majorBidi" w:hAnsiTheme="majorBidi" w:cstheme="majorBidi"/>
              </w:rPr>
              <w:t>, etc.)</w:t>
            </w:r>
          </w:p>
        </w:tc>
        <w:tc>
          <w:tcPr>
            <w:tcW w:w="5028" w:type="dxa"/>
          </w:tcPr>
          <w:p w14:paraId="70CA7A3A" w14:textId="2D3AF6EB" w:rsidR="00E53601" w:rsidRPr="00746066" w:rsidRDefault="008D136D"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 xml:space="preserve">Caching in Spring, Second level cache in hibernate, </w:t>
            </w:r>
            <w:r>
              <w:rPr>
                <w:rFonts w:asciiTheme="majorBidi" w:hAnsiTheme="majorBidi" w:cstheme="majorBidi"/>
              </w:rPr>
              <w:lastRenderedPageBreak/>
              <w:t>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7F611B">
        <w:tc>
          <w:tcPr>
            <w:tcW w:w="3261" w:type="dxa"/>
          </w:tcPr>
          <w:p w14:paraId="5789A675" w14:textId="77777777" w:rsidR="007F611B" w:rsidRDefault="007F611B"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77777777" w:rsidR="007F611B" w:rsidRDefault="007F611B" w:rsidP="00E568D2">
            <w:pPr>
              <w:rPr>
                <w:rFonts w:asciiTheme="majorBidi" w:hAnsiTheme="majorBidi" w:cstheme="majorBidi"/>
              </w:rPr>
            </w:pP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lastRenderedPageBreak/>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8D136D" w:rsidP="00561BED">
            <w:pPr>
              <w:rPr>
                <w:rFonts w:asciiTheme="majorBidi" w:hAnsiTheme="majorBidi" w:cstheme="majorBidi"/>
              </w:rPr>
            </w:pPr>
            <w:hyperlink r:id="rId24"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lastRenderedPageBreak/>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8D136D" w:rsidP="00561BED">
            <w:pPr>
              <w:rPr>
                <w:rFonts w:asciiTheme="majorBidi" w:hAnsiTheme="majorBidi" w:cstheme="majorBidi"/>
              </w:rPr>
            </w:pPr>
            <w:hyperlink r:id="rId25"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w:t>
            </w:r>
            <w:proofErr w:type="gramStart"/>
            <w:r>
              <w:rPr>
                <w:rFonts w:asciiTheme="majorBidi" w:hAnsiTheme="majorBidi" w:cstheme="majorBidi"/>
              </w:rPr>
              <w:t>Repository,…</w:t>
            </w:r>
            <w:proofErr w:type="gramEnd"/>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6"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How do you preserve order of events when publishing to/consuming from message brokers? How do you make sure publishing or consuming an event 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27"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8D136D" w:rsidP="00561BED">
            <w:pPr>
              <w:rPr>
                <w:rFonts w:asciiTheme="majorBidi" w:hAnsiTheme="majorBidi" w:cstheme="majorBidi"/>
              </w:rPr>
            </w:pPr>
            <w:hyperlink r:id="rId28"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A3C81">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auto"/>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auto"/>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AA3C81">
        <w:tc>
          <w:tcPr>
            <w:tcW w:w="7371" w:type="dxa"/>
          </w:tcPr>
          <w:p w14:paraId="41F9E54C" w14:textId="77777777" w:rsidR="006C134C" w:rsidRDefault="006C134C" w:rsidP="00561BED">
            <w:pPr>
              <w:rPr>
                <w:rFonts w:asciiTheme="majorBidi" w:hAnsiTheme="majorBidi" w:cstheme="majorBidi"/>
              </w:rPr>
            </w:pPr>
          </w:p>
        </w:tc>
        <w:tc>
          <w:tcPr>
            <w:tcW w:w="1979" w:type="dxa"/>
            <w:shd w:val="clear" w:color="auto" w:fill="auto"/>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77777777" w:rsidR="006C134C" w:rsidRDefault="006C134C" w:rsidP="00561BED">
            <w:pPr>
              <w:rPr>
                <w:rFonts w:asciiTheme="majorBidi" w:hAnsiTheme="majorBidi" w:cstheme="majorBidi"/>
              </w:rPr>
            </w:pPr>
          </w:p>
        </w:tc>
        <w:tc>
          <w:tcPr>
            <w:tcW w:w="1979" w:type="dxa"/>
            <w:shd w:val="clear" w:color="auto" w:fill="auto"/>
          </w:tcPr>
          <w:p w14:paraId="1E7E8A24" w14:textId="77777777" w:rsidR="006C134C" w:rsidRPr="00363272" w:rsidRDefault="006C134C" w:rsidP="00561BED">
            <w:pPr>
              <w:rPr>
                <w:rFonts w:asciiTheme="majorBidi" w:hAnsiTheme="majorBidi" w:cstheme="majorBidi"/>
              </w:rPr>
            </w:pPr>
          </w:p>
        </w:tc>
      </w:tr>
      <w:tr w:rsidR="006C134C" w:rsidRPr="00363272" w14:paraId="157C3FF3" w14:textId="77777777" w:rsidTr="00AA3C81">
        <w:tc>
          <w:tcPr>
            <w:tcW w:w="7371" w:type="dxa"/>
          </w:tcPr>
          <w:p w14:paraId="6E49567E" w14:textId="77777777" w:rsidR="006C134C" w:rsidRDefault="006C134C" w:rsidP="00561BED">
            <w:pPr>
              <w:rPr>
                <w:rFonts w:asciiTheme="majorBidi" w:hAnsiTheme="majorBidi" w:cstheme="majorBidi"/>
              </w:rPr>
            </w:pPr>
          </w:p>
        </w:tc>
        <w:tc>
          <w:tcPr>
            <w:tcW w:w="1979" w:type="dxa"/>
            <w:shd w:val="clear" w:color="auto" w:fill="auto"/>
          </w:tcPr>
          <w:p w14:paraId="0E881437" w14:textId="77777777" w:rsidR="006C134C" w:rsidRPr="00363272" w:rsidRDefault="006C134C"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8D136D" w:rsidP="0056784D">
      <w:pPr>
        <w:pStyle w:val="NoSpacing"/>
      </w:pPr>
      <w:hyperlink r:id="rId29"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 xml:space="preserve">You can also declare </w:t>
      </w:r>
      <w:proofErr w:type="gramStart"/>
      <w:r>
        <w:rPr>
          <w:rFonts w:ascii="Segoe UI" w:hAnsi="Segoe UI" w:cs="Segoe UI"/>
          <w:color w:val="191E1E"/>
          <w:sz w:val="26"/>
          <w:szCs w:val="26"/>
        </w:rPr>
        <w:t>your</w:t>
      </w:r>
      <w:proofErr w:type="gramEnd"/>
      <w:r>
        <w:rPr>
          <w:rFonts w:ascii="Segoe UI" w:hAnsi="Segoe UI" w:cs="Segoe UI"/>
          <w:color w:val="191E1E"/>
          <w:sz w:val="26"/>
          <w:szCs w:val="26"/>
        </w:rPr>
        <w:t>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 xml:space="preserve">If you consistently refer to your types by a declared service interface, </w:t>
            </w:r>
            <w:proofErr w:type="gramStart"/>
            <w:r w:rsidRPr="009B0A3F">
              <w:rPr>
                <w:rFonts w:ascii="Times New Roman" w:eastAsia="Times New Roman" w:hAnsi="Times New Roman" w:cs="Times New Roman"/>
                <w:sz w:val="24"/>
                <w:szCs w:val="24"/>
              </w:rPr>
              <w:t>your</w:t>
            </w:r>
            <w:proofErr w:type="gramEnd"/>
            <w:r w:rsidRPr="009B0A3F">
              <w:rPr>
                <w:rFonts w:ascii="Times New Roman" w:eastAsia="Times New Roman" w:hAnsi="Times New Roman" w:cs="Times New Roman"/>
                <w:sz w:val="24"/>
                <w:szCs w:val="24"/>
              </w:rPr>
              <w:t>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77777777" w:rsidR="006F31C3" w:rsidRDefault="006F31C3" w:rsidP="006F31C3"/>
    <w:sectPr w:rsidR="006F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829BB"/>
    <w:rsid w:val="00082C09"/>
    <w:rsid w:val="000A0209"/>
    <w:rsid w:val="000A1F6D"/>
    <w:rsid w:val="000A32BE"/>
    <w:rsid w:val="000A58AB"/>
    <w:rsid w:val="000B73C6"/>
    <w:rsid w:val="000E7703"/>
    <w:rsid w:val="000F7840"/>
    <w:rsid w:val="001132B5"/>
    <w:rsid w:val="0011336B"/>
    <w:rsid w:val="00125C60"/>
    <w:rsid w:val="00126A13"/>
    <w:rsid w:val="00130C06"/>
    <w:rsid w:val="00143807"/>
    <w:rsid w:val="00144C65"/>
    <w:rsid w:val="00153DDD"/>
    <w:rsid w:val="001554F9"/>
    <w:rsid w:val="001608C3"/>
    <w:rsid w:val="00195F1E"/>
    <w:rsid w:val="00197D6E"/>
    <w:rsid w:val="001A2924"/>
    <w:rsid w:val="001A4F52"/>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6B02"/>
    <w:rsid w:val="00325A37"/>
    <w:rsid w:val="00333C9B"/>
    <w:rsid w:val="00340ACB"/>
    <w:rsid w:val="00341B80"/>
    <w:rsid w:val="00343EF2"/>
    <w:rsid w:val="003470D9"/>
    <w:rsid w:val="0035352E"/>
    <w:rsid w:val="00354034"/>
    <w:rsid w:val="00363272"/>
    <w:rsid w:val="00375BD4"/>
    <w:rsid w:val="003B2C3F"/>
    <w:rsid w:val="003B6CFB"/>
    <w:rsid w:val="003C4F93"/>
    <w:rsid w:val="003C733B"/>
    <w:rsid w:val="003D3191"/>
    <w:rsid w:val="003E13AB"/>
    <w:rsid w:val="003F777C"/>
    <w:rsid w:val="003F7801"/>
    <w:rsid w:val="004017FB"/>
    <w:rsid w:val="004100BE"/>
    <w:rsid w:val="004113A3"/>
    <w:rsid w:val="0042478D"/>
    <w:rsid w:val="004323B2"/>
    <w:rsid w:val="00434875"/>
    <w:rsid w:val="0043523B"/>
    <w:rsid w:val="004371D1"/>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B29FC"/>
    <w:rsid w:val="005B2EBF"/>
    <w:rsid w:val="005C0F71"/>
    <w:rsid w:val="005C4C34"/>
    <w:rsid w:val="005C518B"/>
    <w:rsid w:val="005C7395"/>
    <w:rsid w:val="005D06BB"/>
    <w:rsid w:val="005D463E"/>
    <w:rsid w:val="005E6690"/>
    <w:rsid w:val="005F1467"/>
    <w:rsid w:val="005F25F5"/>
    <w:rsid w:val="005F3E5F"/>
    <w:rsid w:val="005F7C9A"/>
    <w:rsid w:val="0060541F"/>
    <w:rsid w:val="006172A5"/>
    <w:rsid w:val="00621C3C"/>
    <w:rsid w:val="00622EC5"/>
    <w:rsid w:val="006250EF"/>
    <w:rsid w:val="006342ED"/>
    <w:rsid w:val="00646E75"/>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919AA"/>
    <w:rsid w:val="00796052"/>
    <w:rsid w:val="007960C4"/>
    <w:rsid w:val="007965D0"/>
    <w:rsid w:val="007B4628"/>
    <w:rsid w:val="007B5B85"/>
    <w:rsid w:val="007B7688"/>
    <w:rsid w:val="007D6DFF"/>
    <w:rsid w:val="007E03D1"/>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54F22"/>
    <w:rsid w:val="00860497"/>
    <w:rsid w:val="008608D1"/>
    <w:rsid w:val="00863A49"/>
    <w:rsid w:val="0086413C"/>
    <w:rsid w:val="00870034"/>
    <w:rsid w:val="00875852"/>
    <w:rsid w:val="008A371D"/>
    <w:rsid w:val="008B0089"/>
    <w:rsid w:val="008B66C4"/>
    <w:rsid w:val="008B7728"/>
    <w:rsid w:val="008C57E8"/>
    <w:rsid w:val="008D136D"/>
    <w:rsid w:val="008E7C2E"/>
    <w:rsid w:val="008F0505"/>
    <w:rsid w:val="00902E88"/>
    <w:rsid w:val="00910BB7"/>
    <w:rsid w:val="00926106"/>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85E8B"/>
    <w:rsid w:val="00A86C3C"/>
    <w:rsid w:val="00A948F2"/>
    <w:rsid w:val="00AA3C81"/>
    <w:rsid w:val="00AC318A"/>
    <w:rsid w:val="00AD7D7F"/>
    <w:rsid w:val="00AF026C"/>
    <w:rsid w:val="00AF5A53"/>
    <w:rsid w:val="00B04A29"/>
    <w:rsid w:val="00B05D30"/>
    <w:rsid w:val="00B10045"/>
    <w:rsid w:val="00B10FE6"/>
    <w:rsid w:val="00B21A58"/>
    <w:rsid w:val="00B241F2"/>
    <w:rsid w:val="00B24433"/>
    <w:rsid w:val="00B46A4D"/>
    <w:rsid w:val="00B5718B"/>
    <w:rsid w:val="00B57D55"/>
    <w:rsid w:val="00B60330"/>
    <w:rsid w:val="00B618E6"/>
    <w:rsid w:val="00B91624"/>
    <w:rsid w:val="00B917E7"/>
    <w:rsid w:val="00B94F95"/>
    <w:rsid w:val="00B96518"/>
    <w:rsid w:val="00BA26C2"/>
    <w:rsid w:val="00BA2D60"/>
    <w:rsid w:val="00BC1B6E"/>
    <w:rsid w:val="00BE74F9"/>
    <w:rsid w:val="00BE7EF5"/>
    <w:rsid w:val="00BF2696"/>
    <w:rsid w:val="00BF281A"/>
    <w:rsid w:val="00BF34E7"/>
    <w:rsid w:val="00BF5236"/>
    <w:rsid w:val="00BF52AF"/>
    <w:rsid w:val="00C03254"/>
    <w:rsid w:val="00C13CF3"/>
    <w:rsid w:val="00C240BB"/>
    <w:rsid w:val="00C24CF9"/>
    <w:rsid w:val="00C25943"/>
    <w:rsid w:val="00C30499"/>
    <w:rsid w:val="00C414D0"/>
    <w:rsid w:val="00C450AD"/>
    <w:rsid w:val="00C45532"/>
    <w:rsid w:val="00C508D7"/>
    <w:rsid w:val="00C50D24"/>
    <w:rsid w:val="00C614C5"/>
    <w:rsid w:val="00C62CA2"/>
    <w:rsid w:val="00C67D98"/>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1B78"/>
    <w:rsid w:val="00FC41FE"/>
    <w:rsid w:val="00FC5760"/>
    <w:rsid w:val="00FD30BF"/>
    <w:rsid w:val="00FD74D3"/>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9/04/top-5-courses-to-learn-jvm-internals.html" TargetMode="External"/><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www.wscubetech.com/resources/dsa"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auth0.com/blog/the-tls-handshake-explained/"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docs.spring.io/spring-framework/reference/core/beans/java/bean-annotation.html%23beans-java-declaring-a-bean"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file:///\\192.0.0.1"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github.com/rieckpil/blog-tutorials/tree/master"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https://www.baeldung.com/java-callback-func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7</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365</cp:revision>
  <dcterms:created xsi:type="dcterms:W3CDTF">2024-11-25T14:38:00Z</dcterms:created>
  <dcterms:modified xsi:type="dcterms:W3CDTF">2025-07-24T06:41:00Z</dcterms:modified>
</cp:coreProperties>
</file>