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0j6qq50svrm" w:id="0"/>
      <w:bookmarkEnd w:id="0"/>
      <w:r w:rsidDel="00000000" w:rsidR="00000000" w:rsidRPr="00000000">
        <w:rPr>
          <w:rtl w:val="0"/>
        </w:rPr>
        <w:t xml:space="preserve">NeuralFieldManifold (Submission 32988) — Rebuttal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Window: </w:t>
      </w:r>
      <w:r w:rsidDel="00000000" w:rsidR="00000000" w:rsidRPr="00000000">
        <w:rPr>
          <w:b w:val="1"/>
          <w:bCs w:val="1"/>
          <w:rtl w:val="0"/>
        </w:rPr>
        <w:t xml:space="preserve">Jul 25–31, 2026</w:t>
      </w:r>
      <w:r w:rsidDel="00000000" w:rsidR="00000000" w:rsidRPr="00000000">
        <w:rPr>
          <w:rtl w:val="0"/>
        </w:rPr>
        <w:t xml:space="preserve">. Per-reviewer limit: </w:t>
      </w:r>
      <w:r w:rsidDel="00000000" w:rsidR="00000000" w:rsidRPr="00000000">
        <w:rPr>
          <w:b w:val="1"/>
          <w:bCs w:val="1"/>
          <w:rtl w:val="0"/>
        </w:rPr>
        <w:t xml:space="preserve">10,000 characters</w:t>
      </w:r>
      <w:r w:rsidDel="00000000" w:rsidR="00000000" w:rsidRPr="00000000">
        <w:rPr>
          <w:rtl w:val="0"/>
        </w:rPr>
        <w:t xml:space="preserve">, markdown tables only, no files/links/figures. AC's 3 pre-rebuttal flags: (1) torus-from-Takens not novel, (2) mouse EEG doesn't convincingly show toroidal structure, (3) sparse-K-sinusoid assumption too stringent.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szx16g4plja" w:id="1"/>
      <w:bookmarkEnd w:id="1"/>
      <w:r w:rsidDel="00000000" w:rsidR="00000000" w:rsidRPr="00000000">
        <w:rPr>
          <w:rtl w:val="0"/>
        </w:rPr>
        <w:t xml:space="preserve">Priority ranking of the 4 runnable analyses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Ranked by (impact on AC's 3 flags + number of reviewers it satisfies) ÷ (effort/risk):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Session/subject-disjoint CV on sleep decoding — do this first.</w:t>
      </w:r>
      <w:r w:rsidDel="00000000" w:rsidR="00000000" w:rsidRPr="00000000">
        <w:rPr>
          <w:rtl w:val="0"/>
        </w:rPr>
        <w:t xml:space="preserve"> Cheapest of the four (rerun on existing mouse EEG data, no new recordings), and it's the single most-cited weakness: UV2Y Q1, XUiw Q5, and tSve Q3 all independently ask for it, and your own pre-submission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</w:t>
      </w:r>
      <w:r w:rsidDel="00000000" w:rsidR="00000000" w:rsidRPr="00000000">
        <w:rPr>
          <w:rtl w:val="0"/>
        </w:rPr>
        <w:t xml:space="preserve"> comments already flagged "no CV, no error bars" as an open TODO. High certainty of a clean result in a few hours.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2. Betti recovery split by order-correct vs order-incorrect windows — do this second.</w:t>
      </w:r>
      <w:r w:rsidDel="00000000" w:rsidR="00000000" w:rsidRPr="00000000">
        <w:rPr>
          <w:rtl w:val="0"/>
        </w:rPr>
        <w:t xml:space="preserve"> This is a re-slice of data you likely already have in memory (you already compute per-window AR order estimates and per-window Betti vectors for the monkey V1 windowed persistence analysis). Almost free, and it directly answers tSve Q1 while also giving you real ammunition for AC concern #2: if the (1,1,1)-vs-(1,2,1) split correlates with order-recovery errors rather than genuine single-mode windows, that changes the whole interpretation of "only 46%."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3. Frequency-separation sweep (synthetic) — do this third.</w:t>
      </w:r>
      <w:r w:rsidDel="00000000" w:rsidR="00000000" w:rsidRPr="00000000">
        <w:rPr>
          <w:rtl w:val="0"/>
        </w:rPr>
        <w:t xml:space="preserve"> Fully synthetic, so zero data-availability risk, and it's the most direct possible answer to </w:t>
      </w:r>
      <w:r w:rsidDel="00000000" w:rsidR="00000000" w:rsidRPr="00000000">
        <w:rPr>
          <w:b w:val="1"/>
          <w:bCs w:val="1"/>
          <w:rtl w:val="0"/>
        </w:rPr>
        <w:t xml:space="preserve">AC concern #3</w:t>
      </w:r>
      <w:r w:rsidDel="00000000" w:rsidR="00000000" w:rsidRPr="00000000">
        <w:rPr>
          <w:rtl w:val="0"/>
        </w:rPr>
        <w:t xml:space="preserve"> (the sparse-K-sinusoid assumption). Moderate effort: generate 2-oscillator AR signals across a grid of Δω, rerun the existing reconstruction + Betti pipeline, record where recovery degrades.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4. Raw delay embedding + persistent homology without DeepLagField — do this fourth, or drop it.</w:t>
      </w:r>
      <w:r w:rsidDel="00000000" w:rsidR="00000000" w:rsidRPr="00000000">
        <w:rPr>
          <w:rtl w:val="0"/>
        </w:rPr>
        <w:t xml:space="preserve"> Answers only one reviewer (XUiw Q3), and OLS-based coefficients are already computed as a baseline in Table 1, so the marginal work is mostly rerunning persistent homology on the OLS-based embedding instead of the DeepLagField one. Useful but lowest yield of the four — first thing to cut if the week gets tight.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Stretch goal (your call, per your answer): reaching-task dataset for a "clean torus + real behavioral label" decode.</w:t>
      </w:r>
      <w:r w:rsidDel="00000000" w:rsidR="00000000" w:rsidRPr="00000000">
        <w:rPr>
          <w:rtl w:val="0"/>
        </w:rPr>
        <w:t xml:space="preserve"> This is what reviewer aNy5 (your most positive reviewer, 4/borderline-accept) suggested — apply the framework to motor-cortex reaching data (Churchland et al., </w:t>
      </w:r>
      <w:r w:rsidDel="00000000" w:rsidR="00000000" w:rsidRPr="00000000">
        <w:rPr>
          <w:i w:val="1"/>
          <w:i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 2012). If it works, it's the single strongest rebuttal to AC concern #2, because it would show behaviorally-relevant decoding on a dataset that scores as a </w:t>
      </w:r>
      <w:r w:rsidDel="00000000" w:rsidR="00000000" w:rsidRPr="00000000">
        <w:rPr>
          <w:i w:val="1"/>
          <w:iCs w:val="1"/>
          <w:rtl w:val="0"/>
        </w:rPr>
        <w:t xml:space="preserve">genuine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torus (unlike mouse EEG), directly answering UV2Y Q1 ("does the decoding gap survive on a clean-torus dataset?"). But it's new-dataset risk: acquiring + preprocessing + running the full pipeline (order selection → embedding → torus fit → decode reach direction/onset from torus params) in ~1-2 days is tight. Flagged as Table 5 below — attempt after 1-4 are safely done, and if it doesn't converge cleanly, fall back to the qualitative/camera-ready promise per your instruction.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2hhws3l4lhx" w:id="2"/>
      <w:bookmarkEnd w:id="2"/>
      <w:r w:rsidDel="00000000" w:rsidR="00000000" w:rsidRPr="00000000">
        <w:rPr>
          <w:rtl w:val="0"/>
        </w:rPr>
        <w:t xml:space="preserve">Zero-risk items — no new data needed, can finalize now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3 wording fix.</w:t>
      </w:r>
      <w:r w:rsidDel="00000000" w:rsidR="00000000" w:rsidRPr="00000000">
        <w:rPr>
          <w:rtl w:val="0"/>
        </w:rPr>
        <w:t xml:space="preserve"> The compiled PDF's Table 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tab:related_work_compact</w:t>
      </w:r>
      <w:r w:rsidDel="00000000" w:rsidR="00000000" w:rsidRPr="00000000">
        <w:rPr>
          <w:rtl w:val="0"/>
        </w:rPr>
        <w:t xml:space="preserve">) labels your contribution "K-torus (</w:t>
      </w:r>
      <w:r w:rsidDel="00000000" w:rsidR="00000000" w:rsidRPr="00000000">
        <w:rPr>
          <w:b w:val="1"/>
          <w:bCs w:val="1"/>
          <w:rtl w:val="0"/>
        </w:rPr>
        <w:t xml:space="preserve">proven</w:t>
      </w:r>
      <w:r w:rsidDel="00000000" w:rsidR="00000000" w:rsidRPr="00000000">
        <w:rPr>
          <w:rtl w:val="0"/>
        </w:rPr>
        <w:t xml:space="preserve">)." UV2Y quotes this word directly as an overclaim, and they're right — Proposition B.5 only proves the result in the noiseless, marginally-stable limit, which real recordings violate. Fix: change the table cell to "K-torus (derived; noiseless limit)" and add one clarifying clause in the caption. This costs nothing and removes a real, citable overclaim before a reviewer has to keep bringing it up.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Novelty framing (AC concern #1 / aNy5's weaknesses).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aNy5 and UV2Y both point out that "oscillations ⇒ torus" is a known consequence of Takens + linear systems theory (citing a Neuromatch Academy 2020 tutorial and Chaudhuri et al. 2019). This is factually fair — you should concede the </w:t>
      </w:r>
      <w:r w:rsidDel="00000000" w:rsidR="00000000" w:rsidRPr="00000000">
        <w:rPr>
          <w:i w:val="1"/>
          <w:iCs w:val="1"/>
          <w:rtl w:val="0"/>
        </w:rPr>
        <w:t xml:space="preserve">qualitative</w:t>
      </w:r>
      <w:r w:rsidDel="00000000" w:rsidR="00000000" w:rsidRPr="00000000">
        <w:rPr>
          <w:rtl w:val="0"/>
        </w:rPr>
        <w:t xml:space="preserve"> topological fact is not new, and redirect to what actually is new: (a) predicting K </w:t>
      </w:r>
      <w:r w:rsidDel="00000000" w:rsidR="00000000" w:rsidRPr="00000000">
        <w:rPr>
          <w:i w:val="1"/>
          <w:iCs w:val="1"/>
          <w:rtl w:val="0"/>
        </w:rPr>
        <w:t xml:space="preserve">prospectively</w:t>
      </w:r>
      <w:r w:rsidDel="00000000" w:rsidR="00000000" w:rsidRPr="00000000">
        <w:rPr>
          <w:rtl w:val="0"/>
        </w:rPr>
        <w:t xml:space="preserve"> from spectral peak count rather than inferring it post-hoc from population activity (unlike Gardner 2022's grid-cell tori, which are fit to already-collected data with no predictive claim), (b) the TVAR local-stationarity bound with a quantified error rate for nonstationary signals, (c) delay embeddings resolving spectrally-overlapping modes that the PSD cannot distinguish (Appendix A.4) — a testable, falsifiable claim, not just an application of Takens. Conceding the qualitative point while defending the predictive/quantitative contribution is a stronger rebuttal than disputing novelty outright.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u1j715jbr49" w:id="3"/>
      <w:bookmarkEnd w:id="3"/>
      <w:r w:rsidDel="00000000" w:rsidR="00000000" w:rsidRPr="00000000">
        <w:rPr>
          <w:rtl w:val="0"/>
        </w:rPr>
        <w:t xml:space="preserve">Table skeletons — fill in real numbers as analyses finish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s6y33mpouti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1 (→ UV2Y Q1, XUiw Q5, tSve Q3) — Sleep decoding with proper CV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(mean ± SD)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F1 (mean ± SD)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 sessions/animals held 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Session-disjoint 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Torus (R1, R2, 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Subject-disjoint 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Torus (R1, R2, 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State the baseline explicitly in the caption (which multi-band spectral features, which classifier) — reviewers flagged "a baseline that is never specified" by name.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fow86rekkm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2 (→ tSve Q1, AC #2) — Betti recovery vs. order-recovery accuracy (monkey V1)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windows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Betti = (1,2,1)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Betti = (1,1,1)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Betti = other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estimate correct (p̂=4)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estimate off by ±1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estimate off by &gt;1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(1,1,1) concentrates in the order-wrong rows, that's a strong, honest answer to "does the 40% mean the method misses the second oscillation."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xhqs7x52k70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3 (→ AC #3, tSve Q2) — Frequency-separation sweep (synthetic, 2-oscillator AR)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Δω (rad/sample)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Betti = (1,2,1) recovery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Torus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Torus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Report the Δω at which recovery rate drops below (say) 80% as your stated "minimum resolvable separation" — gives reviewers a concrete number instead of a qualitative limitation.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lhiyw69govy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4 (→ XUiw Q3) — Torus recovery with vs. without DeepLagField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Betti = (1,2,1) rate (Monkey V1)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Torus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DeepLagField (full pipeline)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46%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(reported)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learned, time-varying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OLS delay embedding, fixed p=4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fixed, from PSD peak count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Shows whether the toroidal signature is a property of the raw signal or an artifact of the reconstruction network.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5l17mp62a7xq" w:id="8"/>
      <w:bookmarkEnd w:id="8"/>
      <w:r w:rsidDel="00000000" w:rsidR="00000000" w:rsidRPr="00000000">
        <w:rPr>
          <w:rtl w:val="0"/>
        </w:rPr>
        <w:t xml:space="preserve">Table 5 (stretch) — Reaching-task decode on a clean-torus dataset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Procrustes disparity (torus validity)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Decode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Torus-feature 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Spectral-baseline F1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Mouse EEG (existing)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0.4092 (spurious range)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Sleep 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74%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(reported)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(reported)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Reaching task (new)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 — should be well below 0.0820 true-torus threshold]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Reach direction / onset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[TODO]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This table is the whole rebuttal to AC concern #2 in one row: if it lands, you've shown the decoding advantage survives </w:t>
      </w:r>
      <w:r w:rsidDel="00000000" w:rsidR="00000000" w:rsidRPr="00000000">
        <w:rPr>
          <w:i w:val="1"/>
          <w:iCs w:val="1"/>
          <w:rtl w:val="0"/>
        </w:rPr>
        <w:t xml:space="preserve">precisely where the geometry is real</w:t>
      </w:r>
      <w:r w:rsidDel="00000000" w:rsidR="00000000" w:rsidRPr="00000000">
        <w:rPr>
          <w:rtl w:val="0"/>
        </w:rPr>
        <w:t xml:space="preserve">, which directly neutralizes UV2Y's "useful exactly where the metric says it isn't a torus" critique.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4gz43zkp0r8y" w:id="9"/>
      <w:bookmarkEnd w:id="9"/>
      <w:r w:rsidDel="00000000" w:rsidR="00000000" w:rsidRPr="00000000">
        <w:rPr>
          <w:rtl w:val="0"/>
        </w:rPr>
        <w:t xml:space="preserve">Zero-cost supporting table — ready now, no new data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cwtbdgbr8tg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A (→ UV2Y weakness #1, AC #2) — Geometric validity is graded, not binary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Procrustes disparity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True-torus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Spurious-bulk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Monkey V1 LFP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Above true-torus threshold, well below spurious bulk: valid geometry, moderate noise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Mouse hippocampus LFP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(check your data — not stated in main text, pull if available)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Mouse cortex EEG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within spurious-torus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Weakest narrowband peak of the three; diagnostic correctly grades it as noisier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All numbers already exist in Appendix L — this just repackages them into one glance-able table for the rebuttal, framing the mouse-EEG score as the expected low end of a continuous scale rather than a binary failure.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c6lrl0mwhjw" w:id="11"/>
      <w:bookmarkEnd w:id="11"/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Once you have real numbers for Tables 1–4 (and 5 if it converges), send them back and I'll draft the four per-reviewer rebuttal texts (UV2Y, aNy5, XUiw, tSve), each under 10,000 characters, built around whichever tables are most relevant to that specific review.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