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PRODUCT REQUIREMENTS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Research Improvement Plan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C4A7A"/>
          <w:sz w:val="26"/>
          <w:szCs w:val="26"/>
        </w:rPr>
        <w:t xml:space="preserve">Automated Multi-Label ECG Classification using SE-ResNet</w:t>
      </w:r>
    </w:p>
    <w:p>
      <w:pPr>
        <w:pBdr>
          <w:bottom w:val="single" w:color="1A2B4A" w:sz="12" w:space="1"/>
        </w:pBdr>
        <w:spacing w:before="4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Date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Target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Q1 Journal Submission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Overview &amp; Problem Statement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Why this work needs to improve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4A7A"/>
          <w:sz w:val="24"/>
          <w:szCs w:val="24"/>
        </w:rPr>
        <w:t xml:space="preserve">1.1  Current State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existing SE-ResNet ensemble achieves a Macro-AUC of 0.932 and Macro-F1 of 0.642 on PTB-XL Fold 10, with external validation AUROC of 0.844 on Chapman-Shaoxing. While technically competent, the paper in its current form would not clear peer review at a Q1 venue due to missing comparisons, weak statistical rigour, and underdeveloped analysis of failure cases.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4A7A"/>
          <w:sz w:val="24"/>
          <w:szCs w:val="24"/>
        </w:rPr>
        <w:t xml:space="preserve">1.2  Goal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Produce a publication-ready manuscript that meets the methodological standards of journals such as NPJ Digital Medicine, IEEE Transactions on Biomedical Engineering, or Journal of Biomedical Informatics, with a realistic submission target within 3–4 months.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4A7A"/>
          <w:sz w:val="24"/>
          <w:szCs w:val="24"/>
        </w:rPr>
        <w:t xml:space="preserve">1.3  Non-Goals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Deployment or clinical integration — this PRD covers research and manuscript only.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Real-time inference optimisation.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Collection of new proprietary ECG data.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Success Metrics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Quantitative targets for the improved paper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table defines current performance, publication-ready targets, and the priority of each metric.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Macro-AUC (PTB-XL Fold 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0.932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≥ 0.935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+0.003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Macro-F1 (PTB-XL Fold 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≥ 0.670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+0.028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F1-HYP (minority class)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0.418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≥ 0.500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+0.082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External AUROC (Chapman-Shaoxing)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0.844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≥ 0.870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+0.026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ECE (calibration)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 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&lt; 0.04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SOTA baselines compared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≥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Confidence intervals reported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All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Subgroup analyses (age/sex)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 variables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Ablation table (full component)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P1 = Must-have for submission  |  P2 = Strongly recommended  |  P3 = Nice-to-have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Detailed Requirements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Organised by priority tier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4A7A"/>
          <w:sz w:val="24"/>
          <w:szCs w:val="24"/>
        </w:rPr>
        <w:t xml:space="preserve">3.1  Priority 1 — Must-Have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REQ-01: SOTA Baseline Comparisons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 or reproduce results from at least three established methods on the identical PTB-XL Fold 10 test split, reported under the same evaluation protocol.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Ribeiro et al. (2020)</w:t>
      </w:r>
      <w:r>
        <w:rPr>
          <w:rFonts w:ascii="Arial" w:cs="Arial" w:eastAsia="Arial" w:hAnsi="Arial"/>
          <w:sz w:val="20"/>
          <w:szCs w:val="20"/>
        </w:rPr>
        <w:t xml:space="preserve"> — Nature Communications CNN (12-lead, 6-class). Reference implementation available on GitHub.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PhysioNet/CinC 2020 winner</w:t>
      </w:r>
      <w:r>
        <w:rPr>
          <w:rFonts w:ascii="Arial" w:cs="Arial" w:eastAsia="Arial" w:hAnsi="Arial"/>
          <w:sz w:val="20"/>
          <w:szCs w:val="20"/>
        </w:rPr>
        <w:t xml:space="preserve"> — Top-ranked multi-label model. Use the team's public repository.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Transformer baseline</w:t>
      </w:r>
      <w:r>
        <w:rPr>
          <w:rFonts w:ascii="Arial" w:cs="Arial" w:eastAsia="Arial" w:hAnsi="Arial"/>
          <w:sz w:val="20"/>
          <w:szCs w:val="20"/>
        </w:rPr>
        <w:t xml:space="preserve"> — At minimum one attention-based model (e.g. ST-MEM, CLOCS, or W2V-BERT-ECG).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Acceptance criteria: all three baselines evaluated on Fold 10 with Macro-AUC, Macro-F1, and per-class F1 reported in a unified comparison table.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REQ-02: Statistical Validation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All reported metrics must be accompanied by 95% confidence intervals. Model comparisons must include formal significance testing.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Bootstrap CIs (n=1000 resamples) on AUC, F1, and per-class F1 for the ensemble and all baselines.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DeLong's test for AUC comparisons between the ensemble and each baseline.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McNemar's test for pairwise F1 comparisons at optimal thresholds.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Acceptance criteria: every number in the results tables has a CI; p-values reported for all pairwise comparisons against baselines.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REQ-03: Minority Class Improvement (HYP)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F1-HYP of 0.418 is insufficient for publication. At least two additional strategies must be evaluated and reported.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Threshold optimisation:</w:t>
      </w:r>
      <w:r>
        <w:rPr>
          <w:rFonts w:ascii="Arial" w:cs="Arial" w:eastAsia="Arial" w:hAnsi="Arial"/>
          <w:sz w:val="20"/>
          <w:szCs w:val="20"/>
        </w:rPr>
        <w:t xml:space="preserve"> sweep decision threshold per class on validation set using F1-maximisation or Youden's J.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Class-weighted oversampling:</w:t>
      </w:r>
      <w:r>
        <w:rPr>
          <w:rFonts w:ascii="Arial" w:cs="Arial" w:eastAsia="Arial" w:hAnsi="Arial"/>
          <w:sz w:val="20"/>
          <w:szCs w:val="20"/>
        </w:rPr>
        <w:t xml:space="preserve"> SMOTE or random oversampling of HYP samples with appropriate stratification.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Two-stage training:</w:t>
      </w:r>
      <w:r>
        <w:rPr>
          <w:rFonts w:ascii="Arial" w:cs="Arial" w:eastAsia="Arial" w:hAnsi="Arial"/>
          <w:sz w:val="20"/>
          <w:szCs w:val="20"/>
        </w:rPr>
        <w:t xml:space="preserve"> fine-tune final layers on a class-balanced subset after standard training.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Acceptance criteria: at least one strategy yields F1-HYP &gt;= 0.500. All attempted strategies reported in an ablation table regardless of outcome.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REQ-04: Expanded External Validation Analysis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9-point AUC drop on Chapman-Shaoxing must be investigated and reported as a dedicated subsection, not a single sentence.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Per-class AUC and F1 on Chapman-Shaoxing, not just aggregate AUROC.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Analysis of which classes degrade most and a hypothesis for why (demographic mismatch, label scheme differences, recording protocol).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Test whether simple input re-normalisation (using Chapman statistics) recovers performance.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Comparison of PTB-XL vs Chapman-Shaoxing dataset characteristics in a summary table (age, sex distribution, class prevalence).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Acceptance criteria: a standalone subsection (min 300 words) with per-class breakdown and at least one domain-adaptation experiment.</w:t>
      </w:r>
    </w:p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4A7A"/>
          <w:sz w:val="24"/>
          <w:szCs w:val="24"/>
        </w:rPr>
        <w:t xml:space="preserve">3.2  Priority 2 — Strongly Recommended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REQ-05: Full Component Ablation Table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current augmentation ablation (Figure 4) is partial. A complete table must show the independent contribution of each architectural and training choice.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Row 1: Plain ResNet (no SE-blocks, BCE loss, no augmentation) — true baseline.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Row 2: + SE-blocks.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Row 3: + Focal Loss (no augmentation).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Row 4: + Mixup augmentation.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Row 5: + Ensemble (final model).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Acceptance criteria: table with Macro-AUC and Macro-F1 for all five configurations, with CIs.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REQ-06: Per-Class Calibration Analysis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ECE is currently reported as a single aggregate number. Reviewers in medical AI expect per-class reliability.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Reliability diagram for each of the five superclasses separately.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ECE reported per class, not just globally.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Discussion of which classes are over- vs under-confident and clinical implications.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REQ-07: Subgroup Analysis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PTB-XL metadata enables analysis of model equity across patient subgroups. At minimum two variables must be reported.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 groups:</w:t>
      </w:r>
      <w:r>
        <w:rPr>
          <w:rFonts w:ascii="Arial" w:cs="Arial" w:eastAsia="Arial" w:hAnsi="Arial"/>
          <w:sz w:val="20"/>
          <w:szCs w:val="20"/>
        </w:rPr>
        <w:t xml:space="preserve"> &lt;40, 40–60, 60–80, &gt;80 years — AUC and F1 per group.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Sex:</w:t>
      </w:r>
      <w:r>
        <w:rPr>
          <w:rFonts w:ascii="Arial" w:cs="Arial" w:eastAsia="Arial" w:hAnsi="Arial"/>
          <w:sz w:val="20"/>
          <w:szCs w:val="20"/>
        </w:rPr>
        <w:t xml:space="preserve"> Male vs female — AUC and F1 per group, with statistical comparison.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Acceptance criteria: subgroup results in a supplementary table with discussion of any significant disparities.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REQ-08: Uncertainty Quantification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Add a lightweight uncertainty estimate to flag low-confidence predictions, which is a key clinical requirement.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Monte Carlo Dropout:</w:t>
      </w:r>
      <w:r>
        <w:rPr>
          <w:rFonts w:ascii="Arial" w:cs="Arial" w:eastAsia="Arial" w:hAnsi="Arial"/>
          <w:sz w:val="20"/>
          <w:szCs w:val="20"/>
        </w:rPr>
        <w:t xml:space="preserve"> enable dropout at inference, run 50 forward passes, report mean and std of predicted probabilities.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Analyse whether high-uncertainty samples correspond to misclassified or ambiguous cases.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Report the proportion of test samples with uncertainty above a threshold and their accuracy vs the confident subset.</w:t>
      </w:r>
    </w:p>
    <w:p>
      <w:pPr>
        <w:spacing w:before="0"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4A7A"/>
          <w:sz w:val="24"/>
          <w:szCs w:val="24"/>
        </w:rPr>
        <w:t xml:space="preserve">3.3  Priority 3 — Nice-to-Have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REQ-09: Human Cardiologist Benchmark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gold standard for clinical AI papers is comparison to human expert performance. Even citing existing literature benchmarks is better than no comparison.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Identify published cardiologist performance on PTB-XL or similar datasets.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If resources permit: brief annotation study with 2–3 clinical collaborators on a 200-sample subset of Fold 10.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REQ-10: Transformer Comparison or Integration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Transformer-based models are the current frontier in ECG AI. Including one as either a baseline or a proposed model significantly raises the paper's appeal.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Minimum: reproduce one Transformer baseline for REQ-01 and include it in comparison tables.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Stretch goal: hybrid SE-ResNet + Transformer attention head on the final representation layer.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REQ-11: Related Work Section</w:t>
      </w:r>
    </w:p>
    <w:p>
      <w:pPr>
        <w:spacing w:before="4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paper currently has no literature review. A proper related work section of 600–800 words covering four eras of ECG AI is required for any journal submission.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Traditional ML and handcrafted features (pre-2018).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CNN-based approaches for ECG (2018–2021).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Attention and Transformer models (2021–present).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Multi-label vs single-label formulation in ECG literature.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Work Breakdown Structure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tasks, effort estimates, and phases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1400"/>
        <w:gridCol w:w="12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Ribeiro et al. (2020) baseline on PTB-XL Fold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 official GitHub repo if 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PhysioNet/CinC 2020 winning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Adapt to 5-class PTB-XL superclass scheme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one Transformer ECG baseline (e.g. ST-MEM)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1.5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Can use pre-trained weights if 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Bootstrap CI computation for all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n=1000, scipy.stats or sklearn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DeLong &amp; McNemar significance tests vs all baselines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 sklearn or pingouin library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Threshold sweep optimisation per 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Optimise on val set, evaluate on Fold 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SMOTE / oversampling experiment for HYP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 imbalanced-learn library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Two-stage fine-tuning experiment for HYP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Freeze backbone, retrain head on balanced 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Per-class AUC/F1 breakdown on Chapman-Shaoxing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Already have model; extend eval script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Domain adaptation experiment on Chapman-Shaoxing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Try input re-normalisation and feature alignment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component ablation table (5 configurations)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Retraining needed for plain ResNet rows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Per-class reliability diagrams and ECE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Extend existing calibration script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Subgroup analysis by age and sex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PTB-XL metadata already 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Monte Carlo Dropout uncertainty quantification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 dropout layers and modify inference loop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Related Work section (600–800 words)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Cover 4 eras of ECG AI literature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Rewrite Discussion — external validation subsection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Min 300 words, include per-class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Limitations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Single-centre data, no prospective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Revise Conclusion — remove overclaims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Remove 'viable for clinical workflow' language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Identify and approach clinical collaborator for cardiologist benchmark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Optional; significantly raises 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Hybrid SE-ResNet + Transformer attention experiment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Stretch goal; only if time permits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4A7A"/>
                <w:sz w:val="19"/>
                <w:szCs w:val="19"/>
              </w:rPr>
              <w:t xml:space="preserve">W-21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 manuscript revision and journal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Follow target journal author guidelines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Delivery Timeline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Three-phase plan to submission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Weeks 1–5
(~5 weeks)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SOTA baseline comparisons (W-01, W-02, W-03)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Statistical validation — CIs and significance tests (W-04, W-05)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HYP minority class improvement experiments (W-06, W-07, W-08)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Expanded Chapman-Shaoxing analysis (W-09, W-10)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P1 requirements met. Paper draft updated with new results tables.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Weeks 6–10
(~5 weeks)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ablation table (W-11)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Per-class calibration analysis (W-12)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Subgroup analysis (W-13)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Uncertainty quantification (W-14)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sections: Related Work, expanded Discussion, Limitations (W-15–W-18)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P1 and P2 requirements met. Internal review by collaborator or colleague.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Weeks 11–14
(~4 weeks)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Optional: cardiologist benchmark (W-19)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Optional: Transformer hybrid experiment (W-20)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 manuscript polish, figures, journal formatting (W-21)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Cover letter and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Manuscript submitted to target journal.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Target Publication Venues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Ranked by fit and achievability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1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Journal / 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Fit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NPJ Digital Medicine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Requires clinical validation or collaborator sign-off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IEEE Trans. Biomed. 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 engineering rigour required; ideal fit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J. Biomedical Informatics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Good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More tolerance for methodological papers without clinical study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Computers in Biol. &amp; Medicine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Good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 review; good for Phase 1+2 complete 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PLOS 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Broad scope; lower bar; good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Physiological Measurement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ECG-specific; very relevant audience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6"/>
              <w:left w:val="thick" w:color="1A2B4A" w:sz="20"/>
              <w:bottom w:val="single" w:color="1A2B4A" w:sz="6"/>
              <w:right w:val="nil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1A2B4A"/>
                <w:sz w:val="32"/>
                <w:szCs w:val="32"/>
              </w:rPr>
              <w:t xml:space="preserve">Risks &amp; Mitigations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Known obstacles and contingency plans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480"/>
        <w:gridCol w:w="24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Baseline model reproduction fails or diverges significantly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High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pre-trained weights where available; contact original authors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 attempted reproduction as a limitation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HYP F1 cannot reach 0.500 despite all strategies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 ensemble of all HYP-targeted models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Reframe as a rigorous negative result with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 constraints delay Phase 1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PTB-XL 100Hz version (smaller); use cloud spot instances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 baseline count to 2 instead of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Chapman-Shaoxing domain gap is irreducible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Analyse gap statistically and report transparently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Reframe external validation as a robustness ceiling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 journal rejects for lack of clinical partner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 to Tier B venue first; build clinical network in parallel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Preprint on arXiv to establish priority while seeking collaborators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before="40" w:after="12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Appendix: Key References for Baseline Implementation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Ribeiro et al. (2020)</w:t>
      </w:r>
      <w:r>
        <w:rPr>
          <w:rFonts w:ascii="Arial" w:cs="Arial" w:eastAsia="Arial" w:hAnsi="Arial"/>
          <w:sz w:val="20"/>
          <w:szCs w:val="20"/>
        </w:rPr>
        <w:t xml:space="preserve"> — 'Automatic diagnosis of the 12-lead ECG using a deep neural network.' Nature Communications. https://github.com/antonior92/automatic-ecg-diagnosis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Strodthoff et al. (2021)</w:t>
      </w:r>
      <w:r>
        <w:rPr>
          <w:rFonts w:ascii="Arial" w:cs="Arial" w:eastAsia="Arial" w:hAnsi="Arial"/>
          <w:sz w:val="20"/>
          <w:szCs w:val="20"/>
        </w:rPr>
        <w:t xml:space="preserve"> — 'Deep Learning for ECG Analysis: Benchmarks and Insights from PTB-XL.' IEEE Journal of Biomedical and Health Informatics. Defines the PTB-XL benchmark protocol.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PhysioNet/CinC Challenge 2020</w:t>
      </w:r>
      <w:r>
        <w:rPr>
          <w:rFonts w:ascii="Arial" w:cs="Arial" w:eastAsia="Arial" w:hAnsi="Arial"/>
          <w:sz w:val="20"/>
          <w:szCs w:val="20"/>
        </w:rPr>
        <w:t xml:space="preserve"> — 'Classification of 12-lead ECGs: The PhysioNet/Computing in Cardiology Challenge 2020.' https://physionetchallenges.org/2020/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Mehari &amp; Strodthoff (2022)</w:t>
      </w:r>
      <w:r>
        <w:rPr>
          <w:rFonts w:ascii="Arial" w:cs="Arial" w:eastAsia="Arial" w:hAnsi="Arial"/>
          <w:sz w:val="20"/>
          <w:szCs w:val="20"/>
        </w:rPr>
        <w:t xml:space="preserve"> — 'Self-supervised representation learning from 12-lead ECG data.' Computers in Biology and Medicine. (CLOCS / contrastive baseline)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 et al. (2022)</w:t>
      </w:r>
      <w:r>
        <w:rPr>
          <w:rFonts w:ascii="Arial" w:cs="Arial" w:eastAsia="Arial" w:hAnsi="Arial"/>
          <w:sz w:val="20"/>
          <w:szCs w:val="20"/>
        </w:rPr>
        <w:t xml:space="preserve"> — 'ST-MEM: Masked Autoencoders for ECG Pre-training.' arXiv. (Transformer baseline)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GitHub: https://github.com/erfsalehi/Deep-Learning-for-Multi-Class-ECG-Classification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7"/>
        <w:szCs w:val="17"/>
      </w:rPr>
      <w:t xml:space="preserve">Automated Multi-Label ECG Classification  |  SE-ResNet SOTA Phase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ECG Classification — Research Improvement PRD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4A7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2026-03-01T09:21:41.710Z</dcterms:created>
  <dcterms:modified xsi:type="dcterms:W3CDTF">2026-03-01T09:21:41.711Z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