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RELATÓRIO — CLASSIFICADOR BAYESIANO POR JANELA DE PARZEN</w:t>
      </w:r>
    </w:p>
    <w:p>
      <w:pPr>
        <w:jc w:val="center"/>
      </w:pPr>
      <w:r>
        <w:rPr>
          <w:i/>
        </w:rPr>
        <w:t>Questão 2 — Projeto de Aprendizagem de Máquina | Base Spambase</w:t>
      </w:r>
    </w:p>
    <w:p>
      <w:pPr>
        <w:pStyle w:val="Heading1"/>
      </w:pPr>
      <w:r>
        <w:t>1. Introdução</w:t>
      </w:r>
    </w:p>
    <w:p>
      <w:r>
        <w:t>Este relatório descreve a etapa do projeto dedicada ao classificador Bayesiano baseado na janela de Parzen. O experimento foi realizado com a variável resposta original da base Spambase, que distingue e-mails não spam e spam. O objetivo é registrar a implementação, a forma de avaliação e os resultados obtidos até agora. Este documento é parcial e não representa a conclusão de toda a Questão 2.</w:t>
      </w:r>
    </w:p>
    <w:p>
      <w:pPr>
        <w:pStyle w:val="Heading1"/>
      </w:pPr>
      <w:r>
        <w:t>2. Relação com a Questão 2</w:t>
      </w:r>
    </w:p>
    <w:p>
      <w:r>
        <w:t>A Questão 2 solicita a implementação e comparação de cinco classificadores. Um deles é o classificador Bayesiano por janela de Parzen, com kernel multivariado produto formado pelo kernel Gaussiano univariado. O enunciado pede que o parâmetro h seja escolhido por validação cruzada e que o desempenho seja avaliado por taxa de erro, precisão, cobertura (recall) e F-measure. Também estão previstas curvas de aprendizagem, comparações estatísticas entre modelos e experimentos com a variável resposta baseada nos clusters da Questão 1. Este relatório cobre somente o Parzen com os rótulos originais.</w:t>
      </w:r>
    </w:p>
    <w:p>
      <w:pPr>
        <w:pStyle w:val="Heading1"/>
      </w:pPr>
      <w:r>
        <w:t>3. Descrição dos dados</w:t>
      </w:r>
    </w:p>
    <w:p>
      <w:r>
        <w:t>Foi utilizada a base Spambase com 4.601 e-mails e 57 atributos numéricos de entrada. A variável resposta contém duas classes: classe 0 para e-mails não spam e classe 1 para e-mails spam. Na etapa de preparação documentada, a matriz X tinha dimensão (4601, 57), y_original continha 4.601 rótulos e não foram encontrados valores ausentes.</w:t>
      </w:r>
    </w:p>
    <w:p>
      <w:pPr>
        <w:pStyle w:val="Heading1"/>
      </w:pPr>
      <w:r>
        <w:t>4. Como funciona a janela de Parzen</w:t>
      </w:r>
    </w:p>
    <w:p>
      <w:r>
        <w:t>A janela de Parzen estima, para cada classe, o quanto um novo e-mail é compatível com os exemplos observados daquela classe. A função kernel dá maior influência aos exemplos próximos e menor influência aos mais distantes. Nesta implementação foi utilizado o kernel Gaussiano univariado em uma estrutura de kernel multivariado produto, conforme solicitado no enunciado.</w:t>
      </w:r>
    </w:p>
    <w:p>
      <w:r>
        <w:t>O parâmetro h controla a largura da janela. Um h menor produz uma estimativa mais localizada e sensível aos exemplos próximos; um h maior suaviza a estimativa e considera uma região mais ampla. O classificador compara as estimativas para as classes e prevê aquela com maior pontuação posterior.</w:t>
      </w:r>
    </w:p>
    <w:p>
      <w:pPr>
        <w:pStyle w:val="Heading1"/>
      </w:pPr>
      <w:r>
        <w:t>5. Implementação</w:t>
      </w:r>
    </w:p>
    <w:p>
      <w:r>
        <w:t>No Google Colab foram utilizadas as funções treinar_parzen e prever_parzen_rapido. Antes da classificação, os atributos foram padronizados com StandardScaler. O scaler foi ajustado somente com os dados de treinamento de cada divisão e depois aplicado aos dados de validação ou teste correspondentes. Isso evita que informações dos dados de teste sejam usadas durante o ajuste do pré-processamento.</w:t>
      </w:r>
    </w:p>
    <w:p>
      <w:r>
        <w:t>Os valores candidatos testados para h foram 0,1; 0,2; 0,5; 1,0; 2,0 e 5,0. A seleção do parâmetro foi feita usando a métrica F1 para a classe positiva, que representa spam.</w:t>
      </w:r>
    </w:p>
    <w:p>
      <w:pPr>
        <w:pStyle w:val="Heading1"/>
      </w:pPr>
      <w:r>
        <w:t>6. Procedimento de avaliação e escolha de h</w:t>
      </w:r>
    </w:p>
    <w:p>
      <w:r>
        <w:t>Foi utilizada validação cruzada estratificada repetida 30 × 10-folds. Em cada repetição, os dados foram divididos em dez partes preservando aproximadamente a proporção das classes. Em cada rodada, nove partes foram usadas para treinamento e uma para teste; o processo percorreu as dez partes e foi repetido 30 vezes, totalizando 300 avaliações externas.</w:t>
      </w:r>
    </w:p>
    <w:p>
      <w:r>
        <w:t>Dentro de cada divisão externa, foi aplicada validação cruzada estratificada interna de cinco partes para escolher h. O valor que apresentou o melhor F1 médio na validação interna foi utilizado para treinar o modelo da divisão externa. Nos resultados registrados, h = 0,5 foi selecionado em todas as 300 divisões externas.</w:t>
      </w:r>
    </w:p>
    <w:p>
      <w:r>
        <w:t>Para cada divisão externa foram calculadas taxa de erro, precisão, recall/cobertura e F1. As médias apresentadas a seguir resumem as 300 avaliações externas.</w:t>
      </w:r>
    </w:p>
    <w:p>
      <w:pPr>
        <w:pStyle w:val="Heading1"/>
      </w:pPr>
      <w:r>
        <w:t>7. Resultados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Métrica</w:t>
            </w:r>
          </w:p>
        </w:tc>
        <w:tc>
          <w:tcPr>
            <w:tcW w:type="dxa" w:w="3312"/>
          </w:tcPr>
          <w:p>
            <w:r>
              <w:t>Média</w:t>
            </w:r>
          </w:p>
        </w:tc>
        <w:tc>
          <w:tcPr>
            <w:tcW w:type="dxa" w:w="3312"/>
          </w:tcPr>
          <w:p>
            <w:r>
              <w:t>Interpretação</w:t>
            </w:r>
          </w:p>
        </w:tc>
      </w:tr>
      <w:tr>
        <w:tc>
          <w:tcPr>
            <w:tcW w:type="dxa" w:w="3312"/>
          </w:tcPr>
          <w:p>
            <w:r>
              <w:t>Taxa de erro</w:t>
            </w:r>
          </w:p>
        </w:tc>
        <w:tc>
          <w:tcPr>
            <w:tcW w:type="dxa" w:w="3312"/>
          </w:tcPr>
          <w:p>
            <w:r>
              <w:t>0,0790 (7,90%)</w:t>
            </w:r>
          </w:p>
        </w:tc>
        <w:tc>
          <w:tcPr>
            <w:tcW w:type="dxa" w:w="3312"/>
          </w:tcPr>
          <w:p>
            <w:r>
              <w:t>Aproximadamente 8 classificações incorretas a cada 100.</w:t>
            </w:r>
          </w:p>
        </w:tc>
      </w:tr>
      <w:tr>
        <w:tc>
          <w:tcPr>
            <w:tcW w:type="dxa" w:w="3312"/>
          </w:tcPr>
          <w:p>
            <w:r>
              <w:t>Precisão</w:t>
            </w:r>
          </w:p>
        </w:tc>
        <w:tc>
          <w:tcPr>
            <w:tcW w:type="dxa" w:w="3312"/>
          </w:tcPr>
          <w:p>
            <w:r>
              <w:t>0,9126 (91,26%)</w:t>
            </w:r>
          </w:p>
        </w:tc>
        <w:tc>
          <w:tcPr>
            <w:tcW w:type="dxa" w:w="3312"/>
          </w:tcPr>
          <w:p>
            <w:r>
              <w:t>Cerca de 91% das mensagens marcadas como spam eram spam.</w:t>
            </w:r>
          </w:p>
        </w:tc>
      </w:tr>
      <w:tr>
        <w:tc>
          <w:tcPr>
            <w:tcW w:type="dxa" w:w="3312"/>
          </w:tcPr>
          <w:p>
            <w:r>
              <w:t>Recall / cobertura</w:t>
            </w:r>
          </w:p>
        </w:tc>
        <w:tc>
          <w:tcPr>
            <w:tcW w:type="dxa" w:w="3312"/>
          </w:tcPr>
          <w:p>
            <w:r>
              <w:t>0,8845 (88,45%)</w:t>
            </w:r>
          </w:p>
        </w:tc>
        <w:tc>
          <w:tcPr>
            <w:tcW w:type="dxa" w:w="3312"/>
          </w:tcPr>
          <w:p>
            <w:r>
              <w:t>O modelo identificou cerca de 88% dos e-mails que realmente eram spam.</w:t>
            </w:r>
          </w:p>
        </w:tc>
      </w:tr>
      <w:tr>
        <w:tc>
          <w:tcPr>
            <w:tcW w:type="dxa" w:w="3312"/>
          </w:tcPr>
          <w:p>
            <w:r>
              <w:t>F1 / F-measure</w:t>
            </w:r>
          </w:p>
        </w:tc>
        <w:tc>
          <w:tcPr>
            <w:tcW w:type="dxa" w:w="3312"/>
          </w:tcPr>
          <w:p>
            <w:r>
              <w:t>0,8981 (89,81%)</w:t>
            </w:r>
          </w:p>
        </w:tc>
        <w:tc>
          <w:tcPr>
            <w:tcW w:type="dxa" w:w="3312"/>
          </w:tcPr>
          <w:p>
            <w:r>
              <w:t>Resumo do equilíbrio entre precisão e recall.</w:t>
            </w:r>
          </w:p>
        </w:tc>
      </w:tr>
    </w:tbl>
    <w:p>
      <w:pPr>
        <w:pStyle w:val="Heading1"/>
      </w:pPr>
      <w:r>
        <w:t>8. Curva de aprendizagem</w:t>
      </w:r>
    </w:p>
    <w:p>
      <w:r>
        <w:t>Também foi realizado um experimento com proporções de treinamento entre 5% e 95% da base. Nessa análise, foram calculados o F1 no conjunto de treinamento e o F1 no conjunto de teste para cada proporção. O objetivo é observar como a quantidade de exemplos usados no treinamento afeta o desempenho.</w:t>
      </w:r>
    </w:p>
    <w:p>
      <w:r>
        <w:t>No resumo registrado, o F1 de treinamento permaneceu próximo de 0,99, enquanto o F1 de teste ficou aproximadamente entre 0,82 e 0,87. Para a última proporção descrita nesse resumo, foram informados 3.496 exemplos de treinamento, h = 0,5, F1 de treinamento de 0,9920 e F1 de teste de 0,8643. A diferença entre F1 de treino e teste sugere possível sobreajuste: o modelo se ajusta muito bem aos dados usados para aprender, mas tem desempenho inferior em dados separados.</w:t>
      </w:r>
    </w:p>
    <w:p>
      <w:r>
        <w:t>A curva de aprendizagem é um experimento separado e seus valores não devem ser confundidos com as médias da validação cruzada aninhada apresentadas na seção de resultados.</w:t>
      </w:r>
    </w:p>
    <w:p>
      <w:pPr>
        <w:pStyle w:val="Heading1"/>
      </w:pPr>
      <w:r>
        <w:t>9. Arquivos produzidos</w:t>
      </w:r>
    </w:p>
    <w:p>
      <w:r>
        <w:t>Os resultados foram organizados em arquivos CSV no diretório de saída do projeto. Um arquivo resume as métricas do classificador Parzen e outro registra os valores usados na curva de aprendizagem. Esses arquivos permitem reconstruir tabelas e gráficos e devem ser mantidos junto aos demais resultados do projeto.</w:t>
      </w:r>
    </w:p>
    <w:p>
      <w:pPr>
        <w:pStyle w:val="Heading1"/>
      </w:pPr>
      <w:r>
        <w:t>10. Conclusão parcial</w:t>
      </w:r>
    </w:p>
    <w:p>
      <w:r>
        <w:t>O classificador Bayesiano por janela de Parzen foi implementado e avaliado na versão original da base Spambase. Nas 300 avaliações externas, apresentou taxa de erro média de 7,90%, precisão de 91,26%, recall de 88,45% e F1 de 89,81%. A validação cruzada interna selecionou h = 0,5 em todas as divisões externas. A curva de aprendizagem apresentou F1 de treino próximo de 0,99 e F1 de teste inferior, sugerindo possível sobreajuste.</w:t>
      </w:r>
    </w:p>
    <w:p>
      <w:r>
        <w:t>Esta etapa atende à parte da Questão 2 referente ao classificador Parzen com os rótulos originais. Ainda é necessário integrar os resultados dos demais classificadores, realizar as comparações estatísticas solicitadas e avaliar os modelos com a variável resposta baseada nos clusters de objetos da Questão 1. Os intervalos de confiança registrados anteriormente devem ser consolidados junto à versão final dos resultados.</w:t>
      </w:r>
    </w:p>
    <w:p>
      <w:pPr>
        <w:pStyle w:val="Heading2"/>
      </w:pPr>
      <w:r>
        <w:t>Complemento — Hiperparâmetro do classificador Parzen</w:t>
      </w:r>
    </w:p>
    <w:p>
      <w:r>
        <w:t>O classificador Bayesiano baseado em janela de Parzen possui um hiperparâmetro principal: a largura da janela h. Diferentemente do classificador Bayesiano Gaussiano, em que os parâmetros são estimados diretamente dos dados de treinamento, no Parzen é necessário escolher o valor de h, pois ele controla o grau de suavização da estimativa da densidade de probabilidade.</w:t>
      </w:r>
    </w:p>
    <w:p>
      <w:r>
        <w:t>Valores pequenos de h produzem uma estimativa mais localizada, dando maior importância aos exemplos próximos, podendo causar sobreajuste. Valores grandes de h produzem uma estimativa mais suave, porém podem perder detalhes importantes da distribuição dos dados.</w:t>
      </w:r>
    </w:p>
    <w:p>
      <w:r>
        <w:t>Conforme solicitado no enunciado, a escolha do hiperparâmetro h foi realizada por validação cruzada estratificada interna de cinco folds dentro de cada divisão externa. Foram avaliados diferentes valores candidatos para h (0,1; 0,2; 0,5; 1,0; 2,0 e 5,0), sendo selecionado aquele que apresentou o melhor desempenho médio segundo a métrica F1 da classe positiva (spam).</w:t>
      </w:r>
    </w:p>
    <w:p>
      <w:r>
        <w:t>Após a seleção do melhor h na validação interna, o classificador foi treinado novamente utilizando todos os dados disponíveis no conjunto de treinamento da divisão externa, e posteriormente avaliado no conjunto de teste externo. Dessa forma, o conjunto de teste não participa da escolha do hiperparâmetro, evitando vazamento de informação.</w:t>
      </w:r>
    </w:p>
    <w:p>
      <w:r>
        <w:t>Nos experimentos realizados, o valor selecionado foi h = 0,5 em todas as 300 divisões externas. Portanto, o valor da janela utilizado na avaliação final do classificador Parzen foi definido automaticamente pelo procedimento de validação cruzada.</w:t>
      </w:r>
    </w:p>
    <w:p>
      <w:r>
        <w:br w:type="page"/>
      </w:r>
    </w:p>
    <w:p>
      <w:pPr>
        <w:pStyle w:val="Heading1"/>
      </w:pPr>
      <w:r>
        <w:t>11. Intervalos de confiança corrigidos (95%)</w:t>
      </w:r>
    </w:p>
    <w:p>
      <w:r>
        <w:t>Os intervalos de confiança foram recalculados a partir dos resultados das 300 avaliações externas da validação cruzada estratificada repetida (30 repetições × 10 folds), disponíveis no arquivo resultados_parzen_aninhado.csv. Foi aplicada a mesma correção aproximada usada para o classificador Bayesiano Gaussiano, de modo a manter a metodologia consistente entre os modelos.</w:t>
      </w:r>
    </w:p>
    <w:p>
      <w:r>
        <w:t>A correção substitui o erro-padrão convencional s/√n por EP_corrigido = s√(1/n + 1/9), em que s é o desvio-padrão das métricas e n é o número de avaliações válidas. O termo 1/9 aproxima a razão entre o conjunto de teste (10% dos dados) e o conjunto de treinamento (90%) em cada fold. Trata-se de uma aproximação para lidar com a dependência entre resultados da validação cruzada; não garante cobertura exata de 95%.</w:t>
      </w:r>
    </w:p>
    <w:p>
      <w:r>
        <w:t>A média das métricas não é alterada pela correção. O que muda é a estimativa da incerteza e, consequentemente, a largura dos intervalos.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t>Métrica</w:t>
            </w:r>
          </w:p>
        </w:tc>
        <w:tc>
          <w:tcPr>
            <w:tcW w:type="dxa" w:w="1987"/>
            <w:vAlign w:val="center"/>
          </w:tcPr>
          <w:p>
            <w:r>
              <w:t>Avaliações</w:t>
            </w:r>
          </w:p>
        </w:tc>
        <w:tc>
          <w:tcPr>
            <w:tcW w:type="dxa" w:w="1987"/>
            <w:vAlign w:val="center"/>
          </w:tcPr>
          <w:p>
            <w:r>
              <w:t>Média</w:t>
            </w:r>
          </w:p>
        </w:tc>
        <w:tc>
          <w:tcPr>
            <w:tcW w:type="dxa" w:w="1987"/>
            <w:vAlign w:val="center"/>
          </w:tcPr>
          <w:p>
            <w:r>
              <w:t>IC 95% inferior</w:t>
            </w:r>
          </w:p>
        </w:tc>
        <w:tc>
          <w:tcPr>
            <w:tcW w:type="dxa" w:w="1987"/>
            <w:vAlign w:val="center"/>
          </w:tcPr>
          <w:p>
            <w:r>
              <w:t>IC 95% superior</w:t>
            </w:r>
          </w:p>
        </w:tc>
      </w:tr>
      <w:tr>
        <w:tc>
          <w:tcPr>
            <w:tcW w:type="dxa" w:w="1987"/>
            <w:vAlign w:val="center"/>
          </w:tcPr>
          <w:p>
            <w:r>
              <w:t>Taxa de erro</w:t>
            </w:r>
          </w:p>
        </w:tc>
        <w:tc>
          <w:tcPr>
            <w:tcW w:type="dxa" w:w="1987"/>
            <w:vAlign w:val="center"/>
          </w:tcPr>
          <w:p>
            <w:r>
              <w:t>300</w:t>
            </w:r>
          </w:p>
        </w:tc>
        <w:tc>
          <w:tcPr>
            <w:tcW w:type="dxa" w:w="1987"/>
            <w:vAlign w:val="center"/>
          </w:tcPr>
          <w:p>
            <w:r>
              <w:t>0,0790</w:t>
            </w:r>
          </w:p>
        </w:tc>
        <w:tc>
          <w:tcPr>
            <w:tcW w:type="dxa" w:w="1987"/>
            <w:vAlign w:val="center"/>
          </w:tcPr>
          <w:p>
            <w:r>
              <w:t>0,0708</w:t>
            </w:r>
          </w:p>
        </w:tc>
        <w:tc>
          <w:tcPr>
            <w:tcW w:type="dxa" w:w="1987"/>
            <w:vAlign w:val="center"/>
          </w:tcPr>
          <w:p>
            <w:r>
              <w:t>0,0872</w:t>
            </w:r>
          </w:p>
        </w:tc>
      </w:tr>
      <w:tr>
        <w:tc>
          <w:tcPr>
            <w:tcW w:type="dxa" w:w="1987"/>
            <w:vAlign w:val="center"/>
          </w:tcPr>
          <w:p>
            <w:r>
              <w:t>Precisão</w:t>
            </w:r>
          </w:p>
        </w:tc>
        <w:tc>
          <w:tcPr>
            <w:tcW w:type="dxa" w:w="1987"/>
            <w:vAlign w:val="center"/>
          </w:tcPr>
          <w:p>
            <w:r>
              <w:t>300</w:t>
            </w:r>
          </w:p>
        </w:tc>
        <w:tc>
          <w:tcPr>
            <w:tcW w:type="dxa" w:w="1987"/>
            <w:vAlign w:val="center"/>
          </w:tcPr>
          <w:p>
            <w:r>
              <w:t>0,9126</w:t>
            </w:r>
          </w:p>
        </w:tc>
        <w:tc>
          <w:tcPr>
            <w:tcW w:type="dxa" w:w="1987"/>
            <w:vAlign w:val="center"/>
          </w:tcPr>
          <w:p>
            <w:r>
              <w:t>0,9006</w:t>
            </w:r>
          </w:p>
        </w:tc>
        <w:tc>
          <w:tcPr>
            <w:tcW w:type="dxa" w:w="1987"/>
            <w:vAlign w:val="center"/>
          </w:tcPr>
          <w:p>
            <w:r>
              <w:t>0,9247</w:t>
            </w:r>
          </w:p>
        </w:tc>
      </w:tr>
      <w:tr>
        <w:tc>
          <w:tcPr>
            <w:tcW w:type="dxa" w:w="1987"/>
            <w:vAlign w:val="center"/>
          </w:tcPr>
          <w:p>
            <w:r>
              <w:t>Cobertura (Recall)</w:t>
            </w:r>
          </w:p>
        </w:tc>
        <w:tc>
          <w:tcPr>
            <w:tcW w:type="dxa" w:w="1987"/>
            <w:vAlign w:val="center"/>
          </w:tcPr>
          <w:p>
            <w:r>
              <w:t>300</w:t>
            </w:r>
          </w:p>
        </w:tc>
        <w:tc>
          <w:tcPr>
            <w:tcW w:type="dxa" w:w="1987"/>
            <w:vAlign w:val="center"/>
          </w:tcPr>
          <w:p>
            <w:r>
              <w:t>0,8845</w:t>
            </w:r>
          </w:p>
        </w:tc>
        <w:tc>
          <w:tcPr>
            <w:tcW w:type="dxa" w:w="1987"/>
            <w:vAlign w:val="center"/>
          </w:tcPr>
          <w:p>
            <w:r>
              <w:t>0,8676</w:t>
            </w:r>
          </w:p>
        </w:tc>
        <w:tc>
          <w:tcPr>
            <w:tcW w:type="dxa" w:w="1987"/>
            <w:vAlign w:val="center"/>
          </w:tcPr>
          <w:p>
            <w:r>
              <w:t>0,9014</w:t>
            </w:r>
          </w:p>
        </w:tc>
      </w:tr>
      <w:tr>
        <w:tc>
          <w:tcPr>
            <w:tcW w:type="dxa" w:w="1987"/>
            <w:vAlign w:val="center"/>
          </w:tcPr>
          <w:p>
            <w:r>
              <w:t>F-measure</w:t>
            </w:r>
          </w:p>
        </w:tc>
        <w:tc>
          <w:tcPr>
            <w:tcW w:type="dxa" w:w="1987"/>
            <w:vAlign w:val="center"/>
          </w:tcPr>
          <w:p>
            <w:r>
              <w:t>300</w:t>
            </w:r>
          </w:p>
        </w:tc>
        <w:tc>
          <w:tcPr>
            <w:tcW w:type="dxa" w:w="1987"/>
            <w:vAlign w:val="center"/>
          </w:tcPr>
          <w:p>
            <w:r>
              <w:t>0,8981</w:t>
            </w:r>
          </w:p>
        </w:tc>
        <w:tc>
          <w:tcPr>
            <w:tcW w:type="dxa" w:w="1987"/>
            <w:vAlign w:val="center"/>
          </w:tcPr>
          <w:p>
            <w:r>
              <w:t>0,8871</w:t>
            </w:r>
          </w:p>
        </w:tc>
        <w:tc>
          <w:tcPr>
            <w:tcW w:type="dxa" w:w="1987"/>
            <w:vAlign w:val="center"/>
          </w:tcPr>
          <w:p>
            <w:r>
              <w:t>0,9090</w:t>
            </w:r>
          </w:p>
        </w:tc>
      </w:tr>
    </w:tbl>
    <w:p>
      <w:pPr>
        <w:pStyle w:val="Heading2"/>
      </w:pPr>
      <w:r>
        <w:t>Interpretação dos intervalos</w:t>
      </w:r>
    </w:p>
    <w:p>
      <w:r>
        <w:t>Taxa de erro: média 0.0790 e intervalo corrigido de 95% [0.0708; 0.0872].</w:t>
      </w:r>
    </w:p>
    <w:p>
      <w:r>
        <w:t>Precisão: média 0.9126 e intervalo corrigido de 95% [0.9006; 0.9247].</w:t>
      </w:r>
    </w:p>
    <w:p>
      <w:r>
        <w:t>Cobertura (Recall): média 0.8845 e intervalo corrigido de 95% [0.8676; 0.9014].</w:t>
      </w:r>
    </w:p>
    <w:p>
      <w:r>
        <w:t>F-measure: média 0.8981 e intervalo corrigido de 95% [0.8871; 0.9090].</w:t>
      </w:r>
    </w:p>
    <w:p>
      <w:r>
        <w:t>Esses intervalos devem ser interpretados como estimativas aproximadas da incerteza do desempenho do Parzen sob o procedimento de validação utilizado. Para comparações formais entre classificadores, os testes estatísticos previstos no projeto devem ser apresentados separadamente.</w:t>
      </w:r>
    </w:p>
    <w:p>
      <w:pPr>
        <w:pStyle w:val="Heading2"/>
      </w:pPr>
      <w:r>
        <w:t>Atualização da conclusão</w:t>
      </w:r>
    </w:p>
    <w:p>
      <w:r>
        <w:t>Com base nas 300 avaliações externas, o Parzen apresentou taxa de erro média de 0,0790, precisão de 0,9126, cobertura (recall) de 0,8845 e F-measure de 0,8981. Os intervalos corrigidos de 95% foram acrescentados nesta versão do relatório. O valor de h selecionado permaneceu h = 0,5 nas 300 divisões externas, conforme os resultados registrados.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Projeto de Aprendizagem de Máquina — Questão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