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76AE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Какой статус имеет прогноз социально-экономического развития Российской Федерации?</w:t>
      </w:r>
    </w:p>
    <w:p w14:paraId="73BBEFE9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основополагающий документ</w:t>
      </w:r>
    </w:p>
    <w:p w14:paraId="0BEFC3C5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</w:p>
    <w:p w14:paraId="08361571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Какие факторы учитываются при подготовке прогноза социально-экономического развития?</w:t>
      </w:r>
    </w:p>
    <w:p w14:paraId="1DE13E5C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5220CA3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</w:p>
    <w:p w14:paraId="664BB26A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Что такое базовый сценарий в прогнозе социально-экономического развития?</w:t>
      </w:r>
    </w:p>
    <w:p w14:paraId="01086740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средний прогноз</w:t>
      </w:r>
    </w:p>
    <w:p w14:paraId="3A6DB474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</w:p>
    <w:p w14:paraId="1DB09472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Какова методика составления прогноза социально-экономического развития Российской Федерации?</w:t>
      </w:r>
    </w:p>
    <w:p w14:paraId="1A3B913D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A3F90FF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</w:p>
    <w:p w14:paraId="73AA7D8C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Какова цель прогноза социально-экономического развития Российской Федерации?</w:t>
      </w:r>
    </w:p>
    <w:p w14:paraId="6E9F47E3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предоставление информации для формирования федеральных, региональных и отраслевых документов стратегического планирования</w:t>
      </w:r>
    </w:p>
    <w:p w14:paraId="6F95BC2F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</w:p>
    <w:p w14:paraId="5E61467E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Какие существуют основные виды сценариев государственного развития?</w:t>
      </w:r>
    </w:p>
    <w:p w14:paraId="54DA2D82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оптимистический, пессимистический, умеренный</w:t>
      </w:r>
    </w:p>
    <w:p w14:paraId="5110B6FB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</w:p>
    <w:p w14:paraId="0948A476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Чем отличается оптимистический сценарий от пессимистического?</w:t>
      </w:r>
    </w:p>
    <w:p w14:paraId="42D9FE36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оптимистический сценарий предполагает высокий экономический рост, а пессимистический - низкий или отрицательный</w:t>
      </w:r>
    </w:p>
    <w:p w14:paraId="3FFA3210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</w:p>
    <w:p w14:paraId="7C5F5E7C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Какой сценарий государственного развития основывается на существующих в данный период трендах и прогнозах?</w:t>
      </w:r>
    </w:p>
    <w:p w14:paraId="71B8B09B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умеренный</w:t>
      </w:r>
    </w:p>
    <w:p w14:paraId="555C2A5C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</w:p>
    <w:p w14:paraId="4BD1F598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lastRenderedPageBreak/>
        <w:t>Что означает стабильность в оптимистическом сценарии государственного развития?</w:t>
      </w:r>
    </w:p>
    <w:p w14:paraId="50C7B0D1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отсутствие политических и социальных конфликтов</w:t>
      </w:r>
    </w:p>
    <w:p w14:paraId="17D731A6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</w:p>
    <w:p w14:paraId="35985A1D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Какой уровень годовой инфляции в России ожидается в 2024 г. согласно базовому прогнозу ЦБ РФ?</w:t>
      </w:r>
    </w:p>
    <w:p w14:paraId="30C5D5D7" w14:textId="77777777" w:rsidR="00716C8A" w:rsidRPr="00716C8A" w:rsidRDefault="00716C8A" w:rsidP="00716C8A">
      <w:pPr>
        <w:rPr>
          <w:rFonts w:ascii="Times New Roman" w:hAnsi="Times New Roman" w:cs="Times New Roman"/>
          <w:sz w:val="28"/>
          <w:szCs w:val="28"/>
        </w:rPr>
      </w:pPr>
      <w:r w:rsidRPr="00716C8A">
        <w:rPr>
          <w:rFonts w:ascii="Times New Roman" w:hAnsi="Times New Roman" w:cs="Times New Roman"/>
          <w:sz w:val="28"/>
          <w:szCs w:val="28"/>
        </w:rPr>
        <w:t>около 4%</w:t>
      </w:r>
    </w:p>
    <w:p w14:paraId="10645841" w14:textId="77777777" w:rsidR="004F46DA" w:rsidRPr="00716C8A" w:rsidRDefault="004F46DA">
      <w:pPr>
        <w:rPr>
          <w:rFonts w:ascii="Times New Roman" w:hAnsi="Times New Roman" w:cs="Times New Roman"/>
          <w:sz w:val="28"/>
          <w:szCs w:val="28"/>
        </w:rPr>
      </w:pPr>
    </w:p>
    <w:sectPr w:rsidR="004F46DA" w:rsidRPr="0071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08"/>
    <w:rsid w:val="004F46DA"/>
    <w:rsid w:val="00716C8A"/>
    <w:rsid w:val="0099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50A4B-B758-4F75-92C2-32CC5BA9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2023-12-02T10:18:00Z</dcterms:created>
  <dcterms:modified xsi:type="dcterms:W3CDTF">2023-12-02T10:18:00Z</dcterms:modified>
</cp:coreProperties>
</file>