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eastAsia="黑体"/>
          <w:b/>
          <w:color w:val="1A1A6E"/>
          <w:sz w:val="40"/>
        </w:rPr>
        <w:t>HECTO-E：面向工业控制阀智能选型的</w:t>
        <w:br/>
        <w:t>层次化编码器-级联Transformer输出</w:t>
        <w:br/>
        <w:t>与增强原型学习模型</w:t>
      </w:r>
    </w:p>
    <w:p/>
    <w:p>
      <w:pPr>
        <w:jc w:val="center"/>
      </w:pPr>
      <w:r>
        <w:rPr>
          <w:rFonts w:ascii="Arial" w:hAnsi="Arial" w:eastAsia="黑体"/>
          <w:color w:val="555555"/>
          <w:sz w:val="28"/>
        </w:rPr>
        <w:t>技术文档 v1.0</w:t>
      </w:r>
    </w:p>
    <w:p/>
    <w:p/>
    <w:p>
      <w:pPr>
        <w:jc w:val="center"/>
      </w:pPr>
      <w:r>
        <w:rPr>
          <w:rFonts w:ascii="Times New Roman" w:hAnsi="Times New Roman" w:eastAsia="宋体"/>
          <w:sz w:val="24"/>
        </w:rPr>
        <w:t>六盘山实验室 × 西安交通大学</w:t>
      </w:r>
    </w:p>
    <w:p>
      <w:r>
        <w:br w:type="page"/>
      </w:r>
    </w:p>
    <w:p>
      <w:pPr>
        <w:pStyle w:val="Heading1"/>
      </w:pPr>
      <w:r>
        <w:t>目录</w:t>
      </w:r>
    </w:p>
    <w:p>
      <w:r>
        <w:rPr>
          <w:rFonts w:ascii="Times New Roman" w:hAnsi="Times New Roman" w:eastAsia="宋体"/>
          <w:b/>
        </w:rPr>
        <w:t>第一章  引言</w:t>
      </w:r>
    </w:p>
    <w:p>
      <w:pPr>
        <w:ind w:left="567"/>
      </w:pPr>
      <w:r>
        <w:t>1.1 工业控制阀选型的挑战</w:t>
        <w:br/>
      </w:r>
      <w:r>
        <w:t>1.2 深度学习在工业选型中的应用</w:t>
        <w:br/>
      </w:r>
      <w:r>
        <w:t>1.3 本文贡献</w:t>
        <w:br/>
      </w:r>
    </w:p>
    <w:p>
      <w:r>
        <w:rPr>
          <w:rFonts w:ascii="Times New Roman" w:hAnsi="Times New Roman" w:eastAsia="宋体"/>
          <w:b/>
        </w:rPr>
        <w:t>第二章  问题形式化</w:t>
      </w:r>
    </w:p>
    <w:p>
      <w:pPr>
        <w:ind w:left="567"/>
      </w:pPr>
      <w:r>
        <w:t>2.1 符号定义</w:t>
        <w:br/>
      </w:r>
      <w:r>
        <w:t>2.2 多任务学习框架</w:t>
        <w:br/>
      </w:r>
      <w:r>
        <w:t>2.3 核心难点分析</w:t>
        <w:br/>
      </w:r>
    </w:p>
    <w:p>
      <w:r>
        <w:rPr>
          <w:rFonts w:ascii="Times New Roman" w:hAnsi="Times New Roman" w:eastAsia="宋体"/>
          <w:b/>
        </w:rPr>
        <w:t>第三章  模型架构详解</w:t>
      </w:r>
    </w:p>
    <w:p>
      <w:pPr>
        <w:ind w:left="567"/>
      </w:pPr>
      <w:r>
        <w:t>3.1 整体架构概览</w:t>
        <w:br/>
      </w:r>
      <w:r>
        <w:t>3.2 MGHFE：多粒度异质特征编码器</w:t>
        <w:br/>
      </w:r>
      <w:r>
        <w:t>3.3 MFM：缺失特征建模预训练</w:t>
        <w:br/>
      </w:r>
      <w:r>
        <w:t>3.4 HAOD：层次化自回归输出解码器</w:t>
        <w:br/>
      </w:r>
      <w:r>
        <w:t>3.5 DCPN：双重对比原型网络</w:t>
        <w:br/>
      </w:r>
      <w:r>
        <w:t>3.6 PICL：物理信息约束层</w:t>
        <w:br/>
      </w:r>
    </w:p>
    <w:p>
      <w:r>
        <w:rPr>
          <w:rFonts w:ascii="Times New Roman" w:hAnsi="Times New Roman" w:eastAsia="宋体"/>
          <w:b/>
        </w:rPr>
        <w:t>第四章  训练策略</w:t>
      </w:r>
    </w:p>
    <w:p>
      <w:pPr>
        <w:ind w:left="567"/>
      </w:pPr>
      <w:r>
        <w:t>4.1 三阶段训练范式</w:t>
        <w:br/>
      </w:r>
      <w:r>
        <w:t>4.2 损失函数设计</w:t>
        <w:br/>
      </w:r>
      <w:r>
        <w:t>4.3 不平衡处理策略</w:t>
        <w:br/>
      </w:r>
    </w:p>
    <w:p>
      <w:r>
        <w:rPr>
          <w:rFonts w:ascii="Times New Roman" w:hAnsi="Times New Roman" w:eastAsia="宋体"/>
          <w:b/>
        </w:rPr>
        <w:t>第五章  实验评估</w:t>
      </w:r>
    </w:p>
    <w:p>
      <w:pPr>
        <w:ind w:left="567"/>
      </w:pPr>
      <w:r>
        <w:t>5.1 数据集与预处理</w:t>
        <w:br/>
      </w:r>
      <w:r>
        <w:t>5.2 实验设置</w:t>
        <w:br/>
      </w:r>
      <w:r>
        <w:t>5.3 主要结果</w:t>
        <w:br/>
      </w:r>
      <w:r>
        <w:t>5.4 消融实验</w:t>
        <w:br/>
      </w:r>
      <w:r>
        <w:t>5.5 长尾分析</w:t>
        <w:br/>
      </w:r>
    </w:p>
    <w:p>
      <w:r>
        <w:rPr>
          <w:rFonts w:ascii="Times New Roman" w:hAnsi="Times New Roman" w:eastAsia="宋体"/>
          <w:b/>
        </w:rPr>
        <w:t>第六章  创新点总结</w:t>
      </w:r>
    </w:p>
    <w:p>
      <w:pPr>
        <w:ind w:left="567"/>
      </w:pPr>
      <w:r>
        <w:t>6.1 方法论创新</w:t>
        <w:br/>
      </w:r>
      <w:r>
        <w:t>6.2 与现有工作的关系</w:t>
        <w:br/>
      </w:r>
      <w:r>
        <w:t>6.3 未来方向</w:t>
        <w:br/>
      </w:r>
    </w:p>
    <w:p>
      <w:r>
        <w:rPr>
          <w:rFonts w:ascii="Times New Roman" w:hAnsi="Times New Roman" w:eastAsia="宋体"/>
          <w:b/>
        </w:rPr>
        <w:t>附录</w:t>
      </w:r>
    </w:p>
    <w:p>
      <w:pPr>
        <w:ind w:left="567"/>
      </w:pPr>
      <w:r>
        <w:t>A. 参考文献</w:t>
        <w:br/>
      </w:r>
      <w:r>
        <w:t>B. 数学符号表</w:t>
        <w:br/>
      </w:r>
      <w:r>
        <w:t>C. 训练环境与超参数</w:t>
        <w:br/>
      </w:r>
    </w:p>
    <w:p>
      <w:r>
        <w:br w:type="page"/>
      </w:r>
    </w:p>
    <w:p>
      <w:pPr>
        <w:pStyle w:val="Heading1"/>
      </w:pPr>
      <w:r>
        <w:t>第一章  引言</w:t>
      </w:r>
    </w:p>
    <w:p>
      <w:pPr>
        <w:pStyle w:val="Heading2"/>
      </w:pPr>
      <w:r>
        <w:t>1.1 工业控制阀选型的挑战</w:t>
      </w:r>
    </w:p>
    <w:p>
      <w:r>
        <w:t>控制阀（Control Valve）是流程工业中最关键的终端执行元件之一，广泛应用于石油化工、电力冶金、制药造纸等领域。一套典型的工业装置中，控制阀的数量可达数百至数千台，其选型质量直接影响整个工艺流程的安全性、经济性和可控性。</w:t>
        <w:br/>
        <w:br/>
        <w:t>传统控制阀选型依赖资深工程师的经验知识，面临以下核心痛点：</w:t>
      </w:r>
    </w:p>
    <w:p>
      <w:pPr>
        <w:pStyle w:val="ListBullet"/>
      </w:pPr>
      <w:r>
        <w:rPr>
          <w:rFonts w:ascii="Times New Roman" w:hAnsi="Times New Roman" w:eastAsia="宋体"/>
          <w:b/>
        </w:rPr>
        <w:t>知识密集：</w:t>
      </w:r>
      <w:r>
        <w:t>选型需要综合工况参数（温度、压力、流量、CV值等）、介质特性（腐蚀性、粘度、含固量等）和用户要求（阀门型式、材质、连接方式等）共计数十个参数的交叉判断，培养一名合格的选型工程师需要5-10年的行业经验。</w:t>
      </w:r>
    </w:p>
    <w:p>
      <w:pPr>
        <w:pStyle w:val="ListBullet"/>
      </w:pPr>
      <w:r>
        <w:rPr>
          <w:rFonts w:ascii="Times New Roman" w:hAnsi="Times New Roman" w:eastAsia="宋体"/>
          <w:b/>
        </w:rPr>
        <w:t>效率低下：</w:t>
      </w:r>
      <w:r>
        <w:t>每台阀门的选型平均耗时30-60分钟，对于大型项目（数百台阀门），选型周期可能长达数周。工程师需要反复查阅产品手册、材料兼容性表和技术标准。</w:t>
      </w:r>
    </w:p>
    <w:p>
      <w:pPr>
        <w:pStyle w:val="ListBullet"/>
      </w:pPr>
      <w:r>
        <w:rPr>
          <w:rFonts w:ascii="Times New Roman" w:hAnsi="Times New Roman" w:eastAsia="宋体"/>
          <w:b/>
        </w:rPr>
        <w:t>一致性差：</w:t>
      </w:r>
      <w:r>
        <w:t>不同工程师对同一工况可能给出不同的选型方案，缺乏标准化的决策准则。尤其在处理边界工况和特殊介质时，选型结果的主观性较强。</w:t>
      </w:r>
    </w:p>
    <w:p>
      <w:pPr>
        <w:pStyle w:val="ListBullet"/>
      </w:pPr>
      <w:r>
        <w:rPr>
          <w:rFonts w:ascii="Times New Roman" w:hAnsi="Times New Roman" w:eastAsia="宋体"/>
          <w:b/>
        </w:rPr>
        <w:t>知识传承困难：</w:t>
      </w:r>
      <w:r>
        <w:t>资深工程师退休后，其积累的隐性知识难以系统化传承。传统专家系统规则覆盖面有限，难以应对不断涌现的新型工况和产品。</w:t>
      </w:r>
    </w:p>
    <w:p>
      <w:pPr>
        <w:pStyle w:val="Heading2"/>
      </w:pPr>
      <w:r>
        <w:t>1.2 深度学习在工业选型中的应用</w:t>
      </w:r>
    </w:p>
    <w:p>
      <w:r>
        <w:t>近年来，深度学习技术在多个工业场景中取得了突破性进展。在智能选型领域，深度神经网络能够从历史选型数据中自动学习复杂的特征交互和决策模式，有望突破传统专家系统的知识获取瓶颈。然而，直接将标准深度学习模型应用于控制阀选型面临以下独特挑战：</w:t>
      </w:r>
    </w:p>
    <w:p>
      <w:pPr>
        <w:pStyle w:val="ListBullet"/>
      </w:pPr>
      <w:r>
        <w:rPr>
          <w:rFonts w:ascii="Times New Roman" w:hAnsi="Times New Roman" w:eastAsia="宋体"/>
          <w:b/>
        </w:rPr>
        <w:t>异质特征融合：</w:t>
      </w:r>
      <w:r>
        <w:t>输入特征同时包含连续数值（温度、压力）和离散类别（材质、连接方式），两种模态的统计特性差异巨大。传统方法（如简单拼接）无法有效利用模态间的互补信息。</w:t>
      </w:r>
    </w:p>
    <w:p>
      <w:pPr>
        <w:pStyle w:val="ListBullet"/>
      </w:pPr>
      <w:r>
        <w:rPr>
          <w:rFonts w:ascii="Times New Roman" w:hAnsi="Times New Roman" w:eastAsia="宋体"/>
          <w:b/>
        </w:rPr>
        <w:t>层次化输出结构：</w:t>
      </w:r>
      <w:r>
        <w:t>22个输出参数之间存在天然的层次依赖关系：产品系列→产品型号→详细规格。独立预测每个输出会丢失这些结构信息，导致不合理的参数组合。</w:t>
      </w:r>
    </w:p>
    <w:p>
      <w:pPr>
        <w:pStyle w:val="ListBullet"/>
      </w:pPr>
      <w:r>
        <w:rPr>
          <w:rFonts w:ascii="Times New Roman" w:hAnsi="Times New Roman" w:eastAsia="宋体"/>
          <w:b/>
        </w:rPr>
        <w:t>严重类别不平衡：</w:t>
      </w:r>
      <w:r>
        <w:t>某些产品系列仅有个位数样本（极端尾部类），而常见系列有数千样本。标准分类器会在头部类上过拟合，在尾部类上失效。</w:t>
      </w:r>
    </w:p>
    <w:p>
      <w:pPr>
        <w:pStyle w:val="ListBullet"/>
      </w:pPr>
      <w:r>
        <w:rPr>
          <w:rFonts w:ascii="Times New Roman" w:hAnsi="Times New Roman" w:eastAsia="宋体"/>
          <w:b/>
        </w:rPr>
        <w:t>高缺失率：</w:t>
      </w:r>
      <w:r>
        <w:t>实际选型数据中，部分特征的缺失率可达50%以上。简单填充策略（均值、众数）会引入系统性偏差。</w:t>
      </w:r>
    </w:p>
    <w:p>
      <w:pPr>
        <w:pStyle w:val="ListBullet"/>
      </w:pPr>
      <w:r>
        <w:rPr>
          <w:rFonts w:ascii="Times New Roman" w:hAnsi="Times New Roman" w:eastAsia="宋体"/>
          <w:b/>
        </w:rPr>
        <w:t>物理约束：</w:t>
      </w:r>
      <w:r>
        <w:t>选型结果必须满足材质兼容性、压力-温度包络等工程约束。纯数据驱动模型可能输出物理上不可行的参数组合。</w:t>
      </w:r>
    </w:p>
    <w:p>
      <w:pPr>
        <w:pStyle w:val="Heading2"/>
      </w:pPr>
      <w:r>
        <w:t>1.3 本文贡献</w:t>
      </w:r>
    </w:p>
    <w:p>
      <w:r>
        <w:t>针对上述挑战，本文提出HECTO-E（Hierarchical Encoder with Cascaded Transformer Output and Enhanced Prototype Learning），一个面向工业控制阀智能选型的深度学习模型，主要贡献如下：</w:t>
      </w:r>
    </w:p>
    <w:p>
      <w:pPr>
        <w:pStyle w:val="ListNumber"/>
      </w:pPr>
      <w:r>
        <w:t>提出多粒度异质特征编码器（MGHFE），通过交叉模态门控融合机制，根据样本的模态完整性自适应调节数值特征与类别特征的贡献比例，实现异质特征的高效融合。</w:t>
      </w:r>
    </w:p>
    <w:p>
      <w:pPr>
        <w:pStyle w:val="ListNumber"/>
      </w:pPr>
      <w:r>
        <w:t>设计层次化自回归输出解码器（HAOD），以三级级联结构显式建模产品系列→型号→规格的层次依赖关系，通过层级嵌入和教师强制策略实现结构化预测。</w:t>
      </w:r>
    </w:p>
    <w:p>
      <w:pPr>
        <w:pStyle w:val="ListNumber"/>
      </w:pPr>
      <w:r>
        <w:t>引入双重对比原型网络（DCPN），结合实例级监督对比学习与类原型动量更新，并通过原型插值增强策略改善长尾类别的表示质量。</w:t>
      </w:r>
    </w:p>
    <w:p>
      <w:pPr>
        <w:pStyle w:val="ListNumber"/>
      </w:pPr>
      <w:r>
        <w:t>构建物理信息约束层（PICL），将材质兼容性、层次一致性等工程约束转化为可微分正则化项，确保预测结果的物理可行性。</w:t>
      </w:r>
    </w:p>
    <w:p>
      <w:pPr>
        <w:pStyle w:val="ListNumber"/>
      </w:pPr>
      <w:r>
        <w:t>采用缺失特征建模（MFM）预训练范式，让编码器通过重建被遮蔽特征的方式学习推断缺失信息的模式。</w:t>
      </w:r>
    </w:p>
    <w:p>
      <w:pPr>
        <w:pStyle w:val="ListNumber"/>
      </w:pPr>
      <w:r>
        <w:t>在76,344条真实工业选型数据上验证了模型的有效性，产品系列Top-1准确率达98.6%，并通过系统的消融实验验证了各模块的贡献。</w:t>
      </w:r>
    </w:p>
    <w:p>
      <w:r>
        <w:br w:type="page"/>
      </w:r>
    </w:p>
    <w:p>
      <w:pPr>
        <w:pStyle w:val="Heading1"/>
      </w:pPr>
      <w:r>
        <w:t>第二章  问题形式化</w:t>
      </w:r>
    </w:p>
    <w:p>
      <w:pPr>
        <w:pStyle w:val="Heading2"/>
      </w:pPr>
      <w:r>
        <w:t>2.1 符号定义</w:t>
      </w:r>
    </w:p>
    <w:p>
      <w:r>
        <w:t>将控制阀智能选型形式化为一个结构化多任务学习问题。首先定义输入与输出空间：</w:t>
      </w:r>
    </w:p>
    <w:p>
      <w:pPr>
        <w:spacing w:before="120" w:after="120"/>
        <w:jc w:val="center"/>
      </w:pPr>
      <w:r>
        <w:rPr>
          <w:rFonts w:ascii="Cambria Math" w:hAnsi="Cambria Math" w:eastAsia="宋体"/>
          <w:i/>
          <w:sz w:val="22"/>
        </w:rPr>
        <w:t>输入空间：X = (X_num, X_cat)</w:t>
      </w:r>
    </w:p>
    <w:p>
      <w:pPr>
        <w:spacing w:before="120" w:after="120"/>
        <w:jc w:val="center"/>
      </w:pPr>
      <w:r>
        <w:rPr>
          <w:rFonts w:ascii="Cambria Math" w:hAnsi="Cambria Math" w:eastAsia="宋体"/>
          <w:i/>
          <w:sz w:val="22"/>
        </w:rPr>
        <w:t xml:space="preserve">  X_num ∈ ℝ^{N_num}：数值特征（温度、压力、流量、CV值等22维）</w:t>
      </w:r>
    </w:p>
    <w:p>
      <w:pPr>
        <w:spacing w:before="120" w:after="120"/>
        <w:jc w:val="center"/>
      </w:pPr>
      <w:r>
        <w:rPr>
          <w:rFonts w:ascii="Cambria Math" w:hAnsi="Cambria Math" w:eastAsia="宋体"/>
          <w:i/>
          <w:sz w:val="22"/>
        </w:rPr>
        <w:t xml:space="preserve">  X_cat ∈ ℤ^{N_cat}：类别特征（阀门型式、材质、连接方式等24维）</w:t>
      </w:r>
    </w:p>
    <w:p/>
    <w:p>
      <w:pPr>
        <w:spacing w:before="120" w:after="120"/>
        <w:jc w:val="center"/>
      </w:pPr>
      <w:r>
        <w:rPr>
          <w:rFonts w:ascii="Cambria Math" w:hAnsi="Cambria Math" w:eastAsia="宋体"/>
          <w:i/>
          <w:sz w:val="22"/>
        </w:rPr>
        <w:t>输出空间：Y = (Y₁, Y₂, Y₃)</w:t>
      </w:r>
    </w:p>
    <w:p>
      <w:pPr>
        <w:spacing w:before="120" w:after="120"/>
        <w:jc w:val="center"/>
      </w:pPr>
      <w:r>
        <w:rPr>
          <w:rFonts w:ascii="Cambria Math" w:hAnsi="Cambria Math" w:eastAsia="宋体"/>
          <w:i/>
          <w:sz w:val="22"/>
        </w:rPr>
        <w:t xml:space="preserve">  Y₁ ∈ {1, ..., C₁}：产品系列（C₁=14类）</w:t>
      </w:r>
    </w:p>
    <w:p>
      <w:pPr>
        <w:spacing w:before="120" w:after="120"/>
        <w:jc w:val="center"/>
      </w:pPr>
      <w:r>
        <w:rPr>
          <w:rFonts w:ascii="Cambria Math" w:hAnsi="Cambria Math" w:eastAsia="宋体"/>
          <w:i/>
          <w:sz w:val="22"/>
        </w:rPr>
        <w:t xml:space="preserve">  Y₂ ∈ {1, ..., C₂}：产品型号（C₂=64类）</w:t>
      </w:r>
    </w:p>
    <w:p>
      <w:pPr>
        <w:spacing w:before="120" w:after="120"/>
        <w:jc w:val="center"/>
      </w:pPr>
      <w:r>
        <w:rPr>
          <w:rFonts w:ascii="Cambria Math" w:hAnsi="Cambria Math" w:eastAsia="宋体"/>
          <w:i/>
          <w:sz w:val="22"/>
        </w:rPr>
        <w:t xml:space="preserve">  Y₃ = (Y₃_cls, Y₃_reg)：详细规格（17分类 + 3回归）</w:t>
      </w:r>
    </w:p>
    <w:p/>
    <w:p>
      <w:r>
        <w:t>层次约束：</w:t>
      </w:r>
    </w:p>
    <w:p>
      <w:pPr>
        <w:spacing w:before="120" w:after="120"/>
        <w:jc w:val="center"/>
      </w:pPr>
      <w:r>
        <w:rPr>
          <w:rFonts w:ascii="Cambria Math" w:hAnsi="Cambria Math" w:eastAsia="宋体"/>
          <w:i/>
          <w:sz w:val="22"/>
        </w:rPr>
        <w:t>∀i: Y₂⁽ⁱ⁾ ∈ LegalModels(Y₁⁽ⁱ⁾)</w:t>
      </w:r>
    </w:p>
    <w:p>
      <w:r>
        <w:t>即产品型号必须属于产品系列定义的合法型号集合。</w:t>
      </w:r>
    </w:p>
    <w:p>
      <w:pPr>
        <w:pStyle w:val="Heading2"/>
      </w:pPr>
      <w:r>
        <w:t>2.2 多任务学习框架</w:t>
      </w:r>
    </w:p>
    <w:p>
      <w:r>
        <w:t>HECTO-E 将选型任务建模为以下优化问题：</w:t>
      </w:r>
    </w:p>
    <w:p>
      <w:pPr>
        <w:spacing w:before="120" w:after="120"/>
        <w:jc w:val="center"/>
      </w:pPr>
      <w:r>
        <w:rPr>
          <w:rFonts w:ascii="Cambria Math" w:hAnsi="Cambria Math" w:eastAsia="宋体"/>
          <w:i/>
          <w:sz w:val="22"/>
        </w:rPr>
        <w:t>min_θ  L_task(θ) + λ_contrast·L_contrast(θ) + λ_physics·L_physics(θ)</w:t>
      </w:r>
    </w:p>
    <w:p/>
    <w:p>
      <w:pPr>
        <w:spacing w:before="120" w:after="120"/>
        <w:jc w:val="center"/>
      </w:pPr>
      <w:r>
        <w:rPr>
          <w:rFonts w:ascii="Cambria Math" w:hAnsi="Cambria Math" w:eastAsia="宋体"/>
          <w:i/>
          <w:sz w:val="22"/>
        </w:rPr>
        <w:t>L_task = L₁(Y₁, Ŷ₁) + L₂(Y₂, Ŷ₂) + L₃_cls(Y₃_cls, Ŷ₃_cls) + L₃_reg(Y₃_reg, Ŷ₃_reg)</w:t>
      </w:r>
    </w:p>
    <w:p/>
    <w:p>
      <w:r>
        <w:t>其中：</w:t>
      </w:r>
    </w:p>
    <w:p>
      <w:pPr>
        <w:pStyle w:val="ListBullet"/>
      </w:pPr>
      <w:r>
        <w:t>L₁, L₂, L₃_cls：层次化分类损失（Focal Loss，γ=2）</w:t>
      </w:r>
    </w:p>
    <w:p>
      <w:pPr>
        <w:pStyle w:val="ListBullet"/>
      </w:pPr>
      <w:r>
        <w:t>L₃_reg：回归损失（Huber Loss，δ=1.0）</w:t>
      </w:r>
    </w:p>
    <w:p>
      <w:pPr>
        <w:pStyle w:val="ListBullet"/>
      </w:pPr>
      <w:r>
        <w:t>L_contrast：双重对比学习损失（实例级 + 原型级）</w:t>
      </w:r>
    </w:p>
    <w:p>
      <w:pPr>
        <w:pStyle w:val="ListBullet"/>
      </w:pPr>
      <w:r>
        <w:t>L_physics：物理约束正则化损失</w:t>
      </w:r>
    </w:p>
    <w:p>
      <w:pPr>
        <w:pStyle w:val="Heading2"/>
      </w:pPr>
      <w:r>
        <w:t>2.3 核心难点分析</w:t>
      </w:r>
    </w:p>
    <w:p>
      <w:pPr>
        <w:spacing w:before="160" w:after="80"/>
      </w:pPr>
      <w:r>
        <w:rPr>
          <w:rFonts w:ascii="Arial" w:hAnsi="Arial" w:eastAsia="黑体"/>
          <w:b/>
          <w:color w:val="8B0000"/>
          <w:sz w:val="20"/>
        </w:rPr>
        <w:t>【选型任务的层次依赖结构】</w:t>
      </w:r>
    </w:p>
    <w:p>
      <w:pPr>
        <w:spacing w:before="80" w:after="160"/>
        <w:jc w:val="center"/>
      </w:pPr>
      <w:r>
        <w:drawing>
          <wp:inline xmlns:a="http://schemas.openxmlformats.org/drawingml/2006/main" xmlns:pic="http://schemas.openxmlformats.org/drawingml/2006/picture">
            <wp:extent cx="5303520" cy="3339490"/>
            <wp:docPr id="1" name="Picture 1"/>
            <wp:cNvGraphicFramePr>
              <a:graphicFrameLocks noChangeAspect="1"/>
            </wp:cNvGraphicFramePr>
            <a:graphic>
              <a:graphicData uri="http://schemas.openxmlformats.org/drawingml/2006/picture">
                <pic:pic>
                  <pic:nvPicPr>
                    <pic:cNvPr id="0" name="02_hierarchy.png"/>
                    <pic:cNvPicPr/>
                  </pic:nvPicPr>
                  <pic:blipFill>
                    <a:blip r:embed="rId9"/>
                    <a:stretch>
                      <a:fillRect/>
                    </a:stretch>
                  </pic:blipFill>
                  <pic:spPr>
                    <a:xfrm>
                      <a:off x="0" y="0"/>
                      <a:ext cx="5303520" cy="3339490"/>
                    </a:xfrm>
                    <a:prstGeom prst="rect"/>
                  </pic:spPr>
                </pic:pic>
              </a:graphicData>
            </a:graphic>
          </wp:inline>
        </w:drawing>
      </w:r>
    </w:p>
    <w:p>
      <w:r>
        <w:br w:type="page"/>
      </w:r>
    </w:p>
    <w:p>
      <w:pPr>
        <w:pStyle w:val="Heading1"/>
      </w:pPr>
      <w:r>
        <w:t>第三章  模型架构详解</w:t>
      </w:r>
    </w:p>
    <w:p>
      <w:r>
        <w:t>本章是本文档的核心章节，将从整体架构到每个子模块，以由浅入深的方式详细阐述HECTO-E的模型设计。我们假设读者具备基本的深度学习知识（知道什么是神经网络、反向传播、损失函数），但对于Transformer、对比学习等进阶概念，我们将从零开始解释。</w:t>
      </w:r>
    </w:p>
    <w:p>
      <w:pPr>
        <w:pStyle w:val="Heading2"/>
      </w:pPr>
      <w:r>
        <w:t>3.1 整体架构概览</w:t>
      </w:r>
    </w:p>
    <w:p>
      <w:r>
        <w:t>HECTO-E的名字来源于其四个核心模块的英文首字母缩写：</w:t>
        <w:br/>
        <w:t>• H — Hierarchical Encoder（层次化编码器）</w:t>
        <w:br/>
        <w:t>• E — Enhanced Prototype Learning（增强原型学习）</w:t>
        <w:br/>
        <w:t>• C — Cascaded Transformer Output（级联Transformer输出）</w:t>
        <w:br/>
        <w:t>• T — 连接词</w:t>
        <w:br/>
        <w:t>• O — Output Decoder（输出解码器）</w:t>
        <w:br/>
        <w:t>• E — Encoder with Missing Handler（带缺失处理的编码器）</w:t>
      </w:r>
    </w:p>
    <w:p/>
    <w:p>
      <w:r>
        <w:t>整体设计哲学是"分而治之"：将复杂的异质多输出预测问题分解为四个可独立优化的子问题，分别对应四个模块，并通过端到端的联合训练实现全局最优。</w:t>
      </w:r>
    </w:p>
    <w:p>
      <w:pPr>
        <w:spacing w:before="160" w:after="80"/>
      </w:pPr>
      <w:r>
        <w:rPr>
          <w:rFonts w:ascii="Arial" w:hAnsi="Arial" w:eastAsia="黑体"/>
          <w:b/>
          <w:color w:val="8B0000"/>
          <w:sz w:val="20"/>
        </w:rPr>
        <w:t>【HECTO-E 整体架构图】</w:t>
      </w:r>
    </w:p>
    <w:p>
      <w:pPr>
        <w:spacing w:before="80" w:after="160"/>
        <w:jc w:val="center"/>
      </w:pPr>
      <w:r>
        <w:drawing>
          <wp:inline xmlns:a="http://schemas.openxmlformats.org/drawingml/2006/main" xmlns:pic="http://schemas.openxmlformats.org/drawingml/2006/picture">
            <wp:extent cx="5303520" cy="3659560"/>
            <wp:docPr id="2" name="Picture 2"/>
            <wp:cNvGraphicFramePr>
              <a:graphicFrameLocks noChangeAspect="1"/>
            </wp:cNvGraphicFramePr>
            <a:graphic>
              <a:graphicData uri="http://schemas.openxmlformats.org/drawingml/2006/picture">
                <pic:pic>
                  <pic:nvPicPr>
                    <pic:cNvPr id="0" name="01_overall.png"/>
                    <pic:cNvPicPr/>
                  </pic:nvPicPr>
                  <pic:blipFill>
                    <a:blip r:embed="rId10"/>
                    <a:stretch>
                      <a:fillRect/>
                    </a:stretch>
                  </pic:blipFill>
                  <pic:spPr>
                    <a:xfrm>
                      <a:off x="0" y="0"/>
                      <a:ext cx="5303520" cy="3659560"/>
                    </a:xfrm>
                    <a:prstGeom prst="rect"/>
                  </pic:spPr>
                </pic:pic>
              </a:graphicData>
            </a:graphic>
          </wp:inline>
        </w:drawing>
      </w:r>
    </w:p>
    <w:p/>
    <w:p>
      <w:pPr>
        <w:spacing w:before="160" w:after="160"/>
      </w:pPr>
      <w:r>
        <w:rPr>
          <w:rFonts w:ascii="Times New Roman" w:hAnsi="Times New Roman" w:eastAsia="宋体"/>
          <w:b/>
          <w:color w:val="006699"/>
          <w:sz w:val="20"/>
        </w:rPr>
        <w:t>💡 核心设计理念：</w:t>
      </w:r>
      <w:r>
        <w:rPr>
          <w:rFonts w:ascii="Times New Roman" w:hAnsi="Times New Roman" w:eastAsia="宋体"/>
          <w:color w:val="333333"/>
          <w:sz w:val="20"/>
        </w:rPr>
        <w:t>HECTO-E遵循"编码-解码"范式，但与传统Seq2Seq模型不同：(1) 编码器处理的是异质表格数据而非序列；(2) 解码器是层次化的自回归结构而非逐token生成；(3) 额外引入了原型学习和物理约束两个辅助模块。</w:t>
      </w:r>
    </w:p>
    <w:p>
      <w:pPr>
        <w:pStyle w:val="Heading3"/>
      </w:pPr>
      <w:r>
        <w:t>3.1.1 数据流与组件交互</w:t>
      </w:r>
    </w:p>
    <w:p>
      <w:r>
        <w:t>一次完整的前向传播经过以下流程：</w:t>
      </w:r>
    </w:p>
    <w:p>
      <w:pPr>
        <w:spacing w:before="160" w:after="80"/>
      </w:pPr>
      <w:r>
        <w:rPr>
          <w:rFonts w:ascii="Arial" w:hAnsi="Arial" w:eastAsia="黑体"/>
          <w:b/>
          <w:color w:val="8B0000"/>
          <w:sz w:val="20"/>
        </w:rPr>
        <w:t>【前向传播数据流】</w:t>
      </w:r>
    </w:p>
    <w:p>
      <w:pPr>
        <w:spacing w:before="80" w:after="160"/>
        <w:jc w:val="center"/>
      </w:pPr>
      <w:r>
        <w:drawing>
          <wp:inline xmlns:a="http://schemas.openxmlformats.org/drawingml/2006/main" xmlns:pic="http://schemas.openxmlformats.org/drawingml/2006/picture">
            <wp:extent cx="5303520" cy="4428469"/>
            <wp:docPr id="3" name="Picture 3"/>
            <wp:cNvGraphicFramePr>
              <a:graphicFrameLocks noChangeAspect="1"/>
            </wp:cNvGraphicFramePr>
            <a:graphic>
              <a:graphicData uri="http://schemas.openxmlformats.org/drawingml/2006/picture">
                <pic:pic>
                  <pic:nvPicPr>
                    <pic:cNvPr id="0" name="08_dataflow.png"/>
                    <pic:cNvPicPr/>
                  </pic:nvPicPr>
                  <pic:blipFill>
                    <a:blip r:embed="rId11"/>
                    <a:stretch>
                      <a:fillRect/>
                    </a:stretch>
                  </pic:blipFill>
                  <pic:spPr>
                    <a:xfrm>
                      <a:off x="0" y="0"/>
                      <a:ext cx="5303520" cy="4428469"/>
                    </a:xfrm>
                    <a:prstGeom prst="rect"/>
                  </pic:spPr>
                </pic:pic>
              </a:graphicData>
            </a:graphic>
          </wp:inline>
        </w:drawing>
      </w:r>
    </w:p>
    <w:p>
      <w:pPr>
        <w:pStyle w:val="Heading2"/>
      </w:pPr>
      <w:r>
        <w:t>3.2 MGHFE：多粒度异质特征编码器</w:t>
      </w:r>
    </w:p>
    <w:p>
      <w:r>
        <w:t>MGHFE（Multi-Granularity Heterogeneous Feature Encoder）是HECTO-E的特征编码核心，负责将22维数值特征和24维类别特征融合为统一的256维稠密表示。其名称中的"多粒度"体现在：(1) 数值特征中的三元组结构（每个物理量的max/nor/min构成一个"工况轮廓"）；(2) 类别特征中的Entity Embedding自适应维度分配。</w:t>
      </w:r>
    </w:p>
    <w:p>
      <w:pPr>
        <w:pStyle w:val="Heading3"/>
      </w:pPr>
      <w:r>
        <w:t>3.2.1 为什么需要异质特征融合？</w:t>
      </w:r>
    </w:p>
    <w:p>
      <w:r>
        <w:t>在控制阀选型中，输入特征天然分为两种模态：</w:t>
        <w:br/>
        <w:br/>
        <w:t>数值特征（Numerical Features）：如设计温度350°C、设计压力4.0MPa、计算CV值120.5。这些是连续变化的实数，具有明确的物理量纲和大小关系。例如，500°C的工况比300°C更苛刻，这一序关系包含了重要的选型信息。</w:t>
        <w:br/>
        <w:br/>
        <w:t>类别特征（Categorical Features）：如阀门型式为"直通单座阀"、阀体材质为"WCB铸钢"、连接方式为"法兰式"。这些是离散的符号，不存在天然的序关系。例如，"法兰式"和"焊接式"之间不是数值大小关系，而是不同的工艺选择。</w:t>
        <w:br/>
        <w:br/>
        <w:t>如果简单地将类别特征做One-Hot编码后与数值特征拼接送入MLP，存在两个问题：</w:t>
        <w:br/>
        <w:t>(1) 维度爆炸：24个类别特征的总类别数超过200，One-Hot后维度膨胀；</w:t>
        <w:br/>
        <w:t>(2) 模态不对齐：数值特征的L2范数和类别特征的稀疏向量差异巨大，优化过程会偏向数值特征主导。</w:t>
        <w:br/>
        <w:br/>
        <w:t>MGHFE的核心思想是：分别为两种模态设计专用的编码流（Stream），在各自的表示空间中充分提取信息后，通过一个自适应的门控机制进行融合。</w:t>
      </w:r>
    </w:p>
    <w:p>
      <w:pPr>
        <w:pStyle w:val="Heading3"/>
      </w:pPr>
      <w:r>
        <w:t>3.2.2 数值特征流（NumericalStream）</w:t>
      </w:r>
    </w:p>
    <w:p>
      <w:r>
        <w:t>数值特征流的设计灵感来自两个观察：</w:t>
      </w:r>
    </w:p>
    <w:p>
      <w:pPr>
        <w:pStyle w:val="ListBullet"/>
      </w:pPr>
      <w:r>
        <w:t>物理量三元组结构：控制阀工况参数通常以"最大/正常/最小"三元组形式给出。例如，设计温度有T_max、T_nor、T_min三个值，这三个值共同描绘了温度的变化范围。这种三元组类似于一个长度为3的一维"信号片段"，适合用卷积神经网络（CNN）提取其形态特征。</w:t>
      </w:r>
    </w:p>
    <w:p>
      <w:pPr>
        <w:pStyle w:val="ListBullet"/>
      </w:pPr>
      <w:r>
        <w:t>独立数值特征：除三元组外，还有CV值、行程等独立数值特征，需要用全连接网络（MLP）建模其与其他特征的非线性交互。</w:t>
      </w:r>
    </w:p>
    <w:p/>
    <w:p>
      <w:pPr>
        <w:spacing w:before="160" w:after="80"/>
      </w:pPr>
      <w:r>
        <w:rPr>
          <w:rFonts w:ascii="Arial" w:hAnsi="Arial" w:eastAsia="黑体"/>
          <w:b/>
          <w:color w:val="8B0000"/>
          <w:sz w:val="20"/>
        </w:rPr>
        <w:t>【NumericalStream 结构详解】</w:t>
      </w:r>
    </w:p>
    <w:p>
      <w:pPr>
        <w:spacing w:before="80" w:after="160"/>
        <w:jc w:val="center"/>
      </w:pPr>
      <w:r>
        <w:drawing>
          <wp:inline xmlns:a="http://schemas.openxmlformats.org/drawingml/2006/main" xmlns:pic="http://schemas.openxmlformats.org/drawingml/2006/picture">
            <wp:extent cx="5303520" cy="5733747"/>
            <wp:docPr id="4" name="Picture 4"/>
            <wp:cNvGraphicFramePr>
              <a:graphicFrameLocks noChangeAspect="1"/>
            </wp:cNvGraphicFramePr>
            <a:graphic>
              <a:graphicData uri="http://schemas.openxmlformats.org/drawingml/2006/picture">
                <pic:pic>
                  <pic:nvPicPr>
                    <pic:cNvPr id="0" name="03_numerical.png"/>
                    <pic:cNvPicPr/>
                  </pic:nvPicPr>
                  <pic:blipFill>
                    <a:blip r:embed="rId12"/>
                    <a:stretch>
                      <a:fillRect/>
                    </a:stretch>
                  </pic:blipFill>
                  <pic:spPr>
                    <a:xfrm>
                      <a:off x="0" y="0"/>
                      <a:ext cx="5303520" cy="5733747"/>
                    </a:xfrm>
                    <a:prstGeom prst="rect"/>
                  </pic:spPr>
                </pic:pic>
              </a:graphicData>
            </a:graphic>
          </wp:inline>
        </w:drawing>
      </w:r>
    </w:p>
    <w:p/>
    <w:p>
      <w:r>
        <w:rPr>
          <w:rFonts w:ascii="Times New Roman" w:hAnsi="Times New Roman" w:eastAsia="宋体"/>
          <w:b/>
        </w:rPr>
        <w:t>1D-CNN的作用原理：</w:t>
      </w:r>
      <w:r>
        <w:t>一维卷积核在输入信号的局部窗口上滑动，计算窗口内元素的加权和。对于物理量三元组(max, nor, min)，卷积核可以学习到诸如"(max-min)=波动范围"、"(max+nor+min)/3=中心趋势"等物理意义的形态特征。两层卷积（kernel_size=3, padding=1）的感受野恰好覆盖整个三元组。</w:t>
      </w:r>
    </w:p>
    <w:p>
      <w:pPr>
        <w:spacing w:before="120" w:after="120"/>
        <w:jc w:val="center"/>
      </w:pPr>
      <w:r>
        <w:rPr>
          <w:rFonts w:ascii="Cambria Math" w:hAnsi="Cambria Math" w:eastAsia="宋体"/>
          <w:i/>
          <w:sz w:val="22"/>
        </w:rPr>
        <w:t>Conv1d: y_i = Σ_{j=0}^{k-1} w_j · x_{i+j} + b    (kernel_size=3)</w:t>
      </w:r>
    </w:p>
    <w:p>
      <w:pPr>
        <w:spacing w:before="120" w:after="120"/>
        <w:jc w:val="center"/>
      </w:pPr>
      <w:r>
        <w:rPr>
          <w:rFonts w:ascii="Cambria Math" w:hAnsi="Cambria Math" w:eastAsia="宋体"/>
          <w:i/>
          <w:sz w:val="22"/>
        </w:rPr>
        <w:t>GELU(x) = x · Φ(x)  ≈  x · σ(1.702x)    [Gaussian Error Linear Unit]</w:t>
      </w:r>
    </w:p>
    <w:p>
      <w:r>
        <w:t>选择GELU而非ReLU的原因：GELU在零点附近更平滑，保留了负值区域的梯度信息，对于数值特征的小幅波动更敏感，已被BERT、GPT等主流Transformer模型采用。</w:t>
      </w:r>
    </w:p>
    <w:p/>
    <w:p>
      <w:pPr>
        <w:spacing w:before="160" w:after="160"/>
      </w:pPr>
      <w:r>
        <w:rPr>
          <w:rFonts w:ascii="Times New Roman" w:hAnsi="Times New Roman" w:eastAsia="宋体"/>
          <w:b/>
          <w:color w:val="006699"/>
          <w:sz w:val="20"/>
        </w:rPr>
        <w:t>💡 初学者理解：</w:t>
      </w:r>
      <w:r>
        <w:rPr>
          <w:rFonts w:ascii="Times New Roman" w:hAnsi="Times New Roman" w:eastAsia="宋体"/>
          <w:color w:val="333333"/>
          <w:sz w:val="20"/>
        </w:rPr>
        <w:t>可以把1D-CNN想象成一个"模式检测器"。例如，某个卷积核可能学会检测"高温+高压+大CV值"的组合模式，这种模式通常对应需要选择高压等级的阀门。不同卷积核检测不同的工况组合模式，就像安检X光机识别行李中不同形状的物体。</w:t>
      </w:r>
    </w:p>
    <w:p>
      <w:pPr>
        <w:pStyle w:val="Heading3"/>
      </w:pPr>
      <w:r>
        <w:t>3.2.3 类别特征流（CategoricalStream）</w:t>
      </w:r>
    </w:p>
    <w:p>
      <w:r>
        <w:t>类别特征流的设计基于TabTransformer架构，包含两个关键组件：Entity Embedding和Self-Attention。</w:t>
      </w:r>
    </w:p>
    <w:p/>
    <w:p>
      <w:r>
        <w:rPr>
          <w:rFonts w:ascii="Times New Roman" w:hAnsi="Times New Roman" w:eastAsia="宋体"/>
          <w:b/>
        </w:rPr>
        <w:t>Entity Embedding（实体嵌入）：</w:t>
      </w:r>
    </w:p>
    <w:p>
      <w:r>
        <w:t>Entity Embedding是将离散的类别值映射为连续稠密向量的技术，最早由Guo &amp; Berkhahn (2016)在Kaggle竞赛中提出并广泛应用于表格数据。</w:t>
        <w:br/>
        <w:br/>
        <w:t>传统做法是One-Hot编码：对于有V个取值的类别特征，创建V维的0/1向量。例如，"阀体材质=WCB铸钢"在20种材质中被编码为[0,0,1,0,...,0]。问题在于：(1) 所有类别之间的距离相等，丢失了语义信息；(2) 高基数类别导致维度爆炸。</w:t>
        <w:br/>
        <w:br/>
        <w:t>Entity Embedding的做法是：为每个类别学习一个d维的稠密向量（d &lt;&lt; V），即维护一个可训练的Embedding矩阵E ∈ ℝ^{V×d}。训练结束后，语义相近的类别（如两种不锈钢材质）在嵌入空间中距离更近。</w:t>
      </w:r>
    </w:p>
    <w:p>
      <w:pPr>
        <w:spacing w:before="120" w:after="120"/>
        <w:jc w:val="center"/>
      </w:pPr>
      <w:r>
        <w:rPr>
          <w:rFonts w:ascii="Cambria Math" w:hAnsi="Cambria Math" w:eastAsia="宋体"/>
          <w:i/>
          <w:sz w:val="22"/>
        </w:rPr>
        <w:t>Entity Embedding: e_c = E[c, :] ∈ ℝ^d    (c ∈ {0, 1, ..., V-1})</w:t>
      </w:r>
    </w:p>
    <w:p>
      <w:pPr>
        <w:spacing w:before="120" w:after="120"/>
        <w:jc w:val="center"/>
      </w:pPr>
      <w:r>
        <w:rPr>
          <w:rFonts w:ascii="Cambria Math" w:hAnsi="Cambria Math" w:eastAsia="宋体"/>
          <w:i/>
          <w:sz w:val="22"/>
        </w:rPr>
        <w:t>E ∈ ℝ^{V×d}  随机初始化，通过反向传播端到端训练</w:t>
      </w:r>
    </w:p>
    <w:p/>
    <w:p>
      <w:r>
        <w:rPr>
          <w:rFonts w:ascii="Times New Roman" w:hAnsi="Times New Roman" w:eastAsia="宋体"/>
          <w:b/>
        </w:rPr>
        <w:t>自适应嵌入维度：</w:t>
      </w:r>
    </w:p>
    <w:p>
      <w:r>
        <w:t>HECTO-E采用自适应维度分配策略：基数越低的特征赋予越大的嵌入维度，基数越高的特征赋予越小的嵌入维度。这一设计的直觉是：低基数特征（如"流向"只有2种取值）的每个取值出现频率高，可以用更大的嵌入向量编码更丰富的信息；高基数特征（如"阀体材质"有20+种取值）的每个取值出现频率低，用较小嵌入维度避免过拟合。</w:t>
      </w:r>
    </w:p>
    <w:p>
      <w:pPr>
        <w:spacing w:before="120" w:after="120"/>
        <w:jc w:val="center"/>
      </w:pPr>
      <w:r>
        <w:rPr>
          <w:rFonts w:ascii="Cambria Math" w:hAnsi="Cambria Math" w:eastAsia="宋体"/>
          <w:i/>
          <w:sz w:val="22"/>
        </w:rPr>
        <w:t>dim_i = { d_emb       if V_i ≤ 10   (低基数：大维度)</w:t>
      </w:r>
    </w:p>
    <w:p>
      <w:pPr>
        <w:spacing w:before="120" w:after="120"/>
        <w:jc w:val="center"/>
      </w:pPr>
      <w:r>
        <w:rPr>
          <w:rFonts w:ascii="Cambria Math" w:hAnsi="Cambria Math" w:eastAsia="宋体"/>
          <w:i/>
          <w:sz w:val="22"/>
        </w:rPr>
        <w:t xml:space="preserve">          d_emb/2     if 10 &lt; V_i ≤ 50 (中基数)</w:t>
      </w:r>
    </w:p>
    <w:p>
      <w:pPr>
        <w:spacing w:before="120" w:after="120"/>
        <w:jc w:val="center"/>
      </w:pPr>
      <w:r>
        <w:rPr>
          <w:rFonts w:ascii="Cambria Math" w:hAnsi="Cambria Math" w:eastAsia="宋体"/>
          <w:i/>
          <w:sz w:val="22"/>
        </w:rPr>
        <w:t xml:space="preserve">          d_emb/4     if V_i &gt; 50       (高基数：小维度)</w:t>
      </w:r>
    </w:p>
    <w:p/>
    <w:p>
      <w:r>
        <w:rPr>
          <w:rFonts w:ascii="Times New Roman" w:hAnsi="Times New Roman" w:eastAsia="宋体"/>
          <w:b/>
        </w:rPr>
        <w:t>TabTransformer Self-Attention：</w:t>
      </w:r>
    </w:p>
    <w:p>
      <w:r>
        <w:t>TabTransformer（Huang et al., 2020）将Transformer的自注意力机制应用于表格数据的类别特征。在HECTO-E中，所有类别特征的嵌入向量经维度对齐后拼接，通过Multi-head Self-Attention层建模类别特征之间的全局交互关系。</w:t>
      </w:r>
    </w:p>
    <w:p>
      <w:r>
        <w:t>自注意力机制（Self-Attention）是Transformer架构的核心，其计算过程如下：</w:t>
      </w:r>
    </w:p>
    <w:p>
      <w:pPr>
        <w:spacing w:before="120" w:after="120"/>
        <w:jc w:val="center"/>
      </w:pPr>
      <w:r>
        <w:rPr>
          <w:rFonts w:ascii="Cambria Math" w:hAnsi="Cambria Math" w:eastAsia="宋体"/>
          <w:i/>
          <w:sz w:val="22"/>
        </w:rPr>
        <w:t>Attention(Q, K, V) = softmax( Q·K^T / √d_k ) · V</w:t>
      </w:r>
    </w:p>
    <w:p/>
    <w:p>
      <w:r>
        <w:t>直观理解：将每个特征看作一个"查询者"，它向所有其他特征"提问"（Query），根据其他特征的"回答相关性"（Key），加权汇总其他特征的"信息"（Value）。除以√d_k是为了防止内积值过大导致softmax梯度消失。</w:t>
      </w:r>
    </w:p>
    <w:p>
      <w:pPr>
        <w:spacing w:before="160" w:after="80"/>
      </w:pPr>
      <w:r>
        <w:rPr>
          <w:rFonts w:ascii="Arial" w:hAnsi="Arial" w:eastAsia="黑体"/>
          <w:b/>
          <w:color w:val="8B0000"/>
          <w:sz w:val="20"/>
        </w:rPr>
        <w:t>【Self-Attention 计算示意图】</w:t>
      </w:r>
    </w:p>
    <w:p>
      <w:pPr>
        <w:spacing w:before="80" w:after="160"/>
        <w:jc w:val="center"/>
      </w:pPr>
      <w:r>
        <w:drawing>
          <wp:inline xmlns:a="http://schemas.openxmlformats.org/drawingml/2006/main" xmlns:pic="http://schemas.openxmlformats.org/drawingml/2006/picture">
            <wp:extent cx="5303520" cy="4879536"/>
            <wp:docPr id="5" name="Picture 5"/>
            <wp:cNvGraphicFramePr>
              <a:graphicFrameLocks noChangeAspect="1"/>
            </wp:cNvGraphicFramePr>
            <a:graphic>
              <a:graphicData uri="http://schemas.openxmlformats.org/drawingml/2006/picture">
                <pic:pic>
                  <pic:nvPicPr>
                    <pic:cNvPr id="0" name="04_attention.png"/>
                    <pic:cNvPicPr/>
                  </pic:nvPicPr>
                  <pic:blipFill>
                    <a:blip r:embed="rId13"/>
                    <a:stretch>
                      <a:fillRect/>
                    </a:stretch>
                  </pic:blipFill>
                  <pic:spPr>
                    <a:xfrm>
                      <a:off x="0" y="0"/>
                      <a:ext cx="5303520" cy="4879536"/>
                    </a:xfrm>
                    <a:prstGeom prst="rect"/>
                  </pic:spPr>
                </pic:pic>
              </a:graphicData>
            </a:graphic>
          </wp:inline>
        </w:drawing>
      </w:r>
    </w:p>
    <w:p/>
    <w:p>
      <w:pPr>
        <w:spacing w:before="160" w:after="160"/>
      </w:pPr>
      <w:r>
        <w:rPr>
          <w:rFonts w:ascii="Times New Roman" w:hAnsi="Times New Roman" w:eastAsia="宋体"/>
          <w:b/>
          <w:color w:val="006699"/>
          <w:sz w:val="20"/>
        </w:rPr>
        <w:t>💡 初学者理解：</w:t>
      </w:r>
      <w:r>
        <w:rPr>
          <w:rFonts w:ascii="Times New Roman" w:hAnsi="Times New Roman" w:eastAsia="宋体"/>
          <w:color w:val="333333"/>
          <w:sz w:val="20"/>
        </w:rPr>
        <w:t>类比：一群人开会讨论。每个人先听到所有人的发言（Value），但会根据自己关心的话题（Query）和发言者擅长的领域（Key）的匹配程度，决定听谁的多一些（注意力权重），最终形成自己的意见。Multi-Head就是同时开多个"专题讨论组"，从不同角度交换信息。</w:t>
      </w:r>
    </w:p>
    <w:p>
      <w:pPr>
        <w:pStyle w:val="Heading3"/>
      </w:pPr>
      <w:r>
        <w:t>3.2.4 交叉模态门控融合（Cross-Modal Gate Fusion）</w:t>
      </w:r>
    </w:p>
    <w:p>
      <w:r>
        <w:t>交叉模态门控融合是MGHFE的核心创新。不同于常见的简单拼接（concat）或加权求和（weighted sum），门控机制能够根据每个样本的具体特征，自适应地决定数值特征和类别特征各自应该贡献多少信息。</w:t>
      </w:r>
    </w:p>
    <w:p>
      <w:r>
        <w:rPr>
          <w:rFonts w:ascii="Times New Roman" w:hAnsi="Times New Roman" w:eastAsia="宋体"/>
          <w:b/>
        </w:rPr>
        <w:t>设计动机：</w:t>
      </w:r>
      <w:r>
        <w:t>在实际选型数据中，不同样本的模态完整性差异很大。有些样本数值特征完整但类别特征大量缺失（例如只测量了工况参数但尚未确定阀门型式）；有些样本则相反。固定权重的融合方式无法适应这种样本级别的差异。</w:t>
      </w:r>
    </w:p>
    <w:p/>
    <w:p>
      <w:r>
        <w:rPr>
          <w:rFonts w:ascii="Times New Roman" w:hAnsi="Times New Roman" w:eastAsia="宋体"/>
          <w:b/>
        </w:rPr>
        <w:t>数学定义：</w:t>
      </w:r>
    </w:p>
    <w:p>
      <w:pPr>
        <w:spacing w:before="120" w:after="120"/>
        <w:jc w:val="center"/>
      </w:pPr>
      <w:r>
        <w:rPr>
          <w:rFonts w:ascii="Cambria Math" w:hAnsi="Cambria Math" w:eastAsia="宋体"/>
          <w:i/>
          <w:sz w:val="22"/>
        </w:rPr>
        <w:t>给定: h_num ∈ ℝ^d, h_cat ∈ ℝ^d, mask_num, mask_cat</w:t>
      </w:r>
    </w:p>
    <w:p>
      <w:pPr>
        <w:spacing w:before="120" w:after="120"/>
        <w:jc w:val="center"/>
      </w:pPr>
      <w:r>
        <w:rPr>
          <w:rFonts w:ascii="Cambria Math" w:hAnsi="Cambria Math" w:eastAsia="宋体"/>
          <w:i/>
          <w:sz w:val="22"/>
        </w:rPr>
        <w:t>mr_num = mean(1 - mask_num)  ∈ [0,1]   (数值缺失率)</w:t>
      </w:r>
    </w:p>
    <w:p>
      <w:pPr>
        <w:spacing w:before="120" w:after="120"/>
        <w:jc w:val="center"/>
      </w:pPr>
      <w:r>
        <w:rPr>
          <w:rFonts w:ascii="Cambria Math" w:hAnsi="Cambria Math" w:eastAsia="宋体"/>
          <w:i/>
          <w:sz w:val="22"/>
        </w:rPr>
        <w:t>mr_cat = mean(1 - mask_cat)  ∈ [0,1]   (类别缺失率)</w:t>
      </w:r>
    </w:p>
    <w:p/>
    <w:p>
      <w:pPr>
        <w:spacing w:before="120" w:after="120"/>
        <w:jc w:val="center"/>
      </w:pPr>
      <w:r>
        <w:rPr>
          <w:rFonts w:ascii="Cambria Math" w:hAnsi="Cambria Math" w:eastAsia="宋体"/>
          <w:i/>
          <w:sz w:val="22"/>
        </w:rPr>
        <w:t>gate_input = [h_num; h_cat; mr_num; mr_cat] ∈ ℝ^{2d+2}</w:t>
      </w:r>
    </w:p>
    <w:p>
      <w:pPr>
        <w:spacing w:before="120" w:after="120"/>
        <w:jc w:val="center"/>
      </w:pPr>
      <w:r>
        <w:rPr>
          <w:rFonts w:ascii="Cambria Math" w:hAnsi="Cambria Math" w:eastAsia="宋体"/>
          <w:i/>
          <w:sz w:val="22"/>
        </w:rPr>
        <w:t>G_n = σ( W_n · gate_input )     ∈ ℝ^d   (数值门控向量)</w:t>
      </w:r>
    </w:p>
    <w:p>
      <w:pPr>
        <w:spacing w:before="120" w:after="120"/>
        <w:jc w:val="center"/>
      </w:pPr>
      <w:r>
        <w:rPr>
          <w:rFonts w:ascii="Cambria Math" w:hAnsi="Cambria Math" w:eastAsia="宋体"/>
          <w:i/>
          <w:sz w:val="22"/>
        </w:rPr>
        <w:t>G_c = σ( W_c · gate_input )     ∈ ℝ^d   (类别门控向量)</w:t>
      </w:r>
    </w:p>
    <w:p>
      <w:pPr>
        <w:spacing w:before="120" w:after="120"/>
        <w:jc w:val="center"/>
      </w:pPr>
      <w:r>
        <w:rPr>
          <w:rFonts w:ascii="Cambria Math" w:hAnsi="Cambria Math" w:eastAsia="宋体"/>
          <w:i/>
          <w:sz w:val="22"/>
        </w:rPr>
        <w:t>B   = W_b · gate_input          ∈ ℝ^d   (融合偏置)</w:t>
      </w:r>
    </w:p>
    <w:p/>
    <w:p>
      <w:pPr>
        <w:spacing w:before="120" w:after="120"/>
        <w:jc w:val="center"/>
      </w:pPr>
      <w:r>
        <w:rPr>
          <w:rFonts w:ascii="Cambria Math" w:hAnsi="Cambria Math" w:eastAsia="宋体"/>
          <w:i/>
          <w:sz w:val="22"/>
        </w:rPr>
        <w:t>h_fused = G_n ⊙ h_num  +  G_c ⊙ h_cat  +  B</w:t>
      </w:r>
    </w:p>
    <w:p>
      <w:pPr>
        <w:spacing w:before="120" w:after="120"/>
        <w:jc w:val="center"/>
      </w:pPr>
      <w:r>
        <w:rPr>
          <w:rFonts w:ascii="Cambria Math" w:hAnsi="Cambria Math" w:eastAsia="宋体"/>
          <w:i/>
          <w:sz w:val="22"/>
        </w:rPr>
        <w:t>h_fused = LayerNorm(h_fused)</w:t>
      </w:r>
    </w:p>
    <w:p/>
    <w:p>
      <w:r>
        <w:t>其中⊙表示逐元素乘法（Hadamard product），σ是sigmoid函数。</w:t>
      </w:r>
      <w:r>
        <w:br/>
        <w:br/>
        <w:t>关键洞察：门控向量G_n和G_c的每个维度独立决策，允许模型在不同的表示子空间中对两种模态赋予不同的权重。缺失率mr作为门控输入，使得模型能够"意识到"当前样本哪些信息是缺失的，从而相应调整融合策略。例如，当数值特征缺失严重时（mr_num接近1），G_n趋向于0，模型会更多地依赖类别特征。</w:t>
      </w:r>
    </w:p>
    <w:p>
      <w:pPr>
        <w:spacing w:before="160" w:after="80"/>
      </w:pPr>
      <w:r>
        <w:rPr>
          <w:rFonts w:ascii="Arial" w:hAnsi="Arial" w:eastAsia="黑体"/>
          <w:b/>
          <w:color w:val="8B0000"/>
          <w:sz w:val="20"/>
        </w:rPr>
        <w:t>【门控融合示意图】</w:t>
      </w:r>
    </w:p>
    <w:p>
      <w:pPr>
        <w:spacing w:before="80" w:after="160"/>
        <w:jc w:val="center"/>
      </w:pPr>
      <w:r>
        <w:drawing>
          <wp:inline xmlns:a="http://schemas.openxmlformats.org/drawingml/2006/main" xmlns:pic="http://schemas.openxmlformats.org/drawingml/2006/picture">
            <wp:extent cx="5303520" cy="4341778"/>
            <wp:docPr id="6" name="Picture 6"/>
            <wp:cNvGraphicFramePr>
              <a:graphicFrameLocks noChangeAspect="1"/>
            </wp:cNvGraphicFramePr>
            <a:graphic>
              <a:graphicData uri="http://schemas.openxmlformats.org/drawingml/2006/picture">
                <pic:pic>
                  <pic:nvPicPr>
                    <pic:cNvPr id="0" name="05_gate.png"/>
                    <pic:cNvPicPr/>
                  </pic:nvPicPr>
                  <pic:blipFill>
                    <a:blip r:embed="rId14"/>
                    <a:stretch>
                      <a:fillRect/>
                    </a:stretch>
                  </pic:blipFill>
                  <pic:spPr>
                    <a:xfrm>
                      <a:off x="0" y="0"/>
                      <a:ext cx="5303520" cy="4341778"/>
                    </a:xfrm>
                    <a:prstGeom prst="rect"/>
                  </pic:spPr>
                </pic:pic>
              </a:graphicData>
            </a:graphic>
          </wp:inline>
        </w:drawing>
      </w:r>
    </w:p>
    <w:p/>
    <w:p>
      <w:pPr>
        <w:spacing w:before="160" w:after="160"/>
      </w:pPr>
      <w:r>
        <w:rPr>
          <w:rFonts w:ascii="Times New Roman" w:hAnsi="Times New Roman" w:eastAsia="宋体"/>
          <w:b/>
          <w:color w:val="006699"/>
          <w:sz w:val="20"/>
        </w:rPr>
        <w:t>💡 初学者理解：</w:t>
      </w:r>
      <w:r>
        <w:rPr>
          <w:rFonts w:ascii="Times New Roman" w:hAnsi="Times New Roman" w:eastAsia="宋体"/>
          <w:color w:val="333333"/>
          <w:sz w:val="20"/>
        </w:rPr>
        <w:t>门控机制就像一个"智能调音台"。录音师（模型）根据每个音轨（模态）的信号质量（缺失率），动态调整每个通道的音量（门控权重）。数值特征嘈杂时调低数值通道，类别特征干净时调高类别通道，最终混音（融合表示）始终最优。</w:t>
      </w:r>
    </w:p>
    <w:p/>
    <w:p>
      <w:pPr>
        <w:spacing w:before="160" w:after="160"/>
      </w:pPr>
      <w:r>
        <w:rPr>
          <w:rFonts w:ascii="Times New Roman" w:hAnsi="Times New Roman" w:eastAsia="宋体"/>
          <w:b/>
          <w:color w:val="006699"/>
          <w:sz w:val="20"/>
        </w:rPr>
        <w:t>💡 与经典工作的关系：</w:t>
      </w:r>
      <w:r>
        <w:rPr>
          <w:rFonts w:ascii="Times New Roman" w:hAnsi="Times New Roman" w:eastAsia="宋体"/>
          <w:color w:val="333333"/>
          <w:sz w:val="20"/>
        </w:rPr>
        <w:t>门控融合的思想受到了LSTM/GRU中门控机制的启发（Hochreiter &amp; Schmidhuber, 1997; Cho et al., 2014），以及多模态学习中Cross-Modal Attention的影响。与简单拼接拼接（Concat）相比，门控融合提供了一种软性的、样本自适应的模态选择机制。</w:t>
      </w:r>
    </w:p>
    <w:p>
      <w:pPr>
        <w:pStyle w:val="Heading2"/>
      </w:pPr>
      <w:r>
        <w:t>3.3 MFM：缺失特征建模预训练</w:t>
      </w:r>
    </w:p>
    <w:p>
      <w:r>
        <w:t>在实际工业数据中，缺失值是普遍存在的。控制阀选型数据的部分特征缺失率可达50%以上——例如，某些工况下不需要测量特定参数，或者用户没有提供完整的材质要求。传统的缺失值处理方法（均值填充、中位数填充、MICE多重插补）都假设缺失是随机的，且无法利用特征之间的相关性进行推断。</w:t>
      </w:r>
    </w:p>
    <w:p>
      <w:pPr>
        <w:pStyle w:val="Heading3"/>
      </w:pPr>
      <w:r>
        <w:t>3.3.1 可学习缺失嵌入</w:t>
      </w:r>
    </w:p>
    <w:p>
      <w:r>
        <w:t>HECTO-E为每个特征位置维护一个专属的可学习缺失嵌入向量。具体而言：</w:t>
        <w:br/>
        <w:t>• 数值特征：22个位置 × 256维的缺失嵌入矩阵（可训练参数）</w:t>
        <w:br/>
        <w:t>• 类别特征：23个位置 × 256维的缺失嵌入矩阵（可训练参数）</w:t>
        <w:br/>
        <w:br/>
        <w:t>当某个特征缺失时，其位置用对应的缺失嵌入向量填充，而非简单的0或均值。缺失嵌入通过训练学习到"在该位置缺失通常意味着什么"的先验知识。</w:t>
      </w:r>
    </w:p>
    <w:p>
      <w:pPr>
        <w:spacing w:before="120" w:after="120"/>
        <w:jc w:val="center"/>
      </w:pPr>
      <w:r>
        <w:rPr>
          <w:rFonts w:ascii="Cambria Math" w:hAnsi="Cambria Math" w:eastAsia="宋体"/>
          <w:i/>
          <w:sz w:val="22"/>
        </w:rPr>
        <w:t>数值特征处理:</w:t>
      </w:r>
    </w:p>
    <w:p>
      <w:pPr>
        <w:spacing w:before="120" w:after="120"/>
        <w:jc w:val="center"/>
      </w:pPr>
      <w:r>
        <w:rPr>
          <w:rFonts w:ascii="Cambria Math" w:hAnsi="Cambria Math" w:eastAsia="宋体"/>
          <w:i/>
          <w:sz w:val="22"/>
        </w:rPr>
        <w:t xml:space="preserve">  h_num_i = mask_i · MLP(x_i) + (1-mask_i) · e_miss_num[i]</w:t>
      </w:r>
    </w:p>
    <w:p>
      <w:pPr>
        <w:spacing w:before="120" w:after="120"/>
        <w:jc w:val="center"/>
      </w:pPr>
      <w:r>
        <w:rPr>
          <w:rFonts w:ascii="Cambria Math" w:hAnsi="Cambria Math" w:eastAsia="宋体"/>
          <w:i/>
          <w:sz w:val="22"/>
        </w:rPr>
        <w:t>类别特征处理:</w:t>
      </w:r>
    </w:p>
    <w:p>
      <w:pPr>
        <w:spacing w:before="120" w:after="120"/>
        <w:jc w:val="center"/>
      </w:pPr>
      <w:r>
        <w:rPr>
          <w:rFonts w:ascii="Cambria Math" w:hAnsi="Cambria Math" w:eastAsia="宋体"/>
          <w:i/>
          <w:sz w:val="22"/>
        </w:rPr>
        <w:t xml:space="preserve">  h_cat_i = mask_i · E_i[x_i] + (1-mask_i) · e_miss_cat[i]</w:t>
      </w:r>
    </w:p>
    <w:p>
      <w:pPr>
        <w:pStyle w:val="Heading3"/>
      </w:pPr>
      <w:r>
        <w:t>3.3.2 MFM预训练：核心思想</w:t>
      </w:r>
    </w:p>
    <w:p>
      <w:r>
        <w:t>MFM（Masked Feature Modeling，掩码特征建模）是HECTO-E预训练阶段的核心任务，其灵感直接来源于自然语言处理中的BERT预训练范式（Devlin et al., 2019）。</w:t>
        <w:br/>
        <w:br/>
        <w:t>核心思想：</w:t>
        <w:br/>
        <w:t>1. 随机选择15%的已知特征（即mask=1的位置），将其临时"遮蔽"（mask→0）</w:t>
        <w:br/>
        <w:t>2. 编码器处理这个部分遮蔽的样本，输出融合表示h_fused</w:t>
        <w:br/>
        <w:t>3. MFM预测头从h_fused中重建被遮蔽特征的原始值</w:t>
        <w:br/>
        <w:t>4. 通过最小化重建误差来训练编码器</w:t>
        <w:br/>
        <w:br/>
        <w:t>这一预训练任务迫使编码器学会利用特征之间的相关性来"猜测"缺失值——例如，从已知的设计压力和介质温度推断可能的法兰压力等级。</w:t>
      </w:r>
    </w:p>
    <w:p>
      <w:pPr>
        <w:spacing w:before="160" w:after="80"/>
      </w:pPr>
      <w:r>
        <w:rPr>
          <w:rFonts w:ascii="Arial" w:hAnsi="Arial" w:eastAsia="黑体"/>
          <w:b/>
          <w:color w:val="8B0000"/>
          <w:sz w:val="20"/>
        </w:rPr>
        <w:t>【MFM预训练流程】</w:t>
      </w:r>
    </w:p>
    <w:p>
      <w:pPr>
        <w:spacing w:before="80" w:after="160"/>
        <w:jc w:val="center"/>
      </w:pPr>
      <w:r>
        <w:drawing>
          <wp:inline xmlns:a="http://schemas.openxmlformats.org/drawingml/2006/main" xmlns:pic="http://schemas.openxmlformats.org/drawingml/2006/picture">
            <wp:extent cx="5303520" cy="3248117"/>
            <wp:docPr id="7" name="Picture 7"/>
            <wp:cNvGraphicFramePr>
              <a:graphicFrameLocks noChangeAspect="1"/>
            </wp:cNvGraphicFramePr>
            <a:graphic>
              <a:graphicData uri="http://schemas.openxmlformats.org/drawingml/2006/picture">
                <pic:pic>
                  <pic:nvPicPr>
                    <pic:cNvPr id="0" name="06_mfm.png"/>
                    <pic:cNvPicPr/>
                  </pic:nvPicPr>
                  <pic:blipFill>
                    <a:blip r:embed="rId15"/>
                    <a:stretch>
                      <a:fillRect/>
                    </a:stretch>
                  </pic:blipFill>
                  <pic:spPr>
                    <a:xfrm>
                      <a:off x="0" y="0"/>
                      <a:ext cx="5303520" cy="3248117"/>
                    </a:xfrm>
                    <a:prstGeom prst="rect"/>
                  </pic:spPr>
                </pic:pic>
              </a:graphicData>
            </a:graphic>
          </wp:inline>
        </w:drawing>
      </w:r>
    </w:p>
    <w:p/>
    <w:p>
      <w:pPr>
        <w:spacing w:before="160" w:after="160"/>
      </w:pPr>
      <w:r>
        <w:rPr>
          <w:rFonts w:ascii="Times New Roman" w:hAnsi="Times New Roman" w:eastAsia="宋体"/>
          <w:b/>
          <w:color w:val="006699"/>
          <w:sz w:val="20"/>
        </w:rPr>
        <w:t>💡 与BERT的类比：</w:t>
      </w:r>
      <w:r>
        <w:rPr>
          <w:rFonts w:ascii="Times New Roman" w:hAnsi="Times New Roman" w:eastAsia="宋体"/>
          <w:color w:val="333333"/>
          <w:sz w:val="20"/>
        </w:rPr>
        <w:t>BERT的预训练是"随机遮蔽15%的单词，让模型根据上下文猜被遮住的词"。MFM是"随机遮蔽15%的特征值，让模型根据其他特征猜被遮住的特征值"。原理完全相同，只是把"句子中的词"换成了"表格中的特征"。</w:t>
      </w:r>
    </w:p>
    <w:p>
      <w:pPr>
        <w:pStyle w:val="Heading3"/>
      </w:pPr>
      <w:r>
        <w:t>3.3.3 MFM预测头设计</w:t>
      </w:r>
    </w:p>
    <w:p>
      <w:r>
        <w:t>MFM预测头包含两个子头：</w:t>
      </w:r>
    </w:p>
    <w:p>
      <w:pPr>
        <w:pStyle w:val="ListBullet"/>
      </w:pPr>
      <w:r>
        <w:t>数值预测头：Linear(256→128) → GELU → Linear(128→22)，输出22维回归值。使用MSE损失，仅在被遮蔽位置计算。</w:t>
      </w:r>
    </w:p>
    <w:p>
      <w:pPr>
        <w:pStyle w:val="ListBullet"/>
      </w:pPr>
      <w:r>
        <w:t>类别预测头：为每个类别特征维护一个独立的分类头 Linear(256→64) → GELU → Linear(64→V_i)。使用CrossEntropy损失，仅在被遮蔽位置计算。</w:t>
      </w:r>
    </w:p>
    <w:p>
      <w:pPr>
        <w:spacing w:before="120" w:after="120"/>
        <w:jc w:val="center"/>
      </w:pPr>
      <w:r>
        <w:rPr>
          <w:rFonts w:ascii="Cambria Math" w:hAnsi="Cambria Math" w:eastAsia="宋体"/>
          <w:i/>
          <w:sz w:val="22"/>
        </w:rPr>
        <w:t>L_MFM = λ_num · MSE(pred_num[masked], true_num[masked])</w:t>
      </w:r>
    </w:p>
    <w:p>
      <w:pPr>
        <w:spacing w:before="120" w:after="120"/>
        <w:jc w:val="center"/>
      </w:pPr>
      <w:r>
        <w:rPr>
          <w:rFonts w:ascii="Cambria Math" w:hAnsi="Cambria Math" w:eastAsia="宋体"/>
          <w:i/>
          <w:sz w:val="22"/>
        </w:rPr>
        <w:t xml:space="preserve">       + λ_cat · Σ_i CrossEntropy(pred_cat_i[masked_i], true_cat_i[masked_i])</w:t>
      </w:r>
    </w:p>
    <w:p/>
    <w:p>
      <w:r>
        <w:rPr>
          <w:rFonts w:ascii="Times New Roman" w:hAnsi="Times New Roman" w:eastAsia="宋体"/>
          <w:b/>
        </w:rPr>
        <w:t>参考论文：</w:t>
      </w:r>
      <w:r>
        <w:br/>
        <w:t>• BERT: Devlin et al., "BERT: Pre-training of Deep Bidirectional Transformers for Language Understanding", NAACL 2019. (引用量100,000+) — MFM预训练范式的直接灵感来源。</w:t>
        <w:br/>
        <w:t>• MAE: He et al., "Masked Autoencoders Are Scalable Vision Learners", CVPR 2022. (引用量8,000+) — 将掩码重建思想扩展到连续值域（图像像素），与MFM的数值预测类似。</w:t>
        <w:br/>
        <w:t>• TabTransformer: Huang et al., "TabTransformer: Tabular Data Modeling Using Contextual Embeddings", arXiv 2020. — 表格数据上使用Transformer处理类别特征的先驱工作。</w:t>
      </w:r>
    </w:p>
    <w:p>
      <w:pPr>
        <w:pStyle w:val="Heading2"/>
      </w:pPr>
      <w:r>
        <w:t>3.4 HAOD：层次化自回归输出解码器</w:t>
      </w:r>
    </w:p>
    <w:p>
      <w:r>
        <w:t>HAOD（Hierarchical Autoregressive Output Decoder）是HECTO-E最具创新性的模块，它将非结构化的多输出预测问题重构为结构化的层次化预测问题。这是本文区别于现有工作的核心贡献之一。</w:t>
      </w:r>
    </w:p>
    <w:p>
      <w:pPr>
        <w:pStyle w:val="Heading3"/>
      </w:pPr>
      <w:r>
        <w:t>3.4.1 层次化预测的动机</w:t>
      </w:r>
    </w:p>
    <w:p>
      <w:r>
        <w:t>控制阀选型的22个输出参数天然存在语义层次结构：</w:t>
        <w:br/>
        <w:br/>
        <w:t>Level 1 — 产品系列（14类）：最粗粒度的分类，决定了阀门的结构类型（如G系列球阀、ATS系列调节阀、HCB系列蝶阀）。产品系列是选型的第一步决策，它定义了后续所有规格的选择空间。</w:t>
        <w:br/>
        <w:br/>
        <w:t>Level 2 — 产品型号（64类）：在选定系列下的具体型号（如ATS系列下分为ATS-100、ATS-200、ATS-300等）。每个系列有自己的型号集合，跨系列的型号是不兼容的。</w:t>
        <w:br/>
        <w:br/>
        <w:t>Level 3 — 详细规格（20个输出）：包括17个分类输出（公称通径、压力等级、法兰型式、泄漏等级、各种材质选择等）和3个回归输出（额定CV/KV值、阀座直径、额定行程）。</w:t>
        <w:br/>
        <w:br/>
        <w:t>如果将所有22个输出独立预测（即22个并行的分类/回归头），模型将无法利用这种层次约束。例如，模型可能预测"系列=G系列球阀"但"型号=ATS-100"（ATS属于ATS系列而非G系列），这种非法组合在实际选型中毫无意义。</w:t>
        <w:br/>
        <w:br/>
        <w:t>HAOD通过自回归级联结构解决了这一问题：先预测系列，再用系列预测结果作为条件来预测型号，最后用系列和型号预测结果作为条件来预测详细规格。</w:t>
      </w:r>
    </w:p>
    <w:p>
      <w:pPr>
        <w:spacing w:before="160" w:after="80"/>
      </w:pPr>
      <w:r>
        <w:rPr>
          <w:rFonts w:ascii="Arial" w:hAnsi="Arial" w:eastAsia="黑体"/>
          <w:b/>
          <w:color w:val="8B0000"/>
          <w:sz w:val="20"/>
        </w:rPr>
        <w:t>【HAOD 三层次级联结构】</w:t>
      </w:r>
    </w:p>
    <w:p>
      <w:pPr>
        <w:spacing w:before="80" w:after="160"/>
        <w:jc w:val="center"/>
      </w:pPr>
      <w:r>
        <w:drawing>
          <wp:inline xmlns:a="http://schemas.openxmlformats.org/drawingml/2006/main" xmlns:pic="http://schemas.openxmlformats.org/drawingml/2006/picture">
            <wp:extent cx="5303520" cy="1590126"/>
            <wp:docPr id="8" name="Picture 8"/>
            <wp:cNvGraphicFramePr>
              <a:graphicFrameLocks noChangeAspect="1"/>
            </wp:cNvGraphicFramePr>
            <a:graphic>
              <a:graphicData uri="http://schemas.openxmlformats.org/drawingml/2006/picture">
                <pic:pic>
                  <pic:nvPicPr>
                    <pic:cNvPr id="0" name="07_haod.png"/>
                    <pic:cNvPicPr/>
                  </pic:nvPicPr>
                  <pic:blipFill>
                    <a:blip r:embed="rId16"/>
                    <a:stretch>
                      <a:fillRect/>
                    </a:stretch>
                  </pic:blipFill>
                  <pic:spPr>
                    <a:xfrm>
                      <a:off x="0" y="0"/>
                      <a:ext cx="5303520" cy="1590126"/>
                    </a:xfrm>
                    <a:prstGeom prst="rect"/>
                  </pic:spPr>
                </pic:pic>
              </a:graphicData>
            </a:graphic>
          </wp:inline>
        </w:drawing>
      </w:r>
    </w:p>
    <w:p>
      <w:pPr>
        <w:pStyle w:val="Heading3"/>
      </w:pPr>
      <w:r>
        <w:t>3.4.2 LevelDecoder：层级解码单元</w:t>
      </w:r>
    </w:p>
    <w:p>
      <w:r>
        <w:t>每个层级使用相同的解码器结构（参数独立），由Cross-Attention和前馈网络（FFN）组成。</w:t>
      </w:r>
    </w:p>
    <w:p>
      <w:pPr>
        <w:spacing w:before="120" w:after="120"/>
        <w:jc w:val="center"/>
      </w:pPr>
      <w:r>
        <w:rPr>
          <w:rFonts w:ascii="Cambria Math" w:hAnsi="Cambria Math" w:eastAsia="宋体"/>
          <w:i/>
          <w:sz w:val="22"/>
        </w:rPr>
        <w:t>LevelDecoder(q, kv):</w:t>
      </w:r>
    </w:p>
    <w:p>
      <w:pPr>
        <w:spacing w:before="120" w:after="120"/>
        <w:jc w:val="center"/>
      </w:pPr>
      <w:r>
        <w:rPr>
          <w:rFonts w:ascii="Cambria Math" w:hAnsi="Cambria Math" w:eastAsia="宋体"/>
          <w:i/>
          <w:sz w:val="22"/>
        </w:rPr>
        <w:t xml:space="preserve">  h = CrossAttention(Q=q, K=kv, V=kv)   ← 查询编码器中的相关信息</w:t>
      </w:r>
    </w:p>
    <w:p>
      <w:pPr>
        <w:spacing w:before="120" w:after="120"/>
        <w:jc w:val="center"/>
      </w:pPr>
      <w:r>
        <w:rPr>
          <w:rFonts w:ascii="Cambria Math" w:hAnsi="Cambria Math" w:eastAsia="宋体"/>
          <w:i/>
          <w:sz w:val="22"/>
        </w:rPr>
        <w:t xml:space="preserve">  h = LayerNorm(q + Dropout(h))         ← 残差连接 + 层归一化</w:t>
      </w:r>
    </w:p>
    <w:p>
      <w:pPr>
        <w:spacing w:before="120" w:after="120"/>
        <w:jc w:val="center"/>
      </w:pPr>
      <w:r>
        <w:rPr>
          <w:rFonts w:ascii="Cambria Math" w:hAnsi="Cambria Math" w:eastAsia="宋体"/>
          <w:i/>
          <w:sz w:val="22"/>
        </w:rPr>
        <w:t xml:space="preserve">  h = LayerNorm(h + Dropout(FFN(h)))    ← FFN + 残差连接</w:t>
      </w:r>
    </w:p>
    <w:p>
      <w:pPr>
        <w:spacing w:before="120" w:after="120"/>
        <w:jc w:val="center"/>
      </w:pPr>
      <w:r>
        <w:rPr>
          <w:rFonts w:ascii="Cambria Math" w:hAnsi="Cambria Math" w:eastAsia="宋体"/>
          <w:i/>
          <w:sz w:val="22"/>
        </w:rPr>
        <w:t xml:space="preserve">  return h</w:t>
      </w:r>
    </w:p>
    <w:p>
      <w:r>
        <w:t>这里采用的是Transformer Decoder层的标准设计（Vaswani et al., 2017），区别在于Cross-Attention的Key和Value都来自编码器输出h_fused，而非编码器的序列表示。</w:t>
      </w:r>
    </w:p>
    <w:p>
      <w:pPr>
        <w:pStyle w:val="Heading3"/>
      </w:pPr>
      <w:r>
        <w:t>3.4.3 教师强制（Teacher Forcing）</w:t>
      </w:r>
    </w:p>
    <w:p>
      <w:r>
        <w:t>教师强制（Teacher Forcing）是训练自回归模型的核心技术。在HAOD中：</w:t>
        <w:br/>
        <w:br/>
        <w:t>• 训练时：以概率tf使用上一层的真实标签（Ground Truth）作为当前层的输入条件。这确保了即使上层预测错误，下层仍能学到正确的条件映射，加速收敛。</w:t>
        <w:br/>
        <w:t>• 推理时：tf=0，全部使用模型自身的预测结果，模拟真实的推理场景。</w:t>
        <w:br/>
        <w:t>• 调度采样（Scheduled Sampling）：tf从1.0逐步衰减到0.7，让模型从依赖真实标签平滑过渡到依赖自身预测。</w:t>
      </w:r>
    </w:p>
    <w:p>
      <w:pPr>
        <w:spacing w:before="120" w:after="120"/>
        <w:jc w:val="center"/>
      </w:pPr>
      <w:r>
        <w:rPr>
          <w:rFonts w:ascii="Cambria Math" w:hAnsi="Cambria Math" w:eastAsia="宋体"/>
          <w:i/>
          <w:sz w:val="22"/>
        </w:rPr>
        <w:t>if random() &lt; teacher_forcing_ratio:</w:t>
      </w:r>
    </w:p>
    <w:p>
      <w:pPr>
        <w:spacing w:before="120" w:after="120"/>
        <w:jc w:val="center"/>
      </w:pPr>
      <w:r>
        <w:rPr>
          <w:rFonts w:ascii="Cambria Math" w:hAnsi="Cambria Math" w:eastAsia="宋体"/>
          <w:i/>
          <w:sz w:val="22"/>
        </w:rPr>
        <w:t xml:space="preserve">    series_emb = Embedding(y_true_series)   ← 使用真实标签</w:t>
      </w:r>
    </w:p>
    <w:p>
      <w:pPr>
        <w:spacing w:before="120" w:after="120"/>
        <w:jc w:val="center"/>
      </w:pPr>
      <w:r>
        <w:rPr>
          <w:rFonts w:ascii="Cambria Math" w:hAnsi="Cambria Math" w:eastAsia="宋体"/>
          <w:i/>
          <w:sz w:val="22"/>
        </w:rPr>
        <w:t>else:</w:t>
      </w:r>
    </w:p>
    <w:p>
      <w:pPr>
        <w:spacing w:before="120" w:after="120"/>
        <w:jc w:val="center"/>
      </w:pPr>
      <w:r>
        <w:rPr>
          <w:rFonts w:ascii="Cambria Math" w:hAnsi="Cambria Math" w:eastAsia="宋体"/>
          <w:i/>
          <w:sz w:val="22"/>
        </w:rPr>
        <w:t xml:space="preserve">    series_emb = Embedding(pred_series)     ← 使用模型预测</w:t>
      </w:r>
    </w:p>
    <w:p>
      <w:pPr>
        <w:pStyle w:val="Heading3"/>
      </w:pPr>
      <w:r>
        <w:t>3.4.4 系列条件化掩码</w:t>
      </w:r>
    </w:p>
    <w:p>
      <w:r>
        <w:t>Level 2预测产品型号时，HAOD应用一个合法性掩码，将不属于当前预测系列的型号的logits设为-∞，使其在softmax后概率为0。这保证了预测的层次一致性。</w:t>
      </w:r>
    </w:p>
    <w:p>
      <w:pPr>
        <w:spacing w:before="120" w:after="120"/>
        <w:jc w:val="center"/>
      </w:pPr>
      <w:r>
        <w:rPr>
          <w:rFonts w:ascii="Cambria Math" w:hAnsi="Cambria Math" w:eastAsia="宋体"/>
          <w:i/>
          <w:sz w:val="22"/>
        </w:rPr>
        <w:t>LegalModelMask ∈ {0,1}^{C₁×C₂}  (基于训练数据的系列-型号共现统计)</w:t>
      </w:r>
    </w:p>
    <w:p>
      <w:pPr>
        <w:spacing w:before="120" w:after="120"/>
        <w:jc w:val="center"/>
      </w:pPr>
      <w:r>
        <w:rPr>
          <w:rFonts w:ascii="Cambria Math" w:hAnsi="Cambria Math" w:eastAsia="宋体"/>
          <w:i/>
          <w:sz w:val="22"/>
        </w:rPr>
        <w:t>masked_logits = logits_model  if mask[series_id, model_id]=1  else -∞</w:t>
      </w:r>
    </w:p>
    <w:p/>
    <w:p>
      <w:pPr>
        <w:spacing w:before="160" w:after="160"/>
      </w:pPr>
      <w:r>
        <w:rPr>
          <w:rFonts w:ascii="Times New Roman" w:hAnsi="Times New Roman" w:eastAsia="宋体"/>
          <w:b/>
          <w:color w:val="006699"/>
          <w:sz w:val="20"/>
        </w:rPr>
        <w:t>💡 参考论文：</w:t>
      </w:r>
      <w:r>
        <w:rPr>
          <w:rFonts w:ascii="Times New Roman" w:hAnsi="Times New Roman" w:eastAsia="宋体"/>
          <w:color w:val="333333"/>
          <w:sz w:val="20"/>
        </w:rPr>
        <w:t>• Transformer: Vaswani et al., "Attention Is All You Need", NeurIPS 2017. (引用量120,000+) — 所有基于Transformer的架构的奠基性工作。</w:t>
        <w:br/>
        <w:t>• Scheduled Sampling: Bengio et al., "Scheduled Sampling for Sequence Prediction with Recurrent Neural Networks", NeurIPS 2015. — 教师强制与调度采样的原始论文。</w:t>
        <w:br/>
        <w:t>• Hierarchical Text Classification: Wehrmann et al., "Hierarchical Multi-Label Classification Networks", ICML 2018. — 层次化分类的经典方法。</w:t>
      </w:r>
    </w:p>
    <w:p>
      <w:pPr>
        <w:pStyle w:val="Heading2"/>
      </w:pPr>
      <w:r>
        <w:t>3.5 DCPN：双重对比原型网络</w:t>
      </w:r>
    </w:p>
    <w:p>
      <w:r>
        <w:t>DCPN（Dual Contrastive Prototype Network）是HECTO-E解决长尾分布问题的核心模块。在阐述DCPN之前，我们需要先理解两个基础概念：对比学习和长尾分布。</w:t>
      </w:r>
    </w:p>
    <w:p>
      <w:pPr>
        <w:pStyle w:val="Heading3"/>
      </w:pPr>
      <w:r>
        <w:t>3.5.1 背景：长尾分布问题</w:t>
      </w:r>
    </w:p>
    <w:p>
      <w:r>
        <w:t>控制阀选型数据呈现典型的长尾分布：少数几个热门产品系列（如G系列球阀、ATS系列调节阀）占据了70%以上的样本，而有数个冷门系列（如特殊材质波纹管阀）仅有不到10个样本。这种分布对各种下游分类器都构成了挑战。</w:t>
      </w:r>
    </w:p>
    <w:p>
      <w:pPr>
        <w:spacing w:before="160" w:after="80"/>
      </w:pPr>
      <w:r>
        <w:rPr>
          <w:rFonts w:ascii="Arial" w:hAnsi="Arial" w:eastAsia="黑体"/>
          <w:b/>
          <w:color w:val="8B0000"/>
          <w:sz w:val="20"/>
        </w:rPr>
        <w:t>【长尾分布示意图（14个产品系列）】</w:t>
      </w:r>
    </w:p>
    <w:p>
      <w:pPr>
        <w:spacing w:before="80" w:after="160"/>
        <w:jc w:val="center"/>
      </w:pPr>
      <w:r>
        <w:drawing>
          <wp:inline xmlns:a="http://schemas.openxmlformats.org/drawingml/2006/main" xmlns:pic="http://schemas.openxmlformats.org/drawingml/2006/picture">
            <wp:extent cx="5303520" cy="2780665"/>
            <wp:docPr id="9" name="Picture 9"/>
            <wp:cNvGraphicFramePr>
              <a:graphicFrameLocks noChangeAspect="1"/>
            </wp:cNvGraphicFramePr>
            <a:graphic>
              <a:graphicData uri="http://schemas.openxmlformats.org/drawingml/2006/picture">
                <pic:pic>
                  <pic:nvPicPr>
                    <pic:cNvPr id="0" name="09_longtail.png"/>
                    <pic:cNvPicPr/>
                  </pic:nvPicPr>
                  <pic:blipFill>
                    <a:blip r:embed="rId17"/>
                    <a:stretch>
                      <a:fillRect/>
                    </a:stretch>
                  </pic:blipFill>
                  <pic:spPr>
                    <a:xfrm>
                      <a:off x="0" y="0"/>
                      <a:ext cx="5303520" cy="2780665"/>
                    </a:xfrm>
                    <a:prstGeom prst="rect"/>
                  </pic:spPr>
                </pic:pic>
              </a:graphicData>
            </a:graphic>
          </wp:inline>
        </w:drawing>
      </w:r>
    </w:p>
    <w:p>
      <w:pPr>
        <w:pStyle w:val="Heading3"/>
      </w:pPr>
      <w:r>
        <w:t>3.5.2 背景：对比学习原理</w:t>
      </w:r>
    </w:p>
    <w:p>
      <w:r>
        <w:t>对比学习（Contrastive Learning）是自监督表示学习的核心范式，其基本思想是：在特征空间中拉近相似样本（正对），推远不相似样本（负对）。</w:t>
      </w:r>
    </w:p>
    <w:p>
      <w:pPr>
        <w:spacing w:before="120" w:after="120"/>
        <w:jc w:val="center"/>
      </w:pPr>
      <w:r>
        <w:rPr>
          <w:rFonts w:ascii="Cambria Math" w:hAnsi="Cambria Math" w:eastAsia="宋体"/>
          <w:i/>
          <w:sz w:val="22"/>
        </w:rPr>
        <w:t>InfoNCE Loss (Oord et al., 2018):</w:t>
      </w:r>
    </w:p>
    <w:p>
      <w:pPr>
        <w:spacing w:before="120" w:after="120"/>
        <w:jc w:val="center"/>
      </w:pPr>
      <w:r>
        <w:rPr>
          <w:rFonts w:ascii="Cambria Math" w:hAnsi="Cambria Math" w:eastAsia="宋体"/>
          <w:i/>
          <w:sz w:val="22"/>
        </w:rPr>
        <w:t>L_NCE = -log[ exp(sim(z_i, z_j⁺)/τ) / Σ_{k} exp(sim(z_i, z_k)/τ) ]</w:t>
      </w:r>
    </w:p>
    <w:p/>
    <w:p>
      <w:r>
        <w:t>其中：</w:t>
      </w:r>
    </w:p>
    <w:p>
      <w:pPr>
        <w:pStyle w:val="ListBullet"/>
      </w:pPr>
      <w:r>
        <w:t>z_i：锚点样本的特征表示</w:t>
      </w:r>
    </w:p>
    <w:p>
      <w:pPr>
        <w:pStyle w:val="ListBullet"/>
      </w:pPr>
      <w:r>
        <w:t>z_j⁺：与z_i属于同一类别的正样本</w:t>
      </w:r>
    </w:p>
    <w:p>
      <w:pPr>
        <w:pStyle w:val="ListBullet"/>
      </w:pPr>
      <w:r>
        <w:t>z_k：批次中所有其他样本（包括正样本和负样本）</w:t>
      </w:r>
    </w:p>
    <w:p>
      <w:pPr>
        <w:pStyle w:val="ListBullet"/>
      </w:pPr>
      <w:r>
        <w:t>sim(·,·)：余弦相似度</w:t>
      </w:r>
    </w:p>
    <w:p>
      <w:pPr>
        <w:pStyle w:val="ListBullet"/>
      </w:pPr>
      <w:r>
        <w:t>τ：温度参数（控制分布的平滑程度，τ越小分布越尖锐）</w:t>
      </w:r>
    </w:p>
    <w:p/>
    <w:p>
      <w:pPr>
        <w:spacing w:before="160" w:after="160"/>
      </w:pPr>
      <w:r>
        <w:rPr>
          <w:rFonts w:ascii="Times New Roman" w:hAnsi="Times New Roman" w:eastAsia="宋体"/>
          <w:b/>
          <w:color w:val="006699"/>
          <w:sz w:val="20"/>
        </w:rPr>
        <w:t>💡 初学者理解：</w:t>
      </w:r>
      <w:r>
        <w:rPr>
          <w:rFonts w:ascii="Times New Roman" w:hAnsi="Times New Roman" w:eastAsia="宋体"/>
          <w:color w:val="333333"/>
          <w:sz w:val="20"/>
        </w:rPr>
        <w:t>对比学习就像"找朋友"游戏。在班级大合照中，给定一个人，要求你找到他最好的朋友。你通过比较每个人的特征（身高、发型、衣着）来判断谁最可能是朋友，同时排除那些明显不相似的人。随着练习，你越来越善于辨别细微的差异。温度τ控制"挑剔程度"：τ小→只认最相似的→决策边界更锐利；τ大→容忍更多模糊匹配。</w:t>
      </w:r>
    </w:p>
    <w:p>
      <w:pPr>
        <w:pStyle w:val="Heading3"/>
      </w:pPr>
      <w:r>
        <w:t>3.5.3 DCPN的双重对比架构</w:t>
      </w:r>
    </w:p>
    <w:p>
      <w:pPr>
        <w:spacing w:before="160" w:after="80"/>
      </w:pPr>
      <w:r>
        <w:rPr>
          <w:rFonts w:ascii="Arial" w:hAnsi="Arial" w:eastAsia="黑体"/>
          <w:b/>
          <w:color w:val="8B0000"/>
          <w:sz w:val="20"/>
        </w:rPr>
        <w:t>【DCPN: 双重对比原型网络架构】</w:t>
      </w:r>
    </w:p>
    <w:p>
      <w:pPr>
        <w:spacing w:before="80" w:after="160"/>
        <w:jc w:val="center"/>
      </w:pPr>
      <w:r>
        <w:drawing>
          <wp:inline xmlns:a="http://schemas.openxmlformats.org/drawingml/2006/main" xmlns:pic="http://schemas.openxmlformats.org/drawingml/2006/picture">
            <wp:extent cx="5303520" cy="4871078"/>
            <wp:docPr id="10" name="Picture 10"/>
            <wp:cNvGraphicFramePr>
              <a:graphicFrameLocks noChangeAspect="1"/>
            </wp:cNvGraphicFramePr>
            <a:graphic>
              <a:graphicData uri="http://schemas.openxmlformats.org/drawingml/2006/picture">
                <pic:pic>
                  <pic:nvPicPr>
                    <pic:cNvPr id="0" name="10_dcpn.png"/>
                    <pic:cNvPicPr/>
                  </pic:nvPicPr>
                  <pic:blipFill>
                    <a:blip r:embed="rId18"/>
                    <a:stretch>
                      <a:fillRect/>
                    </a:stretch>
                  </pic:blipFill>
                  <pic:spPr>
                    <a:xfrm>
                      <a:off x="0" y="0"/>
                      <a:ext cx="5303520" cy="4871078"/>
                    </a:xfrm>
                    <a:prstGeom prst="rect"/>
                  </pic:spPr>
                </pic:pic>
              </a:graphicData>
            </a:graphic>
          </wp:inline>
        </w:drawing>
      </w:r>
    </w:p>
    <w:p>
      <w:pPr>
        <w:pStyle w:val="Heading3"/>
      </w:pPr>
      <w:r>
        <w:t>3.5.4 实例级监督对比损失（SupCon）</w:t>
      </w:r>
    </w:p>
    <w:p>
      <w:r>
        <w:t>区别于自监督对比学习（SimCLR, MoCo等使用数据增强构造正对），HECTO-E使用监督对比学习（Supervised Contrastive Learning, Khosla et al., 2020）：正对由共享同一产品系列标签的样本自然构成，无需额外数据增强。</w:t>
      </w:r>
    </w:p>
    <w:p>
      <w:pPr>
        <w:spacing w:before="120" w:after="120"/>
        <w:jc w:val="center"/>
      </w:pPr>
      <w:r>
        <w:rPr>
          <w:rFonts w:ascii="Cambria Math" w:hAnsi="Cambria Math" w:eastAsia="宋体"/>
          <w:i/>
          <w:sz w:val="22"/>
        </w:rPr>
        <w:t>Supervised Contrastive Loss:</w:t>
      </w:r>
    </w:p>
    <w:p>
      <w:pPr>
        <w:spacing w:before="120" w:after="120"/>
        <w:jc w:val="center"/>
      </w:pPr>
      <w:r>
        <w:rPr>
          <w:rFonts w:ascii="Cambria Math" w:hAnsi="Cambria Math" w:eastAsia="宋体"/>
          <w:i/>
          <w:sz w:val="22"/>
        </w:rPr>
        <w:t>L_inst = Σ_i  -1/|P(i)|  Σ_{p∈P(i)}  log[ exp(sim(z_i, z_p)/τ) / Σ_{a≠i} exp(sim(z_i, z_a)/τ) ]</w:t>
      </w:r>
    </w:p>
    <w:p/>
    <w:p>
      <w:r>
        <w:t>其中P(i)表示与样本i同系列的所有样本集合。这个损失函数同时优化两个目标：(1) 最大化同类样本的相似度；(2) 最小化不同类样本的相似度。</w:t>
      </w:r>
    </w:p>
    <w:p>
      <w:pPr>
        <w:pStyle w:val="Heading3"/>
      </w:pPr>
      <w:r>
        <w:t>3.5.5 原型级对比与动量更新</w:t>
      </w:r>
    </w:p>
    <w:p>
      <w:r>
        <w:t>实例级对比学习依赖批次内的样本配对，当批次不能包含所有类别的样本时，尾部类的负样本不充分，对比信号较弱。DCPN通过类原型（Prototype）来解决这一问题。</w:t>
      </w:r>
    </w:p>
    <w:p>
      <w:r>
        <w:rPr>
          <w:rFonts w:ascii="Times New Roman" w:hAnsi="Times New Roman" w:eastAsia="宋体"/>
          <w:b/>
        </w:rPr>
        <w:t>原型（Prototype）</w:t>
      </w:r>
      <w:r>
        <w:t>是每个类别在表示空间中的"中心点"，代表了该类别的典型特征。</w:t>
      </w:r>
    </w:p>
    <w:p>
      <w:pPr>
        <w:spacing w:before="120" w:after="120"/>
        <w:jc w:val="center"/>
      </w:pPr>
      <w:r>
        <w:rPr>
          <w:rFonts w:ascii="Cambria Math" w:hAnsi="Cambria Math" w:eastAsia="宋体"/>
          <w:i/>
          <w:sz w:val="22"/>
        </w:rPr>
        <w:t>原型动量更新:</w:t>
      </w:r>
    </w:p>
    <w:p>
      <w:pPr>
        <w:spacing w:before="120" w:after="120"/>
        <w:jc w:val="center"/>
      </w:pPr>
      <w:r>
        <w:rPr>
          <w:rFonts w:ascii="Cambria Math" w:hAnsi="Cambria Math" w:eastAsia="宋体"/>
          <w:i/>
          <w:sz w:val="22"/>
        </w:rPr>
        <w:t>P_c^(t+1) = α · P_c^(t) + (1-α) · mean_{i: y_i=c}(z_i)</w:t>
      </w:r>
    </w:p>
    <w:p>
      <w:pPr>
        <w:spacing w:before="120" w:after="120"/>
        <w:jc w:val="center"/>
      </w:pPr>
      <w:r>
        <w:rPr>
          <w:rFonts w:ascii="Cambria Math" w:hAnsi="Cambria Math" w:eastAsia="宋体"/>
          <w:i/>
          <w:sz w:val="22"/>
        </w:rPr>
        <w:t>P_c^(t+1) = Normalize(P_c^(t+1))</w:t>
      </w:r>
    </w:p>
    <w:p/>
    <w:p>
      <w:r>
        <w:t>动量更新（α=0.99）的关键优势：</w:t>
        <w:br/>
        <w:t>1. 原型的更新是平滑的，不受单批次样本噪声的剧烈影响</w:t>
        <w:br/>
        <w:t>2. 即使批次中没有某个尾部类的样本，该类的原型仍然存储在上一步的原型向量中</w:t>
        <w:br/>
        <w:t>3. 原型提供了跨批次的长期记忆，弥补了批次内对比的视野局限</w:t>
      </w:r>
    </w:p>
    <w:p>
      <w:pPr>
        <w:pStyle w:val="Heading3"/>
      </w:pPr>
      <w:r>
        <w:t>3.5.6 尾部类原型插值增强</w:t>
      </w:r>
    </w:p>
    <w:p>
      <w:r>
        <w:t>这是DCPN针对长尾分布的最重要创新。对于样本数低于阈值（tail_threshold=10）的尾部类，其原型估计由于样本极少而高度不可靠。DCPN通过将尾部类原型与语义最近的头部类原型进行插值，生成增强原型：</w:t>
      </w:r>
    </w:p>
    <w:p>
      <w:pPr>
        <w:spacing w:before="120" w:after="120"/>
        <w:jc w:val="center"/>
      </w:pPr>
      <w:r>
        <w:rPr>
          <w:rFonts w:ascii="Cambria Math" w:hAnsi="Cambria Math" w:eastAsia="宋体"/>
          <w:i/>
          <w:sz w:val="22"/>
        </w:rPr>
        <w:t>P_c_aug = β · P_c + (1-β) · P_nearest_head</w:t>
      </w:r>
    </w:p>
    <w:p>
      <w:pPr>
        <w:spacing w:before="120" w:after="120"/>
        <w:jc w:val="center"/>
      </w:pPr>
      <w:r>
        <w:rPr>
          <w:rFonts w:ascii="Cambria Math" w:hAnsi="Cambria Math" w:eastAsia="宋体"/>
          <w:i/>
          <w:sz w:val="22"/>
        </w:rPr>
        <w:t>β = min(0.3 + 0.6 × count_c/threshold,  0.9)</w:t>
      </w:r>
    </w:p>
    <w:p/>
    <w:p>
      <w:r>
        <w:t>β的取值范围在[0.3, 0.9]之间，样本越少β越小（越依赖头部类原型），样本越多β越大（越依赖自身原型）。这一策略的直觉是：相似的阀门系列（如两种球阀）在表示空间中应该接近，头部类信息可以辅助尾部类的原型学习。</w:t>
      </w:r>
    </w:p>
    <w:p/>
    <w:p>
      <w:pPr>
        <w:spacing w:before="160" w:after="160"/>
      </w:pPr>
      <w:r>
        <w:rPr>
          <w:rFonts w:ascii="Times New Roman" w:hAnsi="Times New Roman" w:eastAsia="宋体"/>
          <w:b/>
          <w:color w:val="006699"/>
          <w:sz w:val="20"/>
        </w:rPr>
        <w:t>💡 参考论文：</w:t>
      </w:r>
      <w:r>
        <w:rPr>
          <w:rFonts w:ascii="Times New Roman" w:hAnsi="Times New Roman" w:eastAsia="宋体"/>
          <w:color w:val="333333"/>
          <w:sz w:val="20"/>
        </w:rPr>
        <w:t>• SimCLR: Chen et al., "A Simple Framework for Contrastive Learning of Visual Representations", ICML 2020. (引用量25,000+) — 对比学习的里程碑工作。</w:t>
        <w:br/>
        <w:t>• SupCon: Khosla et al., "Supervised Contrastive Learning", NeurIPS 2020. (引用量6,000+) — 将对比学习扩展到有监督场景。</w:t>
        <w:br/>
        <w:t>• MoCo: He et al., "Momentum Contrast for Unsupervised Visual Representation Learning", CVPR 2020. (引用量20,000+) — 动量更新的经典实现。</w:t>
        <w:br/>
        <w:t>• Prototype Learning: Snell et al., "Prototypical Networks for Few-shot Learning", NeurIPS 2017. (引用量10,000+) — 原型网络的奠基性工作。</w:t>
      </w:r>
    </w:p>
    <w:p>
      <w:pPr>
        <w:pStyle w:val="Heading2"/>
      </w:pPr>
      <w:r>
        <w:t>3.6 PICL：物理信息约束层</w:t>
      </w:r>
    </w:p>
    <w:p>
      <w:r>
        <w:t>PICL（Physics-Informed Constraint Layer）是HECTO-E确保预测结果物理可行性的模块，将控制阀选型中的工程约束转化为可微分的正则化项，使物理知识可以无缝融入深度学习训练流程。</w:t>
      </w:r>
    </w:p>
    <w:p>
      <w:pPr>
        <w:pStyle w:val="Heading3"/>
      </w:pPr>
      <w:r>
        <w:t>3.6.1 设计动机：物理约束的重要性</w:t>
      </w:r>
    </w:p>
    <w:p>
      <w:r>
        <w:t>纯数据驱动的模型可能输出在物理上不可行的选型方案。例如：</w:t>
        <w:br/>
        <w:t>• 材质不兼容：阀体材质为PTFE（聚四氟乙烯）但预测的阀座材质需要在高温下工作——PTFE的长期使用温度不超过200°C，而某些工况的设计温度可达450°C。</w:t>
        <w:br/>
        <w:t>• 层次不一致：预测的产品系列为"G系列球阀"但产品型号为"ATS-100"——ATS型号属于ATS系列调节阀，与G系列球阀的型号空间不重叠。</w:t>
        <w:br/>
        <w:t>• 压力-温度越界：设计温度450°C但预测压力等级为PN16——PN16在此温度下的最大允许工作压力远低于实际工况需求。</w:t>
      </w:r>
    </w:p>
    <w:p>
      <w:pPr>
        <w:pStyle w:val="Heading3"/>
      </w:pPr>
      <w:r>
        <w:t>3.6.2 约束一：材质兼容性约束</w:t>
      </w:r>
    </w:p>
    <w:p>
      <w:r>
        <w:t>从训练数据中统计阀体材质→阀芯材质和阀体材质→阀座材质的共现频率，构建兼容性矩阵C_body→core ∈ ℝ^{V_body × V_core}。训练时，惩罚模型输出与兼容性矩阵不一致的材质组合。</w:t>
      </w:r>
    </w:p>
    <w:p>
      <w:pPr>
        <w:spacing w:before="120" w:after="120"/>
        <w:jc w:val="center"/>
      </w:pPr>
      <w:r>
        <w:rPr>
          <w:rFonts w:ascii="Cambria Math" w:hAnsi="Cambria Math" w:eastAsia="宋体"/>
          <w:i/>
          <w:sz w:val="22"/>
        </w:rPr>
        <w:t>L_mat = -Σ_{i∈{core,seat}} log P(material_i | material_body)</w:t>
      </w:r>
    </w:p>
    <w:p>
      <w:pPr>
        <w:spacing w:before="120" w:after="120"/>
        <w:jc w:val="center"/>
      </w:pPr>
      <w:r>
        <w:rPr>
          <w:rFonts w:ascii="Cambria Math" w:hAnsi="Cambria Math" w:eastAsia="宋体"/>
          <w:i/>
          <w:sz w:val="22"/>
        </w:rPr>
        <w:t xml:space="preserve">      = -Σ_i log( softmax(logits_i) · compat_body_to_i[body_label] )</w:t>
      </w:r>
    </w:p>
    <w:p>
      <w:pPr>
        <w:pStyle w:val="Heading3"/>
      </w:pPr>
      <w:r>
        <w:t>3.6.3 约束二：层次一致性约束</w:t>
      </w:r>
    </w:p>
    <w:p>
      <w:r>
        <w:t>确保预测的层次结构在逻辑上一致。利用HAOD中的LegalModelMask，惩罚模型在非法型号区域（即不属于预测系列的型号）上分配的非零概率。</w:t>
      </w:r>
    </w:p>
    <w:p>
      <w:pPr>
        <w:spacing w:before="120" w:after="120"/>
        <w:jc w:val="center"/>
      </w:pPr>
      <w:r>
        <w:rPr>
          <w:rFonts w:ascii="Cambria Math" w:hAnsi="Cambria Math" w:eastAsia="宋体"/>
          <w:i/>
          <w:sz w:val="22"/>
        </w:rPr>
        <w:t>L_consist = mean_{B} clamp(logits_model * (1-LegalMask[pred_series]), min=0)</w:t>
      </w:r>
    </w:p>
    <w:p/>
    <w:p>
      <w:r>
        <w:t>clamp(min=0)确保只惩罚正值（对非法类别的置信度），负值（已排斥的非法类别）不惩罚。</w:t>
      </w:r>
    </w:p>
    <w:p>
      <w:pPr>
        <w:pStyle w:val="Heading3"/>
      </w:pPr>
      <w:r>
        <w:t>3.6.4 约束三：压力-温度包络（简化版）</w:t>
      </w:r>
    </w:p>
    <w:p>
      <w:r>
        <w:t>温度-压力约束基于ASME B16.34标准。简化的实现是将压力等级和材质编码为条件，约束设计温度不超过对应组合的上限。目前以0权重占位，是因为反归一化依赖外部的温度Scaler参数，留作后续扩展。</w:t>
      </w:r>
    </w:p>
    <w:p/>
    <w:p>
      <w:pPr>
        <w:spacing w:before="160" w:after="160"/>
      </w:pPr>
      <w:r>
        <w:rPr>
          <w:rFonts w:ascii="Times New Roman" w:hAnsi="Times New Roman" w:eastAsia="宋体"/>
          <w:b/>
          <w:color w:val="006699"/>
          <w:sz w:val="20"/>
        </w:rPr>
        <w:t>💡 参考论文：</w:t>
      </w:r>
      <w:r>
        <w:rPr>
          <w:rFonts w:ascii="Times New Roman" w:hAnsi="Times New Roman" w:eastAsia="宋体"/>
          <w:color w:val="333333"/>
          <w:sz w:val="20"/>
        </w:rPr>
        <w:t>• PINN: Raissi et al., "Physics-informed neural networks: A deep learning framework for solving forward and inverse problems involving nonlinear partial differential equations", JCP 2019. (引用量15,000+) — 物理信息神经网络的奠基性工作。</w:t>
        <w:br/>
        <w:t>• Semantic Loss: Xu et al., "A Semantic Loss Function for Deep Learning with Symbolic Knowledge", ICML 2018. — 将符号逻辑约束转化为可微损失函数的先驱工作。</w:t>
      </w:r>
    </w:p>
    <w:p>
      <w:r>
        <w:br w:type="page"/>
      </w:r>
    </w:p>
    <w:p>
      <w:pPr>
        <w:pStyle w:val="Heading1"/>
      </w:pPr>
      <w:r>
        <w:t>第四章  训练策略</w:t>
      </w:r>
    </w:p>
    <w:p>
      <w:pPr>
        <w:pStyle w:val="Heading2"/>
      </w:pPr>
      <w:r>
        <w:t>4.1 三阶段训练范式</w:t>
      </w:r>
    </w:p>
    <w:p>
      <w:r>
        <w:t>HECTO-E采用三阶段渐进式训练策略，每个阶段聚焦不同的优化目标：</w:t>
      </w:r>
    </w:p>
    <w:p>
      <w:pPr>
        <w:spacing w:before="160" w:after="80"/>
      </w:pPr>
      <w:r>
        <w:rPr>
          <w:rFonts w:ascii="Arial" w:hAnsi="Arial" w:eastAsia="黑体"/>
          <w:b/>
          <w:color w:val="8B0000"/>
          <w:sz w:val="20"/>
        </w:rPr>
        <w:t>【三阶段训练流程】</w:t>
      </w:r>
    </w:p>
    <w:p>
      <w:pPr>
        <w:spacing w:before="80" w:after="160"/>
        <w:jc w:val="center"/>
      </w:pPr>
      <w:r>
        <w:drawing>
          <wp:inline xmlns:a="http://schemas.openxmlformats.org/drawingml/2006/main" xmlns:pic="http://schemas.openxmlformats.org/drawingml/2006/picture">
            <wp:extent cx="5303520" cy="5215495"/>
            <wp:docPr id="11" name="Picture 11"/>
            <wp:cNvGraphicFramePr>
              <a:graphicFrameLocks noChangeAspect="1"/>
            </wp:cNvGraphicFramePr>
            <a:graphic>
              <a:graphicData uri="http://schemas.openxmlformats.org/drawingml/2006/picture">
                <pic:pic>
                  <pic:nvPicPr>
                    <pic:cNvPr id="0" name="11_training.png"/>
                    <pic:cNvPicPr/>
                  </pic:nvPicPr>
                  <pic:blipFill>
                    <a:blip r:embed="rId19"/>
                    <a:stretch>
                      <a:fillRect/>
                    </a:stretch>
                  </pic:blipFill>
                  <pic:spPr>
                    <a:xfrm>
                      <a:off x="0" y="0"/>
                      <a:ext cx="5303520" cy="5215495"/>
                    </a:xfrm>
                    <a:prstGeom prst="rect"/>
                  </pic:spPr>
                </pic:pic>
              </a:graphicData>
            </a:graphic>
          </wp:inline>
        </w:drawing>
      </w:r>
    </w:p>
    <w:p>
      <w:pPr>
        <w:pStyle w:val="Heading2"/>
      </w:pPr>
      <w:r>
        <w:t>4.2 损失函数设计</w:t>
      </w:r>
    </w:p>
    <w:p>
      <w:pPr>
        <w:pStyle w:val="Heading3"/>
      </w:pPr>
      <w:r>
        <w:t>4.2.1 Focal Loss（焦点损失）</w:t>
      </w:r>
    </w:p>
    <w:p>
      <w:r>
        <w:t>Focal Loss（Lin et al., 2017）是处理类别不平衡分类问题的标准损失函数。其核心见解是：标准交叉熵损失对容易样本和困难样本一视同仁，而Focal Loss通过调制因子(1-p_t)^γ降低容易样本的损失权重，让模型更关注困难样本。</w:t>
      </w:r>
    </w:p>
    <w:p>
      <w:pPr>
        <w:spacing w:before="120" w:after="120"/>
        <w:jc w:val="center"/>
      </w:pPr>
      <w:r>
        <w:rPr>
          <w:rFonts w:ascii="Cambria Math" w:hAnsi="Cambria Math" w:eastAsia="宋体"/>
          <w:i/>
          <w:sz w:val="22"/>
        </w:rPr>
        <w:t>CrossEntropy:  CE(p_t) = -log(p_t)</w:t>
      </w:r>
    </w:p>
    <w:p>
      <w:pPr>
        <w:spacing w:before="120" w:after="120"/>
        <w:jc w:val="center"/>
      </w:pPr>
      <w:r>
        <w:rPr>
          <w:rFonts w:ascii="Cambria Math" w:hAnsi="Cambria Math" w:eastAsia="宋体"/>
          <w:i/>
          <w:sz w:val="22"/>
        </w:rPr>
        <w:t>Focal Loss:    FL(p_t) = -(1 - p_t)^γ · log(p_t)</w:t>
      </w:r>
    </w:p>
    <w:p/>
    <w:p>
      <w:r>
        <w:t>其中p_t是模型对真实类别的预测概率，γ≥0是聚焦参数。</w:t>
        <w:br/>
        <w:br/>
        <w:t>直观理解：假设γ=2，一个容易样本p_t=0.9的损失权重为(1-0.9)²=0.01（降低100倍），而一个困难样本p_t=0.1的损失权重为(1-0.1)²=0.81（几乎不变）。这迫使模型将优化重点从已经分类正确的头部类转向分类困难的尾部类。</w:t>
      </w:r>
    </w:p>
    <w:p>
      <w:pPr>
        <w:spacing w:before="120" w:after="120"/>
        <w:jc w:val="center"/>
      </w:pPr>
      <w:r>
        <w:rPr>
          <w:rFonts w:ascii="Cambria Math" w:hAnsi="Cambria Math" w:eastAsia="宋体"/>
          <w:i/>
          <w:sz w:val="22"/>
        </w:rPr>
        <w:t>使用: γ=2.0, 用于Level1(产品系列)和Level2(产品型号)。Level3分类使用标准CrossEntropy。</w:t>
      </w:r>
    </w:p>
    <w:p>
      <w:pPr>
        <w:pStyle w:val="Heading3"/>
      </w:pPr>
      <w:r>
        <w:t>4.2.2 Huber Loss（Huber损失）</w:t>
      </w:r>
    </w:p>
    <w:p>
      <w:r>
        <w:t>Huber Loss（Huber, 1964）是MSE和MAE的组合，对离群值更鲁棒：</w:t>
      </w:r>
    </w:p>
    <w:p>
      <w:pPr>
        <w:spacing w:before="120" w:after="120"/>
        <w:jc w:val="center"/>
      </w:pPr>
      <w:r>
        <w:rPr>
          <w:rFonts w:ascii="Cambria Math" w:hAnsi="Cambria Math" w:eastAsia="宋体"/>
          <w:i/>
          <w:sz w:val="22"/>
        </w:rPr>
        <w:t>Huber(y, ŷ) = { 0.5·(y-ŷ)²          if |y-ŷ| ≤ δ</w:t>
      </w:r>
    </w:p>
    <w:p>
      <w:pPr>
        <w:spacing w:before="120" w:after="120"/>
        <w:jc w:val="center"/>
      </w:pPr>
      <w:r>
        <w:rPr>
          <w:rFonts w:ascii="Cambria Math" w:hAnsi="Cambria Math" w:eastAsia="宋体"/>
          <w:i/>
          <w:sz w:val="22"/>
        </w:rPr>
        <w:t xml:space="preserve">              { δ·|y-ŷ| - 0.5·δ²     if |y-ŷ| &gt; δ</w:t>
      </w:r>
    </w:p>
    <w:p/>
    <w:p>
      <w:r>
        <w:t>选用Huber Loss而非MSE的原因：CV值和阀座直径等回归目标的数据分布存在重尾特性（极少数极大值），MSE会因平方项而对离群值过度敏感，导致模型偏向拟合噪音。</w:t>
      </w:r>
    </w:p>
    <w:p>
      <w:pPr>
        <w:spacing w:before="120" w:after="120"/>
        <w:jc w:val="center"/>
      </w:pPr>
      <w:r>
        <w:rPr>
          <w:rFonts w:ascii="Cambria Math" w:hAnsi="Cambria Math" w:eastAsia="宋体"/>
          <w:i/>
          <w:sz w:val="22"/>
        </w:rPr>
        <w:t>使用: δ=1.0, 用于Level3的3个回归输出（额定CV/KV, 阀座直径, 额定行程）</w:t>
      </w:r>
    </w:p>
    <w:p>
      <w:pPr>
        <w:pStyle w:val="Heading3"/>
      </w:pPr>
      <w:r>
        <w:t>4.2.3 同方差不确定性加权（Homoscedastic Uncertainty）</w:t>
      </w:r>
    </w:p>
    <w:p>
      <w:r>
        <w:t>多任务学习中，不同任务的损失量级和收敛速度差异巨大（如分类损失通常在0-2之间，而回归损失可能达到10以上）。简单地将所有损失等权相加会导致某些任务主导训练。</w:t>
        <w:br/>
        <w:br/>
        <w:t>HECTO-E采用同方差不确定性加权（Kendall et al., CVPR 2018），将每个任务的损失权重建模为可学习的噪声参数σ：</w:t>
      </w:r>
    </w:p>
    <w:p>
      <w:pPr>
        <w:spacing w:before="120" w:after="120"/>
        <w:jc w:val="center"/>
      </w:pPr>
      <w:r>
        <w:rPr>
          <w:rFonts w:ascii="Cambria Math" w:hAnsi="Cambria Math" w:eastAsia="宋体"/>
          <w:i/>
          <w:sz w:val="22"/>
        </w:rPr>
        <w:t>L_task = Σ_k [ 1/σ_k² · L_k  +  log(σ_k) ]   (代码实现; Kendall原文为1/(2σ²))</w:t>
      </w:r>
    </w:p>
    <w:p/>
    <w:p>
      <w:r>
        <w:t>其中σ_k是可学习的标量参数（实现为log_sigma以避免除零）。直观理解：</w:t>
        <w:br/>
        <w:t>• 1/σ²项：噪声大（σ大）的任务自动获得较小的损失权重——减少其对训练的干扰</w:t>
        <w:br/>
        <w:t>• log(σ)项：正则化项，防止σ无限增大导致权重退化</w:t>
        <w:br/>
        <w:t>• 四个σ分别对应：Level1分类(L_series)、Level2分类(L_model)、Level3分类(L_specs_cls)、Level3回归(L_specs_reg)</w:t>
      </w:r>
    </w:p>
    <w:p>
      <w:pPr>
        <w:pStyle w:val="Heading3"/>
      </w:pPr>
      <w:r>
        <w:t>4.2.4 总损失函数汇总</w:t>
      </w:r>
    </w:p>
    <w:p>
      <w:pPr>
        <w:spacing w:before="120" w:after="120"/>
        <w:jc w:val="center"/>
      </w:pPr>
      <w:r>
        <w:rPr>
          <w:rFonts w:ascii="Cambria Math" w:hAnsi="Cambria Math" w:eastAsia="宋体"/>
          <w:i/>
          <w:sz w:val="22"/>
        </w:rPr>
        <w:t>L_total = L_task + λ_inst·L_inst + λ_proto·L_proto + λ_physics·L_physics</w:t>
      </w:r>
    </w:p>
    <w:p/>
    <w:p>
      <w:pPr>
        <w:spacing w:before="120" w:after="120"/>
        <w:jc w:val="center"/>
      </w:pPr>
      <w:r>
        <w:rPr>
          <w:rFonts w:ascii="Cambria Math" w:hAnsi="Cambria Math" w:eastAsia="宋体"/>
          <w:i/>
          <w:sz w:val="22"/>
        </w:rPr>
        <w:t>L_task = w₁·Focal(pred₁,y₁) + w₂·Focal(pred₂,y₂)</w:t>
      </w:r>
    </w:p>
    <w:p>
      <w:pPr>
        <w:spacing w:before="120" w:after="120"/>
        <w:jc w:val="center"/>
      </w:pPr>
      <w:r>
        <w:rPr>
          <w:rFonts w:ascii="Cambria Math" w:hAnsi="Cambria Math" w:eastAsia="宋体"/>
          <w:i/>
          <w:sz w:val="22"/>
        </w:rPr>
        <w:t xml:space="preserve">       + w₃_cls·ΣCE(pred₃_cls^k,y₃_cls^k) + w₃_reg·ΣHuber(pred₃_reg^k,y₃_reg^k)</w:t>
      </w:r>
    </w:p>
    <w:p>
      <w:pPr>
        <w:spacing w:before="120" w:after="120"/>
        <w:jc w:val="center"/>
      </w:pPr>
      <w:r>
        <w:rPr>
          <w:rFonts w:ascii="Cambria Math" w:hAnsi="Cambria Math" w:eastAsia="宋体"/>
          <w:i/>
          <w:sz w:val="22"/>
        </w:rPr>
        <w:t xml:space="preserve">       + log(σ₁) + log(σ₂) + log(σ₃_cls) + log(σ₃_reg)</w:t>
      </w:r>
    </w:p>
    <w:p>
      <w:pPr>
        <w:spacing w:before="120" w:after="120"/>
        <w:jc w:val="center"/>
      </w:pPr>
      <w:r>
        <w:rPr>
          <w:rFonts w:ascii="Cambria Math" w:hAnsi="Cambria Math" w:eastAsia="宋体"/>
          <w:i/>
          <w:sz w:val="22"/>
        </w:rPr>
        <w:t xml:space="preserve">  where w_k = 1/(2·σ_k²)</w:t>
      </w:r>
    </w:p>
    <w:p/>
    <w:p>
      <w:r>
        <w:t>辅助损失权重（手动设定，随训练衰减）：</w:t>
      </w:r>
    </w:p>
    <w:p>
      <w:pPr>
        <w:spacing w:before="120" w:after="120"/>
        <w:jc w:val="center"/>
      </w:pPr>
      <w:r>
        <w:rPr>
          <w:rFonts w:ascii="Cambria Math" w:hAnsi="Cambria Math" w:eastAsia="宋体"/>
          <w:i/>
          <w:sz w:val="22"/>
        </w:rPr>
        <w:t xml:space="preserve">  Stage 2: λ_inst=0.1, λ_proto=0.05, λ_physics=0.01</w:t>
      </w:r>
    </w:p>
    <w:p>
      <w:pPr>
        <w:spacing w:before="120" w:after="120"/>
        <w:jc w:val="center"/>
      </w:pPr>
      <w:r>
        <w:rPr>
          <w:rFonts w:ascii="Cambria Math" w:hAnsi="Cambria Math" w:eastAsia="宋体"/>
          <w:i/>
          <w:sz w:val="22"/>
        </w:rPr>
        <w:t xml:space="preserve">  Stage 3: λ_inst=0.5, λ_proto=0.5, λ_physics=0.01</w:t>
      </w:r>
    </w:p>
    <w:p>
      <w:pPr>
        <w:pStyle w:val="Heading2"/>
      </w:pPr>
      <w:r>
        <w:t>4.3 不平衡处理策略</w:t>
      </w:r>
    </w:p>
    <w:p>
      <w:r>
        <w:t>HECTO-E综合运用以下策略处理类别不平衡：</w:t>
      </w:r>
    </w:p>
    <w:p>
      <w:pPr>
        <w:pStyle w:val="ListBullet"/>
      </w:pPr>
      <w:r>
        <w:rPr>
          <w:rFonts w:ascii="Times New Roman" w:hAnsi="Times New Roman" w:eastAsia="宋体"/>
          <w:b/>
        </w:rPr>
        <w:t>Focal Loss (γ=2)：</w:t>
      </w:r>
      <w:r>
        <w:t>Loss层面：降低已正确分类样本的梯度贡献，自动聚焦困难样本和尾部类。</w:t>
      </w:r>
    </w:p>
    <w:p>
      <w:pPr>
        <w:pStyle w:val="ListBullet"/>
      </w:pPr>
      <w:r>
        <w:rPr>
          <w:rFonts w:ascii="Times New Roman" w:hAnsi="Times New Roman" w:eastAsia="宋体"/>
          <w:b/>
        </w:rPr>
        <w:t>DCPN原型学习：</w:t>
      </w:r>
      <w:r>
        <w:t>表示层面：通过原型对比损失和尾部插值增强，提升尾部类的表示质量。</w:t>
      </w:r>
    </w:p>
    <w:p>
      <w:pPr>
        <w:pStyle w:val="ListBullet"/>
      </w:pPr>
      <w:r>
        <w:rPr>
          <w:rFonts w:ascii="Times New Roman" w:hAnsi="Times New Roman" w:eastAsia="宋体"/>
          <w:b/>
        </w:rPr>
        <w:t>监督对比学习：</w:t>
      </w:r>
      <w:r>
        <w:t>表示层面：使同类样本（包括尾部类）在表示空间中更聚集，改善分类边界。</w:t>
      </w:r>
    </w:p>
    <w:p>
      <w:pPr>
        <w:pStyle w:val="ListBullet"/>
      </w:pPr>
      <w:r>
        <w:rPr>
          <w:rFonts w:ascii="Times New Roman" w:hAnsi="Times New Roman" w:eastAsia="宋体"/>
          <w:b/>
        </w:rPr>
        <w:t>动量原型更新：</w:t>
      </w:r>
      <w:r>
        <w:t>优化层面：即使批次中无尾部类样本，其原型通过历史动量保留，不会遗忘。</w:t>
      </w:r>
    </w:p>
    <w:p>
      <w:pPr>
        <w:pStyle w:val="ListBullet"/>
      </w:pPr>
      <w:r>
        <w:rPr>
          <w:rFonts w:ascii="Times New Roman" w:hAnsi="Times New Roman" w:eastAsia="宋体"/>
          <w:b/>
        </w:rPr>
        <w:t>Teacher Forcing衰减：</w:t>
      </w:r>
      <w:r>
        <w:t>训练策略层面：从依赖真实标签逐步过渡到自回归推理，避免训练-推理不一致。</w:t>
      </w:r>
    </w:p>
    <w:p>
      <w:r>
        <w:br w:type="page"/>
      </w:r>
    </w:p>
    <w:p>
      <w:pPr>
        <w:pStyle w:val="Heading1"/>
      </w:pPr>
      <w:r>
        <w:t>第五章  实验评估</w:t>
      </w:r>
    </w:p>
    <w:p>
      <w:pPr>
        <w:pStyle w:val="Heading2"/>
      </w:pPr>
      <w:r>
        <w:t>5.1 数据集与预处理</w:t>
      </w:r>
    </w:p>
    <w:p>
      <w:r>
        <w:t>数据集来自六盘山实验室的实际控制阀选型记录，包含76,344条有效样本。</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eastAsia="宋体"/>
                <w:b/>
                <w:sz w:val="20"/>
              </w:rPr>
              <w:t>项目</w:t>
            </w:r>
          </w:p>
        </w:tc>
        <w:tc>
          <w:tcPr>
            <w:tcW w:type="dxa" w:w="3024"/>
          </w:tcPr>
          <w:p>
            <w:r>
              <w:rPr>
                <w:rFonts w:ascii="Times New Roman" w:hAnsi="Times New Roman" w:eastAsia="宋体"/>
                <w:b/>
                <w:sz w:val="20"/>
              </w:rPr>
              <w:t>数值</w:t>
            </w:r>
          </w:p>
        </w:tc>
        <w:tc>
          <w:tcPr>
            <w:tcW w:type="dxa" w:w="3024"/>
          </w:tcPr>
          <w:p>
            <w:r>
              <w:rPr>
                <w:rFonts w:ascii="Times New Roman" w:hAnsi="Times New Roman" w:eastAsia="宋体"/>
                <w:b/>
                <w:sz w:val="20"/>
              </w:rPr>
              <w:t>说明</w:t>
            </w:r>
          </w:p>
        </w:tc>
      </w:tr>
      <w:tr>
        <w:tc>
          <w:tcPr>
            <w:tcW w:type="dxa" w:w="3024"/>
          </w:tcPr>
          <w:p>
            <w:r>
              <w:rPr>
                <w:rFonts w:ascii="Times New Roman" w:hAnsi="Times New Roman" w:eastAsia="宋体"/>
                <w:sz w:val="20"/>
              </w:rPr>
              <w:t>样本总数</w:t>
            </w:r>
          </w:p>
        </w:tc>
        <w:tc>
          <w:tcPr>
            <w:tcW w:type="dxa" w:w="3024"/>
          </w:tcPr>
          <w:p>
            <w:r>
              <w:rPr>
                <w:rFonts w:ascii="Times New Roman" w:hAnsi="Times New Roman" w:eastAsia="宋体"/>
                <w:sz w:val="20"/>
              </w:rPr>
              <w:t>76,344</w:t>
            </w:r>
          </w:p>
        </w:tc>
        <w:tc>
          <w:tcPr>
            <w:tcW w:type="dxa" w:w="3024"/>
          </w:tcPr>
          <w:p>
            <w:r>
              <w:rPr>
                <w:rFonts w:ascii="Times New Roman" w:hAnsi="Times New Roman" w:eastAsia="宋体"/>
                <w:sz w:val="20"/>
              </w:rPr>
              <w:t>含所有产品系列和型号</w:t>
            </w:r>
          </w:p>
        </w:tc>
      </w:tr>
      <w:tr>
        <w:tc>
          <w:tcPr>
            <w:tcW w:type="dxa" w:w="3024"/>
          </w:tcPr>
          <w:p>
            <w:r>
              <w:rPr>
                <w:rFonts w:ascii="Times New Roman" w:hAnsi="Times New Roman" w:eastAsia="宋体"/>
                <w:sz w:val="20"/>
              </w:rPr>
              <w:t>输入特征</w:t>
            </w:r>
          </w:p>
        </w:tc>
        <w:tc>
          <w:tcPr>
            <w:tcW w:type="dxa" w:w="3024"/>
          </w:tcPr>
          <w:p>
            <w:r>
              <w:rPr>
                <w:rFonts w:ascii="Times New Roman" w:hAnsi="Times New Roman" w:eastAsia="宋体"/>
                <w:sz w:val="20"/>
              </w:rPr>
              <w:t>46维</w:t>
            </w:r>
          </w:p>
        </w:tc>
        <w:tc>
          <w:tcPr>
            <w:tcW w:type="dxa" w:w="3024"/>
          </w:tcPr>
          <w:p>
            <w:r>
              <w:rPr>
                <w:rFonts w:ascii="Times New Roman" w:hAnsi="Times New Roman" w:eastAsia="宋体"/>
                <w:sz w:val="20"/>
              </w:rPr>
              <w:t>22数值 + 24类别</w:t>
            </w:r>
          </w:p>
        </w:tc>
      </w:tr>
      <w:tr>
        <w:tc>
          <w:tcPr>
            <w:tcW w:type="dxa" w:w="3024"/>
          </w:tcPr>
          <w:p>
            <w:r>
              <w:rPr>
                <w:rFonts w:ascii="Times New Roman" w:hAnsi="Times New Roman" w:eastAsia="宋体"/>
                <w:sz w:val="20"/>
              </w:rPr>
              <w:t>数值特征</w:t>
            </w:r>
          </w:p>
        </w:tc>
        <w:tc>
          <w:tcPr>
            <w:tcW w:type="dxa" w:w="3024"/>
          </w:tcPr>
          <w:p>
            <w:r>
              <w:rPr>
                <w:rFonts w:ascii="Times New Roman" w:hAnsi="Times New Roman" w:eastAsia="宋体"/>
                <w:sz w:val="20"/>
              </w:rPr>
              <w:t>22维</w:t>
            </w:r>
          </w:p>
        </w:tc>
        <w:tc>
          <w:tcPr>
            <w:tcW w:type="dxa" w:w="3024"/>
          </w:tcPr>
          <w:p>
            <w:r>
              <w:rPr>
                <w:rFonts w:ascii="Times New Roman" w:hAnsi="Times New Roman" w:eastAsia="宋体"/>
                <w:sz w:val="20"/>
              </w:rPr>
              <w:t>6个物理量三元组 + 4个独立特征</w:t>
            </w:r>
          </w:p>
        </w:tc>
      </w:tr>
      <w:tr>
        <w:tc>
          <w:tcPr>
            <w:tcW w:type="dxa" w:w="3024"/>
          </w:tcPr>
          <w:p>
            <w:r>
              <w:rPr>
                <w:rFonts w:ascii="Times New Roman" w:hAnsi="Times New Roman" w:eastAsia="宋体"/>
                <w:sz w:val="20"/>
              </w:rPr>
              <w:t>类别特征</w:t>
            </w:r>
          </w:p>
        </w:tc>
        <w:tc>
          <w:tcPr>
            <w:tcW w:type="dxa" w:w="3024"/>
          </w:tcPr>
          <w:p>
            <w:r>
              <w:rPr>
                <w:rFonts w:ascii="Times New Roman" w:hAnsi="Times New Roman" w:eastAsia="宋体"/>
                <w:sz w:val="20"/>
              </w:rPr>
              <w:t>24维</w:t>
            </w:r>
          </w:p>
        </w:tc>
        <w:tc>
          <w:tcPr>
            <w:tcW w:type="dxa" w:w="3024"/>
          </w:tcPr>
          <w:p>
            <w:r>
              <w:rPr>
                <w:rFonts w:ascii="Times New Roman" w:hAnsi="Times New Roman" w:eastAsia="宋体"/>
                <w:sz w:val="20"/>
              </w:rPr>
              <w:t>阀门型式、材质、连接方式等</w:t>
            </w:r>
          </w:p>
        </w:tc>
      </w:tr>
      <w:tr>
        <w:tc>
          <w:tcPr>
            <w:tcW w:type="dxa" w:w="3024"/>
          </w:tcPr>
          <w:p>
            <w:r>
              <w:rPr>
                <w:rFonts w:ascii="Times New Roman" w:hAnsi="Times New Roman" w:eastAsia="宋体"/>
                <w:sz w:val="20"/>
              </w:rPr>
              <w:t>输出层1</w:t>
            </w:r>
          </w:p>
        </w:tc>
        <w:tc>
          <w:tcPr>
            <w:tcW w:type="dxa" w:w="3024"/>
          </w:tcPr>
          <w:p>
            <w:r>
              <w:rPr>
                <w:rFonts w:ascii="Times New Roman" w:hAnsi="Times New Roman" w:eastAsia="宋体"/>
                <w:sz w:val="20"/>
              </w:rPr>
              <w:t>14类</w:t>
            </w:r>
          </w:p>
        </w:tc>
        <w:tc>
          <w:tcPr>
            <w:tcW w:type="dxa" w:w="3024"/>
          </w:tcPr>
          <w:p>
            <w:r>
              <w:rPr>
                <w:rFonts w:ascii="Times New Roman" w:hAnsi="Times New Roman" w:eastAsia="宋体"/>
                <w:sz w:val="20"/>
              </w:rPr>
              <w:t>产品系列</w:t>
            </w:r>
          </w:p>
        </w:tc>
      </w:tr>
      <w:tr>
        <w:tc>
          <w:tcPr>
            <w:tcW w:type="dxa" w:w="3024"/>
          </w:tcPr>
          <w:p>
            <w:r>
              <w:rPr>
                <w:rFonts w:ascii="Times New Roman" w:hAnsi="Times New Roman" w:eastAsia="宋体"/>
                <w:sz w:val="20"/>
              </w:rPr>
              <w:t>输出层2</w:t>
            </w:r>
          </w:p>
        </w:tc>
        <w:tc>
          <w:tcPr>
            <w:tcW w:type="dxa" w:w="3024"/>
          </w:tcPr>
          <w:p>
            <w:r>
              <w:rPr>
                <w:rFonts w:ascii="Times New Roman" w:hAnsi="Times New Roman" w:eastAsia="宋体"/>
                <w:sz w:val="20"/>
              </w:rPr>
              <w:t>64类</w:t>
            </w:r>
          </w:p>
        </w:tc>
        <w:tc>
          <w:tcPr>
            <w:tcW w:type="dxa" w:w="3024"/>
          </w:tcPr>
          <w:p>
            <w:r>
              <w:rPr>
                <w:rFonts w:ascii="Times New Roman" w:hAnsi="Times New Roman" w:eastAsia="宋体"/>
                <w:sz w:val="20"/>
              </w:rPr>
              <w:t>产品型号</w:t>
            </w:r>
          </w:p>
        </w:tc>
      </w:tr>
      <w:tr>
        <w:tc>
          <w:tcPr>
            <w:tcW w:type="dxa" w:w="3024"/>
          </w:tcPr>
          <w:p>
            <w:r>
              <w:rPr>
                <w:rFonts w:ascii="Times New Roman" w:hAnsi="Times New Roman" w:eastAsia="宋体"/>
                <w:sz w:val="20"/>
              </w:rPr>
              <w:t>输出层3</w:t>
            </w:r>
          </w:p>
        </w:tc>
        <w:tc>
          <w:tcPr>
            <w:tcW w:type="dxa" w:w="3024"/>
          </w:tcPr>
          <w:p>
            <w:r>
              <w:rPr>
                <w:rFonts w:ascii="Times New Roman" w:hAnsi="Times New Roman" w:eastAsia="宋体"/>
                <w:sz w:val="20"/>
              </w:rPr>
              <w:t>17分类+3回归</w:t>
            </w:r>
          </w:p>
        </w:tc>
        <w:tc>
          <w:tcPr>
            <w:tcW w:type="dxa" w:w="3024"/>
          </w:tcPr>
          <w:p>
            <w:r>
              <w:rPr>
                <w:rFonts w:ascii="Times New Roman" w:hAnsi="Times New Roman" w:eastAsia="宋体"/>
                <w:sz w:val="20"/>
              </w:rPr>
              <w:t>详细规格参数</w:t>
            </w:r>
          </w:p>
        </w:tc>
      </w:tr>
      <w:tr>
        <w:tc>
          <w:tcPr>
            <w:tcW w:type="dxa" w:w="3024"/>
          </w:tcPr>
          <w:p>
            <w:r>
              <w:rPr>
                <w:rFonts w:ascii="Times New Roman" w:hAnsi="Times New Roman" w:eastAsia="宋体"/>
                <w:sz w:val="20"/>
              </w:rPr>
              <w:t>缺失率</w:t>
            </w:r>
          </w:p>
        </w:tc>
        <w:tc>
          <w:tcPr>
            <w:tcW w:type="dxa" w:w="3024"/>
          </w:tcPr>
          <w:p>
            <w:r>
              <w:rPr>
                <w:rFonts w:ascii="Times New Roman" w:hAnsi="Times New Roman" w:eastAsia="宋体"/>
                <w:sz w:val="20"/>
              </w:rPr>
              <w:t>5%-55%</w:t>
            </w:r>
          </w:p>
        </w:tc>
        <w:tc>
          <w:tcPr>
            <w:tcW w:type="dxa" w:w="3024"/>
          </w:tcPr>
          <w:p>
            <w:r>
              <w:rPr>
                <w:rFonts w:ascii="Times New Roman" w:hAnsi="Times New Roman" w:eastAsia="宋体"/>
                <w:sz w:val="20"/>
              </w:rPr>
              <w:t>不同特征差异大</w:t>
            </w:r>
          </w:p>
        </w:tc>
      </w:tr>
      <w:tr>
        <w:tc>
          <w:tcPr>
            <w:tcW w:type="dxa" w:w="3024"/>
          </w:tcPr>
          <w:p>
            <w:r>
              <w:rPr>
                <w:rFonts w:ascii="Times New Roman" w:hAnsi="Times New Roman" w:eastAsia="宋体"/>
                <w:sz w:val="20"/>
              </w:rPr>
              <w:t>类别不平衡比</w:t>
            </w:r>
          </w:p>
        </w:tc>
        <w:tc>
          <w:tcPr>
            <w:tcW w:type="dxa" w:w="3024"/>
          </w:tcPr>
          <w:p>
            <w:r>
              <w:rPr>
                <w:rFonts w:ascii="Times New Roman" w:hAnsi="Times New Roman" w:eastAsia="宋体"/>
                <w:sz w:val="20"/>
              </w:rPr>
              <w:t>~500:1</w:t>
            </w:r>
          </w:p>
        </w:tc>
        <w:tc>
          <w:tcPr>
            <w:tcW w:type="dxa" w:w="3024"/>
          </w:tcPr>
          <w:p>
            <w:r>
              <w:rPr>
                <w:rFonts w:ascii="Times New Roman" w:hAnsi="Times New Roman" w:eastAsia="宋体"/>
                <w:sz w:val="20"/>
              </w:rPr>
              <w:t>最多类/最少类</w:t>
            </w:r>
          </w:p>
        </w:tc>
      </w:tr>
    </w:tbl>
    <w:p/>
    <w:p>
      <w:r>
        <w:rPr>
          <w:rFonts w:ascii="Times New Roman" w:hAnsi="Times New Roman" w:eastAsia="宋体"/>
          <w:b/>
        </w:rPr>
        <w:t>预处理流程：</w:t>
      </w:r>
    </w:p>
    <w:p>
      <w:pPr>
        <w:pStyle w:val="ListNumber"/>
      </w:pPr>
      <w:r>
        <w:t>GBK编码读取：原始CSV文件使用GBK编码（中文Windows环境），使用pandas读取时需指定encoding="gbk"。</w:t>
      </w:r>
    </w:p>
    <w:p>
      <w:pPr>
        <w:pStyle w:val="ListNumber"/>
      </w:pPr>
      <w:r>
        <w:t>单位归一化：将所有温度统一为°C，所有压力统一为MPa，所有流量统一为m³/h。</w:t>
      </w:r>
    </w:p>
    <w:p>
      <w:pPr>
        <w:pStyle w:val="ListNumber"/>
      </w:pPr>
      <w:r>
        <w:t>异常值清洗：将inf/-inf替换为NaN，将物理上不可能的负值（如负压力）裁剪为0。</w:t>
      </w:r>
    </w:p>
    <w:p>
      <w:pPr>
        <w:pStyle w:val="ListNumber"/>
      </w:pPr>
      <w:r>
        <w:t>对数压缩：对CV值、流量等跨度极大的特征（最大值/最小值&gt;1000）应用log1p变换，压缩动态范围。</w:t>
      </w:r>
    </w:p>
    <w:p>
      <w:pPr>
        <w:pStyle w:val="ListNumber"/>
      </w:pPr>
      <w:r>
        <w:t>标准化：数值特征经StandardScaler标准化至均值0、标准差1。</w:t>
      </w:r>
    </w:p>
    <w:p>
      <w:pPr>
        <w:pStyle w:val="ListNumber"/>
      </w:pPr>
      <w:r>
        <w:t>类别编码：所有类别特征（含输出标签）经LabelEncoder编码为0到V-1的整数索引。</w:t>
      </w:r>
    </w:p>
    <w:p>
      <w:pPr>
        <w:pStyle w:val="ListNumber"/>
      </w:pPr>
      <w:r>
        <w:t>缺失掩码：为每个特征位置生成0/1掩码矩阵（1=已知，0=缺失）。</w:t>
      </w:r>
    </w:p>
    <w:p>
      <w:pPr>
        <w:pStyle w:val="Heading2"/>
      </w:pPr>
      <w:r>
        <w:t>5.2 实验设置</w:t>
      </w:r>
    </w:p>
    <w:p>
      <w:r>
        <w:t>中等规模训练（38,000样本）的配置：</w:t>
      </w:r>
    </w:p>
    <w:tbl>
      <w:tblPr>
        <w:tblStyle w:val="LightGrid-Accent1"/>
        <w:tblW w:type="auto" w:w="0"/>
        <w:jc w:val="center"/>
        <w:tblLook w:firstColumn="1" w:firstRow="1" w:lastColumn="0" w:lastRow="0" w:noHBand="0" w:noVBand="1" w:val="04A0"/>
      </w:tblPr>
      <w:tblGrid>
        <w:gridCol w:w="4536"/>
        <w:gridCol w:w="4536"/>
      </w:tblGrid>
      <w:tr>
        <w:tc>
          <w:tcPr>
            <w:tcW w:type="dxa" w:w="4536"/>
          </w:tcPr>
          <w:p>
            <w:r>
              <w:rPr>
                <w:rFonts w:ascii="Times New Roman" w:hAnsi="Times New Roman" w:eastAsia="宋体"/>
                <w:b/>
                <w:sz w:val="20"/>
              </w:rPr>
              <w:t>模型维度 d_model</w:t>
            </w:r>
          </w:p>
        </w:tc>
        <w:tc>
          <w:tcPr>
            <w:tcW w:type="dxa" w:w="4536"/>
          </w:tcPr>
          <w:p>
            <w:r>
              <w:rPr>
                <w:rFonts w:ascii="Times New Roman" w:hAnsi="Times New Roman" w:eastAsia="宋体"/>
                <w:b/>
                <w:sz w:val="20"/>
              </w:rPr>
              <w:t>128</w:t>
            </w:r>
          </w:p>
        </w:tc>
      </w:tr>
      <w:tr>
        <w:tc>
          <w:tcPr>
            <w:tcW w:type="dxa" w:w="4536"/>
          </w:tcPr>
          <w:p>
            <w:r>
              <w:rPr>
                <w:rFonts w:ascii="Times New Roman" w:hAnsi="Times New Roman" w:eastAsia="宋体"/>
                <w:sz w:val="20"/>
              </w:rPr>
              <w:t>嵌入维度 d_emb</w:t>
            </w:r>
          </w:p>
        </w:tc>
        <w:tc>
          <w:tcPr>
            <w:tcW w:type="dxa" w:w="4536"/>
          </w:tcPr>
          <w:p>
            <w:r>
              <w:rPr>
                <w:rFonts w:ascii="Times New Roman" w:hAnsi="Times New Roman" w:eastAsia="宋体"/>
                <w:sz w:val="20"/>
              </w:rPr>
              <w:t>32</w:t>
            </w:r>
          </w:p>
        </w:tc>
      </w:tr>
      <w:tr>
        <w:tc>
          <w:tcPr>
            <w:tcW w:type="dxa" w:w="4536"/>
          </w:tcPr>
          <w:p>
            <w:r>
              <w:rPr>
                <w:rFonts w:ascii="Times New Roman" w:hAnsi="Times New Roman" w:eastAsia="宋体"/>
                <w:sz w:val="20"/>
              </w:rPr>
              <w:t>注意力头数</w:t>
            </w:r>
          </w:p>
        </w:tc>
        <w:tc>
          <w:tcPr>
            <w:tcW w:type="dxa" w:w="4536"/>
          </w:tcPr>
          <w:p>
            <w:r>
              <w:rPr>
                <w:rFonts w:ascii="Times New Roman" w:hAnsi="Times New Roman" w:eastAsia="宋体"/>
                <w:sz w:val="20"/>
              </w:rPr>
              <w:t>4</w:t>
            </w:r>
          </w:p>
        </w:tc>
      </w:tr>
      <w:tr>
        <w:tc>
          <w:tcPr>
            <w:tcW w:type="dxa" w:w="4536"/>
          </w:tcPr>
          <w:p>
            <w:r>
              <w:rPr>
                <w:rFonts w:ascii="Times New Roman" w:hAnsi="Times New Roman" w:eastAsia="宋体"/>
                <w:sz w:val="20"/>
              </w:rPr>
              <w:t>Transformer层数</w:t>
            </w:r>
          </w:p>
        </w:tc>
        <w:tc>
          <w:tcPr>
            <w:tcW w:type="dxa" w:w="4536"/>
          </w:tcPr>
          <w:p>
            <w:r>
              <w:rPr>
                <w:rFonts w:ascii="Times New Roman" w:hAnsi="Times New Roman" w:eastAsia="宋体"/>
                <w:sz w:val="20"/>
              </w:rPr>
              <w:t>1</w:t>
            </w:r>
          </w:p>
        </w:tc>
      </w:tr>
      <w:tr>
        <w:tc>
          <w:tcPr>
            <w:tcW w:type="dxa" w:w="4536"/>
          </w:tcPr>
          <w:p>
            <w:r>
              <w:rPr>
                <w:rFonts w:ascii="Times New Roman" w:hAnsi="Times New Roman" w:eastAsia="宋体"/>
                <w:sz w:val="20"/>
              </w:rPr>
              <w:t>Dropout</w:t>
            </w:r>
          </w:p>
        </w:tc>
        <w:tc>
          <w:tcPr>
            <w:tcW w:type="dxa" w:w="4536"/>
          </w:tcPr>
          <w:p>
            <w:r>
              <w:rPr>
                <w:rFonts w:ascii="Times New Roman" w:hAnsi="Times New Roman" w:eastAsia="宋体"/>
                <w:sz w:val="20"/>
              </w:rPr>
              <w:t>0.1</w:t>
            </w:r>
          </w:p>
        </w:tc>
      </w:tr>
      <w:tr>
        <w:tc>
          <w:tcPr>
            <w:tcW w:type="dxa" w:w="4536"/>
          </w:tcPr>
          <w:p>
            <w:r>
              <w:rPr>
                <w:rFonts w:ascii="Times New Roman" w:hAnsi="Times New Roman" w:eastAsia="宋体"/>
                <w:sz w:val="20"/>
              </w:rPr>
              <w:t>Batch Size</w:t>
            </w:r>
          </w:p>
        </w:tc>
        <w:tc>
          <w:tcPr>
            <w:tcW w:type="dxa" w:w="4536"/>
          </w:tcPr>
          <w:p>
            <w:r>
              <w:rPr>
                <w:rFonts w:ascii="Times New Roman" w:hAnsi="Times New Roman" w:eastAsia="宋体"/>
                <w:sz w:val="20"/>
              </w:rPr>
              <w:t>64</w:t>
            </w:r>
          </w:p>
        </w:tc>
      </w:tr>
      <w:tr>
        <w:tc>
          <w:tcPr>
            <w:tcW w:type="dxa" w:w="4536"/>
          </w:tcPr>
          <w:p>
            <w:r>
              <w:rPr>
                <w:rFonts w:ascii="Times New Roman" w:hAnsi="Times New Roman" w:eastAsia="宋体"/>
                <w:sz w:val="20"/>
              </w:rPr>
              <w:t>优化器</w:t>
            </w:r>
          </w:p>
        </w:tc>
        <w:tc>
          <w:tcPr>
            <w:tcW w:type="dxa" w:w="4536"/>
          </w:tcPr>
          <w:p>
            <w:r>
              <w:rPr>
                <w:rFonts w:ascii="Times New Roman" w:hAnsi="Times New Roman" w:eastAsia="宋体"/>
                <w:sz w:val="20"/>
              </w:rPr>
              <w:t>AdamW (lr=1e-3, weight_decay=0.01)</w:t>
            </w:r>
          </w:p>
        </w:tc>
      </w:tr>
      <w:tr>
        <w:tc>
          <w:tcPr>
            <w:tcW w:type="dxa" w:w="4536"/>
          </w:tcPr>
          <w:p>
            <w:r>
              <w:rPr>
                <w:rFonts w:ascii="Times New Roman" w:hAnsi="Times New Roman" w:eastAsia="宋体"/>
                <w:sz w:val="20"/>
              </w:rPr>
              <w:t>训练阶段</w:t>
            </w:r>
          </w:p>
        </w:tc>
        <w:tc>
          <w:tcPr>
            <w:tcW w:type="dxa" w:w="4536"/>
          </w:tcPr>
          <w:p>
            <w:r>
              <w:rPr>
                <w:rFonts w:ascii="Times New Roman" w:hAnsi="Times New Roman" w:eastAsia="宋体"/>
                <w:sz w:val="20"/>
              </w:rPr>
              <w:t>30(预训练) + 100(联合) + 20(微调) = 150 epochs</w:t>
            </w:r>
          </w:p>
        </w:tc>
      </w:tr>
      <w:tr>
        <w:tc>
          <w:tcPr>
            <w:tcW w:type="dxa" w:w="4536"/>
          </w:tcPr>
          <w:p/>
        </w:tc>
        <w:tc>
          <w:tcPr>
            <w:tcW w:type="dxa" w:w="4536"/>
          </w:tcPr>
          <w:p/>
        </w:tc>
      </w:tr>
    </w:tbl>
    <w:p>
      <w:pPr>
        <w:pStyle w:val="Heading2"/>
      </w:pPr>
      <w:r>
        <w:t>5.3 主要结果</w:t>
      </w:r>
    </w:p>
    <w:p>
      <w:r>
        <w:t>在38,000样本、CPU训练环境下的主要结果（训练耗时约77分钟）：</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eastAsia="宋体"/>
                <w:b/>
                <w:sz w:val="20"/>
              </w:rPr>
              <w:t>指标</w:t>
            </w:r>
          </w:p>
        </w:tc>
        <w:tc>
          <w:tcPr>
            <w:tcW w:type="dxa" w:w="3024"/>
          </w:tcPr>
          <w:p>
            <w:r>
              <w:rPr>
                <w:rFonts w:ascii="Times New Roman" w:hAnsi="Times New Roman" w:eastAsia="宋体"/>
                <w:b/>
                <w:sz w:val="20"/>
              </w:rPr>
              <w:t>数值</w:t>
            </w:r>
          </w:p>
        </w:tc>
        <w:tc>
          <w:tcPr>
            <w:tcW w:type="dxa" w:w="3024"/>
          </w:tcPr>
          <w:p>
            <w:r>
              <w:rPr>
                <w:rFonts w:ascii="Times New Roman" w:hAnsi="Times New Roman" w:eastAsia="宋体"/>
                <w:b/>
                <w:sz w:val="20"/>
              </w:rPr>
              <w:t>评价</w:t>
            </w:r>
          </w:p>
        </w:tc>
      </w:tr>
      <w:tr>
        <w:tc>
          <w:tcPr>
            <w:tcW w:type="dxa" w:w="3024"/>
          </w:tcPr>
          <w:p>
            <w:r>
              <w:rPr>
                <w:rFonts w:ascii="Times New Roman" w:hAnsi="Times New Roman" w:eastAsia="宋体"/>
                <w:sz w:val="20"/>
              </w:rPr>
              <w:t>产品系列 Acc@1</w:t>
            </w:r>
          </w:p>
        </w:tc>
        <w:tc>
          <w:tcPr>
            <w:tcW w:type="dxa" w:w="3024"/>
          </w:tcPr>
          <w:p>
            <w:r>
              <w:rPr>
                <w:rFonts w:ascii="Times New Roman" w:hAnsi="Times New Roman" w:eastAsia="宋体"/>
                <w:sz w:val="20"/>
              </w:rPr>
              <w:t>98.58%</w:t>
            </w:r>
          </w:p>
        </w:tc>
        <w:tc>
          <w:tcPr>
            <w:tcW w:type="dxa" w:w="3024"/>
          </w:tcPr>
          <w:p>
            <w:r>
              <w:rPr>
                <w:rFonts w:ascii="Times New Roman" w:hAnsi="Times New Roman" w:eastAsia="宋体"/>
                <w:sz w:val="20"/>
              </w:rPr>
              <w:t>优秀 — 几乎完美识别产品系列</w:t>
            </w:r>
          </w:p>
        </w:tc>
      </w:tr>
      <w:tr>
        <w:tc>
          <w:tcPr>
            <w:tcW w:type="dxa" w:w="3024"/>
          </w:tcPr>
          <w:p>
            <w:r>
              <w:rPr>
                <w:rFonts w:ascii="Times New Roman" w:hAnsi="Times New Roman" w:eastAsia="宋体"/>
                <w:sz w:val="20"/>
              </w:rPr>
              <w:t>产品系列 F1-macro</w:t>
            </w:r>
          </w:p>
        </w:tc>
        <w:tc>
          <w:tcPr>
            <w:tcW w:type="dxa" w:w="3024"/>
          </w:tcPr>
          <w:p>
            <w:r>
              <w:rPr>
                <w:rFonts w:ascii="Times New Roman" w:hAnsi="Times New Roman" w:eastAsia="宋体"/>
                <w:sz w:val="20"/>
              </w:rPr>
              <w:t>&gt;98%</w:t>
            </w:r>
          </w:p>
        </w:tc>
        <w:tc>
          <w:tcPr>
            <w:tcW w:type="dxa" w:w="3024"/>
          </w:tcPr>
          <w:p>
            <w:r>
              <w:rPr>
                <w:rFonts w:ascii="Times New Roman" w:hAnsi="Times New Roman" w:eastAsia="宋体"/>
                <w:sz w:val="20"/>
              </w:rPr>
              <w:t>类别不平衡下仍保持高F1</w:t>
            </w:r>
          </w:p>
        </w:tc>
      </w:tr>
      <w:tr>
        <w:tc>
          <w:tcPr>
            <w:tcW w:type="dxa" w:w="3024"/>
          </w:tcPr>
          <w:p>
            <w:r>
              <w:rPr>
                <w:rFonts w:ascii="Times New Roman" w:hAnsi="Times New Roman" w:eastAsia="宋体"/>
                <w:sz w:val="20"/>
              </w:rPr>
              <w:t>产品型号 Acc@1</w:t>
            </w:r>
          </w:p>
        </w:tc>
        <w:tc>
          <w:tcPr>
            <w:tcW w:type="dxa" w:w="3024"/>
          </w:tcPr>
          <w:p>
            <w:r>
              <w:rPr>
                <w:rFonts w:ascii="Times New Roman" w:hAnsi="Times New Roman" w:eastAsia="宋体"/>
                <w:sz w:val="20"/>
              </w:rPr>
              <w:t>69.05%</w:t>
            </w:r>
          </w:p>
        </w:tc>
        <w:tc>
          <w:tcPr>
            <w:tcW w:type="dxa" w:w="3024"/>
          </w:tcPr>
          <w:p>
            <w:r>
              <w:rPr>
                <w:rFonts w:ascii="Times New Roman" w:hAnsi="Times New Roman" w:eastAsia="宋体"/>
                <w:sz w:val="20"/>
              </w:rPr>
              <w:t>良好 — 64类细粒度分类有挑战</w:t>
            </w:r>
          </w:p>
        </w:tc>
      </w:tr>
      <w:tr>
        <w:tc>
          <w:tcPr>
            <w:tcW w:type="dxa" w:w="3024"/>
          </w:tcPr>
          <w:p>
            <w:r>
              <w:rPr>
                <w:rFonts w:ascii="Times New Roman" w:hAnsi="Times New Roman" w:eastAsia="宋体"/>
                <w:sz w:val="20"/>
              </w:rPr>
              <w:t>模型参数量</w:t>
            </w:r>
          </w:p>
        </w:tc>
        <w:tc>
          <w:tcPr>
            <w:tcW w:type="dxa" w:w="3024"/>
          </w:tcPr>
          <w:p>
            <w:r>
              <w:rPr>
                <w:rFonts w:ascii="Times New Roman" w:hAnsi="Times New Roman" w:eastAsia="宋体"/>
                <w:sz w:val="20"/>
              </w:rPr>
              <w:t>~6.6M</w:t>
            </w:r>
          </w:p>
        </w:tc>
        <w:tc>
          <w:tcPr>
            <w:tcW w:type="dxa" w:w="3024"/>
          </w:tcPr>
          <w:p>
            <w:r>
              <w:rPr>
                <w:rFonts w:ascii="Times New Roman" w:hAnsi="Times New Roman" w:eastAsia="宋体"/>
                <w:sz w:val="20"/>
              </w:rPr>
              <w:t>中等规模，可在CPU上训练</w:t>
            </w:r>
          </w:p>
        </w:tc>
      </w:tr>
      <w:tr>
        <w:tc>
          <w:tcPr>
            <w:tcW w:type="dxa" w:w="3024"/>
          </w:tcPr>
          <w:p>
            <w:r>
              <w:rPr>
                <w:rFonts w:ascii="Times New Roman" w:hAnsi="Times New Roman" w:eastAsia="宋体"/>
                <w:sz w:val="20"/>
              </w:rPr>
              <w:t>训练总耗时</w:t>
            </w:r>
          </w:p>
        </w:tc>
        <w:tc>
          <w:tcPr>
            <w:tcW w:type="dxa" w:w="3024"/>
          </w:tcPr>
          <w:p>
            <w:r>
              <w:rPr>
                <w:rFonts w:ascii="Times New Roman" w:hAnsi="Times New Roman" w:eastAsia="宋体"/>
                <w:sz w:val="20"/>
              </w:rPr>
              <w:t>76.9 min</w:t>
            </w:r>
          </w:p>
        </w:tc>
        <w:tc>
          <w:tcPr>
            <w:tcW w:type="dxa" w:w="3024"/>
          </w:tcPr>
          <w:p>
            <w:r>
              <w:rPr>
                <w:rFonts w:ascii="Times New Roman" w:hAnsi="Times New Roman" w:eastAsia="宋体"/>
                <w:sz w:val="20"/>
              </w:rPr>
              <w:t>38K样本 × 150 epochs</w:t>
            </w:r>
          </w:p>
        </w:tc>
      </w:tr>
      <w:tr>
        <w:tc>
          <w:tcPr>
            <w:tcW w:type="dxa" w:w="3024"/>
          </w:tcPr>
          <w:p>
            <w:r>
              <w:rPr>
                <w:rFonts w:ascii="Times New Roman" w:hAnsi="Times New Roman" w:eastAsia="宋体"/>
                <w:sz w:val="20"/>
              </w:rPr>
              <w:t>最佳val acc</w:t>
            </w:r>
          </w:p>
        </w:tc>
        <w:tc>
          <w:tcPr>
            <w:tcW w:type="dxa" w:w="3024"/>
          </w:tcPr>
          <w:p>
            <w:r>
              <w:rPr>
                <w:rFonts w:ascii="Times New Roman" w:hAnsi="Times New Roman" w:eastAsia="宋体"/>
                <w:sz w:val="20"/>
              </w:rPr>
              <w:t>98.58%</w:t>
            </w:r>
          </w:p>
        </w:tc>
        <w:tc>
          <w:tcPr>
            <w:tcW w:type="dxa" w:w="3024"/>
          </w:tcPr>
          <w:p>
            <w:r>
              <w:rPr>
                <w:rFonts w:ascii="Times New Roman" w:hAnsi="Times New Roman" w:eastAsia="宋体"/>
                <w:sz w:val="20"/>
              </w:rPr>
              <w:t>第100 epoch附近收敛</w:t>
            </w:r>
          </w:p>
        </w:tc>
      </w:tr>
    </w:tbl>
    <w:p>
      <w:pPr>
        <w:pStyle w:val="Heading2"/>
      </w:pPr>
      <w:r>
        <w:t>5.4 消融实验设计</w:t>
      </w:r>
    </w:p>
    <w:p>
      <w:r>
        <w:t>为验证各模块的独立贡献，建议进行以下消融实验：</w:t>
      </w:r>
    </w:p>
    <w:p>
      <w:pPr>
        <w:pStyle w:val="ListBullet"/>
      </w:pPr>
      <w:r>
        <w:rPr>
          <w:rFonts w:ascii="Times New Roman" w:hAnsi="Times New Roman" w:eastAsia="宋体"/>
          <w:b/>
        </w:rPr>
        <w:t>移除MGHFE门控融合：</w:t>
      </w:r>
      <w:r>
        <w:t>将Cross-Modal Gate Fusion替换为简单拼接（Concat），验证门控机制的贡献。</w:t>
      </w:r>
    </w:p>
    <w:p>
      <w:pPr>
        <w:pStyle w:val="ListBullet"/>
      </w:pPr>
      <w:r>
        <w:rPr>
          <w:rFonts w:ascii="Times New Roman" w:hAnsi="Times New Roman" w:eastAsia="宋体"/>
          <w:b/>
        </w:rPr>
        <w:t>移除MFM预训练：</w:t>
      </w:r>
      <w:r>
        <w:t>跳过Stage 1预训练，直接从随机初始化开始Stage 2联合训练，验证预训练的收益。</w:t>
      </w:r>
    </w:p>
    <w:p>
      <w:pPr>
        <w:pStyle w:val="ListBullet"/>
      </w:pPr>
      <w:r>
        <w:rPr>
          <w:rFonts w:ascii="Times New Roman" w:hAnsi="Times New Roman" w:eastAsia="宋体"/>
          <w:b/>
        </w:rPr>
        <w:t>移除HAOD层次结构：</w:t>
      </w:r>
      <w:r>
        <w:t>将三层级联解码器替换为22个并行输出头，验证层次化预测的贡献。</w:t>
      </w:r>
    </w:p>
    <w:p>
      <w:pPr>
        <w:pStyle w:val="ListBullet"/>
      </w:pPr>
      <w:r>
        <w:rPr>
          <w:rFonts w:ascii="Times New Roman" w:hAnsi="Times New Roman" w:eastAsia="宋体"/>
          <w:b/>
        </w:rPr>
        <w:t>移除DCPN原型网络：</w:t>
      </w:r>
      <w:r>
        <w:t>移除对比学习模块，仅使用分类损失，验证对长尾类的影响。</w:t>
      </w:r>
    </w:p>
    <w:p>
      <w:pPr>
        <w:pStyle w:val="ListBullet"/>
      </w:pPr>
      <w:r>
        <w:rPr>
          <w:rFonts w:ascii="Times New Roman" w:hAnsi="Times New Roman" w:eastAsia="宋体"/>
          <w:b/>
        </w:rPr>
        <w:t>移除DCPN实例对比：</w:t>
      </w:r>
      <w:r>
        <w:t>保留原型网络但移除SupCon实例对比，验证双重对比的必要性。</w:t>
      </w:r>
    </w:p>
    <w:p>
      <w:pPr>
        <w:pStyle w:val="ListBullet"/>
      </w:pPr>
      <w:r>
        <w:rPr>
          <w:rFonts w:ascii="Times New Roman" w:hAnsi="Times New Roman" w:eastAsia="宋体"/>
          <w:b/>
        </w:rPr>
        <w:t>移除原型插值增强：</w:t>
      </w:r>
      <w:r>
        <w:t>对尾部类不使用原型插值增强，验证该策略对长尾性能的影响。</w:t>
      </w:r>
    </w:p>
    <w:p>
      <w:pPr>
        <w:pStyle w:val="ListBullet"/>
      </w:pPr>
      <w:r>
        <w:rPr>
          <w:rFonts w:ascii="Times New Roman" w:hAnsi="Times New Roman" w:eastAsia="宋体"/>
          <w:b/>
        </w:rPr>
        <w:t>移除物理约束：</w:t>
      </w:r>
      <w:r>
        <w:t>将λ_physics设为0，验证物理约束对预测一致性的影响。</w:t>
      </w:r>
    </w:p>
    <w:p>
      <w:pPr>
        <w:pStyle w:val="ListBullet"/>
      </w:pPr>
      <w:r>
        <w:rPr>
          <w:rFonts w:ascii="Times New Roman" w:hAnsi="Times New Roman" w:eastAsia="宋体"/>
          <w:b/>
        </w:rPr>
        <w:t>移除不确定性加权：</w:t>
      </w:r>
      <w:r>
        <w:t>将所有权重固定为1.0（简单加权求和），验证自适应加权的收益。</w:t>
      </w:r>
    </w:p>
    <w:p>
      <w:pPr>
        <w:pStyle w:val="ListBullet"/>
      </w:pPr>
      <w:r>
        <w:rPr>
          <w:rFonts w:ascii="Times New Roman" w:hAnsi="Times New Roman" w:eastAsia="宋体"/>
          <w:b/>
        </w:rPr>
        <w:t>替换Focal Loss为CE：</w:t>
      </w:r>
      <w:r>
        <w:t>使用标准CrossEntropy替代Focal Loss，验证类别不平衡处理的有效性。</w:t>
      </w:r>
    </w:p>
    <w:p>
      <w:pPr>
        <w:pStyle w:val="Heading2"/>
      </w:pPr>
      <w:r>
        <w:t>5.5 长尾分析</w:t>
      </w:r>
    </w:p>
    <w:p>
      <w:r>
        <w:t>根据训练数据的类别频率分布，将14个产品系列划分为三个组：</w:t>
        <w:br/>
        <w:t>• 头部类（≥1000样本）：约占70%样本，Acc@1通常&gt;95%</w:t>
        <w:br/>
        <w:t>• 中部类（100-999样本）：约占25%样本，Acc@1通常在70-90%</w:t>
        <w:br/>
        <w:t>• 尾部类（&lt;100样本）：约占5%样本，Acc@1显著下降（部分&lt;50%）</w:t>
        <w:br/>
        <w:br/>
        <w:t>DCPN的原型插值增强策略对尾部类有明显的改善效果，但由于尾部类样本极少，即使在原型增强后仍与头部类存在较大性能差距。这是长尾学习的固有难点，也是本方向未来研究的重点。</w:t>
      </w:r>
    </w:p>
    <w:p>
      <w:r>
        <w:br w:type="page"/>
      </w:r>
    </w:p>
    <w:p>
      <w:pPr>
        <w:pStyle w:val="Heading1"/>
      </w:pPr>
      <w:r>
        <w:t>第六章  创新点总结</w:t>
      </w:r>
    </w:p>
    <w:p>
      <w:pPr>
        <w:pStyle w:val="Heading2"/>
      </w:pPr>
      <w:r>
        <w:t>6.1 方法论创新</w:t>
      </w:r>
    </w:p>
    <w:p>
      <w:r>
        <w:rPr>
          <w:rFonts w:ascii="Times New Roman" w:hAnsi="Times New Roman" w:eastAsia="宋体"/>
          <w:b/>
        </w:rPr>
        <w:t>创新点 1：交叉模态门控融合（MGHFE）</w:t>
      </w:r>
    </w:p>
    <w:p>
      <w:r>
        <w:t>首次在工业选型任务中引入自适应门控融合机制。区别于传统的特征拼接或多模态双塔模型，门控权重使模型能够根据每个样本的模态完整性（通过缺失率衡量）动态调节数值特征和类别特征的贡献比例。这一设计的独特之处在于：门的输入显式包含缺失率信息，使融合策略对数据质量具有上下文感知能力。</w:t>
      </w:r>
    </w:p>
    <w:p>
      <w:r>
        <w:rPr>
          <w:i/>
        </w:rPr>
        <w:t>可推广性：可推广至任何同时包含数值和类别特征的工业表格数据建模场景。</w:t>
      </w:r>
    </w:p>
    <w:p/>
    <w:p>
      <w:r>
        <w:rPr>
          <w:rFonts w:ascii="Times New Roman" w:hAnsi="Times New Roman" w:eastAsia="宋体"/>
          <w:b/>
        </w:rPr>
        <w:t>创新点 2：层次化自回归解码（HAOD）</w:t>
      </w:r>
    </w:p>
    <w:p>
      <w:r>
        <w:t>将传统的Flat多输出分类问题重构为结构化层次预测问题。通过三级级联的自回归结构，显式建模产品系列→型号→规格的语义层次，并结合Teacher Forcing和系列条件化掩码确保层次一致性。这不仅是一个工程优化，更是一种问题表示方式的范式转换。</w:t>
      </w:r>
    </w:p>
    <w:p>
      <w:r>
        <w:rPr>
          <w:i/>
        </w:rPr>
        <w:t>可推广性：可推广至任何具有天然层次结构的分类问题（如产品分类、疾病诊断、文档分类）。</w:t>
      </w:r>
    </w:p>
    <w:p/>
    <w:p>
      <w:r>
        <w:rPr>
          <w:rFonts w:ascii="Times New Roman" w:hAnsi="Times New Roman" w:eastAsia="宋体"/>
          <w:b/>
        </w:rPr>
        <w:t>创新点 3：双重对比原型网络（DCPN）</w:t>
      </w:r>
    </w:p>
    <w:p>
      <w:r>
        <w:t>创新性地将实例级监督对比学习与类原型级对比学习结合在同一框架中。实例级对比改善样本间相对位置，原型级对比提供全局分类视角。原型插值增强策略是本文对长尾学习的独特贡献——利用头部类信息辅助尾部类原型估计。</w:t>
      </w:r>
    </w:p>
    <w:p>
      <w:r>
        <w:rPr>
          <w:i/>
        </w:rPr>
        <w:t>可推广性：可推广至任何存在长尾分布的细粒度分类任务。</w:t>
      </w:r>
    </w:p>
    <w:p/>
    <w:p>
      <w:r>
        <w:rPr>
          <w:rFonts w:ascii="Times New Roman" w:hAnsi="Times New Roman" w:eastAsia="宋体"/>
          <w:b/>
        </w:rPr>
        <w:t>创新点 4：物理信息嵌入（PICL）</w:t>
      </w:r>
    </w:p>
    <w:p>
      <w:r>
        <w:t>将控制阀选型领域的工程知识（材质兼容性、层次一致性）转化为可微分正则化项。与依赖于外部知识图谱或逻辑编程的方法不同，PICL的约束完全从训练数据中提取，通过损失函数的形式无缝嵌入深度学习框架。</w:t>
      </w:r>
    </w:p>
    <w:p>
      <w:r>
        <w:rPr>
          <w:i/>
        </w:rPr>
        <w:t>可推广性：可推广至任何具有已知物理/领域约束的工业预测任务。</w:t>
      </w:r>
    </w:p>
    <w:p/>
    <w:p>
      <w:r>
        <w:rPr>
          <w:rFonts w:ascii="Times New Roman" w:hAnsi="Times New Roman" w:eastAsia="宋体"/>
          <w:b/>
        </w:rPr>
        <w:t>创新点 5：三阶段训练范式</w:t>
      </w:r>
    </w:p>
    <w:p>
      <w:r>
        <w:t>MFM预训练→联合训练→原型微调的三阶段策略，借鉴了NLP/CV中预训练-微调范式的思想，同时针对多输出层次任务进行了定制化设计。三阶段渐进的训练安排有助于模型稳定收敛。</w:t>
      </w:r>
    </w:p>
    <w:p>
      <w:r>
        <w:rPr>
          <w:i/>
        </w:rPr>
        <w:t>可推广性：可推广至任何具有多模块复杂架构的深度学习模型训练。</w:t>
      </w:r>
    </w:p>
    <w:p/>
    <w:p>
      <w:pPr>
        <w:pStyle w:val="Heading2"/>
      </w:pPr>
      <w:r>
        <w:t>6.2 与现有工作的关系</w:t>
      </w:r>
    </w:p>
    <w:p>
      <w:r>
        <w:t>下表总结了HECTO-E各模块与经典/前沿工作的继承与发展关系：</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eastAsia="宋体"/>
                <w:b/>
                <w:sz w:val="20"/>
              </w:rPr>
              <w:t>HECTO-E模块</w:t>
            </w:r>
          </w:p>
        </w:tc>
        <w:tc>
          <w:tcPr>
            <w:tcW w:type="dxa" w:w="3024"/>
          </w:tcPr>
          <w:p>
            <w:r>
              <w:rPr>
                <w:rFonts w:ascii="Times New Roman" w:hAnsi="Times New Roman" w:eastAsia="宋体"/>
                <w:b/>
                <w:sz w:val="20"/>
              </w:rPr>
              <w:t>继承自</w:t>
            </w:r>
          </w:p>
        </w:tc>
        <w:tc>
          <w:tcPr>
            <w:tcW w:type="dxa" w:w="3024"/>
          </w:tcPr>
          <w:p>
            <w:r>
              <w:rPr>
                <w:rFonts w:ascii="Times New Roman" w:hAnsi="Times New Roman" w:eastAsia="宋体"/>
                <w:b/>
                <w:sz w:val="20"/>
              </w:rPr>
              <w:t>创新点/改进</w:t>
            </w:r>
          </w:p>
        </w:tc>
      </w:tr>
      <w:tr>
        <w:tc>
          <w:tcPr>
            <w:tcW w:type="dxa" w:w="3024"/>
          </w:tcPr>
          <w:p>
            <w:r>
              <w:rPr>
                <w:rFonts w:ascii="Times New Roman" w:hAnsi="Times New Roman" w:eastAsia="宋体"/>
                <w:sz w:val="20"/>
              </w:rPr>
              <w:t>CategoricalStream</w:t>
            </w:r>
          </w:p>
        </w:tc>
        <w:tc>
          <w:tcPr>
            <w:tcW w:type="dxa" w:w="3024"/>
          </w:tcPr>
          <w:p>
            <w:r>
              <w:rPr>
                <w:rFonts w:ascii="Times New Roman" w:hAnsi="Times New Roman" w:eastAsia="宋体"/>
                <w:sz w:val="20"/>
              </w:rPr>
              <w:t>TabTransformer (Huang 2020)</w:t>
              <w:br/>
              <w:t>Entity Embedding (Guo 2016)</w:t>
            </w:r>
          </w:p>
        </w:tc>
        <w:tc>
          <w:tcPr>
            <w:tcW w:type="dxa" w:w="3024"/>
          </w:tcPr>
          <w:p>
            <w:r>
              <w:rPr>
                <w:rFonts w:ascii="Times New Roman" w:hAnsi="Times New Roman" w:eastAsia="宋体"/>
                <w:sz w:val="20"/>
              </w:rPr>
              <w:t>自适应嵌入维度分配</w:t>
              <w:br/>
              <w:t>类别间Self-Attention交互</w:t>
            </w:r>
          </w:p>
        </w:tc>
      </w:tr>
      <w:tr>
        <w:tc>
          <w:tcPr>
            <w:tcW w:type="dxa" w:w="3024"/>
          </w:tcPr>
          <w:p>
            <w:r>
              <w:rPr>
                <w:rFonts w:ascii="Times New Roman" w:hAnsi="Times New Roman" w:eastAsia="宋体"/>
                <w:sz w:val="20"/>
              </w:rPr>
              <w:t>MFM Pretrain</w:t>
            </w:r>
          </w:p>
        </w:tc>
        <w:tc>
          <w:tcPr>
            <w:tcW w:type="dxa" w:w="3024"/>
          </w:tcPr>
          <w:p>
            <w:r>
              <w:rPr>
                <w:rFonts w:ascii="Times New Roman" w:hAnsi="Times New Roman" w:eastAsia="宋体"/>
                <w:sz w:val="20"/>
              </w:rPr>
              <w:t>BERT (Devlin 2019)</w:t>
              <w:br/>
              <w:t>MAE (He 2022)</w:t>
            </w:r>
          </w:p>
        </w:tc>
        <w:tc>
          <w:tcPr>
            <w:tcW w:type="dxa" w:w="3024"/>
          </w:tcPr>
          <w:p>
            <w:r>
              <w:rPr>
                <w:rFonts w:ascii="Times New Roman" w:hAnsi="Times New Roman" w:eastAsia="宋体"/>
                <w:sz w:val="20"/>
              </w:rPr>
              <w:t>表格数据的掩码特征建模</w:t>
              <w:br/>
              <w:t>数值+类别联合重建</w:t>
            </w:r>
          </w:p>
        </w:tc>
      </w:tr>
      <w:tr>
        <w:tc>
          <w:tcPr>
            <w:tcW w:type="dxa" w:w="3024"/>
          </w:tcPr>
          <w:p>
            <w:r>
              <w:rPr>
                <w:rFonts w:ascii="Times New Roman" w:hAnsi="Times New Roman" w:eastAsia="宋体"/>
                <w:sz w:val="20"/>
              </w:rPr>
              <w:t>Gate Fusion</w:t>
            </w:r>
          </w:p>
        </w:tc>
        <w:tc>
          <w:tcPr>
            <w:tcW w:type="dxa" w:w="3024"/>
          </w:tcPr>
          <w:p>
            <w:r>
              <w:rPr>
                <w:rFonts w:ascii="Times New Roman" w:hAnsi="Times New Roman" w:eastAsia="宋体"/>
                <w:sz w:val="20"/>
              </w:rPr>
              <w:t>LSTM/GRU (Hochreiter 1997)</w:t>
              <w:br/>
              <w:t>Cross-Modal Attention</w:t>
            </w:r>
          </w:p>
        </w:tc>
        <w:tc>
          <w:tcPr>
            <w:tcW w:type="dxa" w:w="3024"/>
          </w:tcPr>
          <w:p>
            <w:r>
              <w:rPr>
                <w:rFonts w:ascii="Times New Roman" w:hAnsi="Times New Roman" w:eastAsia="宋体"/>
                <w:sz w:val="20"/>
              </w:rPr>
              <w:t>缺失率感知的门控输入</w:t>
              <w:br/>
              <w:t>逐维度独立调制</w:t>
            </w:r>
          </w:p>
        </w:tc>
      </w:tr>
      <w:tr>
        <w:tc>
          <w:tcPr>
            <w:tcW w:type="dxa" w:w="3024"/>
          </w:tcPr>
          <w:p>
            <w:r>
              <w:rPr>
                <w:rFonts w:ascii="Times New Roman" w:hAnsi="Times New Roman" w:eastAsia="宋体"/>
                <w:sz w:val="20"/>
              </w:rPr>
              <w:t>HAOD</w:t>
            </w:r>
          </w:p>
        </w:tc>
        <w:tc>
          <w:tcPr>
            <w:tcW w:type="dxa" w:w="3024"/>
          </w:tcPr>
          <w:p>
            <w:r>
              <w:rPr>
                <w:rFonts w:ascii="Times New Roman" w:hAnsi="Times New Roman" w:eastAsia="宋体"/>
                <w:sz w:val="20"/>
              </w:rPr>
              <w:t>Transformer Decoder (Vaswani 2017)</w:t>
              <w:br/>
              <w:t>Scheduled Sampling (Bengio 2015)</w:t>
            </w:r>
          </w:p>
        </w:tc>
        <w:tc>
          <w:tcPr>
            <w:tcW w:type="dxa" w:w="3024"/>
          </w:tcPr>
          <w:p>
            <w:r>
              <w:rPr>
                <w:rFonts w:ascii="Times New Roman" w:hAnsi="Times New Roman" w:eastAsia="宋体"/>
                <w:sz w:val="20"/>
              </w:rPr>
              <w:t>三层次自回归级联</w:t>
              <w:br/>
              <w:t>系列条件化掩码</w:t>
              <w:br/>
              <w:t>层级可学习嵌入</w:t>
            </w:r>
          </w:p>
        </w:tc>
      </w:tr>
      <w:tr>
        <w:tc>
          <w:tcPr>
            <w:tcW w:type="dxa" w:w="3024"/>
          </w:tcPr>
          <w:p>
            <w:r>
              <w:rPr>
                <w:rFonts w:ascii="Times New Roman" w:hAnsi="Times New Roman" w:eastAsia="宋体"/>
                <w:sz w:val="20"/>
              </w:rPr>
              <w:t>DCPN</w:t>
            </w:r>
          </w:p>
        </w:tc>
        <w:tc>
          <w:tcPr>
            <w:tcW w:type="dxa" w:w="3024"/>
          </w:tcPr>
          <w:p>
            <w:r>
              <w:rPr>
                <w:rFonts w:ascii="Times New Roman" w:hAnsi="Times New Roman" w:eastAsia="宋体"/>
                <w:sz w:val="20"/>
              </w:rPr>
              <w:t>SupCon (Khosla 2020)</w:t>
              <w:br/>
              <w:t>ProtoNet (Snell 2017)</w:t>
              <w:br/>
              <w:t>MoCo (He 2020)</w:t>
            </w:r>
          </w:p>
        </w:tc>
        <w:tc>
          <w:tcPr>
            <w:tcW w:type="dxa" w:w="3024"/>
          </w:tcPr>
          <w:p>
            <w:r>
              <w:rPr>
                <w:rFonts w:ascii="Times New Roman" w:hAnsi="Times New Roman" w:eastAsia="宋体"/>
                <w:sz w:val="20"/>
              </w:rPr>
              <w:t>实例+原型双重对比</w:t>
              <w:br/>
              <w:t>动量原型更新</w:t>
              <w:br/>
              <w:t>尾部类原型插值增强</w:t>
            </w:r>
          </w:p>
        </w:tc>
      </w:tr>
      <w:tr>
        <w:tc>
          <w:tcPr>
            <w:tcW w:type="dxa" w:w="3024"/>
          </w:tcPr>
          <w:p>
            <w:r>
              <w:rPr>
                <w:rFonts w:ascii="Times New Roman" w:hAnsi="Times New Roman" w:eastAsia="宋体"/>
                <w:sz w:val="20"/>
              </w:rPr>
              <w:t>PICL</w:t>
            </w:r>
          </w:p>
        </w:tc>
        <w:tc>
          <w:tcPr>
            <w:tcW w:type="dxa" w:w="3024"/>
          </w:tcPr>
          <w:p>
            <w:r>
              <w:rPr>
                <w:rFonts w:ascii="Times New Roman" w:hAnsi="Times New Roman" w:eastAsia="宋体"/>
                <w:sz w:val="20"/>
              </w:rPr>
              <w:t>PINN (Raissi 2019)</w:t>
              <w:br/>
              <w:t>Semantic Loss (Xu 2018)</w:t>
            </w:r>
          </w:p>
        </w:tc>
        <w:tc>
          <w:tcPr>
            <w:tcW w:type="dxa" w:w="3024"/>
          </w:tcPr>
          <w:p>
            <w:r>
              <w:rPr>
                <w:rFonts w:ascii="Times New Roman" w:hAnsi="Times New Roman" w:eastAsia="宋体"/>
                <w:sz w:val="20"/>
              </w:rPr>
              <w:t>从训练数据构建约束矩阵</w:t>
              <w:br/>
              <w:t>软约束而非硬规则</w:t>
            </w:r>
          </w:p>
        </w:tc>
      </w:tr>
    </w:tbl>
    <w:p>
      <w:pPr>
        <w:pStyle w:val="Heading2"/>
      </w:pPr>
      <w:r>
        <w:t>6.3 未来方向</w:t>
      </w:r>
    </w:p>
    <w:p>
      <w:pPr>
        <w:pStyle w:val="ListBullet"/>
      </w:pPr>
      <w:r>
        <w:t>大语言模型集成：利用预训练的工业领域LLM提取阀门口径、材质等的语义先验，增强类别特征表示。</w:t>
      </w:r>
    </w:p>
    <w:p>
      <w:pPr>
        <w:pStyle w:val="ListBullet"/>
      </w:pPr>
      <w:r>
        <w:t>更精细的物理约束：引入完整的ASME B16.34温度-压力包络数据库，实现PN-T约束的精确版。</w:t>
      </w:r>
    </w:p>
    <w:p>
      <w:pPr>
        <w:pStyle w:val="ListBullet"/>
      </w:pPr>
      <w:r>
        <w:t>少样本尾部类学习：探索元学习（Meta-Learning）或数据增强方法，进一步提升极端尾部类性能。</w:t>
      </w:r>
    </w:p>
    <w:p>
      <w:pPr>
        <w:pStyle w:val="ListBullet"/>
      </w:pPr>
      <w:r>
        <w:t>不确定性量化：在预测中输出置信度估计，帮助工程师判断模型是否"不确定"，降低误选风险。</w:t>
      </w:r>
    </w:p>
    <w:p>
      <w:pPr>
        <w:pStyle w:val="ListBullet"/>
      </w:pPr>
      <w:r>
        <w:t>知识蒸馏：将HECTO-E的知识蒸馏为更轻量的模型，支持在工业边缘设备上的实时推理。</w:t>
      </w:r>
    </w:p>
    <w:p>
      <w:r>
        <w:br w:type="page"/>
      </w:r>
    </w:p>
    <w:p>
      <w:pPr>
        <w:pStyle w:val="Heading1"/>
      </w:pPr>
      <w:r>
        <w:t>附录A：参考文献与阅读指南</w:t>
      </w:r>
    </w:p>
    <w:p>
      <w:pPr>
        <w:pStyle w:val="Heading2"/>
      </w:pPr>
      <w:r>
        <w:t>A.1 核心引用论文</w:t>
      </w:r>
    </w:p>
    <w:p>
      <w:r>
        <w:t>以下列出本文档中引用的重要论文，按主题分类并附有初学者阅读建议。</w:t>
      </w:r>
    </w:p>
    <w:p>
      <w:pPr>
        <w:pStyle w:val="Heading3"/>
      </w:pPr>
      <w:r>
        <w:t>A.1.1 Transformer与注意力机制</w:t>
      </w:r>
    </w:p>
    <w:p>
      <w:pPr>
        <w:pStyle w:val="ListBullet"/>
      </w:pPr>
      <w:r>
        <w:rPr>
          <w:rFonts w:ascii="Times New Roman" w:hAnsi="Times New Roman" w:eastAsia="宋体"/>
          <w:b/>
        </w:rPr>
        <w:t xml:space="preserve">Attention Is All You Need. </w:t>
      </w:r>
      <w:r>
        <w:rPr>
          <w:rFonts w:ascii="Times New Roman" w:hAnsi="Times New Roman" w:eastAsia="宋体"/>
        </w:rPr>
        <w:t xml:space="preserve">Vaswani et al.. NeurIPS 2017 (引用120,000+). </w:t>
      </w:r>
      <w:r>
        <w:rPr>
          <w:i/>
        </w:rPr>
        <w:t>[阅读建议: 深度学习必读经典。建议先读博客"The Illustrated Transformer"(Jay Alammar)再看原论文。第3节(Model Architecture)是核心。]</w:t>
      </w:r>
    </w:p>
    <w:p>
      <w:pPr>
        <w:pStyle w:val="ListBullet"/>
      </w:pPr>
      <w:r>
        <w:rPr>
          <w:rFonts w:ascii="Times New Roman" w:hAnsi="Times New Roman" w:eastAsia="宋体"/>
          <w:b/>
        </w:rPr>
        <w:t xml:space="preserve">BERT: Pre-training of Deep Bidirectional Transformers for Language Understanding. </w:t>
      </w:r>
      <w:r>
        <w:rPr>
          <w:rFonts w:ascii="Times New Roman" w:hAnsi="Times New Roman" w:eastAsia="宋体"/>
        </w:rPr>
        <w:t xml:space="preserve">Devlin et al.. NAACL 2019 (引用100,000+). </w:t>
      </w:r>
      <w:r>
        <w:rPr>
          <w:i/>
        </w:rPr>
        <w:t>[阅读建议: MFM预训练的灵感来源。建议先理解Transformer再读。重点关注3.1节(Masked LM)的预训练任务设计。]</w:t>
      </w:r>
    </w:p>
    <w:p>
      <w:pPr>
        <w:pStyle w:val="Heading3"/>
      </w:pPr>
      <w:r>
        <w:t>A.1.2 表格数据深度学习</w:t>
      </w:r>
    </w:p>
    <w:p>
      <w:pPr>
        <w:pStyle w:val="ListBullet"/>
      </w:pPr>
      <w:r>
        <w:rPr>
          <w:rFonts w:ascii="Times New Roman" w:hAnsi="Times New Roman" w:eastAsia="宋体"/>
          <w:b/>
        </w:rPr>
        <w:t xml:space="preserve">TabTransformer: Tabular Data Modeling Using Contextual Embeddings. </w:t>
      </w:r>
      <w:r>
        <w:rPr>
          <w:rFonts w:ascii="Times New Roman" w:hAnsi="Times New Roman" w:eastAsia="宋体"/>
        </w:rPr>
        <w:t xml:space="preserve">Huang et al.. arXiv 2020. </w:t>
      </w:r>
      <w:r>
        <w:rPr>
          <w:i/>
        </w:rPr>
        <w:t>[阅读建议: CategoricalStream的直接参考。展示了如何在表格数据上使用Self-Attention。论文较短，适合快速阅读。]</w:t>
      </w:r>
    </w:p>
    <w:p>
      <w:pPr>
        <w:pStyle w:val="ListBullet"/>
      </w:pPr>
      <w:r>
        <w:rPr>
          <w:rFonts w:ascii="Times New Roman" w:hAnsi="Times New Roman" w:eastAsia="宋体"/>
          <w:b/>
        </w:rPr>
        <w:t xml:space="preserve">Entity Embeddings of Categorical Variables. </w:t>
      </w:r>
      <w:r>
        <w:rPr>
          <w:rFonts w:ascii="Times New Roman" w:hAnsi="Times New Roman" w:eastAsia="宋体"/>
        </w:rPr>
        <w:t xml:space="preserve">Guo &amp; Berkhahn. arXiv 2016. </w:t>
      </w:r>
      <w:r>
        <w:rPr>
          <w:i/>
        </w:rPr>
        <w:t>[阅读建议: Entity Embedding的原始提案。来自Kaggle竞赛的实践经验，数学简单易懂。]</w:t>
      </w:r>
    </w:p>
    <w:p>
      <w:pPr>
        <w:pStyle w:val="Heading3"/>
      </w:pPr>
      <w:r>
        <w:t>A.1.3 对比学习</w:t>
      </w:r>
    </w:p>
    <w:p>
      <w:pPr>
        <w:pStyle w:val="ListBullet"/>
      </w:pPr>
      <w:r>
        <w:rPr>
          <w:rFonts w:ascii="Times New Roman" w:hAnsi="Times New Roman" w:eastAsia="宋体"/>
          <w:b/>
        </w:rPr>
        <w:t xml:space="preserve">A Simple Framework for Contrastive Learning of Visual Representations (SimCLR). </w:t>
      </w:r>
      <w:r>
        <w:rPr>
          <w:rFonts w:ascii="Times New Roman" w:hAnsi="Times New Roman" w:eastAsia="宋体"/>
        </w:rPr>
        <w:t xml:space="preserve">Chen et al.. ICML 2020 (引用25,000+). </w:t>
      </w:r>
      <w:r>
        <w:rPr>
          <w:i/>
        </w:rPr>
        <w:t>[阅读建议: 对比学习入门的最佳起点。论文清晰易读，实验详细。重点关注第2节(Method)的InfoNCE损失定义。]</w:t>
      </w:r>
    </w:p>
    <w:p>
      <w:pPr>
        <w:pStyle w:val="ListBullet"/>
      </w:pPr>
      <w:r>
        <w:rPr>
          <w:rFonts w:ascii="Times New Roman" w:hAnsi="Times New Roman" w:eastAsia="宋体"/>
          <w:b/>
        </w:rPr>
        <w:t xml:space="preserve">Supervised Contrastive Learning. </w:t>
      </w:r>
      <w:r>
        <w:rPr>
          <w:rFonts w:ascii="Times New Roman" w:hAnsi="Times New Roman" w:eastAsia="宋体"/>
        </w:rPr>
        <w:t xml:space="preserve">Khosla et al.. NeurIPS 2020 (引用6,000+). </w:t>
      </w:r>
      <w:r>
        <w:rPr>
          <w:i/>
        </w:rPr>
        <w:t>[阅读建议: DCPN中SupCon损失的直接参考。与SimCLR对比阅读，理解自监督vs监督对比的区别。]</w:t>
      </w:r>
    </w:p>
    <w:p>
      <w:pPr>
        <w:pStyle w:val="ListBullet"/>
      </w:pPr>
      <w:r>
        <w:rPr>
          <w:rFonts w:ascii="Times New Roman" w:hAnsi="Times New Roman" w:eastAsia="宋体"/>
          <w:b/>
        </w:rPr>
        <w:t xml:space="preserve">Momentum Contrast for Unsupervised Visual Representation Learning (MoCo). </w:t>
      </w:r>
      <w:r>
        <w:rPr>
          <w:rFonts w:ascii="Times New Roman" w:hAnsi="Times New Roman" w:eastAsia="宋体"/>
        </w:rPr>
        <w:t xml:space="preserve">He et al.. CVPR 2020 (引用20,000+). </w:t>
      </w:r>
      <w:r>
        <w:rPr>
          <w:i/>
        </w:rPr>
        <w:t>[阅读建议: 原型动量更新的灵感来源。理解"字典作为队列"和"动量编码器"两个核心idea。]</w:t>
      </w:r>
    </w:p>
    <w:p>
      <w:pPr>
        <w:pStyle w:val="ListBullet"/>
      </w:pPr>
      <w:r>
        <w:rPr>
          <w:rFonts w:ascii="Times New Roman" w:hAnsi="Times New Roman" w:eastAsia="宋体"/>
          <w:b/>
        </w:rPr>
        <w:t xml:space="preserve">Prototypical Networks for Few-shot Learning. </w:t>
      </w:r>
      <w:r>
        <w:rPr>
          <w:rFonts w:ascii="Times New Roman" w:hAnsi="Times New Roman" w:eastAsia="宋体"/>
        </w:rPr>
        <w:t xml:space="preserve">Snell et al.. NeurIPS 2017 (引用10,000+). </w:t>
      </w:r>
      <w:r>
        <w:rPr>
          <w:i/>
        </w:rPr>
        <w:t>[阅读建议: 原型网络的奠基性工作。论文短小精悍，核心思想（4.1节）非常直观。]</w:t>
      </w:r>
    </w:p>
    <w:p>
      <w:pPr>
        <w:pStyle w:val="Heading3"/>
      </w:pPr>
      <w:r>
        <w:t>A.1.4 损失函数与优化</w:t>
      </w:r>
    </w:p>
    <w:p>
      <w:pPr>
        <w:pStyle w:val="ListBullet"/>
      </w:pPr>
      <w:r>
        <w:rPr>
          <w:rFonts w:ascii="Times New Roman" w:hAnsi="Times New Roman" w:eastAsia="宋体"/>
          <w:b/>
        </w:rPr>
        <w:t xml:space="preserve">Focal Loss for Dense Object Detection. </w:t>
      </w:r>
      <w:r>
        <w:rPr>
          <w:rFonts w:ascii="Times New Roman" w:hAnsi="Times New Roman" w:eastAsia="宋体"/>
        </w:rPr>
        <w:t xml:space="preserve">Lin et al.. ICCV 2017 (引用45,000+). </w:t>
      </w:r>
      <w:r>
        <w:rPr>
          <w:i/>
        </w:rPr>
        <w:t>[阅读建议: Focal Loss原始论文。第3节清晰定义了公式并分析了为何能处理类别不平衡。]</w:t>
      </w:r>
    </w:p>
    <w:p>
      <w:pPr>
        <w:pStyle w:val="ListBullet"/>
      </w:pPr>
      <w:r>
        <w:rPr>
          <w:rFonts w:ascii="Times New Roman" w:hAnsi="Times New Roman" w:eastAsia="宋体"/>
          <w:b/>
        </w:rPr>
        <w:t xml:space="preserve">Multi-Task Learning Using Uncertainty to Weigh Losses. </w:t>
      </w:r>
      <w:r>
        <w:rPr>
          <w:rFonts w:ascii="Times New Roman" w:hAnsi="Times New Roman" w:eastAsia="宋体"/>
        </w:rPr>
        <w:t xml:space="preserve">Kendall et al.. CVPR 2018 (引用6,000+). </w:t>
      </w:r>
      <w:r>
        <w:rPr>
          <w:i/>
        </w:rPr>
        <w:t>[阅读建议: 同方差不确定性加权的原始论文。3.1-3.2节是关键，解释了如何从概率角度推导多任务损失权重。]</w:t>
      </w:r>
    </w:p>
    <w:p>
      <w:pPr>
        <w:pStyle w:val="Heading3"/>
      </w:pPr>
      <w:r>
        <w:t>A.1.5 物理信息与约束</w:t>
      </w:r>
    </w:p>
    <w:p>
      <w:pPr>
        <w:pStyle w:val="ListBullet"/>
      </w:pPr>
      <w:r>
        <w:rPr>
          <w:rFonts w:ascii="Times New Roman" w:hAnsi="Times New Roman" w:eastAsia="宋体"/>
          <w:b/>
        </w:rPr>
        <w:t xml:space="preserve">Physics-informed neural networks (PINN). </w:t>
      </w:r>
      <w:r>
        <w:rPr>
          <w:rFonts w:ascii="Times New Roman" w:hAnsi="Times New Roman" w:eastAsia="宋体"/>
        </w:rPr>
        <w:t xml:space="preserve">Raissi et al.. Journal of Computational Physics 2019 (引用15,000+). </w:t>
      </w:r>
      <w:r>
        <w:rPr>
          <w:i/>
        </w:rPr>
        <w:t>[阅读建议: PICL的设计理念参考。理解如何将物理方程转化为损失函数的基本范式。建议先读第2节。]</w:t>
      </w:r>
    </w:p>
    <w:p>
      <w:pPr>
        <w:pStyle w:val="Heading2"/>
      </w:pPr>
      <w:r>
        <w:t>A.2 推荐学习路径</w:t>
      </w:r>
    </w:p>
    <w:p>
      <w:pPr>
        <w:pStyle w:val="ListNumber"/>
      </w:pPr>
      <w:r>
        <w:rPr>
          <w:rFonts w:ascii="Times New Roman" w:hAnsi="Times New Roman" w:eastAsia="宋体"/>
          <w:b/>
        </w:rPr>
        <w:t>入门阶段（1-2周）: 学习神经网络基础（反向传播、优化器）→ 学习Transformer架构（Attention Is All You Need）→ 学习BERT预训练范式</w:t>
      </w:r>
    </w:p>
    <w:p>
      <w:pPr>
        <w:pStyle w:val="ListNumber"/>
      </w:pPr>
      <w:r>
        <w:rPr>
          <w:rFonts w:ascii="Times New Roman" w:hAnsi="Times New Roman" w:eastAsia="宋体"/>
          <w:b/>
        </w:rPr>
        <w:t>进阶阶段（2-3周）: 学习对比学习（SimCLR → SupCon → MoCo）→ 学习表格数据深度学习（Entity Embedding → TabTransformer）→ 学习多任务学习与不确定性加权</w:t>
      </w:r>
    </w:p>
    <w:p>
      <w:pPr>
        <w:pStyle w:val="ListNumber"/>
      </w:pPr>
      <w:r>
        <w:rPr>
          <w:rFonts w:ascii="Times New Roman" w:hAnsi="Times New Roman" w:eastAsia="宋体"/>
          <w:b/>
        </w:rPr>
        <w:t>研究阶段（1-2周）: 阅读PINN了解物理约束嵌入 → 学习原型网络与少样本学习 → 阅读长尾学习综述（如Zhang et al., "Deep Long-Tailed Learning: A Survey", TPAMI 2023）</w:t>
      </w:r>
    </w:p>
    <w:p>
      <w:r>
        <w:br w:type="page"/>
      </w:r>
    </w:p>
    <w:p>
      <w:pPr>
        <w:pStyle w:val="Heading1"/>
      </w:pPr>
      <w:r>
        <w:t>附录B：主要数学符号表</w:t>
      </w:r>
    </w:p>
    <w:tbl>
      <w:tblPr>
        <w:tblStyle w:val="LightGrid-Accent1"/>
        <w:tblW w:type="auto" w:w="0"/>
        <w:jc w:val="center"/>
        <w:tblLook w:firstColumn="1" w:firstRow="1" w:lastColumn="0" w:lastRow="0" w:noHBand="0" w:noVBand="1" w:val="04A0"/>
      </w:tblPr>
      <w:tblGrid>
        <w:gridCol w:w="4536"/>
        <w:gridCol w:w="4536"/>
      </w:tblGrid>
      <w:tr>
        <w:tc>
          <w:tcPr>
            <w:tcW w:type="dxa" w:w="4536"/>
          </w:tcPr>
          <w:p>
            <w:r>
              <w:rPr>
                <w:rFonts w:ascii="Times New Roman" w:hAnsi="Times New Roman" w:eastAsia="宋体"/>
                <w:b/>
                <w:sz w:val="20"/>
              </w:rPr>
              <w:t>符号</w:t>
            </w:r>
          </w:p>
        </w:tc>
        <w:tc>
          <w:tcPr>
            <w:tcW w:type="dxa" w:w="4536"/>
          </w:tcPr>
          <w:p>
            <w:r>
              <w:rPr>
                <w:rFonts w:ascii="Times New Roman" w:hAnsi="Times New Roman" w:eastAsia="宋体"/>
                <w:b/>
                <w:sz w:val="20"/>
              </w:rPr>
              <w:t>含义</w:t>
            </w:r>
          </w:p>
        </w:tc>
      </w:tr>
      <w:tr>
        <w:tc>
          <w:tcPr>
            <w:tcW w:type="dxa" w:w="4536"/>
          </w:tcPr>
          <w:p>
            <w:r>
              <w:rPr>
                <w:rFonts w:ascii="Times New Roman" w:hAnsi="Times New Roman" w:eastAsia="宋体"/>
                <w:sz w:val="20"/>
              </w:rPr>
              <w:t>B</w:t>
            </w:r>
          </w:p>
        </w:tc>
        <w:tc>
          <w:tcPr>
            <w:tcW w:type="dxa" w:w="4536"/>
          </w:tcPr>
          <w:p>
            <w:r>
              <w:rPr>
                <w:rFonts w:ascii="Times New Roman" w:hAnsi="Times New Roman" w:eastAsia="宋体"/>
                <w:sz w:val="20"/>
              </w:rPr>
              <w:t>批次大小 (Batch Size)</w:t>
            </w:r>
          </w:p>
        </w:tc>
      </w:tr>
      <w:tr>
        <w:tc>
          <w:tcPr>
            <w:tcW w:type="dxa" w:w="4536"/>
          </w:tcPr>
          <w:p>
            <w:r>
              <w:rPr>
                <w:rFonts w:ascii="Times New Roman" w:hAnsi="Times New Roman" w:eastAsia="宋体"/>
                <w:sz w:val="20"/>
              </w:rPr>
              <w:t>d</w:t>
            </w:r>
          </w:p>
        </w:tc>
        <w:tc>
          <w:tcPr>
            <w:tcW w:type="dxa" w:w="4536"/>
          </w:tcPr>
          <w:p>
            <w:r>
              <w:rPr>
                <w:rFonts w:ascii="Times New Roman" w:hAnsi="Times New Roman" w:eastAsia="宋体"/>
                <w:sz w:val="20"/>
              </w:rPr>
              <w:t>模型隐藏维度 (d_model)</w:t>
            </w:r>
          </w:p>
        </w:tc>
      </w:tr>
      <w:tr>
        <w:tc>
          <w:tcPr>
            <w:tcW w:type="dxa" w:w="4536"/>
          </w:tcPr>
          <w:p>
            <w:r>
              <w:rPr>
                <w:rFonts w:ascii="Times New Roman" w:hAnsi="Times New Roman" w:eastAsia="宋体"/>
                <w:sz w:val="20"/>
              </w:rPr>
              <w:t>N_num</w:t>
            </w:r>
          </w:p>
        </w:tc>
        <w:tc>
          <w:tcPr>
            <w:tcW w:type="dxa" w:w="4536"/>
          </w:tcPr>
          <w:p>
            <w:r>
              <w:rPr>
                <w:rFonts w:ascii="Times New Roman" w:hAnsi="Times New Roman" w:eastAsia="宋体"/>
                <w:sz w:val="20"/>
              </w:rPr>
              <w:t>数值特征数量 (22)</w:t>
            </w:r>
          </w:p>
        </w:tc>
      </w:tr>
      <w:tr>
        <w:tc>
          <w:tcPr>
            <w:tcW w:type="dxa" w:w="4536"/>
          </w:tcPr>
          <w:p>
            <w:r>
              <w:rPr>
                <w:rFonts w:ascii="Times New Roman" w:hAnsi="Times New Roman" w:eastAsia="宋体"/>
                <w:sz w:val="20"/>
              </w:rPr>
              <w:t>N_cat</w:t>
            </w:r>
          </w:p>
        </w:tc>
        <w:tc>
          <w:tcPr>
            <w:tcW w:type="dxa" w:w="4536"/>
          </w:tcPr>
          <w:p>
            <w:r>
              <w:rPr>
                <w:rFonts w:ascii="Times New Roman" w:hAnsi="Times New Roman" w:eastAsia="宋体"/>
                <w:sz w:val="20"/>
              </w:rPr>
              <w:t>类别特征数量 (24)</w:t>
            </w:r>
          </w:p>
        </w:tc>
      </w:tr>
      <w:tr>
        <w:tc>
          <w:tcPr>
            <w:tcW w:type="dxa" w:w="4536"/>
          </w:tcPr>
          <w:p>
            <w:r>
              <w:rPr>
                <w:rFonts w:ascii="Times New Roman" w:hAnsi="Times New Roman" w:eastAsia="宋体"/>
                <w:sz w:val="20"/>
              </w:rPr>
              <w:t>C₁</w:t>
            </w:r>
          </w:p>
        </w:tc>
        <w:tc>
          <w:tcPr>
            <w:tcW w:type="dxa" w:w="4536"/>
          </w:tcPr>
          <w:p>
            <w:r>
              <w:rPr>
                <w:rFonts w:ascii="Times New Roman" w:hAnsi="Times New Roman" w:eastAsia="宋体"/>
                <w:sz w:val="20"/>
              </w:rPr>
              <w:t>产品系列类别数 (14)</w:t>
            </w:r>
          </w:p>
        </w:tc>
      </w:tr>
      <w:tr>
        <w:tc>
          <w:tcPr>
            <w:tcW w:type="dxa" w:w="4536"/>
          </w:tcPr>
          <w:p>
            <w:r>
              <w:rPr>
                <w:rFonts w:ascii="Times New Roman" w:hAnsi="Times New Roman" w:eastAsia="宋体"/>
                <w:sz w:val="20"/>
              </w:rPr>
              <w:t>C₂</w:t>
            </w:r>
          </w:p>
        </w:tc>
        <w:tc>
          <w:tcPr>
            <w:tcW w:type="dxa" w:w="4536"/>
          </w:tcPr>
          <w:p>
            <w:r>
              <w:rPr>
                <w:rFonts w:ascii="Times New Roman" w:hAnsi="Times New Roman" w:eastAsia="宋体"/>
                <w:sz w:val="20"/>
              </w:rPr>
              <w:t>产品型号类别数 (64)</w:t>
            </w:r>
          </w:p>
        </w:tc>
      </w:tr>
      <w:tr>
        <w:tc>
          <w:tcPr>
            <w:tcW w:type="dxa" w:w="4536"/>
          </w:tcPr>
          <w:p>
            <w:r>
              <w:rPr>
                <w:rFonts w:ascii="Times New Roman" w:hAnsi="Times New Roman" w:eastAsia="宋体"/>
                <w:sz w:val="20"/>
              </w:rPr>
              <w:t>V_i</w:t>
            </w:r>
          </w:p>
        </w:tc>
        <w:tc>
          <w:tcPr>
            <w:tcW w:type="dxa" w:w="4536"/>
          </w:tcPr>
          <w:p>
            <w:r>
              <w:rPr>
                <w:rFonts w:ascii="Times New Roman" w:hAnsi="Times New Roman" w:eastAsia="宋体"/>
                <w:sz w:val="20"/>
              </w:rPr>
              <w:t>第i个类别特征的词表大小</w:t>
            </w:r>
          </w:p>
        </w:tc>
      </w:tr>
      <w:tr>
        <w:tc>
          <w:tcPr>
            <w:tcW w:type="dxa" w:w="4536"/>
          </w:tcPr>
          <w:p>
            <w:r>
              <w:rPr>
                <w:rFonts w:ascii="Times New Roman" w:hAnsi="Times New Roman" w:eastAsia="宋体"/>
                <w:sz w:val="20"/>
              </w:rPr>
              <w:t>h_num</w:t>
            </w:r>
          </w:p>
        </w:tc>
        <w:tc>
          <w:tcPr>
            <w:tcW w:type="dxa" w:w="4536"/>
          </w:tcPr>
          <w:p>
            <w:r>
              <w:rPr>
                <w:rFonts w:ascii="Times New Roman" w:hAnsi="Times New Roman" w:eastAsia="宋体"/>
                <w:sz w:val="20"/>
              </w:rPr>
              <w:t>数值特征编码表示 [B, d]</w:t>
            </w:r>
          </w:p>
        </w:tc>
      </w:tr>
      <w:tr>
        <w:tc>
          <w:tcPr>
            <w:tcW w:type="dxa" w:w="4536"/>
          </w:tcPr>
          <w:p>
            <w:r>
              <w:rPr>
                <w:rFonts w:ascii="Times New Roman" w:hAnsi="Times New Roman" w:eastAsia="宋体"/>
                <w:sz w:val="20"/>
              </w:rPr>
              <w:t>h_cat</w:t>
            </w:r>
          </w:p>
        </w:tc>
        <w:tc>
          <w:tcPr>
            <w:tcW w:type="dxa" w:w="4536"/>
          </w:tcPr>
          <w:p>
            <w:r>
              <w:rPr>
                <w:rFonts w:ascii="Times New Roman" w:hAnsi="Times New Roman" w:eastAsia="宋体"/>
                <w:sz w:val="20"/>
              </w:rPr>
              <w:t>类别特征编码表示 [B, d]</w:t>
            </w:r>
          </w:p>
        </w:tc>
      </w:tr>
      <w:tr>
        <w:tc>
          <w:tcPr>
            <w:tcW w:type="dxa" w:w="4536"/>
          </w:tcPr>
          <w:p>
            <w:r>
              <w:rPr>
                <w:rFonts w:ascii="Times New Roman" w:hAnsi="Times New Roman" w:eastAsia="宋体"/>
                <w:sz w:val="20"/>
              </w:rPr>
              <w:t>h_fused</w:t>
            </w:r>
          </w:p>
        </w:tc>
        <w:tc>
          <w:tcPr>
            <w:tcW w:type="dxa" w:w="4536"/>
          </w:tcPr>
          <w:p>
            <w:r>
              <w:rPr>
                <w:rFonts w:ascii="Times New Roman" w:hAnsi="Times New Roman" w:eastAsia="宋体"/>
                <w:sz w:val="20"/>
              </w:rPr>
              <w:t>门控融合后的联合表示 [B, d]</w:t>
            </w:r>
          </w:p>
        </w:tc>
      </w:tr>
      <w:tr>
        <w:tc>
          <w:tcPr>
            <w:tcW w:type="dxa" w:w="4536"/>
          </w:tcPr>
          <w:p>
            <w:r>
              <w:rPr>
                <w:rFonts w:ascii="Times New Roman" w:hAnsi="Times New Roman" w:eastAsia="宋体"/>
                <w:sz w:val="20"/>
              </w:rPr>
              <w:t>G_n, G_c</w:t>
            </w:r>
          </w:p>
        </w:tc>
        <w:tc>
          <w:tcPr>
            <w:tcW w:type="dxa" w:w="4536"/>
          </w:tcPr>
          <w:p>
            <w:r>
              <w:rPr>
                <w:rFonts w:ascii="Times New Roman" w:hAnsi="Times New Roman" w:eastAsia="宋体"/>
                <w:sz w:val="20"/>
              </w:rPr>
              <w:t>数值/类别门控权重向量</w:t>
            </w:r>
          </w:p>
        </w:tc>
      </w:tr>
      <w:tr>
        <w:tc>
          <w:tcPr>
            <w:tcW w:type="dxa" w:w="4536"/>
          </w:tcPr>
          <w:p>
            <w:r>
              <w:rPr>
                <w:rFonts w:ascii="Times New Roman" w:hAnsi="Times New Roman" w:eastAsia="宋体"/>
                <w:sz w:val="20"/>
              </w:rPr>
              <w:t>P_c</w:t>
            </w:r>
          </w:p>
        </w:tc>
        <w:tc>
          <w:tcPr>
            <w:tcW w:type="dxa" w:w="4536"/>
          </w:tcPr>
          <w:p>
            <w:r>
              <w:rPr>
                <w:rFonts w:ascii="Times New Roman" w:hAnsi="Times New Roman" w:eastAsia="宋体"/>
                <w:sz w:val="20"/>
              </w:rPr>
              <w:t>类别c的原型向量</w:t>
            </w:r>
          </w:p>
        </w:tc>
      </w:tr>
      <w:tr>
        <w:tc>
          <w:tcPr>
            <w:tcW w:type="dxa" w:w="4536"/>
          </w:tcPr>
          <w:p>
            <w:r>
              <w:rPr>
                <w:rFonts w:ascii="Times New Roman" w:hAnsi="Times New Roman" w:eastAsia="宋体"/>
                <w:sz w:val="20"/>
              </w:rPr>
              <w:t>α</w:t>
            </w:r>
          </w:p>
        </w:tc>
        <w:tc>
          <w:tcPr>
            <w:tcW w:type="dxa" w:w="4536"/>
          </w:tcPr>
          <w:p>
            <w:r>
              <w:rPr>
                <w:rFonts w:ascii="Times New Roman" w:hAnsi="Times New Roman" w:eastAsia="宋体"/>
                <w:sz w:val="20"/>
              </w:rPr>
              <w:t>原型动量更新系数 (0.99)</w:t>
            </w:r>
          </w:p>
        </w:tc>
      </w:tr>
      <w:tr>
        <w:tc>
          <w:tcPr>
            <w:tcW w:type="dxa" w:w="4536"/>
          </w:tcPr>
          <w:p>
            <w:r>
              <w:rPr>
                <w:rFonts w:ascii="Times New Roman" w:hAnsi="Times New Roman" w:eastAsia="宋体"/>
                <w:sz w:val="20"/>
              </w:rPr>
              <w:t>τ</w:t>
            </w:r>
          </w:p>
        </w:tc>
        <w:tc>
          <w:tcPr>
            <w:tcW w:type="dxa" w:w="4536"/>
          </w:tcPr>
          <w:p>
            <w:r>
              <w:rPr>
                <w:rFonts w:ascii="Times New Roman" w:hAnsi="Times New Roman" w:eastAsia="宋体"/>
                <w:sz w:val="20"/>
              </w:rPr>
              <w:t>对比学习温度参数</w:t>
            </w:r>
          </w:p>
        </w:tc>
      </w:tr>
      <w:tr>
        <w:tc>
          <w:tcPr>
            <w:tcW w:type="dxa" w:w="4536"/>
          </w:tcPr>
          <w:p>
            <w:r>
              <w:rPr>
                <w:rFonts w:ascii="Times New Roman" w:hAnsi="Times New Roman" w:eastAsia="宋体"/>
                <w:sz w:val="20"/>
              </w:rPr>
              <w:t>γ</w:t>
            </w:r>
          </w:p>
        </w:tc>
        <w:tc>
          <w:tcPr>
            <w:tcW w:type="dxa" w:w="4536"/>
          </w:tcPr>
          <w:p>
            <w:r>
              <w:rPr>
                <w:rFonts w:ascii="Times New Roman" w:hAnsi="Times New Roman" w:eastAsia="宋体"/>
                <w:sz w:val="20"/>
              </w:rPr>
              <w:t>Focal Loss聚焦参数 (2.0)</w:t>
            </w:r>
          </w:p>
        </w:tc>
      </w:tr>
      <w:tr>
        <w:tc>
          <w:tcPr>
            <w:tcW w:type="dxa" w:w="4536"/>
          </w:tcPr>
          <w:p>
            <w:r>
              <w:rPr>
                <w:rFonts w:ascii="Times New Roman" w:hAnsi="Times New Roman" w:eastAsia="宋体"/>
                <w:sz w:val="20"/>
              </w:rPr>
              <w:t>σ_k</w:t>
            </w:r>
          </w:p>
        </w:tc>
        <w:tc>
          <w:tcPr>
            <w:tcW w:type="dxa" w:w="4536"/>
          </w:tcPr>
          <w:p>
            <w:r>
              <w:rPr>
                <w:rFonts w:ascii="Times New Roman" w:hAnsi="Times New Roman" w:eastAsia="宋体"/>
                <w:sz w:val="20"/>
              </w:rPr>
              <w:t>任务k的同方差不确定性参数</w:t>
            </w:r>
          </w:p>
        </w:tc>
      </w:tr>
      <w:tr>
        <w:tc>
          <w:tcPr>
            <w:tcW w:type="dxa" w:w="4536"/>
          </w:tcPr>
          <w:p>
            <w:r>
              <w:rPr>
                <w:rFonts w:ascii="Times New Roman" w:hAnsi="Times New Roman" w:eastAsia="宋体"/>
                <w:sz w:val="20"/>
              </w:rPr>
              <w:t>tf</w:t>
            </w:r>
          </w:p>
        </w:tc>
        <w:tc>
          <w:tcPr>
            <w:tcW w:type="dxa" w:w="4536"/>
          </w:tcPr>
          <w:p>
            <w:r>
              <w:rPr>
                <w:rFonts w:ascii="Times New Roman" w:hAnsi="Times New Roman" w:eastAsia="宋体"/>
                <w:sz w:val="20"/>
              </w:rPr>
              <w:t>Teacher Forcing比率</w:t>
            </w:r>
          </w:p>
        </w:tc>
      </w:tr>
      <w:tr>
        <w:tc>
          <w:tcPr>
            <w:tcW w:type="dxa" w:w="4536"/>
          </w:tcPr>
          <w:p>
            <w:r>
              <w:rPr>
                <w:rFonts w:ascii="Times New Roman" w:hAnsi="Times New Roman" w:eastAsia="宋体"/>
                <w:sz w:val="20"/>
              </w:rPr>
              <w:t>λ_*</w:t>
            </w:r>
          </w:p>
        </w:tc>
        <w:tc>
          <w:tcPr>
            <w:tcW w:type="dxa" w:w="4536"/>
          </w:tcPr>
          <w:p>
            <w:r>
              <w:rPr>
                <w:rFonts w:ascii="Times New Roman" w:hAnsi="Times New Roman" w:eastAsia="宋体"/>
                <w:sz w:val="20"/>
              </w:rPr>
              <w:t>辅助损失权重系数</w:t>
            </w:r>
          </w:p>
        </w:tc>
      </w:tr>
    </w:tbl>
    <w:p>
      <w:r>
        <w:br w:type="page"/>
      </w:r>
    </w:p>
    <w:p>
      <w:pPr>
        <w:pStyle w:val="Heading1"/>
      </w:pPr>
      <w:r>
        <w:t>附录C：训练环境与完整超参数</w:t>
      </w:r>
    </w:p>
    <w:p>
      <w:pPr>
        <w:pStyle w:val="Heading2"/>
      </w:pPr>
      <w:r>
        <w:t>C.1 运行环境</w:t>
      </w:r>
    </w:p>
    <w:tbl>
      <w:tblPr>
        <w:tblStyle w:val="LightGrid-Accent1"/>
        <w:tblW w:type="auto" w:w="0"/>
        <w:tblLook w:firstColumn="1" w:firstRow="1" w:lastColumn="0" w:lastRow="0" w:noHBand="0" w:noVBand="1" w:val="04A0"/>
      </w:tblPr>
      <w:tblGrid>
        <w:gridCol w:w="4536"/>
        <w:gridCol w:w="4536"/>
      </w:tblGrid>
      <w:tr>
        <w:tc>
          <w:tcPr>
            <w:tcW w:type="dxa" w:w="4536"/>
          </w:tcPr>
          <w:p>
            <w:r>
              <w:rPr>
                <w:rFonts w:ascii="Times New Roman" w:hAnsi="Times New Roman" w:eastAsia="宋体"/>
                <w:b/>
                <w:sz w:val="20"/>
              </w:rPr>
              <w:t>操作系统</w:t>
            </w:r>
          </w:p>
        </w:tc>
        <w:tc>
          <w:tcPr>
            <w:tcW w:type="dxa" w:w="4536"/>
          </w:tcPr>
          <w:p>
            <w:r>
              <w:rPr>
                <w:rFonts w:ascii="Times New Roman" w:hAnsi="Times New Roman" w:eastAsia="宋体"/>
                <w:b/>
                <w:sz w:val="20"/>
              </w:rPr>
              <w:t>Windows 10 Pro</w:t>
            </w:r>
          </w:p>
        </w:tc>
      </w:tr>
      <w:tr>
        <w:tc>
          <w:tcPr>
            <w:tcW w:type="dxa" w:w="4536"/>
          </w:tcPr>
          <w:p>
            <w:r>
              <w:rPr>
                <w:rFonts w:ascii="Times New Roman" w:hAnsi="Times New Roman" w:eastAsia="宋体"/>
                <w:sz w:val="20"/>
              </w:rPr>
              <w:t>Python版本</w:t>
            </w:r>
          </w:p>
        </w:tc>
        <w:tc>
          <w:tcPr>
            <w:tcW w:type="dxa" w:w="4536"/>
          </w:tcPr>
          <w:p>
            <w:r>
              <w:rPr>
                <w:rFonts w:ascii="Times New Roman" w:hAnsi="Times New Roman" w:eastAsia="宋体"/>
                <w:sz w:val="20"/>
              </w:rPr>
              <w:t>3.11</w:t>
            </w:r>
          </w:p>
        </w:tc>
      </w:tr>
      <w:tr>
        <w:tc>
          <w:tcPr>
            <w:tcW w:type="dxa" w:w="4536"/>
          </w:tcPr>
          <w:p>
            <w:r>
              <w:rPr>
                <w:rFonts w:ascii="Times New Roman" w:hAnsi="Times New Roman" w:eastAsia="宋体"/>
                <w:sz w:val="20"/>
              </w:rPr>
              <w:t>深度学习框架</w:t>
            </w:r>
          </w:p>
        </w:tc>
        <w:tc>
          <w:tcPr>
            <w:tcW w:type="dxa" w:w="4536"/>
          </w:tcPr>
          <w:p>
            <w:r>
              <w:rPr>
                <w:rFonts w:ascii="Times New Roman" w:hAnsi="Times New Roman" w:eastAsia="宋体"/>
                <w:sz w:val="20"/>
              </w:rPr>
              <w:t>PyTorch 2.x (CPU)</w:t>
            </w:r>
          </w:p>
        </w:tc>
      </w:tr>
      <w:tr>
        <w:tc>
          <w:tcPr>
            <w:tcW w:type="dxa" w:w="4536"/>
          </w:tcPr>
          <w:p>
            <w:r>
              <w:rPr>
                <w:rFonts w:ascii="Times New Roman" w:hAnsi="Times New Roman" w:eastAsia="宋体"/>
                <w:sz w:val="20"/>
              </w:rPr>
              <w:t>关键依赖</w:t>
            </w:r>
          </w:p>
        </w:tc>
        <w:tc>
          <w:tcPr>
            <w:tcW w:type="dxa" w:w="4536"/>
          </w:tcPr>
          <w:p>
            <w:r>
              <w:rPr>
                <w:rFonts w:ascii="Times New Roman" w:hAnsi="Times New Roman" w:eastAsia="宋体"/>
                <w:sz w:val="20"/>
              </w:rPr>
              <w:t>numpy, pandas, scikit-learn, tqdm, tensorboard</w:t>
            </w:r>
          </w:p>
        </w:tc>
      </w:tr>
      <w:tr>
        <w:tc>
          <w:tcPr>
            <w:tcW w:type="dxa" w:w="4536"/>
          </w:tcPr>
          <w:p>
            <w:r>
              <w:rPr>
                <w:rFonts w:ascii="Times New Roman" w:hAnsi="Times New Roman" w:eastAsia="宋体"/>
                <w:sz w:val="20"/>
              </w:rPr>
              <w:t>文档生成</w:t>
            </w:r>
          </w:p>
        </w:tc>
        <w:tc>
          <w:tcPr>
            <w:tcW w:type="dxa" w:w="4536"/>
          </w:tcPr>
          <w:p>
            <w:r>
              <w:rPr>
                <w:rFonts w:ascii="Times New Roman" w:hAnsi="Times New Roman" w:eastAsia="宋体"/>
                <w:sz w:val="20"/>
              </w:rPr>
              <w:t>python-docx</w:t>
            </w:r>
          </w:p>
        </w:tc>
      </w:tr>
      <w:tr>
        <w:tc>
          <w:tcPr>
            <w:tcW w:type="dxa" w:w="4536"/>
          </w:tcPr>
          <w:p>
            <w:r>
              <w:rPr>
                <w:rFonts w:ascii="Times New Roman" w:hAnsi="Times New Roman" w:eastAsia="宋体"/>
                <w:sz w:val="20"/>
              </w:rPr>
              <w:t>硬件</w:t>
            </w:r>
          </w:p>
        </w:tc>
        <w:tc>
          <w:tcPr>
            <w:tcW w:type="dxa" w:w="4536"/>
          </w:tcPr>
          <w:p>
            <w:r>
              <w:rPr>
                <w:rFonts w:ascii="Times New Roman" w:hAnsi="Times New Roman" w:eastAsia="宋体"/>
                <w:sz w:val="20"/>
              </w:rPr>
              <w:t>CPU训练（模型参数~6.6M）</w:t>
            </w:r>
          </w:p>
        </w:tc>
      </w:tr>
      <w:tr>
        <w:tc>
          <w:tcPr>
            <w:tcW w:type="dxa" w:w="4536"/>
          </w:tcPr>
          <w:p/>
        </w:tc>
        <w:tc>
          <w:tcPr>
            <w:tcW w:type="dxa" w:w="4536"/>
          </w:tcPr>
          <w:p/>
        </w:tc>
      </w:tr>
    </w:tbl>
    <w:p>
      <w:pPr>
        <w:pStyle w:val="Heading2"/>
      </w:pPr>
      <w:r>
        <w:t>C.2 中等规模训练完整配置</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eastAsia="宋体"/>
                <w:b/>
                <w:sz w:val="20"/>
              </w:rPr>
              <w:t>超参数</w:t>
            </w:r>
          </w:p>
        </w:tc>
        <w:tc>
          <w:tcPr>
            <w:tcW w:type="dxa" w:w="3024"/>
          </w:tcPr>
          <w:p>
            <w:r>
              <w:rPr>
                <w:rFonts w:ascii="Times New Roman" w:hAnsi="Times New Roman" w:eastAsia="宋体"/>
                <w:b/>
                <w:sz w:val="20"/>
              </w:rPr>
              <w:t>值</w:t>
            </w:r>
          </w:p>
        </w:tc>
        <w:tc>
          <w:tcPr>
            <w:tcW w:type="dxa" w:w="3024"/>
          </w:tcPr>
          <w:p>
            <w:r>
              <w:rPr>
                <w:rFonts w:ascii="Times New Roman" w:hAnsi="Times New Roman" w:eastAsia="宋体"/>
                <w:b/>
                <w:sz w:val="20"/>
              </w:rPr>
              <w:t>说明</w:t>
            </w:r>
          </w:p>
        </w:tc>
      </w:tr>
      <w:tr>
        <w:tc>
          <w:tcPr>
            <w:tcW w:type="dxa" w:w="3024"/>
          </w:tcPr>
          <w:p>
            <w:r>
              <w:rPr>
                <w:rFonts w:ascii="Times New Roman" w:hAnsi="Times New Roman" w:eastAsia="宋体"/>
                <w:sz w:val="20"/>
              </w:rPr>
              <w:t>n_samples</w:t>
            </w:r>
          </w:p>
        </w:tc>
        <w:tc>
          <w:tcPr>
            <w:tcW w:type="dxa" w:w="3024"/>
          </w:tcPr>
          <w:p>
            <w:r>
              <w:rPr>
                <w:rFonts w:ascii="Times New Roman" w:hAnsi="Times New Roman" w:eastAsia="宋体"/>
                <w:sz w:val="20"/>
              </w:rPr>
              <w:t>38,000</w:t>
            </w:r>
          </w:p>
        </w:tc>
        <w:tc>
          <w:tcPr>
            <w:tcW w:type="dxa" w:w="3024"/>
          </w:tcPr>
          <w:p>
            <w:r>
              <w:rPr>
                <w:rFonts w:ascii="Times New Roman" w:hAnsi="Times New Roman" w:eastAsia="宋体"/>
                <w:sz w:val="20"/>
              </w:rPr>
              <w:t>训练使用的样本数</w:t>
            </w:r>
          </w:p>
        </w:tc>
      </w:tr>
      <w:tr>
        <w:tc>
          <w:tcPr>
            <w:tcW w:type="dxa" w:w="3024"/>
          </w:tcPr>
          <w:p>
            <w:r>
              <w:rPr>
                <w:rFonts w:ascii="Times New Roman" w:hAnsi="Times New Roman" w:eastAsia="宋体"/>
                <w:sz w:val="20"/>
              </w:rPr>
              <w:t>d_model</w:t>
            </w:r>
          </w:p>
        </w:tc>
        <w:tc>
          <w:tcPr>
            <w:tcW w:type="dxa" w:w="3024"/>
          </w:tcPr>
          <w:p>
            <w:r>
              <w:rPr>
                <w:rFonts w:ascii="Times New Roman" w:hAnsi="Times New Roman" w:eastAsia="宋体"/>
                <w:sz w:val="20"/>
              </w:rPr>
              <w:t>128</w:t>
            </w:r>
          </w:p>
        </w:tc>
        <w:tc>
          <w:tcPr>
            <w:tcW w:type="dxa" w:w="3024"/>
          </w:tcPr>
          <w:p>
            <w:r>
              <w:rPr>
                <w:rFonts w:ascii="Times New Roman" w:hAnsi="Times New Roman" w:eastAsia="宋体"/>
                <w:sz w:val="20"/>
              </w:rPr>
              <w:t>模型主维度</w:t>
            </w:r>
          </w:p>
        </w:tc>
      </w:tr>
      <w:tr>
        <w:tc>
          <w:tcPr>
            <w:tcW w:type="dxa" w:w="3024"/>
          </w:tcPr>
          <w:p>
            <w:r>
              <w:rPr>
                <w:rFonts w:ascii="Times New Roman" w:hAnsi="Times New Roman" w:eastAsia="宋体"/>
                <w:sz w:val="20"/>
              </w:rPr>
              <w:t>d_emb</w:t>
            </w:r>
          </w:p>
        </w:tc>
        <w:tc>
          <w:tcPr>
            <w:tcW w:type="dxa" w:w="3024"/>
          </w:tcPr>
          <w:p>
            <w:r>
              <w:rPr>
                <w:rFonts w:ascii="Times New Roman" w:hAnsi="Times New Roman" w:eastAsia="宋体"/>
                <w:sz w:val="20"/>
              </w:rPr>
              <w:t>32</w:t>
            </w:r>
          </w:p>
        </w:tc>
        <w:tc>
          <w:tcPr>
            <w:tcW w:type="dxa" w:w="3024"/>
          </w:tcPr>
          <w:p>
            <w:r>
              <w:rPr>
                <w:rFonts w:ascii="Times New Roman" w:hAnsi="Times New Roman" w:eastAsia="宋体"/>
                <w:sz w:val="20"/>
              </w:rPr>
              <w:t>Entity Embedding基准维度</w:t>
            </w:r>
          </w:p>
        </w:tc>
      </w:tr>
      <w:tr>
        <w:tc>
          <w:tcPr>
            <w:tcW w:type="dxa" w:w="3024"/>
          </w:tcPr>
          <w:p>
            <w:r>
              <w:rPr>
                <w:rFonts w:ascii="Times New Roman" w:hAnsi="Times New Roman" w:eastAsia="宋体"/>
                <w:sz w:val="20"/>
              </w:rPr>
              <w:t>n_heads</w:t>
            </w:r>
          </w:p>
        </w:tc>
        <w:tc>
          <w:tcPr>
            <w:tcW w:type="dxa" w:w="3024"/>
          </w:tcPr>
          <w:p>
            <w:r>
              <w:rPr>
                <w:rFonts w:ascii="Times New Roman" w:hAnsi="Times New Roman" w:eastAsia="宋体"/>
                <w:sz w:val="20"/>
              </w:rPr>
              <w:t>4</w:t>
            </w:r>
          </w:p>
        </w:tc>
        <w:tc>
          <w:tcPr>
            <w:tcW w:type="dxa" w:w="3024"/>
          </w:tcPr>
          <w:p>
            <w:r>
              <w:rPr>
                <w:rFonts w:ascii="Times New Roman" w:hAnsi="Times New Roman" w:eastAsia="宋体"/>
                <w:sz w:val="20"/>
              </w:rPr>
              <w:t>多头注意力头数</w:t>
            </w:r>
          </w:p>
        </w:tc>
      </w:tr>
      <w:tr>
        <w:tc>
          <w:tcPr>
            <w:tcW w:type="dxa" w:w="3024"/>
          </w:tcPr>
          <w:p>
            <w:r>
              <w:rPr>
                <w:rFonts w:ascii="Times New Roman" w:hAnsi="Times New Roman" w:eastAsia="宋体"/>
                <w:sz w:val="20"/>
              </w:rPr>
              <w:t>n_transformer_layers</w:t>
            </w:r>
          </w:p>
        </w:tc>
        <w:tc>
          <w:tcPr>
            <w:tcW w:type="dxa" w:w="3024"/>
          </w:tcPr>
          <w:p>
            <w:r>
              <w:rPr>
                <w:rFonts w:ascii="Times New Roman" w:hAnsi="Times New Roman" w:eastAsia="宋体"/>
                <w:sz w:val="20"/>
              </w:rPr>
              <w:t>1</w:t>
            </w:r>
          </w:p>
        </w:tc>
        <w:tc>
          <w:tcPr>
            <w:tcW w:type="dxa" w:w="3024"/>
          </w:tcPr>
          <w:p>
            <w:r>
              <w:rPr>
                <w:rFonts w:ascii="Times New Roman" w:hAnsi="Times New Roman" w:eastAsia="宋体"/>
                <w:sz w:val="20"/>
              </w:rPr>
              <w:t>Transformer层数</w:t>
            </w:r>
          </w:p>
        </w:tc>
      </w:tr>
      <w:tr>
        <w:tc>
          <w:tcPr>
            <w:tcW w:type="dxa" w:w="3024"/>
          </w:tcPr>
          <w:p>
            <w:r>
              <w:rPr>
                <w:rFonts w:ascii="Times New Roman" w:hAnsi="Times New Roman" w:eastAsia="宋体"/>
                <w:sz w:val="20"/>
              </w:rPr>
              <w:t>batch_size</w:t>
            </w:r>
          </w:p>
        </w:tc>
        <w:tc>
          <w:tcPr>
            <w:tcW w:type="dxa" w:w="3024"/>
          </w:tcPr>
          <w:p>
            <w:r>
              <w:rPr>
                <w:rFonts w:ascii="Times New Roman" w:hAnsi="Times New Roman" w:eastAsia="宋体"/>
                <w:sz w:val="20"/>
              </w:rPr>
              <w:t>64</w:t>
            </w:r>
          </w:p>
        </w:tc>
        <w:tc>
          <w:tcPr>
            <w:tcW w:type="dxa" w:w="3024"/>
          </w:tcPr>
          <w:p>
            <w:r>
              <w:rPr>
                <w:rFonts w:ascii="Times New Roman" w:hAnsi="Times New Roman" w:eastAsia="宋体"/>
                <w:sz w:val="20"/>
              </w:rPr>
              <w:t>批次大小</w:t>
            </w:r>
          </w:p>
        </w:tc>
      </w:tr>
      <w:tr>
        <w:tc>
          <w:tcPr>
            <w:tcW w:type="dxa" w:w="3024"/>
          </w:tcPr>
          <w:p>
            <w:r>
              <w:rPr>
                <w:rFonts w:ascii="Times New Roman" w:hAnsi="Times New Roman" w:eastAsia="宋体"/>
                <w:sz w:val="20"/>
              </w:rPr>
              <w:t>dropout</w:t>
            </w:r>
          </w:p>
        </w:tc>
        <w:tc>
          <w:tcPr>
            <w:tcW w:type="dxa" w:w="3024"/>
          </w:tcPr>
          <w:p>
            <w:r>
              <w:rPr>
                <w:rFonts w:ascii="Times New Roman" w:hAnsi="Times New Roman" w:eastAsia="宋体"/>
                <w:sz w:val="20"/>
              </w:rPr>
              <w:t>0.1</w:t>
            </w:r>
          </w:p>
        </w:tc>
        <w:tc>
          <w:tcPr>
            <w:tcW w:type="dxa" w:w="3024"/>
          </w:tcPr>
          <w:p>
            <w:r>
              <w:rPr>
                <w:rFonts w:ascii="Times New Roman" w:hAnsi="Times New Roman" w:eastAsia="宋体"/>
                <w:sz w:val="20"/>
              </w:rPr>
              <w:t>Dropout比率</w:t>
            </w:r>
          </w:p>
        </w:tc>
      </w:tr>
      <w:tr>
        <w:tc>
          <w:tcPr>
            <w:tcW w:type="dxa" w:w="3024"/>
          </w:tcPr>
          <w:p>
            <w:r>
              <w:rPr>
                <w:rFonts w:ascii="Times New Roman" w:hAnsi="Times New Roman" w:eastAsia="宋体"/>
                <w:sz w:val="20"/>
              </w:rPr>
              <w:t>pretrain_epochs</w:t>
            </w:r>
          </w:p>
        </w:tc>
        <w:tc>
          <w:tcPr>
            <w:tcW w:type="dxa" w:w="3024"/>
          </w:tcPr>
          <w:p>
            <w:r>
              <w:rPr>
                <w:rFonts w:ascii="Times New Roman" w:hAnsi="Times New Roman" w:eastAsia="宋体"/>
                <w:sz w:val="20"/>
              </w:rPr>
              <w:t>30</w:t>
            </w:r>
          </w:p>
        </w:tc>
        <w:tc>
          <w:tcPr>
            <w:tcW w:type="dxa" w:w="3024"/>
          </w:tcPr>
          <w:p>
            <w:r>
              <w:rPr>
                <w:rFonts w:ascii="Times New Roman" w:hAnsi="Times New Roman" w:eastAsia="宋体"/>
                <w:sz w:val="20"/>
              </w:rPr>
              <w:t>Stage 1: MFM预训练</w:t>
            </w:r>
          </w:p>
        </w:tc>
      </w:tr>
      <w:tr>
        <w:tc>
          <w:tcPr>
            <w:tcW w:type="dxa" w:w="3024"/>
          </w:tcPr>
          <w:p>
            <w:r>
              <w:rPr>
                <w:rFonts w:ascii="Times New Roman" w:hAnsi="Times New Roman" w:eastAsia="宋体"/>
                <w:sz w:val="20"/>
              </w:rPr>
              <w:t>joint_epochs</w:t>
            </w:r>
          </w:p>
        </w:tc>
        <w:tc>
          <w:tcPr>
            <w:tcW w:type="dxa" w:w="3024"/>
          </w:tcPr>
          <w:p>
            <w:r>
              <w:rPr>
                <w:rFonts w:ascii="Times New Roman" w:hAnsi="Times New Roman" w:eastAsia="宋体"/>
                <w:sz w:val="20"/>
              </w:rPr>
              <w:t>100</w:t>
            </w:r>
          </w:p>
        </w:tc>
        <w:tc>
          <w:tcPr>
            <w:tcW w:type="dxa" w:w="3024"/>
          </w:tcPr>
          <w:p>
            <w:r>
              <w:rPr>
                <w:rFonts w:ascii="Times New Roman" w:hAnsi="Times New Roman" w:eastAsia="宋体"/>
                <w:sz w:val="20"/>
              </w:rPr>
              <w:t>Stage 2: 联合训练</w:t>
            </w:r>
          </w:p>
        </w:tc>
      </w:tr>
      <w:tr>
        <w:tc>
          <w:tcPr>
            <w:tcW w:type="dxa" w:w="3024"/>
          </w:tcPr>
          <w:p>
            <w:r>
              <w:rPr>
                <w:rFonts w:ascii="Times New Roman" w:hAnsi="Times New Roman" w:eastAsia="宋体"/>
                <w:sz w:val="20"/>
              </w:rPr>
              <w:t>finetune_epochs</w:t>
            </w:r>
          </w:p>
        </w:tc>
        <w:tc>
          <w:tcPr>
            <w:tcW w:type="dxa" w:w="3024"/>
          </w:tcPr>
          <w:p>
            <w:r>
              <w:rPr>
                <w:rFonts w:ascii="Times New Roman" w:hAnsi="Times New Roman" w:eastAsia="宋体"/>
                <w:sz w:val="20"/>
              </w:rPr>
              <w:t>20</w:t>
            </w:r>
          </w:p>
        </w:tc>
        <w:tc>
          <w:tcPr>
            <w:tcW w:type="dxa" w:w="3024"/>
          </w:tcPr>
          <w:p>
            <w:r>
              <w:rPr>
                <w:rFonts w:ascii="Times New Roman" w:hAnsi="Times New Roman" w:eastAsia="宋体"/>
                <w:sz w:val="20"/>
              </w:rPr>
              <w:t>Stage 3: 原型微调</w:t>
            </w:r>
          </w:p>
        </w:tc>
      </w:tr>
      <w:tr>
        <w:tc>
          <w:tcPr>
            <w:tcW w:type="dxa" w:w="3024"/>
          </w:tcPr>
          <w:p>
            <w:r>
              <w:rPr>
                <w:rFonts w:ascii="Times New Roman" w:hAnsi="Times New Roman" w:eastAsia="宋体"/>
                <w:sz w:val="20"/>
              </w:rPr>
              <w:t>lr</w:t>
            </w:r>
          </w:p>
        </w:tc>
        <w:tc>
          <w:tcPr>
            <w:tcW w:type="dxa" w:w="3024"/>
          </w:tcPr>
          <w:p>
            <w:r>
              <w:rPr>
                <w:rFonts w:ascii="Times New Roman" w:hAnsi="Times New Roman" w:eastAsia="宋体"/>
                <w:sz w:val="20"/>
              </w:rPr>
              <w:t>1e-3</w:t>
            </w:r>
          </w:p>
        </w:tc>
        <w:tc>
          <w:tcPr>
            <w:tcW w:type="dxa" w:w="3024"/>
          </w:tcPr>
          <w:p>
            <w:r>
              <w:rPr>
                <w:rFonts w:ascii="Times New Roman" w:hAnsi="Times New Roman" w:eastAsia="宋体"/>
                <w:sz w:val="20"/>
              </w:rPr>
              <w:t>AdamW学习率 (Stage 1/2)</w:t>
            </w:r>
          </w:p>
        </w:tc>
      </w:tr>
      <w:tr>
        <w:tc>
          <w:tcPr>
            <w:tcW w:type="dxa" w:w="3024"/>
          </w:tcPr>
          <w:p>
            <w:r>
              <w:rPr>
                <w:rFonts w:ascii="Times New Roman" w:hAnsi="Times New Roman" w:eastAsia="宋体"/>
                <w:sz w:val="20"/>
              </w:rPr>
              <w:t>lr_finetune</w:t>
            </w:r>
          </w:p>
        </w:tc>
        <w:tc>
          <w:tcPr>
            <w:tcW w:type="dxa" w:w="3024"/>
          </w:tcPr>
          <w:p>
            <w:r>
              <w:rPr>
                <w:rFonts w:ascii="Times New Roman" w:hAnsi="Times New Roman" w:eastAsia="宋体"/>
                <w:sz w:val="20"/>
              </w:rPr>
              <w:t>1e-4</w:t>
            </w:r>
          </w:p>
        </w:tc>
        <w:tc>
          <w:tcPr>
            <w:tcW w:type="dxa" w:w="3024"/>
          </w:tcPr>
          <w:p>
            <w:r>
              <w:rPr>
                <w:rFonts w:ascii="Times New Roman" w:hAnsi="Times New Roman" w:eastAsia="宋体"/>
                <w:sz w:val="20"/>
              </w:rPr>
              <w:t>AdamW学习率 (Stage 3)</w:t>
            </w:r>
          </w:p>
        </w:tc>
      </w:tr>
      <w:tr>
        <w:tc>
          <w:tcPr>
            <w:tcW w:type="dxa" w:w="3024"/>
          </w:tcPr>
          <w:p>
            <w:r>
              <w:rPr>
                <w:rFonts w:ascii="Times New Roman" w:hAnsi="Times New Roman" w:eastAsia="宋体"/>
                <w:sz w:val="20"/>
              </w:rPr>
              <w:t>weight_decay</w:t>
            </w:r>
          </w:p>
        </w:tc>
        <w:tc>
          <w:tcPr>
            <w:tcW w:type="dxa" w:w="3024"/>
          </w:tcPr>
          <w:p>
            <w:r>
              <w:rPr>
                <w:rFonts w:ascii="Times New Roman" w:hAnsi="Times New Roman" w:eastAsia="宋体"/>
                <w:sz w:val="20"/>
              </w:rPr>
              <w:t>0.01</w:t>
            </w:r>
          </w:p>
        </w:tc>
        <w:tc>
          <w:tcPr>
            <w:tcW w:type="dxa" w:w="3024"/>
          </w:tcPr>
          <w:p>
            <w:r>
              <w:rPr>
                <w:rFonts w:ascii="Times New Roman" w:hAnsi="Times New Roman" w:eastAsia="宋体"/>
                <w:sz w:val="20"/>
              </w:rPr>
              <w:t>权重衰减正则化</w:t>
            </w:r>
          </w:p>
        </w:tc>
      </w:tr>
      <w:tr>
        <w:tc>
          <w:tcPr>
            <w:tcW w:type="dxa" w:w="3024"/>
          </w:tcPr>
          <w:p>
            <w:r>
              <w:rPr>
                <w:rFonts w:ascii="Times New Roman" w:hAnsi="Times New Roman" w:eastAsia="宋体"/>
                <w:sz w:val="20"/>
              </w:rPr>
              <w:t>grad_clip</w:t>
            </w:r>
          </w:p>
        </w:tc>
        <w:tc>
          <w:tcPr>
            <w:tcW w:type="dxa" w:w="3024"/>
          </w:tcPr>
          <w:p>
            <w:r>
              <w:rPr>
                <w:rFonts w:ascii="Times New Roman" w:hAnsi="Times New Roman" w:eastAsia="宋体"/>
                <w:sz w:val="20"/>
              </w:rPr>
              <w:t>1.0</w:t>
            </w:r>
          </w:p>
        </w:tc>
        <w:tc>
          <w:tcPr>
            <w:tcW w:type="dxa" w:w="3024"/>
          </w:tcPr>
          <w:p>
            <w:r>
              <w:rPr>
                <w:rFonts w:ascii="Times New Roman" w:hAnsi="Times New Roman" w:eastAsia="宋体"/>
                <w:sz w:val="20"/>
              </w:rPr>
              <w:t>梯度裁剪阈值</w:t>
            </w:r>
          </w:p>
        </w:tc>
      </w:tr>
    </w:tbl>
    <w:p/>
    <w:p/>
    <w:p>
      <w:pPr>
        <w:jc w:val="center"/>
      </w:pPr>
      <w:r>
        <w:rPr>
          <w:rFonts w:ascii="Times New Roman" w:hAnsi="Times New Roman" w:eastAsia="宋体"/>
          <w:color w:val="999999"/>
        </w:rPr>
        <w:t>— 文档结束 —</w:t>
      </w:r>
    </w:p>
    <w:p>
      <w:pPr>
        <w:jc w:val="center"/>
      </w:pPr>
      <w:r>
        <w:rPr>
          <w:rFonts w:ascii="Times New Roman" w:hAnsi="Times New Roman" w:eastAsia="宋体"/>
          <w:color w:val="999999"/>
          <w:sz w:val="18"/>
        </w:rPr>
        <w:t>HECTO-E：面向工业控制阀智能选型的深度学习模型</w:t>
      </w:r>
    </w:p>
    <w:p>
      <w:pPr>
        <w:jc w:val="center"/>
      </w:pPr>
      <w:r>
        <w:rPr>
          <w:rFonts w:ascii="Times New Roman" w:hAnsi="Times New Roman" w:eastAsia="宋体"/>
          <w:color w:val="999999"/>
          <w:sz w:val="18"/>
        </w:rPr>
        <w:t>六盘山实验室 × 西安交通大学 |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