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13</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14</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大语言模型与多模型兼容接口</w:t>
      </w:r>
      <w:r>
        <w:rPr>
          <w:rFonts w:ascii="Times New Roman" w:hAnsi="Times New Roman" w:eastAsia="宋体"/>
          <w:b w:val="0"/>
          <w:sz w:val="24"/>
        </w:rPr>
        <w:tab/>
      </w:r>
      <w:r>
        <w:rPr>
          <w:rFonts w:ascii="Times New Roman" w:hAnsi="Times New Roman" w:eastAsia="宋体"/>
          <w:b w:val="0"/>
          <w:sz w:val="24"/>
        </w:rPr>
        <w:t>15</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模块化单体与ArchUnit架构治理</w:t>
      </w:r>
      <w:r>
        <w:rPr>
          <w:rFonts w:ascii="Times New Roman" w:hAnsi="Times New Roman" w:eastAsia="宋体"/>
          <w:b w:val="0"/>
          <w:sz w:val="24"/>
        </w:rPr>
        <w:tab/>
      </w:r>
      <w:r>
        <w:rPr>
          <w:rFonts w:ascii="Times New Roman" w:hAnsi="Times New Roman" w:eastAsia="宋体"/>
          <w:b w:val="0"/>
          <w:sz w:val="24"/>
        </w:rPr>
        <w:t>16</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2.6 前端ES Modules与模块化组织</w:t>
      </w:r>
      <w:r>
        <w:rPr>
          <w:rFonts w:ascii="Times New Roman" w:hAnsi="Times New Roman" w:eastAsia="宋体"/>
          <w:b w:val="0"/>
          <w:sz w:val="24"/>
        </w:rPr>
        <w:tab/>
      </w:r>
      <w:r>
        <w:rPr>
          <w:rFonts w:ascii="Times New Roman" w:hAnsi="Times New Roman" w:eastAsia="宋体"/>
          <w:b w:val="0"/>
          <w:sz w:val="24"/>
        </w:rPr>
        <w:t>17</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2.7 HTML5音频与语音合成技术</w:t>
      </w:r>
      <w:r>
        <w:rPr>
          <w:rFonts w:ascii="Times New Roman" w:hAnsi="Times New Roman" w:eastAsia="宋体"/>
          <w:b w:val="0"/>
          <w:sz w:val="24"/>
        </w:rPr>
        <w:tab/>
      </w:r>
      <w:r>
        <w:rPr>
          <w:rFonts w:ascii="Times New Roman" w:hAnsi="Times New Roman" w:eastAsia="宋体"/>
          <w:b w:val="0"/>
          <w:sz w:val="24"/>
        </w:rPr>
        <w:t>17</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2.8 缓存与异步任务执行机制</w:t>
      </w:r>
      <w:r>
        <w:rPr>
          <w:rFonts w:ascii="Times New Roman" w:hAnsi="Times New Roman" w:eastAsia="宋体"/>
          <w:b w:val="0"/>
          <w:sz w:val="24"/>
        </w:rPr>
        <w:tab/>
      </w:r>
      <w:r>
        <w:rPr>
          <w:rFonts w:ascii="Times New Roman" w:hAnsi="Times New Roman" w:eastAsia="宋体"/>
          <w:b w:val="0"/>
          <w:sz w:val="24"/>
        </w:rPr>
        <w:t>18</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19</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15</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15</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16</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17</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18</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19</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19</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20</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20</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21</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23</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24</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26</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26</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27</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28</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30</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32</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33</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35</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36</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38</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39</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40</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40</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rPr>
          <w:rFonts w:ascii="Times New Roman" w:hAnsi="Times New Roman" w:eastAsia="黑体"/>
          <w:b/>
          <w:sz w:val="28"/>
        </w:rPr>
      </w:pPr>
      <w:bookmarkStart w:id="46" w:name="_GoBack"/>
      <w:r>
        <w:rPr>
          <w:rFonts w:ascii="Times New Roman" w:hAnsi="Times New Roman" w:eastAsia="黑体"/>
          <w:b/>
          <w:sz w:val="28"/>
        </w:rPr>
        <w:t>第七章 总结与展望</w:t>
      </w:r>
      <w:r>
        <w:rPr>
          <w:rFonts w:ascii="Times New Roman" w:hAnsi="Times New Roman" w:eastAsia="黑体"/>
          <w:b/>
          <w:sz w:val="28"/>
        </w:rPr>
        <w:tab/>
      </w:r>
      <w:r>
        <w:rPr>
          <w:rFonts w:ascii="Times New Roman" w:hAnsi="Times New Roman" w:eastAsia="黑体"/>
          <w:b/>
          <w:sz w:val="28"/>
        </w:rPr>
        <w:t>45</w:t>
      </w:r>
    </w:p>
    <w:bookmarkEnd w:id="46"/>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45</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45</w:t>
      </w:r>
    </w:p>
    <w:p w14:paraId="62411876">
      <w:pPr>
        <w:tabs>
          <w:tab w:val="right" w:leader="dot" w:pos="8050"/>
        </w:tabs>
        <w:spacing w:before="0" w:after="0" w:line="360" w:lineRule="auto"/>
      </w:pPr>
      <w:r>
        <w:t>致 谢</w:t>
      </w:r>
      <w:r>
        <w:tab/>
      </w:r>
      <w:r>
        <w:t>46</w:t>
      </w:r>
    </w:p>
    <w:p w14:paraId="1053D2CA">
      <w:pPr>
        <w:tabs>
          <w:tab w:val="right" w:leader="dot" w:pos="8050"/>
        </w:tabs>
        <w:spacing w:before="0" w:after="0" w:line="360" w:lineRule="auto"/>
      </w:pPr>
      <w:r>
        <w:t>参考文献</w:t>
      </w:r>
      <w:r>
        <w:tab/>
      </w:r>
      <w:r>
        <w:t>47</w:t>
      </w:r>
    </w:p>
    <w:p w14:paraId="453D463D">
      <w:pPr>
        <w:tabs>
          <w:tab w:val="right" w:leader="dot" w:pos="8050"/>
        </w:tabs>
        <w:spacing w:before="0" w:after="0" w:line="360" w:lineRule="auto"/>
      </w:pPr>
      <w:r>
        <w:t>附录A 主要接口清单</w:t>
      </w:r>
      <w:r>
        <w:tab/>
      </w:r>
      <w:r>
        <w:t>49</w:t>
      </w:r>
    </w:p>
    <w:p w14:paraId="69E0408C">
      <w:pPr>
        <w:tabs>
          <w:tab w:val="right" w:leader="dot" w:pos="8050"/>
        </w:tabs>
        <w:spacing w:before="0" w:after="0" w:line="360" w:lineRule="auto"/>
      </w:pPr>
      <w:r>
        <w:t>附录B 词汇学习卡JSON字段说明</w:t>
      </w:r>
      <w:r>
        <w:tab/>
      </w:r>
      <w:r>
        <w:t>50</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pPr>
        <w:spacing w:before="0" w:after="0" w:line="460" w:lineRule="exact"/>
        <w:ind w:firstLine="480"/>
        <w:jc w:val="both"/>
      </w:pPr>
      <w:r>
        <w:rPr>
          <w:rFonts w:hint="eastAsia" w:ascii="Times New Roman" w:hAnsi="Times New Roman" w:eastAsia="宋体"/>
          <w:sz w:val="24"/>
        </w:rPr>
        <w:t>在语言与运行时层面，Java 17 相较早期版本为本系统提供了多项可直接受益的特性。文本块（Text Blocks）使多行 SQL 片段与提示词模板得以保持可读的缩进结构，减少字符串拼接造成的格式错误；记录类（Record）以不可变载体承载接口传输对象，配合 Lombok 简化值对象与响应装配的样板代码；switch 表达式与模式匹配使 AI 调用场景等枚举的分发逻辑更加紧凑，降低了分支遗漏的风险。</w:t>
      </w:r>
    </w:p>
    <w:p>
      <w:pPr>
        <w:spacing w:before="0" w:after="0" w:line="460" w:lineRule="exact"/>
        <w:ind w:firstLine="480"/>
        <w:jc w:val="both"/>
      </w:pPr>
      <w:r>
        <w:rPr>
          <w:rFonts w:hint="eastAsia" w:ascii="Times New Roman" w:hAnsi="Times New Roman" w:eastAsia="宋体"/>
          <w:sz w:val="24"/>
        </w:rPr>
        <w:t>Spring Boot 在本系统中承担应用装配与横切支撑。自动配置与 Starter 依赖管理使各业务域只需声明所需能力即可获得 Web 容器、参数校验和配置绑定；Actuator 暴露健康、信息与 Prometheus 指标端点，为运行期可观测性提供统一入口。面向切面编程用于两类横切关注点：接口访问日志切面统一记录业务接口名、HTTP 方法、路径、用户标识、链路标识、耗时与成败，权限切面在方法进入前统一校验声明式权限，二者均避免在业务方法内部散落重复代码。</w:t>
      </w:r>
    </w:p>
    <w:p>
      <w:pPr>
        <w:spacing w:before="0" w:after="0" w:line="460" w:lineRule="exact"/>
        <w:ind w:firstLine="480"/>
        <w:jc w:val="both"/>
      </w:pPr>
      <w:r>
        <w:rPr>
          <w:rFonts w:hint="eastAsia" w:ascii="Times New Roman" w:hAnsi="Times New Roman" w:eastAsia="宋体"/>
          <w:sz w:val="24"/>
        </w:rPr>
        <w:t>声明式事务管理确保数据库操作的原子性边界由应用层显式划定，而非依赖运行时隐式推断。耗时外部调用不持有事务：场景材料、词卡与词本关联分析先持久化任务与业务状态，待事务提交后再通过事件与有界线程池异步执行模型调用，从而避免长事务与请求线程被外部 HTTP 阻塞。</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pPr>
        <w:spacing w:before="0" w:after="0" w:line="460" w:lineRule="exact"/>
        <w:ind w:firstLine="480"/>
        <w:jc w:val="both"/>
      </w:pPr>
      <w:r>
        <w:rPr>
          <w:rFonts w:hint="eastAsia" w:ascii="Times New Roman" w:hAnsi="Times New Roman" w:eastAsia="宋体"/>
          <w:sz w:val="24"/>
        </w:rPr>
        <w:t>在身份传播方面，系统遵循令牌只解析一次的原则。JWT 过滤器完成签名、签发方与过期校验后，将用户身份写入安全上下文与当前用户上下文；应用服务与审计基础设施在线程内直接获取当前用户，不再重复接收授权参数或重新查询用户，降低了凭据泄露面与重复查询开销。</w:t>
      </w:r>
    </w:p>
    <w:p>
      <w:pPr>
        <w:spacing w:before="0" w:after="0" w:line="460" w:lineRule="exact"/>
        <w:ind w:firstLine="480"/>
        <w:jc w:val="both"/>
      </w:pPr>
      <w:r>
        <w:rPr>
          <w:rFonts w:hint="eastAsia" w:ascii="Times New Roman" w:hAnsi="Times New Roman" w:eastAsia="宋体"/>
          <w:sz w:val="24"/>
        </w:rPr>
        <w:t>模型凭据保护采用应用层加密。供应商 API Key 使用 AES-GCM 算法在后端加密存储，列表接口仅返回脱敏值，连接测试以最小请求直接调用配置的供应商而非触发完整学习流程；生产与预发布环境启动时拒绝使用开发默认的签名密钥与加密密钥，防止默认凭据流入正式环境。统一异常与稳定错误码体系保证接口返回可读的业务语义，而非暴露技术堆栈。</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pPr>
        <w:spacing w:before="0" w:after="0" w:line="460" w:lineRule="exact"/>
        <w:ind w:firstLine="480"/>
        <w:jc w:val="both"/>
      </w:pPr>
      <w:r>
        <w:rPr>
          <w:rFonts w:hint="eastAsia" w:ascii="Times New Roman" w:hAnsi="Times New Roman" w:eastAsia="宋体"/>
          <w:sz w:val="24"/>
        </w:rPr>
        <w:t>数据库结构演进由 Flyway 统一管理。空库执行基线脚本建立完整初始结构，存量非空库以既定版本建立基线，后续迁移按版本号顺序追加，已执行的迁移意图不被重写，保证多环境结构一致且可追溯。当前完整结构、种子数据与历史升级脚本相互分离，执行顺序由目录说明文件约束。</w:t>
      </w:r>
    </w:p>
    <w:p>
      <w:pPr>
        <w:spacing w:before="0" w:after="0" w:line="460" w:lineRule="exact"/>
        <w:ind w:firstLine="480"/>
        <w:jc w:val="both"/>
      </w:pPr>
      <w:r>
        <w:rPr>
          <w:rFonts w:hint="eastAsia" w:ascii="Times New Roman" w:hAnsi="Times New Roman" w:eastAsia="宋体"/>
          <w:sz w:val="24"/>
        </w:rPr>
        <w:t>在查询与写入性能方面，系统遵循不在循环内执行 SQL 的原则。学习计划详情通过一次批量加载装配单元、材料、词条、进度与检测记录，避免逐单元产生 N+1 查询；场景完成度计算先批量读取通过记录再在内存分组。同类更新使用批量 SQL，大批次在服务层分块，分页列表接口保持响应体精简并依赖组合索引服务于日历摘要、待复习队列与任务状态分页等高频查询路径。</w:t>
      </w:r>
    </w:p>
    <w:p>
      <w:pPr>
        <w:pStyle w:val="3"/>
        <w:keepNext/>
        <w:numPr>
          <w:ilvl w:val="1"/>
          <w:numId w:val="0"/>
        </w:numPr>
        <w:ind w:right="0" w:rightChars="0" w:firstLine="0"/>
      </w:pPr>
      <w:r>
        <w:rPr>
          <w:rFonts w:hint="eastAsia"/>
        </w:rPr>
        <w:t>2.4 大语言模型与多模型兼容接口</w:t>
      </w:r>
    </w:p>
    <w:p>
      <w:pPr>
        <w:spacing w:before="0" w:after="0" w:line="460" w:lineRule="exact"/>
        <w:ind w:firstLine="480"/>
        <w:jc w:val="both"/>
      </w:pPr>
      <w:r>
        <w:rPr>
          <w:rFonts w:hint="eastAsia" w:ascii="Times New Roman" w:hAnsi="Times New Roman" w:eastAsia="宋体"/>
          <w:sz w:val="24"/>
        </w:rPr>
        <w:t>大语言模型是本系统内容生成的核心能力来源。以 ChatGPT 为代表的大语言模型展现出文本理解、内容生成与知识问答能力，国内 DeepSeek、通义千问、Kimi、豆包与混元等模型快速发展，使垂直学习场景具备较好的技术基础。然而，通用聊天工具存在输出格式不统一、内容难以长期沉淀、无法结合个人进度安排复习等问题，本系统据此将模型生成能力置于结构化数据与可追踪任务之中。</w:t>
      </w:r>
    </w:p>
    <w:p>
      <w:pPr>
        <w:spacing w:before="0" w:after="0" w:line="460" w:lineRule="exact"/>
        <w:ind w:firstLine="480"/>
        <w:jc w:val="both"/>
      </w:pPr>
      <w:r>
        <w:rPr>
          <w:rFonts w:hint="eastAsia" w:ascii="Times New Roman" w:hAnsi="Times New Roman" w:eastAsia="宋体"/>
          <w:sz w:val="24"/>
        </w:rPr>
        <w:t>系统采用 OpenAI 兼容的对话补全协议作为统一接入层。该协议以消息角色、温度与结构化输出等通用参数描述请求，使不同供应商的模型可以通过统一接口接入并在前端切换，避免为每个供应商编写独立业务分支。当前系统已为 DeepSeek 与 Kimi 配置独立的请求适配器与响应解析链，模型管理记录调用次数、成功失败数、Token、平均延迟与最近调用时间，普通用户仅获得启用模型的最小信息。</w:t>
      </w:r>
    </w:p>
    <w:p>
      <w:pPr>
        <w:spacing w:before="0" w:after="0" w:line="460" w:lineRule="exact"/>
        <w:ind w:firstLine="480"/>
        <w:jc w:val="both"/>
      </w:pPr>
      <w:r>
        <w:rPr>
          <w:rFonts w:hint="eastAsia" w:ascii="Times New Roman" w:hAnsi="Times New Roman" w:eastAsia="宋体"/>
          <w:sz w:val="24"/>
        </w:rPr>
        <w:t>AI 网关将供应商、模型与协议视为能力元数据，按职责分离请求构造与响应处理。请求适配器依据供应商与协议构造请求体，响应解析器先解析供应商信封，再由场景编解码注册表按调用场景解包、归一化字段别名并校验必需根字段，业务服务直接消费归一化后的结构。每次模型调用必须声明调用场景枚举，枚举同时声明响应是否必须为 JSON、必须存在的根字段，以及固定动作允许进入提示词的请求变量，避免把无关对象或历史对话带入模型。</w:t>
      </w:r>
    </w:p>
    <w:p>
      <w:pPr>
        <w:spacing w:before="0" w:after="0" w:line="460" w:lineRule="exact"/>
        <w:ind w:firstLine="480"/>
        <w:jc w:val="both"/>
      </w:pPr>
      <w:r>
        <w:rPr>
          <w:rFonts w:hint="eastAsia" w:ascii="Times New Roman" w:hAnsi="Times New Roman" w:eastAsia="宋体"/>
          <w:sz w:val="24"/>
        </w:rPr>
        <w:t>上下文预算与输出约束按所选模型的真实能力计算。系统按模型的实际上下文窗口与输出上限估算输入与输出总量，在达到安全阈值前拒绝或拆分请求，防止长期学习计划的历史消息在后续独立调用中持续累积。固定生成动作只携带当前任务所需数据，仅在当前学习场景确需连续上下文时才复用会话。模型 HTTP 日志不输出完整响应正文，审计默认仅保存元数据、Token 与耗时，敏感内容脱敏且截断。</w:t>
      </w:r>
    </w:p>
    <w:p>
      <w:pPr>
        <w:pStyle w:val="3"/>
        <w:keepNext/>
        <w:numPr>
          <w:ilvl w:val="1"/>
          <w:numId w:val="0"/>
        </w:numPr>
        <w:ind w:right="0" w:rightChars="0" w:firstLine="0"/>
      </w:pPr>
      <w:r>
        <w:rPr>
          <w:rFonts w:hint="eastAsia"/>
        </w:rPr>
        <w:t>2.5 模块化单体与ArchUnit架构治理</w:t>
      </w:r>
    </w:p>
    <w:p>
      <w:pPr>
        <w:spacing w:before="0" w:after="0" w:line="460" w:lineRule="exact"/>
        <w:ind w:firstLine="480"/>
        <w:jc w:val="both"/>
      </w:pPr>
      <w:r>
        <w:rPr>
          <w:rFonts w:hint="eastAsia" w:ascii="Times New Roman" w:hAnsi="Times New Roman" w:eastAsia="宋体"/>
          <w:sz w:val="24"/>
        </w:rPr>
        <w:t>系统采用按业务域组织的模块化单体架构。后端划分为身份、词汇、学习、阅读、任务与系统六个业务域，AI 代码按 Agent、模型、会话与提示词分域，供应商协议、请求适配与响应解析集中在网关层。每个业务域内部使用接口、应用、领域与基础设施四层分层：接口层拆分为控制器、请求与响应，应用层承载用例服务、事务边界与编排，领域层放置实体、聚合、枚举与常量，基础设施层放置 Mapper 接口。</w:t>
      </w:r>
    </w:p>
    <w:p>
      <w:pPr>
        <w:spacing w:before="0" w:after="0" w:line="460" w:lineRule="exact"/>
        <w:ind w:firstLine="480"/>
        <w:jc w:val="both"/>
      </w:pPr>
      <w:r>
        <w:rPr>
          <w:rFonts w:hint="eastAsia" w:ascii="Times New Roman" w:hAnsi="Times New Roman" w:eastAsia="宋体"/>
          <w:sz w:val="24"/>
        </w:rPr>
        <w:t>依赖方向由架构测试持续约束。接口层依赖应用层，应用层依赖领域层，基础设施层依赖领域层；控制器不得直接访问 Mapper，领域代码不得依赖接口或基础设施，应用类仅可访问自身业务域的基础设施，跨域访问通过窄化的应用契约完成。架构测试同时阻止重新创建横向的控制器、服务与 Mapper 根级目录，强制实体驻留领域实体包、枚举驻留领域枚举包、Mapper 驻留基础设施 Mapper 包。</w:t>
      </w:r>
    </w:p>
    <w:p>
      <w:pPr>
        <w:spacing w:before="0" w:after="0" w:line="460" w:lineRule="exact"/>
        <w:ind w:firstLine="480"/>
        <w:jc w:val="both"/>
      </w:pPr>
      <w:r>
        <w:rPr>
          <w:rFonts w:hint="eastAsia" w:ascii="Times New Roman" w:hAnsi="Times New Roman" w:eastAsia="宋体"/>
          <w:sz w:val="24"/>
        </w:rPr>
        <w:t>除依赖方向外，工程治理还包含源码规模与文档约束。单文件超过既定行数必须按渲染、状态、策略或持久化职责拆分后方可合并；中文文档治理测试约束公共字段与复杂边界的注释要求。这些测试随每次提交执行，使代码边界在规模增长时仍能保持清晰，避免模块化单体退化为无序的大泥球。</w:t>
      </w:r>
    </w:p>
    <w:p>
      <w:pPr>
        <w:pStyle w:val="3"/>
        <w:keepNext/>
        <w:numPr>
          <w:ilvl w:val="1"/>
          <w:numId w:val="0"/>
        </w:numPr>
        <w:ind w:right="0" w:rightChars="0" w:firstLine="0"/>
      </w:pPr>
      <w:r>
        <w:rPr>
          <w:rFonts w:hint="eastAsia"/>
        </w:rPr>
        <w:t>2.6 前端ES Modules与模块化组织</w:t>
      </w:r>
    </w:p>
    <w:p>
      <w:pPr>
        <w:spacing w:before="0" w:after="0" w:line="460" w:lineRule="exact"/>
        <w:ind w:firstLine="480"/>
        <w:jc w:val="both"/>
      </w:pPr>
      <w:r>
        <w:rPr>
          <w:rFonts w:hint="eastAsia" w:ascii="Times New Roman" w:hAnsi="Times New Roman" w:eastAsia="宋体"/>
          <w:sz w:val="24"/>
        </w:rPr>
        <w:t>前端采用 HTML、CSS 与原生 ES Modules 实现，不依赖编译构建步骤。模块按身份、词汇、学习、阅读、AI、任务与系统业务域拆分，场景计划与语境精读等复杂功能进一步拆出纯业务模型、预览数据与 API 网关，入口文件只负责装配而不承载业务逻辑。</w:t>
      </w:r>
    </w:p>
    <w:p>
      <w:pPr>
        <w:spacing w:before="0" w:after="0" w:line="460" w:lineRule="exact"/>
        <w:ind w:firstLine="480"/>
        <w:jc w:val="both"/>
      </w:pPr>
      <w:r>
        <w:rPr>
          <w:rFonts w:hint="eastAsia" w:ascii="Times New Roman" w:hAnsi="Times New Roman" w:eastAsia="宋体"/>
          <w:sz w:val="24"/>
        </w:rPr>
        <w:t>共享层统一提供跨域通用能力，包括 API 请求封装、弹窗、标识符字符串化、Markdown 渲染与本地偏好存储。后端将长整型标识统一序列化为字符串，前端把所有标识视为不透明字符串处理，规避 JavaScript 数值精度丢失。学习页与复习页共用同一份个人 Markdown 笔记，保证内容在两个场景间实时同步。</w:t>
      </w:r>
    </w:p>
    <w:p>
      <w:pPr>
        <w:spacing w:before="0" w:after="0" w:line="460" w:lineRule="exact"/>
        <w:ind w:firstLine="480"/>
        <w:jc w:val="both"/>
      </w:pPr>
      <w:r>
        <w:rPr>
          <w:rFonts w:hint="eastAsia" w:ascii="Times New Roman" w:hAnsi="Times New Roman" w:eastAsia="宋体"/>
          <w:sz w:val="24"/>
        </w:rPr>
        <w:t>为支持无数据库环境下的体验与演示，前端提供预览模式，在本机缺少数据库时可走通主要产品流程。性能方面，计划首页与日历先加载轻量摘要，点击开始学习或回顾时再按计划与单元标识加载完整文章、核心词、词卡与学习状态，避免首屏一次性拉取大字段。</w:t>
      </w:r>
    </w:p>
    <w:p w14:paraId="24BECD9F">
      <w:pPr>
        <w:pStyle w:val="3"/>
        <w:keepNext/>
        <w:numPr>
          <w:ilvl w:val="1"/>
          <w:numId w:val="0"/>
        </w:numPr>
        <w:ind w:right="0" w:rightChars="0" w:firstLine="0"/>
      </w:pPr>
      <w:r>
        <w:rPr>
          <w:rFonts w:hint="eastAsia"/>
        </w:rPr>
        <w:t>2.7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pPr>
        <w:pStyle w:val="3"/>
        <w:keepNext/>
        <w:numPr>
          <w:ilvl w:val="1"/>
          <w:numId w:val="0"/>
        </w:numPr>
        <w:ind w:right="0" w:rightChars="0" w:firstLine="0"/>
      </w:pPr>
      <w:r>
        <w:rPr>
          <w:rFonts w:hint="eastAsia"/>
        </w:rPr>
        <w:t>2.8 缓存与异步任务执行机制</w:t>
      </w:r>
    </w:p>
    <w:p>
      <w:pPr>
        <w:spacing w:before="0" w:after="0" w:line="460" w:lineRule="exact"/>
        <w:ind w:firstLine="480"/>
        <w:jc w:val="both"/>
      </w:pPr>
      <w:r>
        <w:rPr>
          <w:rFonts w:hint="eastAsia" w:ascii="Times New Roman" w:hAnsi="Times New Roman" w:eastAsia="宋体"/>
          <w:sz w:val="24"/>
        </w:rPr>
        <w:t>系统使用多级缓存降低重复调用成本。公共词卡按归一化词条缓存，普通查询优先复用缓存；场景生成时先过滤不需词卡与已命中缓存的词，仅将缺失词按批次交给模型生成，并支持失败项重试。词本关联分析按标准化单词复用历史有效结果，仅缺失词调用模型，部分结果立即落库，重试只处理未完成词。</w:t>
      </w:r>
    </w:p>
    <w:p>
      <w:pPr>
        <w:spacing w:before="0" w:after="0" w:line="460" w:lineRule="exact"/>
        <w:ind w:firstLine="480"/>
        <w:jc w:val="both"/>
      </w:pPr>
      <w:r>
        <w:rPr>
          <w:rFonts w:hint="eastAsia" w:ascii="Times New Roman" w:hAnsi="Times New Roman" w:eastAsia="宋体"/>
          <w:sz w:val="24"/>
        </w:rPr>
        <w:t>公共缓存与个人数据严格分离。公共词卡是共享缓存数据，用户将词汇加入单词本时保存个人词卡快照，公共缓存后续被重新生成不会覆盖用户已有的学习内容、笔记与复习进度。单词本词条保留个人学习状态，相关词按同义、反义与词族组织，搭配独立存放，避免共享与个人数据相互污染。</w:t>
      </w:r>
    </w:p>
    <w:p>
      <w:pPr>
        <w:spacing w:before="0" w:after="0" w:line="460" w:lineRule="exact"/>
        <w:ind w:firstLine="480"/>
        <w:jc w:val="both"/>
      </w:pPr>
      <w:r>
        <w:rPr>
          <w:rFonts w:hint="eastAsia" w:ascii="Times New Roman" w:hAnsi="Times New Roman" w:eastAsia="宋体"/>
          <w:sz w:val="24"/>
        </w:rPr>
        <w:t>异步任务执行采用有界线程池与可重试任务模型。AI 线程池大小、队列、存活时间与停机等待时间均可配置，拒绝策略不会将昂贵的模型任务退回请求线程执行。可重试工作具有原子领取、条目状态、幂等写入、终态判定与失败项独立重试等特征，运行中任务取消后保留已完成结果。</w:t>
      </w:r>
    </w:p>
    <w:p>
      <w:pPr>
        <w:spacing w:before="0" w:after="0" w:line="460" w:lineRule="exact"/>
        <w:ind w:firstLine="480"/>
        <w:jc w:val="both"/>
      </w:pPr>
      <w:r>
        <w:rPr>
          <w:rFonts w:hint="eastAsia" w:ascii="Times New Roman" w:hAnsi="Times New Roman" w:eastAsia="宋体"/>
          <w:sz w:val="24"/>
        </w:rPr>
        <w:t>异步日志采用日志表外置与事件驱动落库。系统日志服务只负责写入日志外置表并发布事件，提交后异步监听器批量、幂等地将日志落库，恢复调度器重试未消费的外置记录；日志写入、监听、持久化或执行器拒绝异常被隔离，不回滚已成功的业务动作或改变接口业务结果。异步日志与异步任务通过统一执行器传播请求与链路上下文，保证跨线程可追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pPr>
        <w:spacing w:before="0" w:after="0" w:line="460" w:lineRule="exact"/>
        <w:ind w:firstLine="480"/>
        <w:jc w:val="both"/>
      </w:pPr>
      <w:r>
        <w:rPr>
          <w:rFonts w:hint="eastAsia" w:ascii="Times New Roman" w:hAnsi="Times New Roman" w:eastAsia="宋体"/>
          <w:sz w:val="24"/>
        </w:rPr>
        <w:t>在工程贡献方面，系统以模块化单体与架构测试持续约束业务域与分层边界，以 AI 网关的请求适配器与响应解析器分离供应商差异，以调用场景枚举约束固定动作的输入与结构化输出，以日志外置与事件驱动落库实现不影响业务结果的异步审计。声明式权限、统一异常与稳定错误码、标识符字符串化与开发默认凭据拒绝等机制，共同支撑了系统在规模增长下的可维护性与安全性。</w:t>
      </w:r>
    </w:p>
    <w:p>
      <w:pPr>
        <w:spacing w:before="0" w:after="0" w:line="460" w:lineRule="exact"/>
        <w:ind w:firstLine="480"/>
        <w:jc w:val="both"/>
      </w:pPr>
      <w:r>
        <w:rPr>
          <w:rFonts w:hint="eastAsia" w:ascii="Times New Roman" w:hAnsi="Times New Roman" w:eastAsia="宋体"/>
          <w:sz w:val="24"/>
        </w:rPr>
        <w:t>在验证方面，系统在本地真实数据、接口并发、浏览器渲染与拼写容错层面获得证据。100 并发只读接口均成功返回，业务数据就绪时首屏渲染 P95 为 1989 毫秒；编辑距离不大于 2 的样本 Top-1 准确率为 97.17%；稳定版本缓存复用率为 83.80%，模型调用成功率为 95.49%。本地数据库已形成从词表导入、学习计划、场景材料、词汇检查到复习记录的完整数据链，包含 5087 词公共词表、82 个学习单元与 419 条学习记录，自动判题正确率为 97.62%。</w:t>
      </w:r>
    </w:p>
    <w:p>
      <w:pPr>
        <w:pStyle w:val="3"/>
        <w:keepNext/>
        <w:numPr>
          <w:ilvl w:val="1"/>
          <w:numId w:val="0"/>
        </w:numPr>
        <w:ind w:right="0" w:rightChars="0" w:firstLine="0"/>
      </w:pPr>
      <w:r>
        <w:rPr>
          <w:rFonts w:hint="eastAsia"/>
        </w:rPr>
        <w:t>7.2 不足与展望</w:t>
      </w:r>
    </w:p>
    <w:p>
      <w:pPr>
        <w:spacing w:before="0" w:after="0" w:line="460" w:lineRule="exact"/>
        <w:ind w:firstLine="480"/>
        <w:jc w:val="both"/>
      </w:pPr>
      <w:r>
        <w:rPr>
          <w:rFonts w:hint="eastAsia" w:ascii="Times New Roman" w:hAnsi="Times New Roman" w:eastAsia="宋体"/>
          <w:sz w:val="24"/>
        </w:rPr>
        <w:t>本课题已实现面向英语学习的主要业务闭环，但受限于研究条件与样本规模，仍存在若干不足，后续可从以下方向改进。</w:t>
      </w:r>
    </w:p>
    <w:p>
      <w:pPr>
        <w:spacing w:before="0" w:after="0" w:line="460" w:lineRule="exact"/>
        <w:ind w:firstLine="480"/>
        <w:jc w:val="both"/>
      </w:pPr>
      <w:r>
        <w:rPr>
          <w:rFonts w:hint="eastAsia" w:ascii="Times New Roman" w:hAnsi="Times New Roman" w:eastAsia="宋体"/>
          <w:sz w:val="24"/>
        </w:rPr>
        <w:t>在数据样本方面，真实学习数据主要来自单个学习者，尚未形成跨用户的学习效果对照，复习正确率与掌握度变化更适合用于验证数据闭环与功能可用性，而非推断普遍学习效果。</w:t>
      </w:r>
    </w:p>
    <w:p>
      <w:pPr>
        <w:spacing w:before="0" w:after="0" w:line="460" w:lineRule="exact"/>
        <w:ind w:firstLine="480"/>
        <w:jc w:val="both"/>
      </w:pPr>
      <w:r>
        <w:rPr>
          <w:rFonts w:hint="eastAsia" w:ascii="Times New Roman" w:hAnsi="Times New Roman" w:eastAsia="宋体"/>
          <w:sz w:val="24"/>
        </w:rPr>
        <w:t>在缓存效果方面，稳定版本有效样本的缓存复用率为 83.80%，尚未达到任务书不低于 95% 的目标，主要因当前样本仍存在大量首次学习词；随着词表覆盖率提升与用户规模增长，该指标需持续监测。</w:t>
      </w:r>
    </w:p>
    <w:p>
      <w:pPr>
        <w:spacing w:before="0" w:after="0" w:line="460" w:lineRule="exact"/>
        <w:ind w:firstLine="480"/>
        <w:jc w:val="both"/>
      </w:pPr>
      <w:r>
        <w:rPr>
          <w:rFonts w:hint="eastAsia" w:ascii="Times New Roman" w:hAnsi="Times New Roman" w:eastAsia="宋体"/>
          <w:sz w:val="24"/>
        </w:rPr>
        <w:t>在模型质量方面，生成内容仍依赖供应商稳定性，场景材料的后台生成平均耗时较高，且尚未对模型生成内容引入人工纠错、质量评分、事实核验与版本比较机制。</w:t>
      </w:r>
    </w:p>
    <w:p>
      <w:pPr>
        <w:spacing w:before="0" w:after="0" w:line="460" w:lineRule="exact"/>
        <w:ind w:firstLine="480"/>
        <w:jc w:val="both"/>
      </w:pPr>
      <w:r>
        <w:rPr>
          <w:rFonts w:hint="eastAsia" w:ascii="Times New Roman" w:hAnsi="Times New Roman" w:eastAsia="宋体"/>
          <w:sz w:val="24"/>
        </w:rPr>
        <w:t>在部署验证方面，并发与首屏性能基于本地环境测得，尚未在独立服务器与真实多机网络条件下完成验证，生产环境下的网络波动与资源约束可能带来不同表现。</w:t>
      </w:r>
    </w:p>
    <w:p>
      <w:pPr>
        <w:spacing w:before="0" w:after="0" w:line="460" w:lineRule="exact"/>
        <w:ind w:firstLine="480"/>
        <w:jc w:val="both"/>
      </w:pPr>
      <w:r>
        <w:rPr>
          <w:rFonts w:hint="eastAsia" w:ascii="Times New Roman" w:hAnsi="Times New Roman" w:eastAsia="宋体"/>
          <w:sz w:val="24"/>
        </w:rPr>
        <w:t>在复习算法方面，当前采用固定间隔序列，未根据实际回忆质量、间隔与词汇难度进行自适应调整，难以针对不同学习者的遗忘曲线实现精细化调度。</w:t>
      </w:r>
    </w:p>
    <w:p>
      <w:pPr>
        <w:spacing w:before="0" w:after="0" w:line="460" w:lineRule="exact"/>
        <w:ind w:firstLine="480"/>
        <w:jc w:val="both"/>
      </w:pPr>
      <w:r>
        <w:rPr>
          <w:rFonts w:hint="eastAsia" w:ascii="Times New Roman" w:hAnsi="Times New Roman" w:eastAsia="宋体"/>
          <w:sz w:val="24"/>
        </w:rPr>
        <w:t>针对上述不足，后续工作可从五个方向展开。</w:t>
      </w:r>
    </w:p>
    <w:p>
      <w:pPr>
        <w:spacing w:before="0" w:after="0" w:line="460" w:lineRule="exact"/>
        <w:ind w:firstLine="480"/>
        <w:jc w:val="both"/>
      </w:pPr>
      <w:r>
        <w:rPr>
          <w:rFonts w:hint="eastAsia" w:ascii="Times New Roman" w:hAnsi="Times New Roman" w:eastAsia="宋体"/>
          <w:sz w:val="24"/>
        </w:rPr>
        <w:t>第一，引入基于实际回忆质量、间隔与词汇难度的自适应间隔重复算法，并以 A/B 测试评估长期留存效果，使复习调度从固定序列走向个性化。</w:t>
      </w:r>
    </w:p>
    <w:p>
      <w:pPr>
        <w:spacing w:before="0" w:after="0" w:line="460" w:lineRule="exact"/>
        <w:ind w:firstLine="480"/>
        <w:jc w:val="both"/>
      </w:pPr>
      <w:r>
        <w:rPr>
          <w:rFonts w:hint="eastAsia" w:ascii="Times New Roman" w:hAnsi="Times New Roman" w:eastAsia="宋体"/>
          <w:sz w:val="24"/>
        </w:rPr>
        <w:t>第二，为模型生成内容建立人工纠错、质量评分、事实核验与版本比较闭环，在保留生成效率的同时提升内容的可信度与可追溯性。</w:t>
      </w:r>
    </w:p>
    <w:p>
      <w:pPr>
        <w:spacing w:before="0" w:after="0" w:line="460" w:lineRule="exact"/>
        <w:ind w:firstLine="480"/>
        <w:jc w:val="both"/>
      </w:pPr>
      <w:r>
        <w:rPr>
          <w:rFonts w:hint="eastAsia" w:ascii="Times New Roman" w:hAnsi="Times New Roman" w:eastAsia="宋体"/>
          <w:sz w:val="24"/>
        </w:rPr>
        <w:t>第三，将阅读检测从四选一扩展为细节定位、推理、开放题与错因诊断，覆盖更高层级的阅读理解能力，并为错题建立独立管理。</w:t>
      </w:r>
    </w:p>
    <w:p>
      <w:pPr>
        <w:spacing w:before="0" w:after="0" w:line="460" w:lineRule="exact"/>
        <w:ind w:firstLine="480"/>
        <w:jc w:val="both"/>
      </w:pPr>
      <w:r>
        <w:rPr>
          <w:rFonts w:hint="eastAsia" w:ascii="Times New Roman" w:hAnsi="Times New Roman" w:eastAsia="宋体"/>
          <w:sz w:val="24"/>
        </w:rPr>
        <w:t>第四，增加跟读功能与发音反馈，引入单词与文章相关图片提升视觉学习效果，丰富多通道学习体验。</w:t>
      </w:r>
    </w:p>
    <w:p>
      <w:pPr>
        <w:spacing w:before="0" w:after="0" w:line="460" w:lineRule="exact"/>
        <w:ind w:firstLine="480"/>
        <w:jc w:val="both"/>
      </w:pPr>
      <w:r>
        <w:rPr>
          <w:rFonts w:hint="eastAsia" w:ascii="Times New Roman" w:hAnsi="Times New Roman" w:eastAsia="宋体"/>
          <w:sz w:val="24"/>
        </w:rPr>
        <w:t>第五，将场景框架扩展到多模态听说、专业文献阅读与写作训练，验证该工程骨架在更多学习场景中的可迁移性。</w:t>
      </w:r>
    </w:p>
    <w:p>
      <w:pPr>
        <w:spacing w:before="0" w:after="0" w:line="460" w:lineRule="exact"/>
        <w:ind w:firstLine="480"/>
        <w:jc w:val="both"/>
      </w:pPr>
      <w:r>
        <w:rPr>
          <w:rFonts w:hint="eastAsia" w:ascii="Times New Roman" w:hAnsi="Times New Roman" w:eastAsia="宋体"/>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FF17BC"/>
    <w:rsid w:val="70BF87F1"/>
    <w:rsid w:val="73AE4959"/>
    <w:rsid w:val="747D7AFF"/>
    <w:rsid w:val="76F186EE"/>
    <w:rsid w:val="7AF704FC"/>
    <w:rsid w:val="7BBD4198"/>
    <w:rsid w:val="7BBD7EAB"/>
    <w:rsid w:val="7D9DFB5C"/>
    <w:rsid w:val="7DB8395A"/>
    <w:rsid w:val="7DFF7B03"/>
    <w:rsid w:val="7DFF7C38"/>
    <w:rsid w:val="7EBF427E"/>
    <w:rsid w:val="7F7F693D"/>
    <w:rsid w:val="7FBD4E92"/>
    <w:rsid w:val="7FEE5E3A"/>
    <w:rsid w:val="9FF45EBC"/>
    <w:rsid w:val="AFFD7A23"/>
    <w:rsid w:val="B57F458F"/>
    <w:rsid w:val="B7A98492"/>
    <w:rsid w:val="BF682649"/>
    <w:rsid w:val="D6BE09C5"/>
    <w:rsid w:val="DBFB8B70"/>
    <w:rsid w:val="DE2BFD3C"/>
    <w:rsid w:val="EBF74DE8"/>
    <w:rsid w:val="ED77E8B9"/>
    <w:rsid w:val="EDB3FFD3"/>
    <w:rsid w:val="EF7F5857"/>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335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2026-09-02T18:04:00Z</dcterms:created>
  <dc:creator>Data</dc:creator>
  <cp:lastModifiedBy>钱丁君</cp:lastModifiedBy>
  <dcterms:modified xsi:type="dcterms:W3CDTF">2026-09-19T20:15:54Z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